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560"/>
        <w:tblW w:w="92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B41C39" w14:paraId="3B015E10" w14:textId="77777777" w:rsidTr="009E10CF">
        <w:trPr>
          <w:cantSplit/>
        </w:trPr>
        <w:tc>
          <w:tcPr>
            <w:tcW w:w="0" w:type="auto"/>
            <w:tcMar>
              <w:top w:w="0" w:type="dxa"/>
              <w:left w:w="0" w:type="dxa"/>
              <w:right w:w="0" w:type="dxa"/>
            </w:tcMar>
          </w:tcPr>
          <w:p w14:paraId="18F877C2" w14:textId="77777777" w:rsidR="00A75687" w:rsidRDefault="00A75687" w:rsidP="009E10CF">
            <w:pPr>
              <w:pStyle w:val="Documenttitle"/>
              <w:contextualSpacing/>
            </w:pPr>
            <w:r>
              <w:t xml:space="preserve">Chief Psychiatrist’s annual report </w:t>
            </w:r>
          </w:p>
          <w:p w14:paraId="12D97244" w14:textId="47F900CC" w:rsidR="00B41C39" w:rsidRPr="00431F42" w:rsidRDefault="00A75687" w:rsidP="009E10CF">
            <w:pPr>
              <w:pStyle w:val="Documenttitle"/>
              <w:contextualSpacing/>
            </w:pPr>
            <w:r>
              <w:t>202</w:t>
            </w:r>
            <w:r w:rsidR="0075271E">
              <w:t>2</w:t>
            </w:r>
            <w:r w:rsidRPr="00A75687">
              <w:t>–</w:t>
            </w:r>
            <w:r>
              <w:t>2</w:t>
            </w:r>
            <w:r w:rsidR="0075271E">
              <w:t>3</w:t>
            </w:r>
          </w:p>
        </w:tc>
      </w:tr>
    </w:tbl>
    <w:p w14:paraId="7DB95A52" w14:textId="4E28945F" w:rsidR="00B41C39" w:rsidRDefault="00B41C39" w:rsidP="009A5423">
      <w:pPr>
        <w:pStyle w:val="Body"/>
        <w:sectPr w:rsidR="00B41C39" w:rsidSect="00C51B1C">
          <w:footerReference w:type="even" r:id="rId11"/>
          <w:footerReference w:type="default" r:id="rId12"/>
          <w:pgSz w:w="11906" w:h="16838"/>
          <w:pgMar w:top="1701" w:right="1304" w:bottom="1134" w:left="1304" w:header="454" w:footer="567" w:gutter="0"/>
          <w:cols w:space="720"/>
          <w:docGrid w:linePitch="360"/>
        </w:sectPr>
      </w:pPr>
      <w:r>
        <w:rPr>
          <w:noProof/>
        </w:rPr>
        <w:drawing>
          <wp:anchor distT="0" distB="0" distL="114300" distR="114300" simplePos="0" relativeHeight="251658241" behindDoc="1" locked="1" layoutInCell="1" allowOverlap="1" wp14:anchorId="318E2BA2" wp14:editId="4FCFB4E7">
            <wp:simplePos x="0" y="0"/>
            <wp:positionH relativeFrom="page">
              <wp:posOffset>0</wp:posOffset>
            </wp:positionH>
            <wp:positionV relativeFrom="page">
              <wp:posOffset>157480</wp:posOffset>
            </wp:positionV>
            <wp:extent cx="7564120" cy="10691495"/>
            <wp:effectExtent l="0" t="0" r="508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4120" cy="10691495"/>
                    </a:xfrm>
                    <a:prstGeom prst="rect">
                      <a:avLst/>
                    </a:prstGeom>
                  </pic:spPr>
                </pic:pic>
              </a:graphicData>
            </a:graphic>
            <wp14:sizeRelH relativeFrom="margin">
              <wp14:pctWidth>0</wp14:pctWidth>
            </wp14:sizeRelH>
            <wp14:sizeRelV relativeFrom="margin">
              <wp14:pctHeight>0</wp14:pctHeight>
            </wp14:sizeRelV>
          </wp:anchor>
        </w:drawing>
      </w:r>
    </w:p>
    <w:p w14:paraId="49EF630C" w14:textId="68EA4080" w:rsidR="00AC0C3B" w:rsidRPr="003072C6" w:rsidRDefault="00073DB0" w:rsidP="00CA6D4E">
      <w:pPr>
        <w:pStyle w:val="DHHSbodynospace"/>
      </w:pPr>
      <w:r>
        <w:rPr>
          <w:noProof/>
          <w:lang w:eastAsia="en-AU"/>
        </w:rPr>
        <w:lastRenderedPageBreak/>
        <mc:AlternateContent>
          <mc:Choice Requires="wps">
            <w:drawing>
              <wp:anchor distT="0" distB="0" distL="114300" distR="114300" simplePos="0" relativeHeight="251658240" behindDoc="0" locked="0" layoutInCell="1" allowOverlap="1" wp14:anchorId="07C5B430" wp14:editId="469E3E20">
                <wp:simplePos x="0" y="0"/>
                <wp:positionH relativeFrom="column">
                  <wp:posOffset>4572000</wp:posOffset>
                </wp:positionH>
                <wp:positionV relativeFrom="paragraph">
                  <wp:posOffset>10172700</wp:posOffset>
                </wp:positionV>
                <wp:extent cx="25146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w16du="http://schemas.microsoft.com/office/word/2023/wordml/word16du"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a:solidFill>
                                <a:srgbClr val="FFFFFF"/>
                              </a:solidFill>
                            </a14:hiddenFill>
                          </a:ext>
                          <a:ext uri="{91240B29-F687-4f45-9708-019B960494DF}">
                            <a14:hiddenLine xmlns:w16du="http://schemas.microsoft.com/office/word/2023/wordml/word16du"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w="9525">
                              <a:solidFill>
                                <a:srgbClr val="000000"/>
                              </a:solidFill>
                              <a:miter lim="800000"/>
                              <a:headEnd/>
                              <a:tailEnd/>
                            </a14:hiddenLine>
                          </a:ext>
                        </a:extLst>
                      </wps:spPr>
                      <wps:txb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B430" id="_x0000_t202" coordsize="21600,21600" o:spt="202" path="m,l,21600r21600,l21600,xe">
                <v:stroke joinstyle="miter"/>
                <v:path gradientshapeok="t" o:connecttype="rect"/>
              </v:shapetype>
              <v:shape id="Text Box 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EA3201F" w14:textId="77777777" w:rsidTr="00993C80">
        <w:trPr>
          <w:trHeight w:val="6336"/>
        </w:trPr>
        <w:tc>
          <w:tcPr>
            <w:tcW w:w="9298" w:type="dxa"/>
            <w:vAlign w:val="bottom"/>
          </w:tcPr>
          <w:p w14:paraId="7DD343DD" w14:textId="5903BF27" w:rsidR="00605B5B" w:rsidRPr="00F77D38" w:rsidRDefault="00605B5B" w:rsidP="00563C62">
            <w:pPr>
              <w:pStyle w:val="Body"/>
            </w:pPr>
            <w:r w:rsidRPr="00605B5B">
              <w:t xml:space="preserve">To receive this publication in an accessible format phone </w:t>
            </w:r>
            <w:r w:rsidR="7D87D75A" w:rsidRPr="00F77D38">
              <w:t>1300 767 299</w:t>
            </w:r>
            <w:r w:rsidR="3144EF29">
              <w:t>,</w:t>
            </w:r>
            <w:r w:rsidRPr="00605B5B">
              <w:t xml:space="preserve"> using the National Relay Service 13 36 77 if required, or </w:t>
            </w:r>
            <w:hyperlink r:id="rId14" w:history="1">
              <w:r w:rsidRPr="00843E13">
                <w:rPr>
                  <w:rStyle w:val="Hyperlink"/>
                </w:rPr>
                <w:t xml:space="preserve">email </w:t>
              </w:r>
              <w:r w:rsidR="008B0BCF" w:rsidRPr="00843E13">
                <w:rPr>
                  <w:rStyle w:val="Hyperlink"/>
                </w:rPr>
                <w:t>the Office of the Chief Psychiatrist</w:t>
              </w:r>
            </w:hyperlink>
            <w:r w:rsidR="008B0BCF" w:rsidRPr="00F77D38">
              <w:t xml:space="preserve"> &lt;ocp@</w:t>
            </w:r>
            <w:r w:rsidR="00563C62">
              <w:t>health</w:t>
            </w:r>
            <w:r w:rsidR="4784A4B9" w:rsidRPr="00F77D38">
              <w:t>.vic.gov.au</w:t>
            </w:r>
            <w:r w:rsidRPr="00F77D38">
              <w:t>&gt;</w:t>
            </w:r>
            <w:r w:rsidR="00381B2F" w:rsidRPr="00F77D38">
              <w:t>.</w:t>
            </w:r>
          </w:p>
          <w:p w14:paraId="2CDF7B09" w14:textId="77777777" w:rsidR="00605B5B" w:rsidRPr="00605B5B" w:rsidRDefault="00605B5B" w:rsidP="00563C62">
            <w:pPr>
              <w:pStyle w:val="Body"/>
            </w:pPr>
            <w:r w:rsidRPr="00605B5B">
              <w:t>Authorised and published by the Victorian Governmen</w:t>
            </w:r>
            <w:r>
              <w:t>t, 1 Treasury Place, Melbourne.</w:t>
            </w:r>
          </w:p>
          <w:p w14:paraId="147FC497" w14:textId="04359D53" w:rsidR="00605B5B" w:rsidRPr="00605B5B" w:rsidRDefault="00605B5B" w:rsidP="00563C62">
            <w:pPr>
              <w:pStyle w:val="Body"/>
            </w:pPr>
            <w:r w:rsidRPr="00605B5B">
              <w:t>© State of Victoria, Department of Health</w:t>
            </w:r>
            <w:r w:rsidR="00381B2F">
              <w:t>, October 202</w:t>
            </w:r>
            <w:r w:rsidR="004E4FAD">
              <w:t>3</w:t>
            </w:r>
            <w:r w:rsidRPr="00605B5B">
              <w:t>.</w:t>
            </w:r>
          </w:p>
          <w:p w14:paraId="50BD8BD3" w14:textId="7209E17E" w:rsidR="3144EF29" w:rsidRDefault="3144EF29" w:rsidP="00563C62">
            <w:pPr>
              <w:pStyle w:val="Body"/>
              <w:rPr>
                <w:rFonts w:eastAsia="Arial" w:cs="Arial"/>
                <w:color w:val="000000" w:themeColor="text1"/>
                <w:sz w:val="22"/>
                <w:szCs w:val="22"/>
              </w:rPr>
            </w:pPr>
            <w:r w:rsidRPr="0042538B">
              <w:t xml:space="preserve">ISBN/ISSN </w:t>
            </w:r>
            <w:r w:rsidR="05066964" w:rsidRPr="0042538B">
              <w:t xml:space="preserve">2207-1482 </w:t>
            </w:r>
            <w:r w:rsidR="001B2625" w:rsidRPr="0042538B">
              <w:t>(o</w:t>
            </w:r>
            <w:r w:rsidR="05066964" w:rsidRPr="0042538B">
              <w:t>nline</w:t>
            </w:r>
            <w:r w:rsidR="001B2625" w:rsidRPr="0042538B">
              <w:t>/PDF</w:t>
            </w:r>
            <w:r w:rsidR="05066964" w:rsidRPr="0042538B">
              <w:t>/</w:t>
            </w:r>
            <w:r w:rsidR="001B2625" w:rsidRPr="0042538B">
              <w:t>W</w:t>
            </w:r>
            <w:r w:rsidR="05066964" w:rsidRPr="0042538B">
              <w:t>ord)</w:t>
            </w:r>
          </w:p>
          <w:p w14:paraId="1F71DFCB" w14:textId="5E7B1D17" w:rsidR="00564E8F" w:rsidRPr="00436843" w:rsidRDefault="3144EF29" w:rsidP="00563C62">
            <w:pPr>
              <w:pStyle w:val="Body"/>
              <w:rPr>
                <w:color w:val="D50032"/>
              </w:rPr>
            </w:pPr>
            <w:r>
              <w:t xml:space="preserve">Available </w:t>
            </w:r>
            <w:r w:rsidR="0A0BE0D8">
              <w:t xml:space="preserve">on the </w:t>
            </w:r>
            <w:hyperlink r:id="rId15" w:history="1">
              <w:r w:rsidR="0A0BE0D8" w:rsidRPr="00843E13">
                <w:rPr>
                  <w:rStyle w:val="Hyperlink"/>
                </w:rPr>
                <w:t>Chief Psychiatrist’s webpage</w:t>
              </w:r>
            </w:hyperlink>
            <w:r>
              <w:t xml:space="preserve"> </w:t>
            </w:r>
            <w:r w:rsidRPr="00F77D38">
              <w:t>&lt;</w:t>
            </w:r>
            <w:r w:rsidR="00A51A3A" w:rsidRPr="00A51A3A">
              <w:t>https://www.health.vic.gov.au/key-staff/publications-from-the-chief-psychiatrist</w:t>
            </w:r>
            <w:r w:rsidRPr="00F77D38">
              <w:t>&gt;</w:t>
            </w:r>
            <w:r w:rsidR="3EC2034E" w:rsidRPr="00F77D38">
              <w:t>.</w:t>
            </w:r>
          </w:p>
        </w:tc>
      </w:tr>
    </w:tbl>
    <w:p w14:paraId="4628D2B1" w14:textId="38EE9EEF" w:rsidR="15FF2A27" w:rsidRDefault="15FF2A27" w:rsidP="00563C62">
      <w:pPr>
        <w:pStyle w:val="Body"/>
      </w:pPr>
    </w:p>
    <w:p w14:paraId="46179BF7" w14:textId="26E9749F" w:rsidR="00381B2F" w:rsidRDefault="00381B2F" w:rsidP="00563C62">
      <w:pPr>
        <w:pStyle w:val="Body"/>
      </w:pPr>
      <w:r w:rsidRPr="00B07969">
        <w:br w:type="page"/>
      </w:r>
    </w:p>
    <w:p w14:paraId="3DB06C5A" w14:textId="77777777" w:rsidR="00AC0C3B" w:rsidRPr="003072C6" w:rsidRDefault="00AC0C3B" w:rsidP="00563C62">
      <w:pPr>
        <w:pStyle w:val="Body"/>
        <w:sectPr w:rsidR="00AC0C3B" w:rsidRPr="003072C6" w:rsidSect="00C51B1C">
          <w:pgSz w:w="11906" w:h="16838"/>
          <w:pgMar w:top="1701" w:right="1304" w:bottom="1134" w:left="1304" w:header="454" w:footer="567" w:gutter="0"/>
          <w:cols w:space="720"/>
          <w:docGrid w:linePitch="360"/>
        </w:sectPr>
      </w:pPr>
    </w:p>
    <w:p w14:paraId="7DC013BE" w14:textId="77777777" w:rsidR="00001F92" w:rsidRDefault="00001F92" w:rsidP="00001F92">
      <w:pPr>
        <w:pStyle w:val="Heading1"/>
        <w:rPr>
          <w:rStyle w:val="Heading3Char"/>
          <w:rFonts w:eastAsia="Times"/>
          <w:b/>
          <w:sz w:val="21"/>
          <w:szCs w:val="21"/>
        </w:rPr>
      </w:pPr>
      <w:bookmarkStart w:id="0" w:name="_Toc149041959"/>
      <w:bookmarkStart w:id="1" w:name="_Toc52886226"/>
      <w:bookmarkStart w:id="2" w:name="_Toc52886229"/>
      <w:r w:rsidRPr="004D66C3">
        <w:rPr>
          <w:rStyle w:val="Heading3Char"/>
          <w:rFonts w:eastAsia="Times"/>
          <w:bCs/>
          <w:sz w:val="44"/>
          <w:szCs w:val="44"/>
        </w:rPr>
        <w:lastRenderedPageBreak/>
        <w:t>Acknowledgements</w:t>
      </w:r>
      <w:bookmarkEnd w:id="0"/>
      <w:r w:rsidRPr="00FE0833">
        <w:rPr>
          <w:rStyle w:val="Heading3Char"/>
          <w:rFonts w:eastAsia="Times"/>
          <w:b/>
          <w:sz w:val="21"/>
          <w:szCs w:val="21"/>
        </w:rPr>
        <w:t xml:space="preserve"> </w:t>
      </w:r>
    </w:p>
    <w:p w14:paraId="4CC24AA5" w14:textId="77777777" w:rsidR="00001F92" w:rsidRPr="00433F44" w:rsidRDefault="00001F92" w:rsidP="00001F92">
      <w:pPr>
        <w:pStyle w:val="Heading2"/>
      </w:pPr>
      <w:bookmarkStart w:id="3" w:name="_Toc149041960"/>
      <w:r w:rsidRPr="004D66C3">
        <w:rPr>
          <w:rStyle w:val="Heading3Char"/>
          <w:rFonts w:eastAsia="Times"/>
          <w:bCs w:val="0"/>
          <w:sz w:val="32"/>
          <w:szCs w:val="28"/>
        </w:rPr>
        <w:t xml:space="preserve">Acknowledgement of </w:t>
      </w:r>
      <w:r>
        <w:rPr>
          <w:rStyle w:val="Heading3Char"/>
          <w:rFonts w:eastAsia="Times"/>
          <w:bCs w:val="0"/>
          <w:sz w:val="32"/>
          <w:szCs w:val="28"/>
        </w:rPr>
        <w:t>C</w:t>
      </w:r>
      <w:r w:rsidRPr="004D66C3">
        <w:rPr>
          <w:rStyle w:val="Heading3Char"/>
          <w:rFonts w:eastAsia="Times"/>
          <w:bCs w:val="0"/>
          <w:sz w:val="32"/>
          <w:szCs w:val="28"/>
        </w:rPr>
        <w:t>ountry</w:t>
      </w:r>
      <w:bookmarkEnd w:id="1"/>
      <w:bookmarkEnd w:id="3"/>
      <w:r w:rsidRPr="00433F44">
        <w:t xml:space="preserve"> </w:t>
      </w:r>
    </w:p>
    <w:p w14:paraId="54B68810" w14:textId="77777777" w:rsidR="00001F92" w:rsidRPr="00FE0833" w:rsidRDefault="00001F92" w:rsidP="00001F92">
      <w:pPr>
        <w:pStyle w:val="Body"/>
        <w:rPr>
          <w:rStyle w:val="normaltextrun"/>
        </w:rPr>
      </w:pPr>
      <w:r w:rsidRPr="00FE0833">
        <w:rPr>
          <w:rStyle w:val="normaltextrun"/>
        </w:rPr>
        <w:t>The Victorian Government proudly acknowledges Victoria’s Aboriginal communities and their rich culture and pays respect to their Elders past and present.</w:t>
      </w:r>
    </w:p>
    <w:p w14:paraId="798EABC5" w14:textId="77777777" w:rsidR="00001F92" w:rsidRPr="00FE0833" w:rsidRDefault="00001F92" w:rsidP="00001F92">
      <w:pPr>
        <w:pStyle w:val="Body"/>
        <w:rPr>
          <w:rStyle w:val="normaltextrun"/>
        </w:rPr>
      </w:pPr>
      <w:r w:rsidRPr="00FE0833">
        <w:rPr>
          <w:rStyle w:val="normaltextrun"/>
        </w:rPr>
        <w:t>We acknowledge Aboriginal peoples as Australia’s first peoples and as the Traditional Owners and custodians of the land and water on which we live, work and play.</w:t>
      </w:r>
    </w:p>
    <w:p w14:paraId="71609C39" w14:textId="77777777" w:rsidR="00001F92" w:rsidRPr="00FE0833" w:rsidRDefault="00001F92" w:rsidP="00001F92">
      <w:pPr>
        <w:pStyle w:val="Body"/>
        <w:rPr>
          <w:rStyle w:val="normaltextrun"/>
        </w:rPr>
      </w:pPr>
      <w:r w:rsidRPr="00FE0833">
        <w:rPr>
          <w:rStyle w:val="normaltextrun"/>
        </w:rPr>
        <w:t>We recognise and value the ongoing contribution of Aboriginal people and communities to Victorian life and how this enriches our society more broadly.</w:t>
      </w:r>
    </w:p>
    <w:p w14:paraId="22563A0F" w14:textId="77777777" w:rsidR="00001F92" w:rsidRPr="00FE0833" w:rsidRDefault="00001F92" w:rsidP="00001F92">
      <w:pPr>
        <w:pStyle w:val="Body"/>
        <w:rPr>
          <w:rStyle w:val="normaltextrun"/>
        </w:rPr>
      </w:pPr>
      <w:r w:rsidRPr="00FE0833">
        <w:rPr>
          <w:rStyle w:val="normaltextrun"/>
        </w:rPr>
        <w:t>We embrace self-determination and reconciliation, working towards equality of outcomes and ensuring an equitable voice.</w:t>
      </w:r>
    </w:p>
    <w:p w14:paraId="60FE14F5" w14:textId="77777777" w:rsidR="00001F92" w:rsidRPr="00433F44" w:rsidRDefault="00001F92" w:rsidP="00001F92">
      <w:pPr>
        <w:pStyle w:val="Heading2"/>
      </w:pPr>
      <w:bookmarkStart w:id="4" w:name="_Toc52886227"/>
      <w:bookmarkStart w:id="5" w:name="_Toc149041961"/>
      <w:r w:rsidRPr="004D66C3">
        <w:rPr>
          <w:rStyle w:val="Heading3Char"/>
          <w:rFonts w:eastAsia="Times"/>
          <w:bCs w:val="0"/>
          <w:sz w:val="32"/>
          <w:szCs w:val="28"/>
        </w:rPr>
        <w:t xml:space="preserve">Acknowledgement of lived and living </w:t>
      </w:r>
      <w:proofErr w:type="gramStart"/>
      <w:r w:rsidRPr="004D66C3">
        <w:rPr>
          <w:rStyle w:val="Heading3Char"/>
          <w:rFonts w:eastAsia="Times"/>
          <w:bCs w:val="0"/>
          <w:sz w:val="32"/>
          <w:szCs w:val="28"/>
        </w:rPr>
        <w:t>experience</w:t>
      </w:r>
      <w:bookmarkEnd w:id="4"/>
      <w:bookmarkEnd w:id="5"/>
      <w:proofErr w:type="gramEnd"/>
    </w:p>
    <w:p w14:paraId="0E76EE19" w14:textId="77777777" w:rsidR="00001F92" w:rsidRDefault="00001F92" w:rsidP="00001F92">
      <w:pPr>
        <w:pStyle w:val="Body"/>
        <w:rPr>
          <w:rFonts w:eastAsia="Calibri Light"/>
        </w:rPr>
      </w:pPr>
      <w:r>
        <w:rPr>
          <w:rStyle w:val="normaltextrun"/>
        </w:rPr>
        <w:t>We</w:t>
      </w:r>
      <w:r w:rsidRPr="00B07478">
        <w:rPr>
          <w:rStyle w:val="normaltextrun"/>
        </w:rPr>
        <w:t xml:space="preserve"> would like to recognise all people with lived </w:t>
      </w:r>
      <w:r>
        <w:rPr>
          <w:rStyle w:val="normaltextrun"/>
        </w:rPr>
        <w:t xml:space="preserve">and living </w:t>
      </w:r>
      <w:r w:rsidRPr="00B07478">
        <w:rPr>
          <w:rStyle w:val="normaltextrun"/>
        </w:rPr>
        <w:t>experience of</w:t>
      </w:r>
      <w:r>
        <w:rPr>
          <w:rStyle w:val="normaltextrun"/>
        </w:rPr>
        <w:t xml:space="preserve"> mental illness, psychological distress and substance use, and their </w:t>
      </w:r>
      <w:proofErr w:type="spellStart"/>
      <w:r>
        <w:rPr>
          <w:rStyle w:val="normaltextrun"/>
        </w:rPr>
        <w:t>carers</w:t>
      </w:r>
      <w:proofErr w:type="spellEnd"/>
      <w:r>
        <w:rPr>
          <w:rStyle w:val="normaltextrun"/>
        </w:rPr>
        <w:t xml:space="preserve">, </w:t>
      </w:r>
      <w:proofErr w:type="gramStart"/>
      <w:r>
        <w:rPr>
          <w:rStyle w:val="normaltextrun"/>
        </w:rPr>
        <w:t>families</w:t>
      </w:r>
      <w:proofErr w:type="gramEnd"/>
      <w:r>
        <w:rPr>
          <w:rStyle w:val="normaltextrun"/>
        </w:rPr>
        <w:t xml:space="preserve"> and supporters</w:t>
      </w:r>
      <w:r w:rsidRPr="00B07478">
        <w:rPr>
          <w:rStyle w:val="normaltextrun"/>
        </w:rPr>
        <w:t xml:space="preserve">. This recognition extends to the clinical and non-clinical workforces that support people with lived </w:t>
      </w:r>
      <w:r>
        <w:rPr>
          <w:rStyle w:val="normaltextrun"/>
        </w:rPr>
        <w:t xml:space="preserve">and living </w:t>
      </w:r>
      <w:r w:rsidRPr="00B07478">
        <w:rPr>
          <w:rStyle w:val="normaltextrun"/>
        </w:rPr>
        <w:t>experience.</w:t>
      </w:r>
      <w:r w:rsidRPr="006700FF">
        <w:t xml:space="preserve"> </w:t>
      </w:r>
      <w:r w:rsidRPr="006700FF">
        <w:rPr>
          <w:rStyle w:val="normaltextrun"/>
        </w:rPr>
        <w:t xml:space="preserve">Thank you for working in partnership to </w:t>
      </w:r>
      <w:r>
        <w:rPr>
          <w:rStyle w:val="normaltextrun"/>
        </w:rPr>
        <w:t>transform the</w:t>
      </w:r>
      <w:r w:rsidRPr="006700FF">
        <w:rPr>
          <w:rStyle w:val="normaltextrun"/>
        </w:rPr>
        <w:t xml:space="preserve"> system</w:t>
      </w:r>
      <w:r>
        <w:rPr>
          <w:rStyle w:val="normaltextrun"/>
        </w:rPr>
        <w:t>.</w:t>
      </w:r>
    </w:p>
    <w:p w14:paraId="0398E890" w14:textId="77777777" w:rsidR="00001F92" w:rsidRDefault="00001F92" w:rsidP="00001F92">
      <w:pPr>
        <w:rPr>
          <w:rFonts w:ascii="Arial" w:eastAsia="Calibri Light" w:hAnsi="Arial"/>
          <w:bCs/>
          <w:color w:val="004EA8"/>
          <w:sz w:val="44"/>
          <w:szCs w:val="44"/>
        </w:rPr>
      </w:pPr>
      <w:r>
        <w:rPr>
          <w:rFonts w:eastAsia="Calibri Light"/>
        </w:rPr>
        <w:br w:type="page"/>
      </w:r>
    </w:p>
    <w:p w14:paraId="1CB23E73" w14:textId="09B6A515" w:rsidR="00381B2F" w:rsidRPr="0045619A" w:rsidRDefault="00381B2F" w:rsidP="00381B2F">
      <w:pPr>
        <w:pStyle w:val="Heading1"/>
        <w:rPr>
          <w:color w:val="000000" w:themeColor="text1"/>
          <w:sz w:val="22"/>
          <w:szCs w:val="22"/>
        </w:rPr>
      </w:pPr>
      <w:bookmarkStart w:id="6" w:name="_Toc149041962"/>
      <w:r>
        <w:lastRenderedPageBreak/>
        <w:t>F</w:t>
      </w:r>
      <w:r w:rsidRPr="00BF5D93">
        <w:t xml:space="preserve">oreword </w:t>
      </w:r>
      <w:r>
        <w:t xml:space="preserve">from the </w:t>
      </w:r>
      <w:r w:rsidRPr="00BF5D93">
        <w:t>Chief Psychiatrist</w:t>
      </w:r>
      <w:bookmarkEnd w:id="2"/>
      <w:bookmarkEnd w:id="6"/>
    </w:p>
    <w:p w14:paraId="268B25BB" w14:textId="01C70709" w:rsidR="008C7E62" w:rsidRPr="008C7E62" w:rsidRDefault="008C7E62" w:rsidP="008C7E62">
      <w:pPr>
        <w:spacing w:after="120" w:line="270" w:lineRule="atLeast"/>
        <w:rPr>
          <w:rFonts w:ascii="Arial" w:eastAsia="Times" w:hAnsi="Arial"/>
          <w:sz w:val="21"/>
          <w:szCs w:val="21"/>
        </w:rPr>
      </w:pPr>
      <w:bookmarkStart w:id="7" w:name="_Toc52886231"/>
      <w:r w:rsidRPr="008C7E62">
        <w:rPr>
          <w:rFonts w:ascii="Arial" w:eastAsia="Times" w:hAnsi="Arial"/>
          <w:sz w:val="21"/>
          <w:szCs w:val="21"/>
        </w:rPr>
        <w:t>I am pleased to present the Chief Psychiatrist’s annual report for 2022</w:t>
      </w:r>
      <w:r w:rsidR="00D7458D">
        <w:rPr>
          <w:rFonts w:ascii="Arial" w:eastAsia="Times" w:hAnsi="Arial"/>
          <w:sz w:val="21"/>
          <w:szCs w:val="21"/>
        </w:rPr>
        <w:t>–</w:t>
      </w:r>
      <w:r w:rsidRPr="008C7E62">
        <w:rPr>
          <w:rFonts w:ascii="Arial" w:eastAsia="Times" w:hAnsi="Arial"/>
          <w:sz w:val="21"/>
          <w:szCs w:val="21"/>
        </w:rPr>
        <w:t>23.</w:t>
      </w:r>
    </w:p>
    <w:p w14:paraId="7D5DCE2B" w14:textId="77777777" w:rsidR="00C645F7" w:rsidRDefault="008C7E62" w:rsidP="008C7E62">
      <w:pPr>
        <w:spacing w:after="120" w:line="270" w:lineRule="atLeast"/>
        <w:rPr>
          <w:rFonts w:ascii="Arial" w:eastAsia="Times" w:hAnsi="Arial"/>
          <w:sz w:val="21"/>
          <w:szCs w:val="21"/>
        </w:rPr>
      </w:pPr>
      <w:bookmarkStart w:id="8" w:name="_Hlk146619011"/>
      <w:r w:rsidRPr="008C7E62">
        <w:rPr>
          <w:rFonts w:ascii="Arial" w:eastAsia="Times" w:hAnsi="Arial"/>
          <w:sz w:val="21"/>
          <w:szCs w:val="21"/>
        </w:rPr>
        <w:t xml:space="preserve">This year’s report is somewhat </w:t>
      </w:r>
      <w:r w:rsidR="00BC5E0A">
        <w:rPr>
          <w:rFonts w:ascii="Arial" w:eastAsia="Times" w:hAnsi="Arial"/>
          <w:sz w:val="21"/>
          <w:szCs w:val="21"/>
        </w:rPr>
        <w:t>briefer</w:t>
      </w:r>
      <w:r w:rsidRPr="008C7E62">
        <w:rPr>
          <w:rFonts w:ascii="Arial" w:eastAsia="Times" w:hAnsi="Arial"/>
          <w:sz w:val="21"/>
          <w:szCs w:val="21"/>
        </w:rPr>
        <w:t xml:space="preserve"> than usual, owing to the significant volume of work carried out by the Office of the Chief Psychiatrist to help the mental health and wellbeing sector prepare for the commencement of the new </w:t>
      </w:r>
      <w:r w:rsidRPr="008C7E62">
        <w:rPr>
          <w:rFonts w:ascii="Arial" w:eastAsia="Times" w:hAnsi="Arial"/>
          <w:i/>
          <w:iCs/>
          <w:sz w:val="21"/>
          <w:szCs w:val="21"/>
        </w:rPr>
        <w:t>Mental Health and Wellbeing Act</w:t>
      </w:r>
      <w:bookmarkEnd w:id="8"/>
      <w:r w:rsidRPr="008C7E62">
        <w:rPr>
          <w:rFonts w:ascii="Arial" w:eastAsia="Times" w:hAnsi="Arial"/>
          <w:i/>
          <w:iCs/>
          <w:sz w:val="21"/>
          <w:szCs w:val="21"/>
        </w:rPr>
        <w:t xml:space="preserve"> 2022</w:t>
      </w:r>
      <w:r w:rsidRPr="008C7E62">
        <w:rPr>
          <w:rFonts w:ascii="Arial" w:eastAsia="Times" w:hAnsi="Arial"/>
          <w:sz w:val="21"/>
          <w:szCs w:val="21"/>
        </w:rPr>
        <w:t>.</w:t>
      </w:r>
      <w:r w:rsidR="003944DD">
        <w:rPr>
          <w:rFonts w:ascii="Arial" w:eastAsia="Times" w:hAnsi="Arial"/>
          <w:sz w:val="21"/>
          <w:szCs w:val="21"/>
        </w:rPr>
        <w:t xml:space="preserve"> </w:t>
      </w:r>
    </w:p>
    <w:p w14:paraId="214A1DA4" w14:textId="223F39D5" w:rsidR="008C7E62" w:rsidRPr="008C7E62" w:rsidRDefault="003944DD" w:rsidP="008C7E62">
      <w:pPr>
        <w:spacing w:after="120" w:line="270" w:lineRule="atLeast"/>
        <w:rPr>
          <w:rFonts w:ascii="Arial" w:eastAsia="Times" w:hAnsi="Arial"/>
          <w:sz w:val="21"/>
          <w:szCs w:val="21"/>
        </w:rPr>
      </w:pPr>
      <w:r w:rsidRPr="003944DD">
        <w:rPr>
          <w:rFonts w:ascii="Arial" w:eastAsia="Times" w:hAnsi="Arial"/>
          <w:sz w:val="21"/>
          <w:szCs w:val="21"/>
        </w:rPr>
        <w:t xml:space="preserve">At the time of </w:t>
      </w:r>
      <w:r w:rsidR="00675AE0">
        <w:rPr>
          <w:rFonts w:ascii="Arial" w:eastAsia="Times" w:hAnsi="Arial"/>
          <w:sz w:val="21"/>
          <w:szCs w:val="21"/>
        </w:rPr>
        <w:t>writing</w:t>
      </w:r>
      <w:r w:rsidRPr="003944DD">
        <w:rPr>
          <w:rFonts w:ascii="Arial" w:eastAsia="Times" w:hAnsi="Arial"/>
          <w:sz w:val="21"/>
          <w:szCs w:val="21"/>
        </w:rPr>
        <w:t xml:space="preserve"> this report, preparations for implement</w:t>
      </w:r>
      <w:r w:rsidR="001F3F7B">
        <w:rPr>
          <w:rFonts w:ascii="Arial" w:eastAsia="Times" w:hAnsi="Arial"/>
          <w:sz w:val="21"/>
          <w:szCs w:val="21"/>
        </w:rPr>
        <w:t>ing</w:t>
      </w:r>
      <w:r w:rsidRPr="003944DD">
        <w:rPr>
          <w:rFonts w:ascii="Arial" w:eastAsia="Times" w:hAnsi="Arial"/>
          <w:sz w:val="21"/>
          <w:szCs w:val="21"/>
        </w:rPr>
        <w:t xml:space="preserve"> the new Act were at their peak.</w:t>
      </w:r>
      <w:r w:rsidR="00C645F7">
        <w:rPr>
          <w:rFonts w:ascii="Arial" w:eastAsia="Times" w:hAnsi="Arial"/>
          <w:sz w:val="21"/>
          <w:szCs w:val="21"/>
        </w:rPr>
        <w:t xml:space="preserve"> </w:t>
      </w:r>
      <w:r w:rsidR="00675AE0">
        <w:rPr>
          <w:rFonts w:ascii="Arial" w:eastAsia="Times" w:hAnsi="Arial"/>
          <w:sz w:val="21"/>
          <w:szCs w:val="21"/>
        </w:rPr>
        <w:t xml:space="preserve">This involved my </w:t>
      </w:r>
      <w:r w:rsidR="008C7E62" w:rsidRPr="008C7E62">
        <w:rPr>
          <w:rFonts w:ascii="Arial" w:eastAsia="Times" w:hAnsi="Arial"/>
          <w:sz w:val="21"/>
          <w:szCs w:val="21"/>
        </w:rPr>
        <w:t>office translat</w:t>
      </w:r>
      <w:r w:rsidR="00675AE0">
        <w:rPr>
          <w:rFonts w:ascii="Arial" w:eastAsia="Times" w:hAnsi="Arial"/>
          <w:sz w:val="21"/>
          <w:szCs w:val="21"/>
        </w:rPr>
        <w:t>ing</w:t>
      </w:r>
      <w:r w:rsidR="008C7E62" w:rsidRPr="008C7E62">
        <w:rPr>
          <w:rFonts w:ascii="Arial" w:eastAsia="Times" w:hAnsi="Arial"/>
          <w:sz w:val="21"/>
          <w:szCs w:val="21"/>
        </w:rPr>
        <w:t xml:space="preserve"> the legal requirements of the new Act into practical guidance for clinical mental health and wellbeing services, enabling them to better understand the changes they needed to make to meet their new compliance obligations. As part of this, the office </w:t>
      </w:r>
      <w:r w:rsidR="004B1D7C">
        <w:rPr>
          <w:rFonts w:ascii="Arial" w:eastAsia="Times" w:hAnsi="Arial"/>
          <w:sz w:val="21"/>
          <w:szCs w:val="21"/>
        </w:rPr>
        <w:t xml:space="preserve">has </w:t>
      </w:r>
      <w:r w:rsidR="008C7E62" w:rsidRPr="008C7E62">
        <w:rPr>
          <w:rFonts w:ascii="Arial" w:eastAsia="Times" w:hAnsi="Arial"/>
          <w:sz w:val="21"/>
          <w:szCs w:val="21"/>
        </w:rPr>
        <w:t>carried out work to update clinical guidelines, develop practice directives, build a new website, deliver information sessions to the mental health workforce, and respond to queries and concerns about what the new Act means for people who use, and work in, the clinical mental health system.</w:t>
      </w:r>
    </w:p>
    <w:p w14:paraId="335FDBE5" w14:textId="0483BF9E" w:rsidR="008C7E62" w:rsidRPr="008C7E62" w:rsidRDefault="008C7E62" w:rsidP="008C7E62">
      <w:pPr>
        <w:spacing w:after="120" w:line="270" w:lineRule="atLeast"/>
        <w:rPr>
          <w:rFonts w:ascii="Arial" w:eastAsia="Times" w:hAnsi="Arial"/>
          <w:sz w:val="21"/>
          <w:szCs w:val="21"/>
        </w:rPr>
      </w:pPr>
      <w:r w:rsidRPr="008C7E62">
        <w:rPr>
          <w:rFonts w:ascii="Arial" w:eastAsia="Times" w:hAnsi="Arial"/>
          <w:sz w:val="21"/>
          <w:szCs w:val="21"/>
        </w:rPr>
        <w:t xml:space="preserve">The Office of the Chief Psychiatrist </w:t>
      </w:r>
      <w:r w:rsidR="00463861">
        <w:rPr>
          <w:rFonts w:ascii="Arial" w:eastAsia="Times" w:hAnsi="Arial"/>
          <w:sz w:val="21"/>
          <w:szCs w:val="21"/>
        </w:rPr>
        <w:t xml:space="preserve">has </w:t>
      </w:r>
      <w:r w:rsidRPr="008C7E62">
        <w:rPr>
          <w:rFonts w:ascii="Arial" w:eastAsia="Times" w:hAnsi="Arial"/>
          <w:sz w:val="21"/>
          <w:szCs w:val="21"/>
        </w:rPr>
        <w:t xml:space="preserve">also </w:t>
      </w:r>
      <w:r w:rsidR="00463861">
        <w:rPr>
          <w:rFonts w:ascii="Arial" w:eastAsia="Times" w:hAnsi="Arial"/>
          <w:sz w:val="21"/>
          <w:szCs w:val="21"/>
        </w:rPr>
        <w:t xml:space="preserve">been undertaking work to </w:t>
      </w:r>
      <w:r w:rsidRPr="008C7E62">
        <w:rPr>
          <w:rFonts w:ascii="Arial" w:eastAsia="Times" w:hAnsi="Arial"/>
          <w:sz w:val="21"/>
          <w:szCs w:val="21"/>
        </w:rPr>
        <w:t xml:space="preserve">implement </w:t>
      </w:r>
      <w:r w:rsidR="001F3F7B">
        <w:rPr>
          <w:rFonts w:ascii="Arial" w:eastAsia="Times" w:hAnsi="Arial"/>
          <w:sz w:val="21"/>
          <w:szCs w:val="21"/>
        </w:rPr>
        <w:t xml:space="preserve">the </w:t>
      </w:r>
      <w:r w:rsidR="001F3F7B" w:rsidRPr="008C7E62">
        <w:rPr>
          <w:rFonts w:ascii="Arial" w:eastAsia="Times" w:hAnsi="Arial"/>
          <w:sz w:val="21"/>
          <w:szCs w:val="21"/>
        </w:rPr>
        <w:t xml:space="preserve">recommendation </w:t>
      </w:r>
      <w:r w:rsidR="001F3F7B">
        <w:rPr>
          <w:rFonts w:ascii="Arial" w:eastAsia="Times" w:hAnsi="Arial"/>
          <w:sz w:val="21"/>
          <w:szCs w:val="21"/>
        </w:rPr>
        <w:t xml:space="preserve">from </w:t>
      </w:r>
      <w:r w:rsidRPr="008C7E62">
        <w:rPr>
          <w:rFonts w:ascii="Arial" w:eastAsia="Times" w:hAnsi="Arial"/>
          <w:sz w:val="21"/>
          <w:szCs w:val="21"/>
        </w:rPr>
        <w:t xml:space="preserve">the Royal Commission </w:t>
      </w:r>
      <w:r w:rsidR="001F3F7B">
        <w:rPr>
          <w:rFonts w:ascii="Arial" w:eastAsia="Times" w:hAnsi="Arial"/>
          <w:sz w:val="21"/>
          <w:szCs w:val="21"/>
        </w:rPr>
        <w:t xml:space="preserve">into Victoria’s Mental Health System </w:t>
      </w:r>
      <w:r w:rsidRPr="008C7E62">
        <w:rPr>
          <w:rFonts w:ascii="Arial" w:eastAsia="Times" w:hAnsi="Arial"/>
          <w:sz w:val="21"/>
          <w:szCs w:val="21"/>
        </w:rPr>
        <w:t xml:space="preserve">to regulate chemical restraint. </w:t>
      </w:r>
      <w:r w:rsidR="007A6678">
        <w:rPr>
          <w:rFonts w:ascii="Arial" w:eastAsia="Times" w:hAnsi="Arial"/>
          <w:sz w:val="21"/>
          <w:szCs w:val="21"/>
        </w:rPr>
        <w:t>For the first time in Victoria</w:t>
      </w:r>
      <w:r w:rsidR="001731A7">
        <w:rPr>
          <w:rFonts w:ascii="Arial" w:eastAsia="Times" w:hAnsi="Arial"/>
          <w:sz w:val="21"/>
          <w:szCs w:val="21"/>
        </w:rPr>
        <w:t xml:space="preserve">, chemical restraint will fall under the definition of a restrictive intervention under the Mental Health and Wellbeing Act. </w:t>
      </w:r>
      <w:r w:rsidRPr="008C7E62">
        <w:rPr>
          <w:rFonts w:ascii="Arial" w:eastAsia="Times" w:hAnsi="Arial"/>
          <w:sz w:val="21"/>
          <w:szCs w:val="21"/>
        </w:rPr>
        <w:t xml:space="preserve">In many respects, this is uncharted territory, with few places in the world successfully regulating chemical restraint. Considerable practical constraints stand in the way, such as determining when the use of a medication is intended to control a person’s movement as distinct from treating their mental illness. The Office of the Chief Psychiatrist has sought to address these implementation issues squarely so chemical restraint </w:t>
      </w:r>
      <w:r w:rsidR="00C21701">
        <w:rPr>
          <w:rFonts w:ascii="Arial" w:eastAsia="Times" w:hAnsi="Arial"/>
          <w:sz w:val="21"/>
          <w:szCs w:val="21"/>
        </w:rPr>
        <w:t>can be</w:t>
      </w:r>
      <w:r w:rsidRPr="008C7E62">
        <w:rPr>
          <w:rFonts w:ascii="Arial" w:eastAsia="Times" w:hAnsi="Arial"/>
          <w:sz w:val="21"/>
          <w:szCs w:val="21"/>
        </w:rPr>
        <w:t xml:space="preserve"> </w:t>
      </w:r>
      <w:r w:rsidR="00132B10">
        <w:rPr>
          <w:rFonts w:ascii="Arial" w:eastAsia="Times" w:hAnsi="Arial"/>
          <w:sz w:val="21"/>
          <w:szCs w:val="21"/>
        </w:rPr>
        <w:t>properly</w:t>
      </w:r>
      <w:r w:rsidRPr="008C7E62">
        <w:rPr>
          <w:rFonts w:ascii="Arial" w:eastAsia="Times" w:hAnsi="Arial"/>
          <w:sz w:val="21"/>
          <w:szCs w:val="21"/>
        </w:rPr>
        <w:t xml:space="preserve"> regulated in Victoria. </w:t>
      </w:r>
      <w:r w:rsidR="00132B10">
        <w:rPr>
          <w:rFonts w:ascii="Arial" w:eastAsia="Times" w:hAnsi="Arial"/>
          <w:sz w:val="21"/>
          <w:szCs w:val="21"/>
        </w:rPr>
        <w:t>We established</w:t>
      </w:r>
      <w:r w:rsidRPr="008C7E62">
        <w:rPr>
          <w:rFonts w:ascii="Arial" w:eastAsia="Times" w:hAnsi="Arial"/>
          <w:sz w:val="21"/>
          <w:szCs w:val="21"/>
        </w:rPr>
        <w:t xml:space="preserve"> and convened a chemical restraint expert advisory group made up of health clinicians and people with lived experience of mental illness. The diverse knowledge and experience in the group was drawn on to develop a regulatory regime that will allow chemical restraint to be identified, reported, </w:t>
      </w:r>
      <w:proofErr w:type="gramStart"/>
      <w:r w:rsidRPr="008C7E62">
        <w:rPr>
          <w:rFonts w:ascii="Arial" w:eastAsia="Times" w:hAnsi="Arial"/>
          <w:sz w:val="21"/>
          <w:szCs w:val="21"/>
        </w:rPr>
        <w:t>monitored</w:t>
      </w:r>
      <w:proofErr w:type="gramEnd"/>
      <w:r w:rsidRPr="008C7E62">
        <w:rPr>
          <w:rFonts w:ascii="Arial" w:eastAsia="Times" w:hAnsi="Arial"/>
          <w:sz w:val="21"/>
          <w:szCs w:val="21"/>
        </w:rPr>
        <w:t xml:space="preserve"> and used only as a last resort.</w:t>
      </w:r>
    </w:p>
    <w:p w14:paraId="7F83A652" w14:textId="10B2DCB6" w:rsidR="008C7E62" w:rsidRPr="008C7E62" w:rsidRDefault="008C7E62" w:rsidP="008C7E62">
      <w:pPr>
        <w:spacing w:after="120" w:line="270" w:lineRule="atLeast"/>
        <w:rPr>
          <w:rFonts w:ascii="Arial" w:eastAsia="Times" w:hAnsi="Arial"/>
          <w:sz w:val="21"/>
          <w:szCs w:val="21"/>
        </w:rPr>
      </w:pPr>
      <w:r w:rsidRPr="008C7E62">
        <w:rPr>
          <w:rFonts w:ascii="Arial" w:eastAsia="Times" w:hAnsi="Arial"/>
          <w:sz w:val="21"/>
          <w:szCs w:val="21"/>
        </w:rPr>
        <w:t>The Office of the Chief Psychiatrist also continued implementing the Royal Commission</w:t>
      </w:r>
      <w:r w:rsidR="001F3F7B">
        <w:rPr>
          <w:rFonts w:ascii="Arial" w:eastAsia="Times" w:hAnsi="Arial"/>
          <w:sz w:val="21"/>
          <w:szCs w:val="21"/>
        </w:rPr>
        <w:t>’s</w:t>
      </w:r>
      <w:r w:rsidRPr="008C7E62">
        <w:rPr>
          <w:rFonts w:ascii="Arial" w:eastAsia="Times" w:hAnsi="Arial"/>
          <w:sz w:val="21"/>
          <w:szCs w:val="21"/>
        </w:rPr>
        <w:t xml:space="preserve"> recommendation to expand the functions and powers of the Chief Psychiatrist into custodial settings.</w:t>
      </w:r>
      <w:r w:rsidR="00E466BA" w:rsidRPr="00E466BA">
        <w:t xml:space="preserve"> </w:t>
      </w:r>
      <w:r w:rsidR="00E466BA" w:rsidRPr="00E466BA">
        <w:rPr>
          <w:rFonts w:ascii="Arial" w:eastAsia="Times" w:hAnsi="Arial"/>
          <w:sz w:val="21"/>
          <w:szCs w:val="21"/>
        </w:rPr>
        <w:t xml:space="preserve">This expanded jurisdiction for the </w:t>
      </w:r>
      <w:r w:rsidR="00134BFA">
        <w:rPr>
          <w:rFonts w:ascii="Arial" w:eastAsia="Times" w:hAnsi="Arial"/>
          <w:sz w:val="21"/>
          <w:szCs w:val="21"/>
        </w:rPr>
        <w:t xml:space="preserve">Chief Psychiatrist </w:t>
      </w:r>
      <w:r w:rsidR="00E466BA" w:rsidRPr="00E466BA">
        <w:rPr>
          <w:rFonts w:ascii="Arial" w:eastAsia="Times" w:hAnsi="Arial"/>
          <w:sz w:val="21"/>
          <w:szCs w:val="21"/>
        </w:rPr>
        <w:t>role is also reflected in the Mental Health and Wellbeing Act</w:t>
      </w:r>
      <w:r w:rsidR="00134BFA">
        <w:rPr>
          <w:rFonts w:ascii="Arial" w:eastAsia="Times" w:hAnsi="Arial"/>
          <w:sz w:val="21"/>
          <w:szCs w:val="21"/>
        </w:rPr>
        <w:t>. My office w</w:t>
      </w:r>
      <w:r w:rsidRPr="008C7E62">
        <w:rPr>
          <w:rFonts w:ascii="Arial" w:eastAsia="Times" w:hAnsi="Arial"/>
          <w:sz w:val="21"/>
          <w:szCs w:val="21"/>
        </w:rPr>
        <w:t>orked closely with partners in the Department of Justice and Community Safety to develop oversight processes suited to custodial settings so</w:t>
      </w:r>
      <w:r w:rsidR="001C1E2E">
        <w:rPr>
          <w:rFonts w:ascii="Arial" w:eastAsia="Times" w:hAnsi="Arial"/>
          <w:sz w:val="21"/>
          <w:szCs w:val="21"/>
        </w:rPr>
        <w:t xml:space="preserve"> </w:t>
      </w:r>
      <w:r w:rsidRPr="008C7E62">
        <w:rPr>
          <w:rFonts w:ascii="Arial" w:eastAsia="Times" w:hAnsi="Arial"/>
          <w:sz w:val="21"/>
          <w:szCs w:val="21"/>
        </w:rPr>
        <w:t xml:space="preserve">mental health </w:t>
      </w:r>
      <w:r w:rsidR="00E35C46">
        <w:rPr>
          <w:rFonts w:ascii="Arial" w:eastAsia="Times" w:hAnsi="Arial"/>
          <w:sz w:val="21"/>
          <w:szCs w:val="21"/>
        </w:rPr>
        <w:t>treatment and care</w:t>
      </w:r>
      <w:r w:rsidRPr="008C7E62">
        <w:rPr>
          <w:rFonts w:ascii="Arial" w:eastAsia="Times" w:hAnsi="Arial"/>
          <w:sz w:val="21"/>
          <w:szCs w:val="21"/>
        </w:rPr>
        <w:t xml:space="preserve"> can be monitored and improved there as it is in other parts of the health system. This expansion of functions and powers is a major new responsibility for the </w:t>
      </w:r>
      <w:r w:rsidR="00F7599D">
        <w:rPr>
          <w:rFonts w:ascii="Arial" w:eastAsia="Times" w:hAnsi="Arial"/>
          <w:sz w:val="21"/>
          <w:szCs w:val="21"/>
        </w:rPr>
        <w:t>team</w:t>
      </w:r>
      <w:r w:rsidR="00A669CE">
        <w:rPr>
          <w:rFonts w:ascii="Arial" w:eastAsia="Times" w:hAnsi="Arial"/>
          <w:sz w:val="21"/>
          <w:szCs w:val="21"/>
        </w:rPr>
        <w:t>. It encompasses</w:t>
      </w:r>
      <w:r w:rsidR="003F7E45">
        <w:rPr>
          <w:rFonts w:ascii="Arial" w:eastAsia="Times" w:hAnsi="Arial"/>
          <w:sz w:val="21"/>
          <w:szCs w:val="21"/>
        </w:rPr>
        <w:t xml:space="preserve"> Victoria’s </w:t>
      </w:r>
      <w:r w:rsidRPr="008C7E62">
        <w:rPr>
          <w:rFonts w:ascii="Arial" w:eastAsia="Times" w:hAnsi="Arial"/>
          <w:sz w:val="21"/>
          <w:szCs w:val="21"/>
        </w:rPr>
        <w:t>adult prisons and youth justice centres</w:t>
      </w:r>
      <w:r w:rsidR="00A669CE">
        <w:rPr>
          <w:rFonts w:ascii="Arial" w:eastAsia="Times" w:hAnsi="Arial"/>
          <w:sz w:val="21"/>
          <w:szCs w:val="21"/>
        </w:rPr>
        <w:t xml:space="preserve">, representing </w:t>
      </w:r>
      <w:r w:rsidRPr="008C7E62">
        <w:rPr>
          <w:rFonts w:ascii="Arial" w:eastAsia="Times" w:hAnsi="Arial"/>
          <w:sz w:val="21"/>
          <w:szCs w:val="21"/>
        </w:rPr>
        <w:t xml:space="preserve">a substantial increase in service provision to be overseen </w:t>
      </w:r>
      <w:r w:rsidR="00C360AF">
        <w:rPr>
          <w:rFonts w:ascii="Arial" w:eastAsia="Times" w:hAnsi="Arial"/>
          <w:sz w:val="21"/>
          <w:szCs w:val="21"/>
        </w:rPr>
        <w:t xml:space="preserve">by the office </w:t>
      </w:r>
      <w:r w:rsidRPr="008C7E62">
        <w:rPr>
          <w:rFonts w:ascii="Arial" w:eastAsia="Times" w:hAnsi="Arial"/>
          <w:sz w:val="21"/>
          <w:szCs w:val="21"/>
        </w:rPr>
        <w:t>in a setting that is complex from a clinical, legal and governance standpoint.</w:t>
      </w:r>
    </w:p>
    <w:p w14:paraId="78909896" w14:textId="6BC9DE9B" w:rsidR="008C7E62" w:rsidRPr="008C7E62" w:rsidRDefault="008C7E62" w:rsidP="008C7E62">
      <w:pPr>
        <w:spacing w:after="120" w:line="270" w:lineRule="atLeast"/>
        <w:rPr>
          <w:rFonts w:ascii="Arial" w:eastAsia="Times" w:hAnsi="Arial"/>
          <w:sz w:val="21"/>
          <w:szCs w:val="21"/>
        </w:rPr>
      </w:pPr>
      <w:r w:rsidRPr="008C7E62">
        <w:rPr>
          <w:rFonts w:ascii="Arial" w:eastAsia="Times" w:hAnsi="Arial"/>
          <w:sz w:val="21"/>
          <w:szCs w:val="21"/>
        </w:rPr>
        <w:t xml:space="preserve">Alongside this reform work, </w:t>
      </w:r>
      <w:r w:rsidR="00F7599D">
        <w:rPr>
          <w:rFonts w:ascii="Arial" w:eastAsia="Times" w:hAnsi="Arial"/>
          <w:sz w:val="21"/>
          <w:szCs w:val="21"/>
        </w:rPr>
        <w:t>my office</w:t>
      </w:r>
      <w:r w:rsidRPr="008C7E62">
        <w:rPr>
          <w:rFonts w:ascii="Arial" w:eastAsia="Times" w:hAnsi="Arial"/>
          <w:sz w:val="21"/>
          <w:szCs w:val="21"/>
        </w:rPr>
        <w:t xml:space="preserve"> continued</w:t>
      </w:r>
      <w:r w:rsidR="00FB4824">
        <w:rPr>
          <w:rFonts w:ascii="Arial" w:eastAsia="Times" w:hAnsi="Arial"/>
          <w:sz w:val="21"/>
          <w:szCs w:val="21"/>
        </w:rPr>
        <w:t xml:space="preserve"> to support me with my </w:t>
      </w:r>
      <w:r w:rsidRPr="008C7E62">
        <w:rPr>
          <w:rFonts w:ascii="Arial" w:eastAsia="Times" w:hAnsi="Arial"/>
          <w:sz w:val="21"/>
          <w:szCs w:val="21"/>
        </w:rPr>
        <w:t xml:space="preserve">statutory oversight and leadership </w:t>
      </w:r>
      <w:r w:rsidR="00FB4824">
        <w:rPr>
          <w:rFonts w:ascii="Arial" w:eastAsia="Times" w:hAnsi="Arial"/>
          <w:sz w:val="21"/>
          <w:szCs w:val="21"/>
        </w:rPr>
        <w:t xml:space="preserve">functions </w:t>
      </w:r>
      <w:r w:rsidR="00BC6E11">
        <w:rPr>
          <w:rFonts w:ascii="Arial" w:eastAsia="Times" w:hAnsi="Arial"/>
          <w:sz w:val="21"/>
          <w:szCs w:val="21"/>
        </w:rPr>
        <w:t>across</w:t>
      </w:r>
      <w:r w:rsidRPr="008C7E62">
        <w:rPr>
          <w:rFonts w:ascii="Arial" w:eastAsia="Times" w:hAnsi="Arial"/>
          <w:sz w:val="21"/>
          <w:szCs w:val="21"/>
        </w:rPr>
        <w:t xml:space="preserve"> Victoria’s clinical mental health services. </w:t>
      </w:r>
      <w:r w:rsidR="00BC6E11">
        <w:rPr>
          <w:rFonts w:ascii="Arial" w:eastAsia="Times" w:hAnsi="Arial"/>
          <w:sz w:val="21"/>
          <w:szCs w:val="21"/>
        </w:rPr>
        <w:t>These include</w:t>
      </w:r>
      <w:r w:rsidRPr="008C7E62">
        <w:rPr>
          <w:rFonts w:ascii="Arial" w:eastAsia="Times" w:hAnsi="Arial"/>
          <w:sz w:val="21"/>
          <w:szCs w:val="21"/>
        </w:rPr>
        <w:t xml:space="preserve"> monitor</w:t>
      </w:r>
      <w:r w:rsidR="00BC6E11">
        <w:rPr>
          <w:rFonts w:ascii="Arial" w:eastAsia="Times" w:hAnsi="Arial"/>
          <w:sz w:val="21"/>
          <w:szCs w:val="21"/>
        </w:rPr>
        <w:t>ing</w:t>
      </w:r>
      <w:r w:rsidRPr="008C7E62">
        <w:rPr>
          <w:rFonts w:ascii="Arial" w:eastAsia="Times" w:hAnsi="Arial"/>
          <w:sz w:val="21"/>
          <w:szCs w:val="21"/>
        </w:rPr>
        <w:t xml:space="preserve"> restrictive interventions, electroconvulsive therapy and the deaths of people in the care of a mental health and wellbeing service. </w:t>
      </w:r>
      <w:r w:rsidR="00BC6E11">
        <w:rPr>
          <w:rFonts w:ascii="Arial" w:eastAsia="Times" w:hAnsi="Arial"/>
          <w:sz w:val="21"/>
          <w:szCs w:val="21"/>
        </w:rPr>
        <w:t>The team</w:t>
      </w:r>
      <w:r w:rsidRPr="008C7E62">
        <w:rPr>
          <w:rFonts w:ascii="Arial" w:eastAsia="Times" w:hAnsi="Arial"/>
          <w:sz w:val="21"/>
          <w:szCs w:val="21"/>
        </w:rPr>
        <w:t xml:space="preserve"> also</w:t>
      </w:r>
      <w:r w:rsidR="005D0254">
        <w:rPr>
          <w:rFonts w:ascii="Arial" w:eastAsia="Times" w:hAnsi="Arial"/>
          <w:sz w:val="21"/>
          <w:szCs w:val="21"/>
        </w:rPr>
        <w:t xml:space="preserve"> continued to</w:t>
      </w:r>
      <w:r w:rsidRPr="008C7E62">
        <w:rPr>
          <w:rFonts w:ascii="Arial" w:eastAsia="Times" w:hAnsi="Arial"/>
          <w:sz w:val="21"/>
          <w:szCs w:val="21"/>
        </w:rPr>
        <w:t xml:space="preserve"> respond to serious clinical incidents and work with mental health and wellbeing services to improve the quality and safety of care they provide. </w:t>
      </w:r>
    </w:p>
    <w:p w14:paraId="494F325F" w14:textId="77777777" w:rsidR="00FE5C67" w:rsidRDefault="00FE5C67">
      <w:pPr>
        <w:rPr>
          <w:rFonts w:ascii="Arial" w:eastAsia="Times" w:hAnsi="Arial"/>
          <w:sz w:val="21"/>
          <w:szCs w:val="21"/>
        </w:rPr>
      </w:pPr>
      <w:r>
        <w:rPr>
          <w:rFonts w:ascii="Arial" w:eastAsia="Times" w:hAnsi="Arial"/>
          <w:sz w:val="21"/>
          <w:szCs w:val="21"/>
        </w:rPr>
        <w:br w:type="page"/>
      </w:r>
    </w:p>
    <w:p w14:paraId="5E3ABBFC" w14:textId="61762CB3" w:rsidR="008C7E62" w:rsidRPr="008C7E62" w:rsidRDefault="008C7E62" w:rsidP="008C7E62">
      <w:pPr>
        <w:spacing w:after="120" w:line="270" w:lineRule="atLeast"/>
        <w:rPr>
          <w:rFonts w:ascii="Arial" w:eastAsia="Times" w:hAnsi="Arial"/>
          <w:sz w:val="21"/>
          <w:szCs w:val="21"/>
        </w:rPr>
      </w:pPr>
      <w:r w:rsidRPr="008C7E62">
        <w:rPr>
          <w:rFonts w:ascii="Arial" w:eastAsia="Times" w:hAnsi="Arial"/>
          <w:sz w:val="21"/>
          <w:szCs w:val="21"/>
        </w:rPr>
        <w:lastRenderedPageBreak/>
        <w:t xml:space="preserve">As always, </w:t>
      </w:r>
      <w:r w:rsidR="009D0E92">
        <w:rPr>
          <w:rFonts w:ascii="Arial" w:eastAsia="Times" w:hAnsi="Arial"/>
          <w:sz w:val="21"/>
          <w:szCs w:val="21"/>
        </w:rPr>
        <w:t>I am</w:t>
      </w:r>
      <w:r w:rsidRPr="008C7E62">
        <w:rPr>
          <w:rFonts w:ascii="Arial" w:eastAsia="Times" w:hAnsi="Arial"/>
          <w:sz w:val="21"/>
          <w:szCs w:val="21"/>
        </w:rPr>
        <w:t xml:space="preserve"> grateful for the support </w:t>
      </w:r>
      <w:r w:rsidR="009D0E92">
        <w:rPr>
          <w:rFonts w:ascii="Arial" w:eastAsia="Times" w:hAnsi="Arial"/>
          <w:sz w:val="21"/>
          <w:szCs w:val="21"/>
        </w:rPr>
        <w:t>the Office of the Chief Psychiatrist</w:t>
      </w:r>
      <w:r w:rsidRPr="008C7E62">
        <w:rPr>
          <w:rFonts w:ascii="Arial" w:eastAsia="Times" w:hAnsi="Arial"/>
          <w:sz w:val="21"/>
          <w:szCs w:val="21"/>
        </w:rPr>
        <w:t xml:space="preserve"> receives from people with lived and living experience of mental illness. </w:t>
      </w:r>
      <w:r w:rsidR="003D5146">
        <w:rPr>
          <w:rFonts w:ascii="Arial" w:eastAsia="Times" w:hAnsi="Arial"/>
          <w:sz w:val="21"/>
          <w:szCs w:val="21"/>
        </w:rPr>
        <w:t>Th</w:t>
      </w:r>
      <w:r w:rsidR="002A2158">
        <w:rPr>
          <w:rFonts w:ascii="Arial" w:eastAsia="Times" w:hAnsi="Arial"/>
          <w:sz w:val="21"/>
          <w:szCs w:val="21"/>
        </w:rPr>
        <w:t xml:space="preserve">eir </w:t>
      </w:r>
      <w:r w:rsidR="00FD61FF">
        <w:rPr>
          <w:rFonts w:ascii="Arial" w:eastAsia="Times" w:hAnsi="Arial"/>
          <w:sz w:val="21"/>
          <w:szCs w:val="21"/>
        </w:rPr>
        <w:t xml:space="preserve">input </w:t>
      </w:r>
      <w:r w:rsidR="00924438">
        <w:rPr>
          <w:rFonts w:ascii="Arial" w:eastAsia="Times" w:hAnsi="Arial"/>
          <w:sz w:val="21"/>
          <w:szCs w:val="21"/>
        </w:rPr>
        <w:t>is</w:t>
      </w:r>
      <w:r w:rsidRPr="008C7E62">
        <w:rPr>
          <w:rFonts w:ascii="Arial" w:eastAsia="Times" w:hAnsi="Arial"/>
          <w:sz w:val="21"/>
          <w:szCs w:val="21"/>
        </w:rPr>
        <w:t xml:space="preserve"> invaluable</w:t>
      </w:r>
      <w:r w:rsidR="001B204D">
        <w:rPr>
          <w:rFonts w:ascii="Arial" w:eastAsia="Times" w:hAnsi="Arial"/>
          <w:sz w:val="21"/>
          <w:szCs w:val="21"/>
        </w:rPr>
        <w:t xml:space="preserve"> in the office’s </w:t>
      </w:r>
      <w:r w:rsidR="006B7EF6">
        <w:rPr>
          <w:rFonts w:ascii="Arial" w:eastAsia="Times" w:hAnsi="Arial"/>
          <w:sz w:val="21"/>
          <w:szCs w:val="21"/>
        </w:rPr>
        <w:t>day</w:t>
      </w:r>
      <w:r w:rsidR="001F3F7B">
        <w:rPr>
          <w:rFonts w:ascii="Arial" w:eastAsia="Times" w:hAnsi="Arial"/>
          <w:sz w:val="21"/>
          <w:szCs w:val="21"/>
        </w:rPr>
        <w:t>-</w:t>
      </w:r>
      <w:r w:rsidR="006B7EF6">
        <w:rPr>
          <w:rFonts w:ascii="Arial" w:eastAsia="Times" w:hAnsi="Arial"/>
          <w:sz w:val="21"/>
          <w:szCs w:val="21"/>
        </w:rPr>
        <w:t>to</w:t>
      </w:r>
      <w:r w:rsidR="001F3F7B">
        <w:rPr>
          <w:rFonts w:ascii="Arial" w:eastAsia="Times" w:hAnsi="Arial"/>
          <w:sz w:val="21"/>
          <w:szCs w:val="21"/>
        </w:rPr>
        <w:t>-</w:t>
      </w:r>
      <w:r w:rsidR="006B7EF6">
        <w:rPr>
          <w:rFonts w:ascii="Arial" w:eastAsia="Times" w:hAnsi="Arial"/>
          <w:sz w:val="21"/>
          <w:szCs w:val="21"/>
        </w:rPr>
        <w:t>day activities</w:t>
      </w:r>
      <w:r w:rsidR="001B204D">
        <w:rPr>
          <w:rFonts w:ascii="Arial" w:eastAsia="Times" w:hAnsi="Arial"/>
          <w:sz w:val="21"/>
          <w:szCs w:val="21"/>
        </w:rPr>
        <w:t xml:space="preserve"> </w:t>
      </w:r>
      <w:r w:rsidR="00BF5FBC">
        <w:rPr>
          <w:rFonts w:ascii="Arial" w:eastAsia="Times" w:hAnsi="Arial"/>
          <w:sz w:val="21"/>
          <w:szCs w:val="21"/>
        </w:rPr>
        <w:t>of</w:t>
      </w:r>
      <w:r w:rsidR="001B204D">
        <w:rPr>
          <w:rFonts w:ascii="Arial" w:eastAsia="Times" w:hAnsi="Arial"/>
          <w:sz w:val="21"/>
          <w:szCs w:val="21"/>
        </w:rPr>
        <w:t xml:space="preserve"> </w:t>
      </w:r>
      <w:r w:rsidR="00431B57">
        <w:rPr>
          <w:rFonts w:ascii="Arial" w:eastAsia="Times" w:hAnsi="Arial"/>
          <w:sz w:val="21"/>
          <w:szCs w:val="21"/>
        </w:rPr>
        <w:t>enforcing</w:t>
      </w:r>
      <w:r w:rsidRPr="008C7E62">
        <w:rPr>
          <w:rFonts w:ascii="Arial" w:eastAsia="Times" w:hAnsi="Arial"/>
          <w:sz w:val="21"/>
          <w:szCs w:val="21"/>
        </w:rPr>
        <w:t xml:space="preserve"> compliance with the Act and insti</w:t>
      </w:r>
      <w:r w:rsidR="00716E90">
        <w:rPr>
          <w:rFonts w:ascii="Arial" w:eastAsia="Times" w:hAnsi="Arial"/>
          <w:sz w:val="21"/>
          <w:szCs w:val="21"/>
        </w:rPr>
        <w:t>l</w:t>
      </w:r>
      <w:r w:rsidRPr="008C7E62">
        <w:rPr>
          <w:rFonts w:ascii="Arial" w:eastAsia="Times" w:hAnsi="Arial"/>
          <w:sz w:val="21"/>
          <w:szCs w:val="21"/>
        </w:rPr>
        <w:t>l</w:t>
      </w:r>
      <w:r w:rsidR="00716E90">
        <w:rPr>
          <w:rFonts w:ascii="Arial" w:eastAsia="Times" w:hAnsi="Arial"/>
          <w:sz w:val="21"/>
          <w:szCs w:val="21"/>
        </w:rPr>
        <w:t>ing</w:t>
      </w:r>
      <w:r w:rsidR="002A2D8B">
        <w:rPr>
          <w:rFonts w:ascii="Arial" w:eastAsia="Times" w:hAnsi="Arial"/>
          <w:sz w:val="21"/>
          <w:szCs w:val="21"/>
        </w:rPr>
        <w:t xml:space="preserve"> </w:t>
      </w:r>
      <w:r w:rsidRPr="008C7E62">
        <w:rPr>
          <w:rFonts w:ascii="Arial" w:eastAsia="Times" w:hAnsi="Arial"/>
          <w:sz w:val="21"/>
          <w:szCs w:val="21"/>
        </w:rPr>
        <w:t>best practice in Victoria’s clinical mental health and wellbeing services.</w:t>
      </w:r>
    </w:p>
    <w:p w14:paraId="0E4A9861" w14:textId="77777777" w:rsidR="008C7E62" w:rsidRPr="008C7E62" w:rsidRDefault="008C7E62" w:rsidP="008C7E62">
      <w:pPr>
        <w:spacing w:after="120" w:line="270" w:lineRule="atLeast"/>
        <w:rPr>
          <w:rFonts w:ascii="Arial" w:eastAsia="Times" w:hAnsi="Arial"/>
          <w:sz w:val="21"/>
          <w:szCs w:val="21"/>
        </w:rPr>
      </w:pPr>
    </w:p>
    <w:p w14:paraId="5EC46EF1" w14:textId="77777777" w:rsidR="008C7E62" w:rsidRPr="008C7E62" w:rsidRDefault="008C7E62" w:rsidP="007D3D24">
      <w:pPr>
        <w:spacing w:line="270" w:lineRule="atLeast"/>
        <w:rPr>
          <w:rFonts w:ascii="Arial" w:eastAsia="Times" w:hAnsi="Arial" w:cs="Arial"/>
          <w:b/>
          <w:bCs/>
          <w:sz w:val="21"/>
          <w:szCs w:val="21"/>
        </w:rPr>
      </w:pPr>
      <w:r w:rsidRPr="008C7E62">
        <w:rPr>
          <w:rFonts w:ascii="Arial" w:eastAsia="Times" w:hAnsi="Arial" w:cs="Arial"/>
          <w:b/>
          <w:bCs/>
          <w:sz w:val="21"/>
          <w:szCs w:val="21"/>
        </w:rPr>
        <w:t>Neil Coventry</w:t>
      </w:r>
    </w:p>
    <w:p w14:paraId="30E10C1D" w14:textId="77777777" w:rsidR="008C7E62" w:rsidRPr="008C7E62" w:rsidRDefault="008C7E62" w:rsidP="007D3D24">
      <w:pPr>
        <w:spacing w:line="270" w:lineRule="atLeast"/>
        <w:rPr>
          <w:rFonts w:ascii="Arial" w:eastAsia="Calibri" w:hAnsi="Arial" w:cs="Arial"/>
          <w:sz w:val="21"/>
          <w:szCs w:val="21"/>
        </w:rPr>
      </w:pPr>
      <w:r w:rsidRPr="008C7E62">
        <w:rPr>
          <w:rFonts w:ascii="Arial" w:hAnsi="Arial" w:cs="Arial"/>
          <w:sz w:val="21"/>
          <w:szCs w:val="21"/>
        </w:rPr>
        <w:t>Chief Psychiatrist</w:t>
      </w:r>
    </w:p>
    <w:p w14:paraId="4410CC7A" w14:textId="74276644" w:rsidR="00F30033" w:rsidRDefault="00F30033" w:rsidP="00883126">
      <w:pPr>
        <w:pStyle w:val="DHHSbody"/>
        <w:spacing w:after="0"/>
        <w:rPr>
          <w:sz w:val="21"/>
          <w:szCs w:val="21"/>
        </w:rPr>
      </w:pPr>
      <w:r>
        <w:br w:type="page"/>
      </w:r>
    </w:p>
    <w:p w14:paraId="10340DD6" w14:textId="6219145F" w:rsidR="00436843" w:rsidRPr="00237D40" w:rsidRDefault="00436843" w:rsidP="00082CE8">
      <w:pPr>
        <w:pStyle w:val="DHHSTOCheadingreport"/>
        <w:tabs>
          <w:tab w:val="left" w:pos="2788"/>
        </w:tabs>
        <w:rPr>
          <w:sz w:val="21"/>
          <w:szCs w:val="21"/>
        </w:rPr>
      </w:pPr>
      <w:r w:rsidRPr="00636934">
        <w:lastRenderedPageBreak/>
        <w:t>Contents</w:t>
      </w:r>
    </w:p>
    <w:p w14:paraId="560529CF" w14:textId="1B624146" w:rsidR="000F5618" w:rsidRDefault="00436843">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49041959" w:history="1">
        <w:r w:rsidR="000F5618" w:rsidRPr="002F72B1">
          <w:rPr>
            <w:rStyle w:val="Hyperlink"/>
            <w:rFonts w:eastAsia="Times"/>
          </w:rPr>
          <w:t>Acknowledgements</w:t>
        </w:r>
        <w:r w:rsidR="000F5618">
          <w:rPr>
            <w:webHidden/>
          </w:rPr>
          <w:tab/>
        </w:r>
        <w:r w:rsidR="000F5618">
          <w:rPr>
            <w:webHidden/>
          </w:rPr>
          <w:fldChar w:fldCharType="begin"/>
        </w:r>
        <w:r w:rsidR="000F5618">
          <w:rPr>
            <w:webHidden/>
          </w:rPr>
          <w:instrText xml:space="preserve"> PAGEREF _Toc149041959 \h </w:instrText>
        </w:r>
        <w:r w:rsidR="000F5618">
          <w:rPr>
            <w:webHidden/>
          </w:rPr>
        </w:r>
        <w:r w:rsidR="000F5618">
          <w:rPr>
            <w:webHidden/>
          </w:rPr>
          <w:fldChar w:fldCharType="separate"/>
        </w:r>
        <w:r w:rsidR="000F5618">
          <w:rPr>
            <w:webHidden/>
          </w:rPr>
          <w:t>3</w:t>
        </w:r>
        <w:r w:rsidR="000F5618">
          <w:rPr>
            <w:webHidden/>
          </w:rPr>
          <w:fldChar w:fldCharType="end"/>
        </w:r>
      </w:hyperlink>
    </w:p>
    <w:p w14:paraId="1F21BF52" w14:textId="62EFF467" w:rsidR="000F5618" w:rsidRDefault="00C02059">
      <w:pPr>
        <w:pStyle w:val="TOC2"/>
        <w:rPr>
          <w:rFonts w:asciiTheme="minorHAnsi" w:eastAsiaTheme="minorEastAsia" w:hAnsiTheme="minorHAnsi" w:cstheme="minorBidi"/>
          <w:sz w:val="22"/>
          <w:szCs w:val="22"/>
          <w:lang w:eastAsia="en-AU"/>
        </w:rPr>
      </w:pPr>
      <w:hyperlink w:anchor="_Toc149041960" w:history="1">
        <w:r w:rsidR="000F5618" w:rsidRPr="002F72B1">
          <w:rPr>
            <w:rStyle w:val="Hyperlink"/>
            <w:rFonts w:eastAsia="Times"/>
          </w:rPr>
          <w:t>Acknowledgement of Country</w:t>
        </w:r>
        <w:r w:rsidR="000F5618">
          <w:rPr>
            <w:webHidden/>
          </w:rPr>
          <w:tab/>
        </w:r>
        <w:r w:rsidR="000F5618">
          <w:rPr>
            <w:webHidden/>
          </w:rPr>
          <w:fldChar w:fldCharType="begin"/>
        </w:r>
        <w:r w:rsidR="000F5618">
          <w:rPr>
            <w:webHidden/>
          </w:rPr>
          <w:instrText xml:space="preserve"> PAGEREF _Toc149041960 \h </w:instrText>
        </w:r>
        <w:r w:rsidR="000F5618">
          <w:rPr>
            <w:webHidden/>
          </w:rPr>
        </w:r>
        <w:r w:rsidR="000F5618">
          <w:rPr>
            <w:webHidden/>
          </w:rPr>
          <w:fldChar w:fldCharType="separate"/>
        </w:r>
        <w:r w:rsidR="000F5618">
          <w:rPr>
            <w:webHidden/>
          </w:rPr>
          <w:t>3</w:t>
        </w:r>
        <w:r w:rsidR="000F5618">
          <w:rPr>
            <w:webHidden/>
          </w:rPr>
          <w:fldChar w:fldCharType="end"/>
        </w:r>
      </w:hyperlink>
    </w:p>
    <w:p w14:paraId="6CB56D73" w14:textId="0422EA6C" w:rsidR="000F5618" w:rsidRDefault="00C02059">
      <w:pPr>
        <w:pStyle w:val="TOC2"/>
        <w:rPr>
          <w:rFonts w:asciiTheme="minorHAnsi" w:eastAsiaTheme="minorEastAsia" w:hAnsiTheme="minorHAnsi" w:cstheme="minorBidi"/>
          <w:sz w:val="22"/>
          <w:szCs w:val="22"/>
          <w:lang w:eastAsia="en-AU"/>
        </w:rPr>
      </w:pPr>
      <w:hyperlink w:anchor="_Toc149041961" w:history="1">
        <w:r w:rsidR="000F5618" w:rsidRPr="002F72B1">
          <w:rPr>
            <w:rStyle w:val="Hyperlink"/>
            <w:rFonts w:eastAsia="Times"/>
          </w:rPr>
          <w:t>Acknowledgement of lived and living experience</w:t>
        </w:r>
        <w:r w:rsidR="000F5618">
          <w:rPr>
            <w:webHidden/>
          </w:rPr>
          <w:tab/>
        </w:r>
        <w:r w:rsidR="000F5618">
          <w:rPr>
            <w:webHidden/>
          </w:rPr>
          <w:fldChar w:fldCharType="begin"/>
        </w:r>
        <w:r w:rsidR="000F5618">
          <w:rPr>
            <w:webHidden/>
          </w:rPr>
          <w:instrText xml:space="preserve"> PAGEREF _Toc149041961 \h </w:instrText>
        </w:r>
        <w:r w:rsidR="000F5618">
          <w:rPr>
            <w:webHidden/>
          </w:rPr>
        </w:r>
        <w:r w:rsidR="000F5618">
          <w:rPr>
            <w:webHidden/>
          </w:rPr>
          <w:fldChar w:fldCharType="separate"/>
        </w:r>
        <w:r w:rsidR="000F5618">
          <w:rPr>
            <w:webHidden/>
          </w:rPr>
          <w:t>3</w:t>
        </w:r>
        <w:r w:rsidR="000F5618">
          <w:rPr>
            <w:webHidden/>
          </w:rPr>
          <w:fldChar w:fldCharType="end"/>
        </w:r>
      </w:hyperlink>
    </w:p>
    <w:p w14:paraId="0734CB9E" w14:textId="5C005E53" w:rsidR="000F5618" w:rsidRDefault="00C02059">
      <w:pPr>
        <w:pStyle w:val="TOC1"/>
        <w:rPr>
          <w:rFonts w:asciiTheme="minorHAnsi" w:eastAsiaTheme="minorEastAsia" w:hAnsiTheme="minorHAnsi" w:cstheme="minorBidi"/>
          <w:b w:val="0"/>
          <w:sz w:val="22"/>
          <w:szCs w:val="22"/>
          <w:lang w:eastAsia="en-AU"/>
        </w:rPr>
      </w:pPr>
      <w:hyperlink w:anchor="_Toc149041962" w:history="1">
        <w:r w:rsidR="000F5618" w:rsidRPr="002F72B1">
          <w:rPr>
            <w:rStyle w:val="Hyperlink"/>
          </w:rPr>
          <w:t>Foreword from the Chief Psychiatrist</w:t>
        </w:r>
        <w:r w:rsidR="000F5618">
          <w:rPr>
            <w:webHidden/>
          </w:rPr>
          <w:tab/>
        </w:r>
        <w:r w:rsidR="000F5618">
          <w:rPr>
            <w:webHidden/>
          </w:rPr>
          <w:fldChar w:fldCharType="begin"/>
        </w:r>
        <w:r w:rsidR="000F5618">
          <w:rPr>
            <w:webHidden/>
          </w:rPr>
          <w:instrText xml:space="preserve"> PAGEREF _Toc149041962 \h </w:instrText>
        </w:r>
        <w:r w:rsidR="000F5618">
          <w:rPr>
            <w:webHidden/>
          </w:rPr>
        </w:r>
        <w:r w:rsidR="000F5618">
          <w:rPr>
            <w:webHidden/>
          </w:rPr>
          <w:fldChar w:fldCharType="separate"/>
        </w:r>
        <w:r w:rsidR="000F5618">
          <w:rPr>
            <w:webHidden/>
          </w:rPr>
          <w:t>4</w:t>
        </w:r>
        <w:r w:rsidR="000F5618">
          <w:rPr>
            <w:webHidden/>
          </w:rPr>
          <w:fldChar w:fldCharType="end"/>
        </w:r>
      </w:hyperlink>
    </w:p>
    <w:p w14:paraId="0F74232D" w14:textId="1BF67EFE" w:rsidR="000F5618" w:rsidRDefault="00C02059">
      <w:pPr>
        <w:pStyle w:val="TOC1"/>
        <w:rPr>
          <w:rFonts w:asciiTheme="minorHAnsi" w:eastAsiaTheme="minorEastAsia" w:hAnsiTheme="minorHAnsi" w:cstheme="minorBidi"/>
          <w:b w:val="0"/>
          <w:sz w:val="22"/>
          <w:szCs w:val="22"/>
          <w:lang w:eastAsia="en-AU"/>
        </w:rPr>
      </w:pPr>
      <w:hyperlink w:anchor="_Toc149041963" w:history="1">
        <w:r w:rsidR="000F5618" w:rsidRPr="002F72B1">
          <w:rPr>
            <w:rStyle w:val="Hyperlink"/>
            <w:rFonts w:eastAsia="Calibri Light"/>
          </w:rPr>
          <w:t>Overview</w:t>
        </w:r>
        <w:r w:rsidR="000F5618">
          <w:rPr>
            <w:webHidden/>
          </w:rPr>
          <w:tab/>
        </w:r>
        <w:r w:rsidR="000F5618">
          <w:rPr>
            <w:webHidden/>
          </w:rPr>
          <w:fldChar w:fldCharType="begin"/>
        </w:r>
        <w:r w:rsidR="000F5618">
          <w:rPr>
            <w:webHidden/>
          </w:rPr>
          <w:instrText xml:space="preserve"> PAGEREF _Toc149041963 \h </w:instrText>
        </w:r>
        <w:r w:rsidR="000F5618">
          <w:rPr>
            <w:webHidden/>
          </w:rPr>
        </w:r>
        <w:r w:rsidR="000F5618">
          <w:rPr>
            <w:webHidden/>
          </w:rPr>
          <w:fldChar w:fldCharType="separate"/>
        </w:r>
        <w:r w:rsidR="000F5618">
          <w:rPr>
            <w:webHidden/>
          </w:rPr>
          <w:t>7</w:t>
        </w:r>
        <w:r w:rsidR="000F5618">
          <w:rPr>
            <w:webHidden/>
          </w:rPr>
          <w:fldChar w:fldCharType="end"/>
        </w:r>
      </w:hyperlink>
    </w:p>
    <w:p w14:paraId="7576205B" w14:textId="38639405" w:rsidR="000F5618" w:rsidRDefault="00C02059">
      <w:pPr>
        <w:pStyle w:val="TOC2"/>
        <w:rPr>
          <w:rFonts w:asciiTheme="minorHAnsi" w:eastAsiaTheme="minorEastAsia" w:hAnsiTheme="minorHAnsi" w:cstheme="minorBidi"/>
          <w:sz w:val="22"/>
          <w:szCs w:val="22"/>
          <w:lang w:eastAsia="en-AU"/>
        </w:rPr>
      </w:pPr>
      <w:hyperlink w:anchor="_Toc149041964" w:history="1">
        <w:r w:rsidR="000F5618" w:rsidRPr="002F72B1">
          <w:rPr>
            <w:rStyle w:val="Hyperlink"/>
            <w:rFonts w:eastAsia="MS Gothic"/>
          </w:rPr>
          <w:t>Aims of the report</w:t>
        </w:r>
        <w:r w:rsidR="000F5618">
          <w:rPr>
            <w:webHidden/>
          </w:rPr>
          <w:tab/>
        </w:r>
        <w:r w:rsidR="000F5618">
          <w:rPr>
            <w:webHidden/>
          </w:rPr>
          <w:fldChar w:fldCharType="begin"/>
        </w:r>
        <w:r w:rsidR="000F5618">
          <w:rPr>
            <w:webHidden/>
          </w:rPr>
          <w:instrText xml:space="preserve"> PAGEREF _Toc149041964 \h </w:instrText>
        </w:r>
        <w:r w:rsidR="000F5618">
          <w:rPr>
            <w:webHidden/>
          </w:rPr>
        </w:r>
        <w:r w:rsidR="000F5618">
          <w:rPr>
            <w:webHidden/>
          </w:rPr>
          <w:fldChar w:fldCharType="separate"/>
        </w:r>
        <w:r w:rsidR="000F5618">
          <w:rPr>
            <w:webHidden/>
          </w:rPr>
          <w:t>7</w:t>
        </w:r>
        <w:r w:rsidR="000F5618">
          <w:rPr>
            <w:webHidden/>
          </w:rPr>
          <w:fldChar w:fldCharType="end"/>
        </w:r>
      </w:hyperlink>
    </w:p>
    <w:p w14:paraId="4FC426F0" w14:textId="625AA975" w:rsidR="000F5618" w:rsidRDefault="00C02059">
      <w:pPr>
        <w:pStyle w:val="TOC2"/>
        <w:rPr>
          <w:rFonts w:asciiTheme="minorHAnsi" w:eastAsiaTheme="minorEastAsia" w:hAnsiTheme="minorHAnsi" w:cstheme="minorBidi"/>
          <w:sz w:val="22"/>
          <w:szCs w:val="22"/>
          <w:lang w:eastAsia="en-AU"/>
        </w:rPr>
      </w:pPr>
      <w:hyperlink w:anchor="_Toc149041965" w:history="1">
        <w:r w:rsidR="000F5618" w:rsidRPr="002F72B1">
          <w:rPr>
            <w:rStyle w:val="Hyperlink"/>
            <w:rFonts w:eastAsia="MS Gothic"/>
          </w:rPr>
          <w:t>Statutory framework and role of the Chief Psychiatrist</w:t>
        </w:r>
        <w:r w:rsidR="000F5618">
          <w:rPr>
            <w:webHidden/>
          </w:rPr>
          <w:tab/>
        </w:r>
        <w:r w:rsidR="000F5618">
          <w:rPr>
            <w:webHidden/>
          </w:rPr>
          <w:fldChar w:fldCharType="begin"/>
        </w:r>
        <w:r w:rsidR="000F5618">
          <w:rPr>
            <w:webHidden/>
          </w:rPr>
          <w:instrText xml:space="preserve"> PAGEREF _Toc149041965 \h </w:instrText>
        </w:r>
        <w:r w:rsidR="000F5618">
          <w:rPr>
            <w:webHidden/>
          </w:rPr>
        </w:r>
        <w:r w:rsidR="000F5618">
          <w:rPr>
            <w:webHidden/>
          </w:rPr>
          <w:fldChar w:fldCharType="separate"/>
        </w:r>
        <w:r w:rsidR="000F5618">
          <w:rPr>
            <w:webHidden/>
          </w:rPr>
          <w:t>7</w:t>
        </w:r>
        <w:r w:rsidR="000F5618">
          <w:rPr>
            <w:webHidden/>
          </w:rPr>
          <w:fldChar w:fldCharType="end"/>
        </w:r>
      </w:hyperlink>
    </w:p>
    <w:p w14:paraId="3316A3F9" w14:textId="640CFE60" w:rsidR="000F5618" w:rsidRDefault="00C02059">
      <w:pPr>
        <w:pStyle w:val="TOC2"/>
        <w:rPr>
          <w:rFonts w:asciiTheme="minorHAnsi" w:eastAsiaTheme="minorEastAsia" w:hAnsiTheme="minorHAnsi" w:cstheme="minorBidi"/>
          <w:sz w:val="22"/>
          <w:szCs w:val="22"/>
          <w:lang w:eastAsia="en-AU"/>
        </w:rPr>
      </w:pPr>
      <w:hyperlink w:anchor="_Toc149041966" w:history="1">
        <w:r w:rsidR="000F5618" w:rsidRPr="002F72B1">
          <w:rPr>
            <w:rStyle w:val="Hyperlink"/>
            <w:lang w:val="en-US"/>
          </w:rPr>
          <w:t>Functions of the Chief Psychiatrist</w:t>
        </w:r>
        <w:r w:rsidR="000F5618">
          <w:rPr>
            <w:webHidden/>
          </w:rPr>
          <w:tab/>
        </w:r>
        <w:r w:rsidR="000F5618">
          <w:rPr>
            <w:webHidden/>
          </w:rPr>
          <w:fldChar w:fldCharType="begin"/>
        </w:r>
        <w:r w:rsidR="000F5618">
          <w:rPr>
            <w:webHidden/>
          </w:rPr>
          <w:instrText xml:space="preserve"> PAGEREF _Toc149041966 \h </w:instrText>
        </w:r>
        <w:r w:rsidR="000F5618">
          <w:rPr>
            <w:webHidden/>
          </w:rPr>
        </w:r>
        <w:r w:rsidR="000F5618">
          <w:rPr>
            <w:webHidden/>
          </w:rPr>
          <w:fldChar w:fldCharType="separate"/>
        </w:r>
        <w:r w:rsidR="000F5618">
          <w:rPr>
            <w:webHidden/>
          </w:rPr>
          <w:t>8</w:t>
        </w:r>
        <w:r w:rsidR="000F5618">
          <w:rPr>
            <w:webHidden/>
          </w:rPr>
          <w:fldChar w:fldCharType="end"/>
        </w:r>
      </w:hyperlink>
    </w:p>
    <w:p w14:paraId="069D58AF" w14:textId="11D3D779" w:rsidR="000F5618" w:rsidRDefault="00C02059">
      <w:pPr>
        <w:pStyle w:val="TOC2"/>
        <w:rPr>
          <w:rFonts w:asciiTheme="minorHAnsi" w:eastAsiaTheme="minorEastAsia" w:hAnsiTheme="minorHAnsi" w:cstheme="minorBidi"/>
          <w:sz w:val="22"/>
          <w:szCs w:val="22"/>
          <w:lang w:eastAsia="en-AU"/>
        </w:rPr>
      </w:pPr>
      <w:hyperlink w:anchor="_Toc149041967" w:history="1">
        <w:r w:rsidR="000F5618" w:rsidRPr="002F72B1">
          <w:rPr>
            <w:rStyle w:val="Hyperlink"/>
            <w:lang w:val="en-US"/>
          </w:rPr>
          <w:t>Office of the Chief Psychiatrist and the Department of Health</w:t>
        </w:r>
        <w:r w:rsidR="000F5618">
          <w:rPr>
            <w:webHidden/>
          </w:rPr>
          <w:tab/>
        </w:r>
        <w:r w:rsidR="000F5618">
          <w:rPr>
            <w:webHidden/>
          </w:rPr>
          <w:fldChar w:fldCharType="begin"/>
        </w:r>
        <w:r w:rsidR="000F5618">
          <w:rPr>
            <w:webHidden/>
          </w:rPr>
          <w:instrText xml:space="preserve"> PAGEREF _Toc149041967 \h </w:instrText>
        </w:r>
        <w:r w:rsidR="000F5618">
          <w:rPr>
            <w:webHidden/>
          </w:rPr>
        </w:r>
        <w:r w:rsidR="000F5618">
          <w:rPr>
            <w:webHidden/>
          </w:rPr>
          <w:fldChar w:fldCharType="separate"/>
        </w:r>
        <w:r w:rsidR="000F5618">
          <w:rPr>
            <w:webHidden/>
          </w:rPr>
          <w:t>8</w:t>
        </w:r>
        <w:r w:rsidR="000F5618">
          <w:rPr>
            <w:webHidden/>
          </w:rPr>
          <w:fldChar w:fldCharType="end"/>
        </w:r>
      </w:hyperlink>
    </w:p>
    <w:p w14:paraId="5D5FE127" w14:textId="1BE12787" w:rsidR="000F5618" w:rsidRDefault="00C02059">
      <w:pPr>
        <w:pStyle w:val="TOC2"/>
        <w:rPr>
          <w:rFonts w:asciiTheme="minorHAnsi" w:eastAsiaTheme="minorEastAsia" w:hAnsiTheme="minorHAnsi" w:cstheme="minorBidi"/>
          <w:sz w:val="22"/>
          <w:szCs w:val="22"/>
          <w:lang w:eastAsia="en-AU"/>
        </w:rPr>
      </w:pPr>
      <w:hyperlink w:anchor="_Toc149041968" w:history="1">
        <w:r w:rsidR="000F5618" w:rsidRPr="002F72B1">
          <w:rPr>
            <w:rStyle w:val="Hyperlink"/>
            <w:lang w:val="en-US"/>
          </w:rPr>
          <w:t>Clinical leadership activities in 2022–23</w:t>
        </w:r>
        <w:r w:rsidR="000F5618">
          <w:rPr>
            <w:webHidden/>
          </w:rPr>
          <w:tab/>
        </w:r>
        <w:r w:rsidR="000F5618">
          <w:rPr>
            <w:webHidden/>
          </w:rPr>
          <w:fldChar w:fldCharType="begin"/>
        </w:r>
        <w:r w:rsidR="000F5618">
          <w:rPr>
            <w:webHidden/>
          </w:rPr>
          <w:instrText xml:space="preserve"> PAGEREF _Toc149041968 \h </w:instrText>
        </w:r>
        <w:r w:rsidR="000F5618">
          <w:rPr>
            <w:webHidden/>
          </w:rPr>
        </w:r>
        <w:r w:rsidR="000F5618">
          <w:rPr>
            <w:webHidden/>
          </w:rPr>
          <w:fldChar w:fldCharType="separate"/>
        </w:r>
        <w:r w:rsidR="000F5618">
          <w:rPr>
            <w:webHidden/>
          </w:rPr>
          <w:t>9</w:t>
        </w:r>
        <w:r w:rsidR="000F5618">
          <w:rPr>
            <w:webHidden/>
          </w:rPr>
          <w:fldChar w:fldCharType="end"/>
        </w:r>
      </w:hyperlink>
    </w:p>
    <w:p w14:paraId="424D7C1F" w14:textId="6E7AB4AC" w:rsidR="000F5618" w:rsidRDefault="00C02059">
      <w:pPr>
        <w:pStyle w:val="TOC1"/>
        <w:rPr>
          <w:rFonts w:asciiTheme="minorHAnsi" w:eastAsiaTheme="minorEastAsia" w:hAnsiTheme="minorHAnsi" w:cstheme="minorBidi"/>
          <w:b w:val="0"/>
          <w:sz w:val="22"/>
          <w:szCs w:val="22"/>
          <w:lang w:eastAsia="en-AU"/>
        </w:rPr>
      </w:pPr>
      <w:hyperlink w:anchor="_Toc149041969" w:history="1">
        <w:r w:rsidR="000F5618" w:rsidRPr="002F72B1">
          <w:rPr>
            <w:rStyle w:val="Hyperlink"/>
          </w:rPr>
          <w:t>Statutory reporting</w:t>
        </w:r>
        <w:r w:rsidR="000F5618">
          <w:rPr>
            <w:webHidden/>
          </w:rPr>
          <w:tab/>
        </w:r>
        <w:r w:rsidR="000F5618">
          <w:rPr>
            <w:webHidden/>
          </w:rPr>
          <w:fldChar w:fldCharType="begin"/>
        </w:r>
        <w:r w:rsidR="000F5618">
          <w:rPr>
            <w:webHidden/>
          </w:rPr>
          <w:instrText xml:space="preserve"> PAGEREF _Toc149041969 \h </w:instrText>
        </w:r>
        <w:r w:rsidR="000F5618">
          <w:rPr>
            <w:webHidden/>
          </w:rPr>
        </w:r>
        <w:r w:rsidR="000F5618">
          <w:rPr>
            <w:webHidden/>
          </w:rPr>
          <w:fldChar w:fldCharType="separate"/>
        </w:r>
        <w:r w:rsidR="000F5618">
          <w:rPr>
            <w:webHidden/>
          </w:rPr>
          <w:t>10</w:t>
        </w:r>
        <w:r w:rsidR="000F5618">
          <w:rPr>
            <w:webHidden/>
          </w:rPr>
          <w:fldChar w:fldCharType="end"/>
        </w:r>
      </w:hyperlink>
    </w:p>
    <w:p w14:paraId="319F7AC5" w14:textId="42AB86F7" w:rsidR="000F5618" w:rsidRDefault="00C02059">
      <w:pPr>
        <w:pStyle w:val="TOC2"/>
        <w:rPr>
          <w:rFonts w:asciiTheme="minorHAnsi" w:eastAsiaTheme="minorEastAsia" w:hAnsiTheme="minorHAnsi" w:cstheme="minorBidi"/>
          <w:sz w:val="22"/>
          <w:szCs w:val="22"/>
          <w:lang w:eastAsia="en-AU"/>
        </w:rPr>
      </w:pPr>
      <w:hyperlink w:anchor="_Toc149041970" w:history="1">
        <w:r w:rsidR="000F5618" w:rsidRPr="002F72B1">
          <w:rPr>
            <w:rStyle w:val="Hyperlink"/>
          </w:rPr>
          <w:t>Electroconvulsive treatment</w:t>
        </w:r>
        <w:r w:rsidR="000F5618">
          <w:rPr>
            <w:webHidden/>
          </w:rPr>
          <w:tab/>
        </w:r>
        <w:r w:rsidR="000F5618">
          <w:rPr>
            <w:webHidden/>
          </w:rPr>
          <w:fldChar w:fldCharType="begin"/>
        </w:r>
        <w:r w:rsidR="000F5618">
          <w:rPr>
            <w:webHidden/>
          </w:rPr>
          <w:instrText xml:space="preserve"> PAGEREF _Toc149041970 \h </w:instrText>
        </w:r>
        <w:r w:rsidR="000F5618">
          <w:rPr>
            <w:webHidden/>
          </w:rPr>
        </w:r>
        <w:r w:rsidR="000F5618">
          <w:rPr>
            <w:webHidden/>
          </w:rPr>
          <w:fldChar w:fldCharType="separate"/>
        </w:r>
        <w:r w:rsidR="000F5618">
          <w:rPr>
            <w:webHidden/>
          </w:rPr>
          <w:t>10</w:t>
        </w:r>
        <w:r w:rsidR="000F5618">
          <w:rPr>
            <w:webHidden/>
          </w:rPr>
          <w:fldChar w:fldCharType="end"/>
        </w:r>
      </w:hyperlink>
    </w:p>
    <w:p w14:paraId="4E35924F" w14:textId="5357E46B" w:rsidR="000F5618" w:rsidRDefault="00C02059">
      <w:pPr>
        <w:pStyle w:val="TOC2"/>
        <w:rPr>
          <w:rFonts w:asciiTheme="minorHAnsi" w:eastAsiaTheme="minorEastAsia" w:hAnsiTheme="minorHAnsi" w:cstheme="minorBidi"/>
          <w:sz w:val="22"/>
          <w:szCs w:val="22"/>
          <w:lang w:eastAsia="en-AU"/>
        </w:rPr>
      </w:pPr>
      <w:hyperlink w:anchor="_Toc149041971" w:history="1">
        <w:r w:rsidR="000F5618" w:rsidRPr="002F72B1">
          <w:rPr>
            <w:rStyle w:val="Hyperlink"/>
            <w:rFonts w:eastAsia="Arial"/>
          </w:rPr>
          <w:t>Deaths of people receiving mental health treatment</w:t>
        </w:r>
        <w:r w:rsidR="000F5618">
          <w:rPr>
            <w:webHidden/>
          </w:rPr>
          <w:tab/>
        </w:r>
        <w:r w:rsidR="000F5618">
          <w:rPr>
            <w:webHidden/>
          </w:rPr>
          <w:fldChar w:fldCharType="begin"/>
        </w:r>
        <w:r w:rsidR="000F5618">
          <w:rPr>
            <w:webHidden/>
          </w:rPr>
          <w:instrText xml:space="preserve"> PAGEREF _Toc149041971 \h </w:instrText>
        </w:r>
        <w:r w:rsidR="000F5618">
          <w:rPr>
            <w:webHidden/>
          </w:rPr>
        </w:r>
        <w:r w:rsidR="000F5618">
          <w:rPr>
            <w:webHidden/>
          </w:rPr>
          <w:fldChar w:fldCharType="separate"/>
        </w:r>
        <w:r w:rsidR="000F5618">
          <w:rPr>
            <w:webHidden/>
          </w:rPr>
          <w:t>11</w:t>
        </w:r>
        <w:r w:rsidR="000F5618">
          <w:rPr>
            <w:webHidden/>
          </w:rPr>
          <w:fldChar w:fldCharType="end"/>
        </w:r>
      </w:hyperlink>
    </w:p>
    <w:p w14:paraId="783ACA1F" w14:textId="4B6D727E" w:rsidR="000F5618" w:rsidRDefault="00C02059">
      <w:pPr>
        <w:pStyle w:val="TOC2"/>
        <w:rPr>
          <w:rFonts w:asciiTheme="minorHAnsi" w:eastAsiaTheme="minorEastAsia" w:hAnsiTheme="minorHAnsi" w:cstheme="minorBidi"/>
          <w:sz w:val="22"/>
          <w:szCs w:val="22"/>
          <w:lang w:eastAsia="en-AU"/>
        </w:rPr>
      </w:pPr>
      <w:hyperlink w:anchor="_Toc149041972" w:history="1">
        <w:r w:rsidR="000F5618" w:rsidRPr="002F72B1">
          <w:rPr>
            <w:rStyle w:val="Hyperlink"/>
          </w:rPr>
          <w:t>Restrictive interventions</w:t>
        </w:r>
        <w:r w:rsidR="000F5618">
          <w:rPr>
            <w:webHidden/>
          </w:rPr>
          <w:tab/>
        </w:r>
        <w:r w:rsidR="000F5618">
          <w:rPr>
            <w:webHidden/>
          </w:rPr>
          <w:fldChar w:fldCharType="begin"/>
        </w:r>
        <w:r w:rsidR="000F5618">
          <w:rPr>
            <w:webHidden/>
          </w:rPr>
          <w:instrText xml:space="preserve"> PAGEREF _Toc149041972 \h </w:instrText>
        </w:r>
        <w:r w:rsidR="000F5618">
          <w:rPr>
            <w:webHidden/>
          </w:rPr>
        </w:r>
        <w:r w:rsidR="000F5618">
          <w:rPr>
            <w:webHidden/>
          </w:rPr>
          <w:fldChar w:fldCharType="separate"/>
        </w:r>
        <w:r w:rsidR="000F5618">
          <w:rPr>
            <w:webHidden/>
          </w:rPr>
          <w:t>14</w:t>
        </w:r>
        <w:r w:rsidR="000F5618">
          <w:rPr>
            <w:webHidden/>
          </w:rPr>
          <w:fldChar w:fldCharType="end"/>
        </w:r>
      </w:hyperlink>
    </w:p>
    <w:p w14:paraId="3C7A79F1" w14:textId="0268F6E9" w:rsidR="00436843" w:rsidRPr="003072C6" w:rsidRDefault="00436843" w:rsidP="00436843">
      <w:pPr>
        <w:pStyle w:val="TOC2"/>
        <w:rPr>
          <w:noProof w:val="0"/>
        </w:rPr>
      </w:pPr>
      <w:r w:rsidRPr="003072C6">
        <w:rPr>
          <w:noProof w:val="0"/>
        </w:rPr>
        <w:fldChar w:fldCharType="end"/>
      </w:r>
    </w:p>
    <w:p w14:paraId="710A531B" w14:textId="77777777" w:rsidR="00436843" w:rsidRDefault="00436843" w:rsidP="00563C62">
      <w:pPr>
        <w:pStyle w:val="Body"/>
        <w:rPr>
          <w:color w:val="004EA8"/>
          <w:sz w:val="44"/>
          <w:szCs w:val="44"/>
        </w:rPr>
      </w:pPr>
      <w:r>
        <w:br w:type="page"/>
      </w:r>
    </w:p>
    <w:p w14:paraId="3AFD860F" w14:textId="018F4598" w:rsidR="00381B2F" w:rsidRPr="00CA1B76" w:rsidRDefault="00381B2F" w:rsidP="00381B2F">
      <w:pPr>
        <w:pStyle w:val="Heading1"/>
        <w:rPr>
          <w:rFonts w:eastAsia="Calibri Light"/>
          <w:sz w:val="20"/>
          <w:szCs w:val="20"/>
        </w:rPr>
      </w:pPr>
      <w:bookmarkStart w:id="9" w:name="_Toc149041963"/>
      <w:r w:rsidRPr="484CF834">
        <w:rPr>
          <w:rFonts w:eastAsia="Calibri Light"/>
        </w:rPr>
        <w:lastRenderedPageBreak/>
        <w:t>Overview</w:t>
      </w:r>
      <w:bookmarkEnd w:id="7"/>
      <w:bookmarkEnd w:id="9"/>
    </w:p>
    <w:p w14:paraId="2B0CC4F8" w14:textId="30207A76" w:rsidR="00381B2F" w:rsidRPr="0045619A" w:rsidRDefault="00381B2F" w:rsidP="004E11BD">
      <w:pPr>
        <w:pStyle w:val="Heading2"/>
        <w:tabs>
          <w:tab w:val="left" w:pos="2942"/>
        </w:tabs>
        <w:rPr>
          <w:b w:val="0"/>
          <w:bCs/>
          <w:color w:val="000000" w:themeColor="text1"/>
          <w:sz w:val="22"/>
          <w:szCs w:val="22"/>
        </w:rPr>
      </w:pPr>
      <w:bookmarkStart w:id="10" w:name="_Toc52886232"/>
      <w:bookmarkStart w:id="11" w:name="_Toc149041964"/>
      <w:r w:rsidRPr="00381B2F">
        <w:rPr>
          <w:rStyle w:val="Heading3Char"/>
          <w:bCs w:val="0"/>
          <w:sz w:val="28"/>
          <w:szCs w:val="28"/>
        </w:rPr>
        <w:t>Aims of the report</w:t>
      </w:r>
      <w:bookmarkStart w:id="12" w:name="_Hlk134521736"/>
      <w:bookmarkEnd w:id="10"/>
      <w:bookmarkEnd w:id="11"/>
      <w:r w:rsidR="004E11BD">
        <w:rPr>
          <w:rStyle w:val="Heading3Char"/>
          <w:bCs w:val="0"/>
          <w:sz w:val="28"/>
          <w:szCs w:val="28"/>
        </w:rPr>
        <w:t xml:space="preserve"> </w:t>
      </w:r>
    </w:p>
    <w:bookmarkEnd w:id="12"/>
    <w:p w14:paraId="23ED1791" w14:textId="2DEFFBEB" w:rsidR="00381B2F" w:rsidRDefault="00381B2F" w:rsidP="00563C62">
      <w:pPr>
        <w:pStyle w:val="Body"/>
        <w:rPr>
          <w:lang w:val="en-US"/>
        </w:rPr>
      </w:pPr>
      <w:r w:rsidRPr="00F04593">
        <w:rPr>
          <w:lang w:val="en-US"/>
        </w:rPr>
        <w:t xml:space="preserve">The aims of this annual report are to: </w:t>
      </w:r>
    </w:p>
    <w:p w14:paraId="59ADD55D" w14:textId="34947928" w:rsidR="00381B2F" w:rsidRPr="008F76E3" w:rsidRDefault="00381B2F" w:rsidP="00563C62">
      <w:pPr>
        <w:pStyle w:val="Bullet1"/>
      </w:pPr>
      <w:r w:rsidRPr="00F04593">
        <w:t xml:space="preserve">inform mental health consumers, carers, service providers and members of the public about the activities of the Office of the Chief Psychiatrist (OCP) in the </w:t>
      </w:r>
      <w:r w:rsidR="611BB504">
        <w:t>202</w:t>
      </w:r>
      <w:r w:rsidR="00294DEA">
        <w:t>2</w:t>
      </w:r>
      <w:r w:rsidR="005B0764">
        <w:t>–</w:t>
      </w:r>
      <w:r w:rsidR="611BB504">
        <w:t>2</w:t>
      </w:r>
      <w:r w:rsidR="00294DEA">
        <w:t>3</w:t>
      </w:r>
      <w:r w:rsidRPr="00F04593">
        <w:t xml:space="preserve"> financial year </w:t>
      </w:r>
    </w:p>
    <w:p w14:paraId="7CDF39C2" w14:textId="3AF37579" w:rsidR="00381B2F" w:rsidRDefault="00381B2F" w:rsidP="00563C62">
      <w:pPr>
        <w:pStyle w:val="Bullet1"/>
      </w:pPr>
      <w:r w:rsidRPr="00F04593">
        <w:t xml:space="preserve">provide information about specific clinical practices that must be reported by health services to </w:t>
      </w:r>
      <w:r w:rsidR="00221C07">
        <w:t>t</w:t>
      </w:r>
      <w:r w:rsidRPr="00F04593">
        <w:t>he</w:t>
      </w:r>
      <w:r w:rsidRPr="008F76E3">
        <w:t xml:space="preserve"> </w:t>
      </w:r>
      <w:r w:rsidRPr="00F04593">
        <w:t xml:space="preserve">Chief Psychiatrist under the </w:t>
      </w:r>
      <w:r w:rsidRPr="00F04593">
        <w:rPr>
          <w:i/>
          <w:iCs/>
        </w:rPr>
        <w:t>Mental Health Act 2014</w:t>
      </w:r>
      <w:r w:rsidR="00F92629">
        <w:t xml:space="preserve"> (the Act)</w:t>
      </w:r>
      <w:r w:rsidR="00AC4558">
        <w:rPr>
          <w:rStyle w:val="FootnoteReference"/>
          <w:i/>
          <w:iCs/>
        </w:rPr>
        <w:footnoteReference w:id="2"/>
      </w:r>
    </w:p>
    <w:p w14:paraId="1AB7B3AD" w14:textId="6053BBD4" w:rsidR="00381B2F" w:rsidRDefault="00381B2F" w:rsidP="00563C62">
      <w:pPr>
        <w:pStyle w:val="Bullet1"/>
      </w:pPr>
      <w:r w:rsidRPr="00F04593">
        <w:t>contribute to ongoing improvement in the quality and safety of Victoria’s mental health services.</w:t>
      </w:r>
      <w:r w:rsidR="0057779F">
        <w:t xml:space="preserve"> </w:t>
      </w:r>
    </w:p>
    <w:p w14:paraId="5BED59AF" w14:textId="6E1EC7EF" w:rsidR="00381B2F" w:rsidRPr="004E11BD" w:rsidRDefault="00381B2F" w:rsidP="004E11BD">
      <w:pPr>
        <w:pStyle w:val="Heading2"/>
        <w:tabs>
          <w:tab w:val="left" w:pos="2942"/>
        </w:tabs>
        <w:rPr>
          <w:b w:val="0"/>
          <w:bCs/>
          <w:color w:val="000000" w:themeColor="text1"/>
          <w:sz w:val="22"/>
          <w:szCs w:val="22"/>
        </w:rPr>
      </w:pPr>
      <w:bookmarkStart w:id="13" w:name="_Toc52886233"/>
      <w:bookmarkStart w:id="14" w:name="_Toc149041965"/>
      <w:r w:rsidRPr="00381B2F">
        <w:rPr>
          <w:rStyle w:val="Heading3Char"/>
          <w:bCs w:val="0"/>
          <w:sz w:val="28"/>
          <w:szCs w:val="28"/>
        </w:rPr>
        <w:t>Statutory framework and role of the Chief Psychiatrist</w:t>
      </w:r>
      <w:bookmarkEnd w:id="13"/>
      <w:bookmarkEnd w:id="14"/>
    </w:p>
    <w:p w14:paraId="3B966BDC" w14:textId="119946A9" w:rsidR="00381B2F" w:rsidRDefault="00381B2F" w:rsidP="00563C62">
      <w:pPr>
        <w:pStyle w:val="Body"/>
        <w:rPr>
          <w:lang w:val="en-US"/>
        </w:rPr>
      </w:pPr>
      <w:r w:rsidRPr="00F04593">
        <w:rPr>
          <w:lang w:val="en-US"/>
        </w:rPr>
        <w:t xml:space="preserve">The </w:t>
      </w:r>
      <w:r w:rsidRPr="00F91C20">
        <w:rPr>
          <w:lang w:val="en-US"/>
        </w:rPr>
        <w:t>Act</w:t>
      </w:r>
      <w:r w:rsidR="005027F9">
        <w:rPr>
          <w:lang w:val="en-US"/>
        </w:rPr>
        <w:t xml:space="preserve"> </w:t>
      </w:r>
      <w:r w:rsidRPr="00F04593">
        <w:rPr>
          <w:lang w:val="en-US"/>
        </w:rPr>
        <w:t xml:space="preserve">aims to improve the experience of people </w:t>
      </w:r>
      <w:r w:rsidR="00AD23F1">
        <w:rPr>
          <w:lang w:val="en-US"/>
        </w:rPr>
        <w:t>using mental health and wellbeing services</w:t>
      </w:r>
      <w:r w:rsidRPr="00F04593">
        <w:rPr>
          <w:lang w:val="en-US"/>
        </w:rPr>
        <w:t xml:space="preserve"> by actively involving and supporting them, and their families and carers, in making decisions about their</w:t>
      </w:r>
      <w:r>
        <w:rPr>
          <w:lang w:val="en-US"/>
        </w:rPr>
        <w:t xml:space="preserve"> </w:t>
      </w:r>
      <w:r w:rsidRPr="00F04593">
        <w:rPr>
          <w:lang w:val="en-US"/>
        </w:rPr>
        <w:t>treatment and exercising their rights.</w:t>
      </w:r>
      <w:r w:rsidR="0057779F">
        <w:rPr>
          <w:lang w:val="en-US"/>
        </w:rPr>
        <w:t xml:space="preserve"> </w:t>
      </w:r>
    </w:p>
    <w:p w14:paraId="14B4B63C" w14:textId="69CD8CA9" w:rsidR="00381B2F" w:rsidRPr="00892ED8" w:rsidRDefault="00381B2F" w:rsidP="00563C62">
      <w:pPr>
        <w:pStyle w:val="Body"/>
      </w:pPr>
      <w:r w:rsidRPr="00892ED8">
        <w:t>The Act has several core principles and objectives</w:t>
      </w:r>
      <w:r w:rsidR="00661EDE">
        <w:t>,</w:t>
      </w:r>
      <w:r w:rsidRPr="00892ED8">
        <w:t xml:space="preserve"> including that: </w:t>
      </w:r>
    </w:p>
    <w:p w14:paraId="73BFD111" w14:textId="77777777" w:rsidR="00381B2F" w:rsidRPr="008F76E3" w:rsidRDefault="00381B2F" w:rsidP="00563C62">
      <w:pPr>
        <w:pStyle w:val="Bullet1"/>
      </w:pPr>
      <w:r w:rsidRPr="00F04593">
        <w:t xml:space="preserve">assessment and treatment are provided in the least intrusive and restrictive way </w:t>
      </w:r>
    </w:p>
    <w:p w14:paraId="20C47F00" w14:textId="4EABC3E2" w:rsidR="00381B2F" w:rsidRPr="008F76E3" w:rsidRDefault="00381B2F" w:rsidP="00563C62">
      <w:pPr>
        <w:pStyle w:val="Bullet1"/>
      </w:pPr>
      <w:r w:rsidRPr="00F04593">
        <w:t xml:space="preserve">people are supported to make and </w:t>
      </w:r>
      <w:r w:rsidR="005B0764">
        <w:t>take part</w:t>
      </w:r>
      <w:r w:rsidR="005B0764" w:rsidRPr="00F04593">
        <w:t xml:space="preserve"> </w:t>
      </w:r>
      <w:r w:rsidRPr="00F04593">
        <w:t xml:space="preserve">in decisions about their assessment, treatment and </w:t>
      </w:r>
      <w:proofErr w:type="gramStart"/>
      <w:r w:rsidRPr="00F04593">
        <w:t>recovery</w:t>
      </w:r>
      <w:proofErr w:type="gramEnd"/>
      <w:r w:rsidRPr="00F04593">
        <w:t xml:space="preserve"> </w:t>
      </w:r>
    </w:p>
    <w:p w14:paraId="2D48E65D" w14:textId="77777777" w:rsidR="00381B2F" w:rsidRPr="008F76E3" w:rsidRDefault="00381B2F" w:rsidP="00563C62">
      <w:pPr>
        <w:pStyle w:val="Bullet1"/>
      </w:pPr>
      <w:r w:rsidRPr="00F04593">
        <w:t xml:space="preserve">individuals’ rights, dignity and autonomy are protected and promoted at all </w:t>
      </w:r>
      <w:proofErr w:type="gramStart"/>
      <w:r w:rsidRPr="00F04593">
        <w:t>times</w:t>
      </w:r>
      <w:proofErr w:type="gramEnd"/>
      <w:r w:rsidRPr="00F04593">
        <w:t xml:space="preserve"> </w:t>
      </w:r>
    </w:p>
    <w:p w14:paraId="60BA3C93" w14:textId="6A9FBD4B" w:rsidR="00381B2F" w:rsidRPr="008F76E3" w:rsidRDefault="00381B2F" w:rsidP="00563C62">
      <w:pPr>
        <w:pStyle w:val="Bullet1"/>
      </w:pPr>
      <w:r w:rsidRPr="00F04593">
        <w:t>priority is given to holistic care and support options that respon</w:t>
      </w:r>
      <w:r w:rsidR="00B90937">
        <w:t>d</w:t>
      </w:r>
      <w:r w:rsidRPr="00F04593">
        <w:t xml:space="preserve"> to individual needs</w:t>
      </w:r>
    </w:p>
    <w:p w14:paraId="63B2B57B" w14:textId="77777777" w:rsidR="00381B2F" w:rsidRPr="008F76E3" w:rsidRDefault="00381B2F" w:rsidP="00563C62">
      <w:pPr>
        <w:pStyle w:val="Bullet1"/>
      </w:pPr>
      <w:r w:rsidRPr="00F04593">
        <w:t xml:space="preserve">the wellbeing and safety of children and young people are protected and prioritised </w:t>
      </w:r>
    </w:p>
    <w:p w14:paraId="59E926F8" w14:textId="77777777" w:rsidR="00381B2F" w:rsidRDefault="00381B2F" w:rsidP="00563C62">
      <w:pPr>
        <w:pStyle w:val="Bullet1"/>
        <w:rPr>
          <w:lang w:val="en-US"/>
        </w:rPr>
      </w:pPr>
      <w:r w:rsidRPr="00F04593">
        <w:t>carers are recognised</w:t>
      </w:r>
      <w:r w:rsidRPr="00F04593">
        <w:rPr>
          <w:lang w:val="en-US"/>
        </w:rPr>
        <w:t xml:space="preserve"> and supported in decisions about treatment and care. </w:t>
      </w:r>
    </w:p>
    <w:p w14:paraId="7CE7841D" w14:textId="2FB5F796" w:rsidR="00381B2F" w:rsidRPr="0032154F" w:rsidRDefault="00381B2F" w:rsidP="0032154F">
      <w:pPr>
        <w:pStyle w:val="Bodyafterbullets"/>
      </w:pPr>
      <w:bookmarkStart w:id="15" w:name="_Toc52886234"/>
      <w:r w:rsidRPr="0032154F">
        <w:rPr>
          <w:rStyle w:val="Heading3Char"/>
          <w:rFonts w:eastAsia="Times"/>
          <w:bCs w:val="0"/>
          <w:sz w:val="21"/>
          <w:szCs w:val="21"/>
        </w:rPr>
        <w:t xml:space="preserve">Under s 119 of the Act, the Secretary </w:t>
      </w:r>
      <w:r w:rsidR="00612485" w:rsidRPr="0032154F">
        <w:rPr>
          <w:rStyle w:val="Heading3Char"/>
          <w:rFonts w:eastAsia="Times"/>
          <w:bCs w:val="0"/>
          <w:sz w:val="21"/>
          <w:szCs w:val="21"/>
        </w:rPr>
        <w:t>of</w:t>
      </w:r>
      <w:r w:rsidRPr="0032154F">
        <w:rPr>
          <w:rStyle w:val="Heading3Char"/>
          <w:rFonts w:eastAsia="Times"/>
          <w:bCs w:val="0"/>
          <w:sz w:val="21"/>
          <w:szCs w:val="21"/>
        </w:rPr>
        <w:t xml:space="preserve"> the Department of Health (</w:t>
      </w:r>
      <w:r w:rsidR="002B14AA" w:rsidRPr="0032154F">
        <w:rPr>
          <w:rStyle w:val="Heading3Char"/>
          <w:rFonts w:eastAsia="Times"/>
          <w:bCs w:val="0"/>
          <w:sz w:val="21"/>
          <w:szCs w:val="21"/>
        </w:rPr>
        <w:t>formerly ‘</w:t>
      </w:r>
      <w:r w:rsidR="0049278C" w:rsidRPr="0032154F">
        <w:rPr>
          <w:rStyle w:val="Heading3Char"/>
          <w:rFonts w:eastAsia="Times"/>
          <w:bCs w:val="0"/>
          <w:sz w:val="21"/>
          <w:szCs w:val="21"/>
        </w:rPr>
        <w:t>Department of Health and Human Services’</w:t>
      </w:r>
      <w:r w:rsidR="003A0997" w:rsidRPr="0032154F">
        <w:rPr>
          <w:rStyle w:val="Heading3Char"/>
          <w:rFonts w:eastAsia="Times"/>
          <w:bCs w:val="0"/>
          <w:sz w:val="21"/>
          <w:szCs w:val="21"/>
        </w:rPr>
        <w:t xml:space="preserve">; </w:t>
      </w:r>
      <w:r w:rsidR="006F55A8" w:rsidRPr="0032154F">
        <w:rPr>
          <w:rStyle w:val="Heading3Char"/>
          <w:rFonts w:eastAsia="Times"/>
          <w:bCs w:val="0"/>
          <w:sz w:val="21"/>
          <w:szCs w:val="21"/>
        </w:rPr>
        <w:t>abbreviated</w:t>
      </w:r>
      <w:r w:rsidR="003A0997" w:rsidRPr="0032154F">
        <w:rPr>
          <w:rStyle w:val="Heading3Char"/>
          <w:rFonts w:eastAsia="Times"/>
          <w:bCs w:val="0"/>
          <w:sz w:val="21"/>
          <w:szCs w:val="21"/>
        </w:rPr>
        <w:t xml:space="preserve"> as </w:t>
      </w:r>
      <w:r w:rsidRPr="0032154F">
        <w:rPr>
          <w:rStyle w:val="Heading3Char"/>
          <w:rFonts w:eastAsia="Times"/>
          <w:bCs w:val="0"/>
          <w:sz w:val="21"/>
          <w:szCs w:val="21"/>
        </w:rPr>
        <w:t xml:space="preserve">‘the </w:t>
      </w:r>
      <w:r w:rsidR="00ED205E">
        <w:rPr>
          <w:rStyle w:val="Heading3Char"/>
          <w:rFonts w:eastAsia="Times"/>
          <w:bCs w:val="0"/>
          <w:sz w:val="21"/>
          <w:szCs w:val="21"/>
        </w:rPr>
        <w:t>d</w:t>
      </w:r>
      <w:r w:rsidRPr="0032154F">
        <w:rPr>
          <w:rStyle w:val="Heading3Char"/>
          <w:rFonts w:eastAsia="Times"/>
          <w:bCs w:val="0"/>
          <w:sz w:val="21"/>
          <w:szCs w:val="21"/>
        </w:rPr>
        <w:t>epartment’</w:t>
      </w:r>
      <w:r w:rsidR="003A0997" w:rsidRPr="0032154F">
        <w:rPr>
          <w:rStyle w:val="Heading3Char"/>
          <w:rFonts w:eastAsia="Times"/>
          <w:bCs w:val="0"/>
          <w:sz w:val="21"/>
          <w:szCs w:val="21"/>
        </w:rPr>
        <w:t xml:space="preserve"> hereon</w:t>
      </w:r>
      <w:r w:rsidRPr="0032154F">
        <w:rPr>
          <w:rStyle w:val="Heading3Char"/>
          <w:rFonts w:eastAsia="Times"/>
          <w:bCs w:val="0"/>
          <w:sz w:val="21"/>
          <w:szCs w:val="21"/>
        </w:rPr>
        <w:t>) can appoint a Chief Psychiatrist. The role of the Chief Psychiatrist, as described in s 120 of the Act, is to:</w:t>
      </w:r>
      <w:bookmarkEnd w:id="15"/>
      <w:r w:rsidRPr="0032154F">
        <w:t xml:space="preserve"> </w:t>
      </w:r>
    </w:p>
    <w:p w14:paraId="58C43AE7" w14:textId="598965E2" w:rsidR="00381B2F" w:rsidRPr="008F76E3" w:rsidRDefault="00381B2F" w:rsidP="00563C62">
      <w:pPr>
        <w:pStyle w:val="Bullet1"/>
      </w:pPr>
      <w:r w:rsidRPr="00F04593">
        <w:t>provide clinical leadership and expert clinical advice to mental health service providers</w:t>
      </w:r>
    </w:p>
    <w:p w14:paraId="7B149F2F" w14:textId="77777777" w:rsidR="00381B2F" w:rsidRPr="008F76E3" w:rsidRDefault="00381B2F" w:rsidP="00563C62">
      <w:pPr>
        <w:pStyle w:val="Bullet1"/>
      </w:pPr>
      <w:r w:rsidRPr="00F04593">
        <w:t xml:space="preserve">promote continuous improvement in the quality and safety of mental health services </w:t>
      </w:r>
    </w:p>
    <w:p w14:paraId="612BC429" w14:textId="77777777" w:rsidR="00381B2F" w:rsidRPr="008F76E3" w:rsidRDefault="00381B2F" w:rsidP="00563C62">
      <w:pPr>
        <w:pStyle w:val="Bullet1"/>
      </w:pPr>
      <w:r w:rsidRPr="00F04593">
        <w:t xml:space="preserve">promote the rights of people receiving mental health services </w:t>
      </w:r>
    </w:p>
    <w:p w14:paraId="67113CEC" w14:textId="1D46523F" w:rsidR="00381B2F" w:rsidRDefault="00381B2F" w:rsidP="00563C62">
      <w:pPr>
        <w:pStyle w:val="Bullet1"/>
      </w:pPr>
      <w:r w:rsidRPr="00F04593">
        <w:t xml:space="preserve">provide advice to the designated </w:t>
      </w:r>
      <w:r w:rsidR="00992202">
        <w:t>m</w:t>
      </w:r>
      <w:r w:rsidRPr="00F04593">
        <w:t xml:space="preserve">inister and the departmental Secretary about mental health </w:t>
      </w:r>
      <w:r w:rsidRPr="00397F78">
        <w:t>services</w:t>
      </w:r>
      <w:r w:rsidRPr="00F04593">
        <w:t>.</w:t>
      </w:r>
      <w:r w:rsidR="0057779F">
        <w:t xml:space="preserve"> </w:t>
      </w:r>
    </w:p>
    <w:p w14:paraId="10766F9E" w14:textId="36F7C058" w:rsidR="00381B2F" w:rsidRDefault="00381B2F" w:rsidP="0032154F">
      <w:pPr>
        <w:pStyle w:val="Bodyafterbullets"/>
        <w:rPr>
          <w:lang w:val="en-US"/>
        </w:rPr>
      </w:pPr>
      <w:r w:rsidRPr="00F04593">
        <w:rPr>
          <w:lang w:val="en-US"/>
        </w:rPr>
        <w:t>Under the Act, ‘mental health service providers’ are designated mental health services (often public or denominational hospitals) and publicly funded mental health community support services. Often referred to jointly as ‘public mental health services’, these services include a range of hospital and</w:t>
      </w:r>
      <w:r>
        <w:rPr>
          <w:lang w:val="en-US"/>
        </w:rPr>
        <w:t xml:space="preserve"> </w:t>
      </w:r>
      <w:r w:rsidRPr="00F04593">
        <w:rPr>
          <w:lang w:val="en-US"/>
        </w:rPr>
        <w:t xml:space="preserve">community-based clinical mental health services and the Victorian Institute of Forensic Mental Health (known as ‘Forensicare’). More information about the Act and how it relates to the role of the Chief Psychiatrist can be found on </w:t>
      </w:r>
      <w:hyperlink r:id="rId16" w:history="1">
        <w:r w:rsidR="00EE5025" w:rsidRPr="00433C13">
          <w:rPr>
            <w:rStyle w:val="Hyperlink"/>
            <w:lang w:val="en-US"/>
          </w:rPr>
          <w:t xml:space="preserve">the </w:t>
        </w:r>
        <w:r w:rsidR="00ED205E">
          <w:rPr>
            <w:rStyle w:val="Hyperlink"/>
            <w:lang w:val="en-US"/>
          </w:rPr>
          <w:t>d</w:t>
        </w:r>
        <w:r w:rsidR="00EE5025" w:rsidRPr="00433C13">
          <w:rPr>
            <w:rStyle w:val="Hyperlink"/>
            <w:lang w:val="en-US"/>
          </w:rPr>
          <w:t>epartment’s website</w:t>
        </w:r>
      </w:hyperlink>
      <w:r w:rsidRPr="00F04593">
        <w:rPr>
          <w:lang w:val="en-US"/>
        </w:rPr>
        <w:t xml:space="preserve"> </w:t>
      </w:r>
      <w:r w:rsidR="00500664">
        <w:rPr>
          <w:lang w:val="en-US"/>
        </w:rPr>
        <w:t>&lt;</w:t>
      </w:r>
      <w:r w:rsidR="005C0931" w:rsidRPr="005C0931">
        <w:t>https://www.health.vic.gov.au/practice-and-service-quality/mental-health-act-2014</w:t>
      </w:r>
      <w:r w:rsidR="00500664">
        <w:rPr>
          <w:lang w:val="en-US"/>
        </w:rPr>
        <w:t>&gt;</w:t>
      </w:r>
      <w:r w:rsidRPr="00F04593">
        <w:rPr>
          <w:lang w:val="en-US"/>
        </w:rPr>
        <w:t>.</w:t>
      </w:r>
      <w:r w:rsidR="0057779F">
        <w:rPr>
          <w:lang w:val="en-US"/>
        </w:rPr>
        <w:t xml:space="preserve"> </w:t>
      </w:r>
    </w:p>
    <w:p w14:paraId="3CC0C9D1" w14:textId="27374CA4" w:rsidR="00992202" w:rsidRDefault="00992202">
      <w:pPr>
        <w:rPr>
          <w:rFonts w:ascii="Arial" w:eastAsia="Times" w:hAnsi="Arial"/>
          <w:sz w:val="21"/>
          <w:szCs w:val="21"/>
          <w:lang w:val="en-US"/>
        </w:rPr>
      </w:pPr>
      <w:r>
        <w:rPr>
          <w:lang w:val="en-US"/>
        </w:rPr>
        <w:br w:type="page"/>
      </w:r>
    </w:p>
    <w:tbl>
      <w:tblPr>
        <w:tblStyle w:val="TableGrid"/>
        <w:tblW w:w="0" w:type="auto"/>
        <w:tblLook w:val="04A0" w:firstRow="1" w:lastRow="0" w:firstColumn="1" w:lastColumn="0" w:noHBand="0" w:noVBand="1"/>
      </w:tblPr>
      <w:tblGrid>
        <w:gridCol w:w="9168"/>
      </w:tblGrid>
      <w:tr w:rsidR="00175330" w14:paraId="33F40609" w14:textId="77777777" w:rsidTr="00175330">
        <w:tc>
          <w:tcPr>
            <w:tcW w:w="9288" w:type="dxa"/>
            <w:shd w:val="clear" w:color="auto" w:fill="C6D9F1" w:themeFill="text2" w:themeFillTint="33"/>
          </w:tcPr>
          <w:p w14:paraId="1FCAEBCD" w14:textId="0B0CFD6E" w:rsidR="00175330" w:rsidRPr="004F2EC3" w:rsidRDefault="004F2EC3" w:rsidP="001016D6">
            <w:pPr>
              <w:pStyle w:val="Body"/>
              <w:rPr>
                <w:b/>
                <w:bCs/>
                <w:i/>
                <w:iCs/>
                <w:lang w:val="en-US"/>
              </w:rPr>
            </w:pPr>
            <w:bookmarkStart w:id="16" w:name="_Toc52886235"/>
            <w:r w:rsidRPr="004F2EC3">
              <w:rPr>
                <w:b/>
                <w:bCs/>
                <w:lang w:val="en-US"/>
              </w:rPr>
              <w:lastRenderedPageBreak/>
              <w:t>Commencement of</w:t>
            </w:r>
            <w:r w:rsidR="00071A1C">
              <w:rPr>
                <w:b/>
                <w:bCs/>
                <w:lang w:val="en-US"/>
              </w:rPr>
              <w:t xml:space="preserve"> the</w:t>
            </w:r>
            <w:r w:rsidRPr="004F2EC3">
              <w:rPr>
                <w:b/>
                <w:bCs/>
                <w:i/>
                <w:iCs/>
                <w:lang w:val="en-US"/>
              </w:rPr>
              <w:t xml:space="preserve"> </w:t>
            </w:r>
            <w:r w:rsidR="00024F4B" w:rsidRPr="004F2EC3">
              <w:rPr>
                <w:b/>
                <w:bCs/>
                <w:i/>
                <w:iCs/>
                <w:lang w:val="en-US"/>
              </w:rPr>
              <w:t>Mental Health and Wellbeing Act 2022</w:t>
            </w:r>
          </w:p>
          <w:p w14:paraId="6072ECD1" w14:textId="3121AB38" w:rsidR="00175330" w:rsidRDefault="00175330" w:rsidP="001016D6">
            <w:pPr>
              <w:pStyle w:val="Body"/>
              <w:rPr>
                <w:lang w:val="en-US"/>
              </w:rPr>
            </w:pPr>
            <w:r w:rsidRPr="00123091">
              <w:rPr>
                <w:lang w:val="en-US"/>
              </w:rPr>
              <w:t xml:space="preserve">The Royal Commission into Victoria’s Mental Health System recommended </w:t>
            </w:r>
            <w:r>
              <w:rPr>
                <w:lang w:val="en-US"/>
              </w:rPr>
              <w:t xml:space="preserve">that </w:t>
            </w:r>
            <w:r w:rsidRPr="00123091">
              <w:rPr>
                <w:lang w:val="en-US"/>
              </w:rPr>
              <w:t xml:space="preserve">the Victorian Government </w:t>
            </w:r>
            <w:r>
              <w:rPr>
                <w:lang w:val="en-US"/>
              </w:rPr>
              <w:t>replace</w:t>
            </w:r>
            <w:r w:rsidRPr="00123091">
              <w:rPr>
                <w:lang w:val="en-US"/>
              </w:rPr>
              <w:t xml:space="preserve"> the </w:t>
            </w:r>
            <w:r w:rsidRPr="005C3C22">
              <w:rPr>
                <w:i/>
                <w:iCs/>
                <w:lang w:val="en-US"/>
              </w:rPr>
              <w:t>Mental Health Act 2014</w:t>
            </w:r>
            <w:r>
              <w:rPr>
                <w:lang w:val="en-US"/>
              </w:rPr>
              <w:t xml:space="preserve"> with</w:t>
            </w:r>
            <w:r w:rsidRPr="00123091">
              <w:rPr>
                <w:lang w:val="en-US"/>
              </w:rPr>
              <w:t xml:space="preserve"> a new </w:t>
            </w:r>
            <w:r>
              <w:rPr>
                <w:lang w:val="en-US"/>
              </w:rPr>
              <w:t>act</w:t>
            </w:r>
            <w:r w:rsidRPr="00123091">
              <w:rPr>
                <w:lang w:val="en-US"/>
              </w:rPr>
              <w:t>.</w:t>
            </w:r>
            <w:r>
              <w:rPr>
                <w:lang w:val="en-US"/>
              </w:rPr>
              <w:t xml:space="preserve"> </w:t>
            </w:r>
            <w:r w:rsidR="00556C52">
              <w:rPr>
                <w:lang w:val="en-US"/>
              </w:rPr>
              <w:t xml:space="preserve">As part of this </w:t>
            </w:r>
            <w:r w:rsidR="00A95791">
              <w:rPr>
                <w:lang w:val="en-US"/>
              </w:rPr>
              <w:t>reform priority</w:t>
            </w:r>
            <w:r w:rsidR="00800939">
              <w:rPr>
                <w:lang w:val="en-US"/>
              </w:rPr>
              <w:t>, t</w:t>
            </w:r>
            <w:r>
              <w:rPr>
                <w:lang w:val="en-US"/>
              </w:rPr>
              <w:t xml:space="preserve">he </w:t>
            </w:r>
            <w:r w:rsidRPr="00D56A6A">
              <w:rPr>
                <w:i/>
                <w:iCs/>
                <w:lang w:val="en-US"/>
              </w:rPr>
              <w:t>Mental Health and Wellbeing Act 2022</w:t>
            </w:r>
            <w:r>
              <w:rPr>
                <w:lang w:val="en-US"/>
              </w:rPr>
              <w:t xml:space="preserve"> was introduced by Victoria’s Parliament in September 2022 and commenced on 1 September 2023. The new Act broadens the Chief Psychiatrist’s oversight to encompass mental health and wellbeing services delivered in custodial settings and in the community, along with the regulation of chemical restraint. Next year’s annual report will cover the period of the new Act’s commencement, and so will report on the new aspects of the Chief Psychiatrist’s expanded role.</w:t>
            </w:r>
          </w:p>
        </w:tc>
      </w:tr>
    </w:tbl>
    <w:p w14:paraId="2D4EE82A" w14:textId="53F648A4" w:rsidR="00381B2F" w:rsidRPr="004E11BD" w:rsidRDefault="00381B2F" w:rsidP="004E11BD">
      <w:pPr>
        <w:pStyle w:val="Heading2"/>
        <w:tabs>
          <w:tab w:val="left" w:pos="2942"/>
        </w:tabs>
        <w:rPr>
          <w:b w:val="0"/>
          <w:bCs/>
          <w:color w:val="000000" w:themeColor="text1"/>
          <w:sz w:val="22"/>
          <w:szCs w:val="22"/>
        </w:rPr>
      </w:pPr>
      <w:bookmarkStart w:id="17" w:name="_Toc149041966"/>
      <w:r w:rsidRPr="00F04593">
        <w:rPr>
          <w:lang w:val="en-US"/>
        </w:rPr>
        <w:t>Functions of the Chief Psychiatrist</w:t>
      </w:r>
      <w:bookmarkEnd w:id="16"/>
      <w:bookmarkEnd w:id="17"/>
      <w:r w:rsidR="004E11BD" w:rsidRPr="004E11BD">
        <w:rPr>
          <w:rStyle w:val="Heading3Char"/>
          <w:b w:val="0"/>
          <w:color w:val="auto"/>
          <w:sz w:val="22"/>
          <w:szCs w:val="22"/>
        </w:rPr>
        <w:tab/>
      </w:r>
      <w:r w:rsidR="004E11BD">
        <w:rPr>
          <w:rStyle w:val="Heading3Char"/>
          <w:bCs w:val="0"/>
          <w:sz w:val="28"/>
          <w:szCs w:val="28"/>
        </w:rPr>
        <w:t xml:space="preserve"> </w:t>
      </w:r>
    </w:p>
    <w:p w14:paraId="472D6A53" w14:textId="210067C0" w:rsidR="00381B2F" w:rsidRDefault="00381B2F" w:rsidP="00563C62">
      <w:pPr>
        <w:pStyle w:val="Body"/>
        <w:rPr>
          <w:lang w:val="en-US"/>
        </w:rPr>
      </w:pPr>
      <w:r w:rsidRPr="00F04593">
        <w:rPr>
          <w:lang w:val="en-US"/>
        </w:rPr>
        <w:t xml:space="preserve">The Chief Psychiatrist provides system-wide oversight of Victoria’s public mental health </w:t>
      </w:r>
      <w:r w:rsidR="004514A6">
        <w:rPr>
          <w:lang w:val="en-US"/>
        </w:rPr>
        <w:t xml:space="preserve">and wellbeing </w:t>
      </w:r>
      <w:r w:rsidRPr="00F04593">
        <w:rPr>
          <w:lang w:val="en-US"/>
        </w:rPr>
        <w:t xml:space="preserve">services. Supported by the OCP, the role promotes quality and safety in services </w:t>
      </w:r>
      <w:r w:rsidR="00751A64">
        <w:rPr>
          <w:lang w:val="en-US"/>
        </w:rPr>
        <w:t xml:space="preserve">that are </w:t>
      </w:r>
      <w:r w:rsidRPr="00F04593">
        <w:rPr>
          <w:lang w:val="en-US"/>
        </w:rPr>
        <w:t xml:space="preserve">provided to some of </w:t>
      </w:r>
      <w:r w:rsidR="000846DB">
        <w:rPr>
          <w:lang w:val="en-US"/>
        </w:rPr>
        <w:t>the state’s</w:t>
      </w:r>
      <w:r w:rsidR="000846DB" w:rsidRPr="00F04593">
        <w:rPr>
          <w:lang w:val="en-US"/>
        </w:rPr>
        <w:t xml:space="preserve"> </w:t>
      </w:r>
      <w:r w:rsidRPr="00F04593">
        <w:rPr>
          <w:lang w:val="en-US"/>
        </w:rPr>
        <w:t xml:space="preserve">most vulnerable people. The functions of the Chief Psychiatrist, as summarised under s 121 of </w:t>
      </w:r>
      <w:r w:rsidR="00477392">
        <w:rPr>
          <w:lang w:val="en-US"/>
        </w:rPr>
        <w:t>the</w:t>
      </w:r>
      <w:r w:rsidR="005E58D9">
        <w:rPr>
          <w:lang w:val="en-US"/>
        </w:rPr>
        <w:t xml:space="preserve"> </w:t>
      </w:r>
      <w:r w:rsidRPr="00F04593">
        <w:rPr>
          <w:lang w:val="en-US"/>
        </w:rPr>
        <w:t xml:space="preserve">Act, </w:t>
      </w:r>
      <w:r w:rsidR="0062282B">
        <w:rPr>
          <w:lang w:val="en-US"/>
        </w:rPr>
        <w:t>include</w:t>
      </w:r>
      <w:r w:rsidR="00FA4B8C">
        <w:rPr>
          <w:lang w:val="en-US"/>
        </w:rPr>
        <w:t xml:space="preserve"> a requirement</w:t>
      </w:r>
      <w:r w:rsidRPr="00F04593">
        <w:rPr>
          <w:lang w:val="en-US"/>
        </w:rPr>
        <w:t xml:space="preserve"> to: </w:t>
      </w:r>
    </w:p>
    <w:p w14:paraId="3454CE8A" w14:textId="77777777" w:rsidR="00381B2F" w:rsidRPr="00F04593" w:rsidRDefault="00381B2F" w:rsidP="00563C62">
      <w:pPr>
        <w:pStyle w:val="Bullet1"/>
      </w:pPr>
      <w:r w:rsidRPr="00F04593">
        <w:t xml:space="preserve">develop, communicate and assist mental health service providers to comply with standards, guidelines and practice </w:t>
      </w:r>
      <w:proofErr w:type="gramStart"/>
      <w:r w:rsidRPr="00F04593">
        <w:t>directions</w:t>
      </w:r>
      <w:proofErr w:type="gramEnd"/>
      <w:r w:rsidRPr="00F04593">
        <w:t xml:space="preserve"> </w:t>
      </w:r>
    </w:p>
    <w:p w14:paraId="54DF4D96" w14:textId="30F0C1E5" w:rsidR="00381B2F" w:rsidRDefault="00381B2F" w:rsidP="00563C62">
      <w:pPr>
        <w:pStyle w:val="Bullet1"/>
      </w:pPr>
      <w:r w:rsidRPr="00F04593">
        <w:t xml:space="preserve">assist mental health services to comply with the Act, </w:t>
      </w:r>
      <w:r w:rsidR="00612485">
        <w:t xml:space="preserve">with </w:t>
      </w:r>
      <w:r w:rsidRPr="00F04593">
        <w:t xml:space="preserve">regulations made under the Act and </w:t>
      </w:r>
      <w:r w:rsidR="00612485">
        <w:t xml:space="preserve">with </w:t>
      </w:r>
      <w:r w:rsidRPr="00F04593">
        <w:t>codes of practice</w:t>
      </w:r>
    </w:p>
    <w:p w14:paraId="6467B989" w14:textId="77777777" w:rsidR="003640C3" w:rsidRPr="003640C3" w:rsidRDefault="003640C3" w:rsidP="003640C3">
      <w:pPr>
        <w:pStyle w:val="Bullet1"/>
      </w:pPr>
      <w:r w:rsidRPr="003640C3">
        <w:t xml:space="preserve">develop and provide information or training, and monitor service provision, to promote quality and safety </w:t>
      </w:r>
    </w:p>
    <w:p w14:paraId="15B04E75" w14:textId="77777777" w:rsidR="00381B2F" w:rsidRPr="00F04593" w:rsidRDefault="00381B2F" w:rsidP="00563C62">
      <w:pPr>
        <w:pStyle w:val="Bullet1"/>
      </w:pPr>
      <w:r w:rsidRPr="00F04593">
        <w:t xml:space="preserve">conduct clinical practice audits and clinical reviews of mental health service providers and investigations in relation to service provision </w:t>
      </w:r>
    </w:p>
    <w:p w14:paraId="27BEA59D" w14:textId="77777777" w:rsidR="00381B2F" w:rsidRDefault="00381B2F" w:rsidP="00563C62">
      <w:pPr>
        <w:pStyle w:val="Bullet1"/>
      </w:pPr>
      <w:r w:rsidRPr="00F04593">
        <w:t xml:space="preserve">analyse data, undertake research and publish information about mental health </w:t>
      </w:r>
      <w:proofErr w:type="gramStart"/>
      <w:r w:rsidRPr="00F04593">
        <w:t>services</w:t>
      </w:r>
      <w:proofErr w:type="gramEnd"/>
      <w:r w:rsidRPr="00F04593">
        <w:t xml:space="preserve"> </w:t>
      </w:r>
    </w:p>
    <w:p w14:paraId="57E439F9" w14:textId="77777777" w:rsidR="00381B2F" w:rsidRPr="00F04593" w:rsidRDefault="00381B2F" w:rsidP="00563C62">
      <w:pPr>
        <w:pStyle w:val="Bullet1"/>
      </w:pPr>
      <w:r w:rsidRPr="00F04593">
        <w:t xml:space="preserve">publish an annual report </w:t>
      </w:r>
    </w:p>
    <w:p w14:paraId="6990D94D" w14:textId="77777777" w:rsidR="00381B2F" w:rsidRPr="00F04593" w:rsidRDefault="00381B2F" w:rsidP="00563C62">
      <w:pPr>
        <w:pStyle w:val="Bullet1"/>
      </w:pPr>
      <w:r w:rsidRPr="00F04593">
        <w:t xml:space="preserve">give directions to mental health service providers </w:t>
      </w:r>
      <w:r w:rsidR="00612485">
        <w:t xml:space="preserve">about </w:t>
      </w:r>
      <w:r w:rsidRPr="00F04593">
        <w:t>service provision</w:t>
      </w:r>
    </w:p>
    <w:p w14:paraId="74ED42A0" w14:textId="77777777" w:rsidR="00381B2F" w:rsidRDefault="00381B2F" w:rsidP="00563C62">
      <w:pPr>
        <w:pStyle w:val="Bullet1"/>
      </w:pPr>
      <w:r w:rsidRPr="00F04593">
        <w:t>promote cooperation and coordination between mental health services and providers of health, disability and community support services.</w:t>
      </w:r>
      <w:r w:rsidR="0057779F">
        <w:t xml:space="preserve"> </w:t>
      </w:r>
    </w:p>
    <w:p w14:paraId="0362C57D" w14:textId="705D4EF2" w:rsidR="00C2527A" w:rsidRPr="004E11BD" w:rsidRDefault="00381B2F" w:rsidP="004E11BD">
      <w:pPr>
        <w:pStyle w:val="Heading2"/>
        <w:tabs>
          <w:tab w:val="left" w:pos="2942"/>
        </w:tabs>
        <w:rPr>
          <w:b w:val="0"/>
          <w:bCs/>
          <w:color w:val="000000" w:themeColor="text1"/>
          <w:sz w:val="22"/>
          <w:szCs w:val="22"/>
        </w:rPr>
      </w:pPr>
      <w:bookmarkStart w:id="18" w:name="_Toc52886236"/>
      <w:bookmarkStart w:id="19" w:name="_Toc149041967"/>
      <w:r w:rsidRPr="00F04593">
        <w:rPr>
          <w:lang w:val="en-US"/>
        </w:rPr>
        <w:t>Office of the Chief Psychiatrist and the Department of Health</w:t>
      </w:r>
      <w:bookmarkEnd w:id="18"/>
      <w:bookmarkEnd w:id="19"/>
    </w:p>
    <w:p w14:paraId="5234DE7A" w14:textId="2E0C9772" w:rsidR="00381B2F" w:rsidRDefault="00381B2F" w:rsidP="00563C62">
      <w:pPr>
        <w:pStyle w:val="Body"/>
        <w:rPr>
          <w:lang w:val="en-US"/>
        </w:rPr>
      </w:pPr>
      <w:r w:rsidRPr="00F04593">
        <w:rPr>
          <w:lang w:val="en-US"/>
        </w:rPr>
        <w:t xml:space="preserve">The Act defines the statutory role of the Chief Psychiatrist, who also holds an executive officer role in the </w:t>
      </w:r>
      <w:r w:rsidR="00ED205E">
        <w:rPr>
          <w:lang w:val="en-US"/>
        </w:rPr>
        <w:t>d</w:t>
      </w:r>
      <w:r w:rsidRPr="00F04593">
        <w:rPr>
          <w:lang w:val="en-US"/>
        </w:rPr>
        <w:t>epartment</w:t>
      </w:r>
      <w:r w:rsidR="009159EC">
        <w:rPr>
          <w:lang w:val="en-US"/>
        </w:rPr>
        <w:t>, where they lead</w:t>
      </w:r>
      <w:r w:rsidRPr="00F04593">
        <w:rPr>
          <w:lang w:val="en-US"/>
        </w:rPr>
        <w:t xml:space="preserve"> the OCP.</w:t>
      </w:r>
      <w:r w:rsidR="0057779F">
        <w:rPr>
          <w:lang w:val="en-US"/>
        </w:rPr>
        <w:t xml:space="preserve"> </w:t>
      </w:r>
      <w:r w:rsidRPr="00F04593">
        <w:rPr>
          <w:lang w:val="en-US"/>
        </w:rPr>
        <w:t xml:space="preserve">As the </w:t>
      </w:r>
      <w:r w:rsidR="00ED205E">
        <w:rPr>
          <w:lang w:val="en-US"/>
        </w:rPr>
        <w:t>d</w:t>
      </w:r>
      <w:r w:rsidRPr="00F04593">
        <w:rPr>
          <w:lang w:val="en-US"/>
        </w:rPr>
        <w:t xml:space="preserve">epartment’s quality and safety arm in </w:t>
      </w:r>
      <w:r w:rsidR="00B90937">
        <w:rPr>
          <w:lang w:val="en-US"/>
        </w:rPr>
        <w:t xml:space="preserve">guiding </w:t>
      </w:r>
      <w:r w:rsidRPr="00F04593">
        <w:rPr>
          <w:lang w:val="en-US"/>
        </w:rPr>
        <w:t xml:space="preserve">clinical mental health services, the OCP supports the Chief Psychiatrist’s responsibility to provide clinical leadership to the sector. </w:t>
      </w:r>
      <w:r w:rsidRPr="006D2325">
        <w:rPr>
          <w:lang w:val="en-US"/>
        </w:rPr>
        <w:t>The OCP</w:t>
      </w:r>
      <w:r w:rsidRPr="00F04593">
        <w:rPr>
          <w:lang w:val="en-US"/>
        </w:rPr>
        <w:t xml:space="preserve"> undertakes a wide range of activities including:</w:t>
      </w:r>
      <w:r w:rsidR="0057779F">
        <w:rPr>
          <w:lang w:val="en-US"/>
        </w:rPr>
        <w:t xml:space="preserve"> </w:t>
      </w:r>
    </w:p>
    <w:p w14:paraId="5147CB88" w14:textId="77777777" w:rsidR="00381B2F" w:rsidRPr="00F04593" w:rsidRDefault="00381B2F" w:rsidP="00563C62">
      <w:pPr>
        <w:pStyle w:val="Bullet1"/>
      </w:pPr>
      <w:r w:rsidRPr="00F04593">
        <w:t xml:space="preserve">monitoring restrictive and invasive interventions, which include seclusion, restraint and electroconvulsive treatment (ECT) </w:t>
      </w:r>
    </w:p>
    <w:p w14:paraId="4A57F8BF" w14:textId="510E5722" w:rsidR="00381B2F" w:rsidRPr="00F04593" w:rsidRDefault="00381B2F" w:rsidP="00563C62">
      <w:pPr>
        <w:pStyle w:val="Bullet1"/>
      </w:pPr>
      <w:r w:rsidRPr="00F04593">
        <w:t>responding to serious clinical incidents</w:t>
      </w:r>
      <w:r w:rsidR="0057779F">
        <w:t xml:space="preserve"> </w:t>
      </w:r>
    </w:p>
    <w:p w14:paraId="2BEE9726" w14:textId="40106ACE" w:rsidR="00381B2F" w:rsidRPr="00F04593" w:rsidRDefault="00381B2F" w:rsidP="00563C62">
      <w:pPr>
        <w:pStyle w:val="Bullet1"/>
      </w:pPr>
      <w:r w:rsidRPr="00F04593">
        <w:t>working with mental health and other service providers to improve care for individual consumers</w:t>
      </w:r>
      <w:r w:rsidR="0057779F">
        <w:t xml:space="preserve"> </w:t>
      </w:r>
    </w:p>
    <w:p w14:paraId="7B294586" w14:textId="77777777" w:rsidR="00381B2F" w:rsidRDefault="00381B2F" w:rsidP="00563C62">
      <w:pPr>
        <w:pStyle w:val="Bullet1"/>
      </w:pPr>
      <w:r w:rsidRPr="00F04593">
        <w:t>helping to embed new practices and models of care.</w:t>
      </w:r>
    </w:p>
    <w:p w14:paraId="21A52B76" w14:textId="4E446FDD" w:rsidR="004A1104" w:rsidRDefault="00CB3D7A" w:rsidP="0032154F">
      <w:pPr>
        <w:pStyle w:val="Bodyafterbullets"/>
        <w:rPr>
          <w:lang w:val="en-US"/>
        </w:rPr>
      </w:pPr>
      <w:r>
        <w:rPr>
          <w:lang w:val="en-US"/>
        </w:rPr>
        <w:t>The OCP works closely with Safer Care Victoria to</w:t>
      </w:r>
      <w:r w:rsidR="004871F0">
        <w:rPr>
          <w:lang w:val="en-US"/>
        </w:rPr>
        <w:t xml:space="preserve"> ensure mental health service</w:t>
      </w:r>
      <w:r w:rsidR="003860F8">
        <w:rPr>
          <w:lang w:val="en-US"/>
        </w:rPr>
        <w:t>s</w:t>
      </w:r>
      <w:r w:rsidR="004871F0">
        <w:rPr>
          <w:lang w:val="en-US"/>
        </w:rPr>
        <w:t xml:space="preserve"> </w:t>
      </w:r>
      <w:r w:rsidR="003860F8">
        <w:rPr>
          <w:lang w:val="en-US"/>
        </w:rPr>
        <w:t>are</w:t>
      </w:r>
      <w:r w:rsidR="004871F0">
        <w:rPr>
          <w:lang w:val="en-US"/>
        </w:rPr>
        <w:t xml:space="preserve"> safe and of a high standard. </w:t>
      </w:r>
      <w:r w:rsidR="00017299">
        <w:rPr>
          <w:lang w:val="en-US"/>
        </w:rPr>
        <w:t xml:space="preserve">In the new mental health and wellbeing system recommended by the Royal Commission, quality and safety governance is </w:t>
      </w:r>
      <w:r w:rsidR="00FC032F">
        <w:rPr>
          <w:lang w:val="en-US"/>
        </w:rPr>
        <w:t>a</w:t>
      </w:r>
      <w:r w:rsidR="00017299">
        <w:rPr>
          <w:lang w:val="en-US"/>
        </w:rPr>
        <w:t xml:space="preserve"> responsibility </w:t>
      </w:r>
      <w:r w:rsidR="00FC032F">
        <w:rPr>
          <w:lang w:val="en-US"/>
        </w:rPr>
        <w:t xml:space="preserve">shared </w:t>
      </w:r>
      <w:r w:rsidR="00017299">
        <w:rPr>
          <w:lang w:val="en-US"/>
        </w:rPr>
        <w:t xml:space="preserve">between </w:t>
      </w:r>
      <w:r w:rsidR="00FC032F">
        <w:rPr>
          <w:lang w:val="en-US"/>
        </w:rPr>
        <w:t>each body</w:t>
      </w:r>
      <w:r w:rsidR="003860F8">
        <w:rPr>
          <w:lang w:val="en-US"/>
        </w:rPr>
        <w:t>.</w:t>
      </w:r>
      <w:r w:rsidR="00FC032F">
        <w:rPr>
          <w:lang w:val="en-US"/>
        </w:rPr>
        <w:t xml:space="preserve"> </w:t>
      </w:r>
      <w:r w:rsidR="003860F8">
        <w:rPr>
          <w:lang w:val="en-US"/>
        </w:rPr>
        <w:t>T</w:t>
      </w:r>
      <w:r w:rsidR="00FC032F">
        <w:rPr>
          <w:lang w:val="en-US"/>
        </w:rPr>
        <w:t xml:space="preserve">he </w:t>
      </w:r>
      <w:r w:rsidR="0040158E">
        <w:rPr>
          <w:lang w:val="en-US"/>
        </w:rPr>
        <w:t>OCP undertak</w:t>
      </w:r>
      <w:r w:rsidR="002A2773">
        <w:rPr>
          <w:lang w:val="en-US"/>
        </w:rPr>
        <w:t>es</w:t>
      </w:r>
      <w:r w:rsidR="0040158E">
        <w:rPr>
          <w:lang w:val="en-US"/>
        </w:rPr>
        <w:t xml:space="preserve"> its </w:t>
      </w:r>
      <w:r w:rsidR="00FC032F">
        <w:rPr>
          <w:lang w:val="en-US"/>
        </w:rPr>
        <w:t xml:space="preserve">oversight activities </w:t>
      </w:r>
      <w:r w:rsidR="0040158E">
        <w:rPr>
          <w:lang w:val="en-US"/>
        </w:rPr>
        <w:t xml:space="preserve">alongside </w:t>
      </w:r>
      <w:r w:rsidR="00294135">
        <w:rPr>
          <w:lang w:val="en-US"/>
        </w:rPr>
        <w:t xml:space="preserve">Safer Care Victoria’s </w:t>
      </w:r>
      <w:r w:rsidR="00FC032F">
        <w:rPr>
          <w:lang w:val="en-US"/>
        </w:rPr>
        <w:t xml:space="preserve">training </w:t>
      </w:r>
      <w:r w:rsidR="000A559C">
        <w:rPr>
          <w:lang w:val="en-US"/>
        </w:rPr>
        <w:t xml:space="preserve">and education activities </w:t>
      </w:r>
      <w:r w:rsidR="00FC032F">
        <w:rPr>
          <w:lang w:val="en-US"/>
        </w:rPr>
        <w:t xml:space="preserve">to </w:t>
      </w:r>
      <w:r w:rsidR="00FA2B04">
        <w:rPr>
          <w:lang w:val="en-US"/>
        </w:rPr>
        <w:t>embed</w:t>
      </w:r>
      <w:r w:rsidR="00FC032F">
        <w:rPr>
          <w:lang w:val="en-US"/>
        </w:rPr>
        <w:t xml:space="preserve"> contemporary approaches to treatment and care</w:t>
      </w:r>
      <w:r w:rsidR="00017299">
        <w:rPr>
          <w:lang w:val="en-US"/>
        </w:rPr>
        <w:t xml:space="preserve">. </w:t>
      </w:r>
      <w:r w:rsidR="008C4D68">
        <w:rPr>
          <w:lang w:val="en-US"/>
        </w:rPr>
        <w:t xml:space="preserve">Regular meetings </w:t>
      </w:r>
      <w:r w:rsidR="00CA5340">
        <w:rPr>
          <w:lang w:val="en-US"/>
        </w:rPr>
        <w:t>with Safer Care Victoria</w:t>
      </w:r>
      <w:r w:rsidR="008B2E78">
        <w:rPr>
          <w:lang w:val="en-US"/>
        </w:rPr>
        <w:t xml:space="preserve"> </w:t>
      </w:r>
      <w:r w:rsidR="003860F8">
        <w:rPr>
          <w:lang w:val="en-US"/>
        </w:rPr>
        <w:t xml:space="preserve">help </w:t>
      </w:r>
      <w:r w:rsidR="00E777D3">
        <w:rPr>
          <w:lang w:val="en-US"/>
        </w:rPr>
        <w:t>align</w:t>
      </w:r>
      <w:r w:rsidR="00C85EAC">
        <w:rPr>
          <w:lang w:val="en-US"/>
        </w:rPr>
        <w:t xml:space="preserve"> these</w:t>
      </w:r>
      <w:r w:rsidR="00017299">
        <w:rPr>
          <w:lang w:val="en-US"/>
        </w:rPr>
        <w:t xml:space="preserve"> </w:t>
      </w:r>
      <w:r w:rsidR="00FC032F">
        <w:rPr>
          <w:lang w:val="en-US"/>
        </w:rPr>
        <w:t>activities</w:t>
      </w:r>
      <w:r w:rsidR="00017299">
        <w:rPr>
          <w:lang w:val="en-US"/>
        </w:rPr>
        <w:t xml:space="preserve"> </w:t>
      </w:r>
      <w:r w:rsidR="00FA2B04">
        <w:rPr>
          <w:lang w:val="en-US"/>
        </w:rPr>
        <w:t>and ensure mental health governance is integrated and effective.</w:t>
      </w:r>
    </w:p>
    <w:tbl>
      <w:tblPr>
        <w:tblStyle w:val="TableGrid"/>
        <w:tblW w:w="0" w:type="auto"/>
        <w:tblLook w:val="04A0" w:firstRow="1" w:lastRow="0" w:firstColumn="1" w:lastColumn="0" w:noHBand="0" w:noVBand="1"/>
      </w:tblPr>
      <w:tblGrid>
        <w:gridCol w:w="9168"/>
      </w:tblGrid>
      <w:tr w:rsidR="004F2EC3" w14:paraId="7978A8A6" w14:textId="77777777">
        <w:tc>
          <w:tcPr>
            <w:tcW w:w="9180" w:type="dxa"/>
            <w:shd w:val="clear" w:color="auto" w:fill="C6D9F1" w:themeFill="text2" w:themeFillTint="33"/>
          </w:tcPr>
          <w:p w14:paraId="5629AFFB" w14:textId="77777777" w:rsidR="004F2EC3" w:rsidRPr="008F6693" w:rsidRDefault="004F2EC3">
            <w:pPr>
              <w:pStyle w:val="DHHSbody"/>
              <w:rPr>
                <w:b/>
                <w:bCs/>
                <w:sz w:val="21"/>
                <w:szCs w:val="21"/>
              </w:rPr>
            </w:pPr>
            <w:bookmarkStart w:id="20" w:name="_Hlk51074546"/>
            <w:r w:rsidRPr="008F6693">
              <w:rPr>
                <w:b/>
                <w:bCs/>
                <w:sz w:val="21"/>
                <w:szCs w:val="21"/>
              </w:rPr>
              <w:lastRenderedPageBreak/>
              <w:t>A note on this year’s annual report</w:t>
            </w:r>
          </w:p>
          <w:p w14:paraId="185113FE" w14:textId="081FF668" w:rsidR="004F2EC3" w:rsidRPr="00C930C4" w:rsidRDefault="004F2EC3">
            <w:pPr>
              <w:pStyle w:val="DHHSbody"/>
              <w:rPr>
                <w:sz w:val="21"/>
                <w:szCs w:val="21"/>
              </w:rPr>
            </w:pPr>
            <w:r>
              <w:rPr>
                <w:sz w:val="21"/>
                <w:szCs w:val="21"/>
              </w:rPr>
              <w:t>A</w:t>
            </w:r>
            <w:r w:rsidRPr="000E7654">
              <w:rPr>
                <w:sz w:val="21"/>
                <w:szCs w:val="21"/>
              </w:rPr>
              <w:t xml:space="preserve">t the time of preparing </w:t>
            </w:r>
            <w:r>
              <w:rPr>
                <w:sz w:val="21"/>
                <w:szCs w:val="21"/>
              </w:rPr>
              <w:t xml:space="preserve">this year’s annual report, </w:t>
            </w:r>
            <w:r w:rsidRPr="000E7654">
              <w:rPr>
                <w:sz w:val="21"/>
                <w:szCs w:val="21"/>
              </w:rPr>
              <w:t>the O</w:t>
            </w:r>
            <w:r>
              <w:rPr>
                <w:sz w:val="21"/>
                <w:szCs w:val="21"/>
              </w:rPr>
              <w:t xml:space="preserve">ffice of the </w:t>
            </w:r>
            <w:r w:rsidRPr="000E7654">
              <w:rPr>
                <w:sz w:val="21"/>
                <w:szCs w:val="21"/>
              </w:rPr>
              <w:t>C</w:t>
            </w:r>
            <w:r>
              <w:rPr>
                <w:sz w:val="21"/>
                <w:szCs w:val="21"/>
              </w:rPr>
              <w:t xml:space="preserve">hief </w:t>
            </w:r>
            <w:r w:rsidRPr="000E7654">
              <w:rPr>
                <w:sz w:val="21"/>
                <w:szCs w:val="21"/>
              </w:rPr>
              <w:t>P</w:t>
            </w:r>
            <w:r>
              <w:rPr>
                <w:sz w:val="21"/>
                <w:szCs w:val="21"/>
              </w:rPr>
              <w:t>sychiatrist</w:t>
            </w:r>
            <w:r w:rsidRPr="000E7654">
              <w:rPr>
                <w:sz w:val="21"/>
                <w:szCs w:val="21"/>
              </w:rPr>
              <w:t xml:space="preserve"> was </w:t>
            </w:r>
            <w:r>
              <w:rPr>
                <w:sz w:val="21"/>
                <w:szCs w:val="21"/>
              </w:rPr>
              <w:t xml:space="preserve">supporting the mental health and wellbeing sector </w:t>
            </w:r>
            <w:r w:rsidR="000D7148">
              <w:rPr>
                <w:sz w:val="21"/>
                <w:szCs w:val="21"/>
              </w:rPr>
              <w:t xml:space="preserve">to </w:t>
            </w:r>
            <w:r>
              <w:rPr>
                <w:sz w:val="21"/>
                <w:szCs w:val="21"/>
              </w:rPr>
              <w:t xml:space="preserve">prepare for </w:t>
            </w:r>
            <w:r w:rsidRPr="000E7654">
              <w:rPr>
                <w:sz w:val="21"/>
                <w:szCs w:val="21"/>
              </w:rPr>
              <w:t xml:space="preserve">the </w:t>
            </w:r>
            <w:r>
              <w:rPr>
                <w:sz w:val="21"/>
                <w:szCs w:val="21"/>
              </w:rPr>
              <w:t xml:space="preserve">transition to the </w:t>
            </w:r>
            <w:r w:rsidRPr="00CD7A69">
              <w:rPr>
                <w:i/>
                <w:iCs/>
                <w:sz w:val="21"/>
                <w:szCs w:val="21"/>
              </w:rPr>
              <w:t>Mental Health and Wellbeing Act 2022</w:t>
            </w:r>
            <w:r w:rsidRPr="000E7654">
              <w:rPr>
                <w:sz w:val="21"/>
                <w:szCs w:val="21"/>
              </w:rPr>
              <w:t xml:space="preserve">. </w:t>
            </w:r>
            <w:r>
              <w:rPr>
                <w:sz w:val="21"/>
                <w:szCs w:val="21"/>
              </w:rPr>
              <w:t xml:space="preserve">A considerable proportion of the office’s resources were directed towards facilitating changes to practice and responsibilities required under the new Act. As a result, this year’s annual report </w:t>
            </w:r>
            <w:r w:rsidRPr="000E7654">
              <w:rPr>
                <w:sz w:val="21"/>
                <w:szCs w:val="21"/>
              </w:rPr>
              <w:t xml:space="preserve">is less detailed than in </w:t>
            </w:r>
            <w:r>
              <w:rPr>
                <w:sz w:val="21"/>
                <w:szCs w:val="21"/>
              </w:rPr>
              <w:t>previous</w:t>
            </w:r>
            <w:r w:rsidRPr="000E7654">
              <w:rPr>
                <w:sz w:val="21"/>
                <w:szCs w:val="21"/>
              </w:rPr>
              <w:t xml:space="preserve"> years</w:t>
            </w:r>
            <w:r>
              <w:rPr>
                <w:sz w:val="21"/>
                <w:szCs w:val="21"/>
              </w:rPr>
              <w:t>, covering mainly the</w:t>
            </w:r>
            <w:r w:rsidRPr="000E7654">
              <w:rPr>
                <w:sz w:val="21"/>
                <w:szCs w:val="21"/>
              </w:rPr>
              <w:t xml:space="preserve"> information </w:t>
            </w:r>
            <w:r>
              <w:rPr>
                <w:sz w:val="21"/>
                <w:szCs w:val="21"/>
              </w:rPr>
              <w:t xml:space="preserve">that must be reported as a statutory requirement </w:t>
            </w:r>
            <w:r w:rsidR="000D7148">
              <w:rPr>
                <w:sz w:val="21"/>
                <w:szCs w:val="21"/>
              </w:rPr>
              <w:t>under</w:t>
            </w:r>
            <w:r w:rsidR="000D7148" w:rsidRPr="000E7654">
              <w:rPr>
                <w:sz w:val="21"/>
                <w:szCs w:val="21"/>
              </w:rPr>
              <w:t xml:space="preserve"> </w:t>
            </w:r>
            <w:r>
              <w:rPr>
                <w:sz w:val="21"/>
                <w:szCs w:val="21"/>
              </w:rPr>
              <w:t>s 145</w:t>
            </w:r>
            <w:r w:rsidRPr="000E7654">
              <w:rPr>
                <w:sz w:val="21"/>
                <w:szCs w:val="21"/>
              </w:rPr>
              <w:t xml:space="preserve"> of the </w:t>
            </w:r>
            <w:r w:rsidRPr="002908E6">
              <w:rPr>
                <w:i/>
                <w:iCs/>
                <w:sz w:val="21"/>
                <w:szCs w:val="21"/>
              </w:rPr>
              <w:t>Mental Health Act 2014</w:t>
            </w:r>
            <w:r w:rsidRPr="000E7654">
              <w:rPr>
                <w:sz w:val="21"/>
                <w:szCs w:val="21"/>
              </w:rPr>
              <w:t>.</w:t>
            </w:r>
          </w:p>
        </w:tc>
      </w:tr>
    </w:tbl>
    <w:p w14:paraId="14A0CAAB" w14:textId="5BA8236B" w:rsidR="00E3273B" w:rsidRDefault="004070CE" w:rsidP="00D027A0">
      <w:pPr>
        <w:pStyle w:val="Heading2"/>
        <w:rPr>
          <w:lang w:val="en-US"/>
        </w:rPr>
      </w:pPr>
      <w:bookmarkStart w:id="21" w:name="_Toc149041968"/>
      <w:bookmarkEnd w:id="20"/>
      <w:r>
        <w:rPr>
          <w:lang w:val="en-US"/>
        </w:rPr>
        <w:t xml:space="preserve">Clinical </w:t>
      </w:r>
      <w:r w:rsidR="00D027A0">
        <w:rPr>
          <w:lang w:val="en-US"/>
        </w:rPr>
        <w:t>l</w:t>
      </w:r>
      <w:r>
        <w:rPr>
          <w:lang w:val="en-US"/>
        </w:rPr>
        <w:t xml:space="preserve">eadership </w:t>
      </w:r>
      <w:r w:rsidR="00D027A0">
        <w:rPr>
          <w:lang w:val="en-US"/>
        </w:rPr>
        <w:t>a</w:t>
      </w:r>
      <w:r>
        <w:rPr>
          <w:lang w:val="en-US"/>
        </w:rPr>
        <w:t>ctivities in 2022</w:t>
      </w:r>
      <w:r w:rsidR="00D7458D">
        <w:rPr>
          <w:lang w:val="en-US"/>
        </w:rPr>
        <w:t>–</w:t>
      </w:r>
      <w:r w:rsidR="00D027A0">
        <w:rPr>
          <w:lang w:val="en-US"/>
        </w:rPr>
        <w:t>23</w:t>
      </w:r>
      <w:bookmarkEnd w:id="21"/>
    </w:p>
    <w:p w14:paraId="2BBACB31" w14:textId="38B17923" w:rsidR="00E70A64" w:rsidRPr="00F81B48" w:rsidRDefault="008563BC" w:rsidP="0032154F">
      <w:pPr>
        <w:pStyle w:val="Bodyafterbullets"/>
        <w:rPr>
          <w:lang w:val="en-US"/>
        </w:rPr>
      </w:pPr>
      <w:r w:rsidRPr="00F81B48">
        <w:rPr>
          <w:lang w:val="en-US"/>
        </w:rPr>
        <w:t xml:space="preserve">In the </w:t>
      </w:r>
      <w:r w:rsidR="00E70A64" w:rsidRPr="00F81B48">
        <w:rPr>
          <w:lang w:val="en-US"/>
        </w:rPr>
        <w:t>2022</w:t>
      </w:r>
      <w:r w:rsidR="00D7458D">
        <w:rPr>
          <w:lang w:val="en-US"/>
        </w:rPr>
        <w:t>–</w:t>
      </w:r>
      <w:r w:rsidR="00E70A64" w:rsidRPr="00F81B48">
        <w:rPr>
          <w:lang w:val="en-US"/>
        </w:rPr>
        <w:t>23 financial year, the OCP carried out the following clinical leadership activities:</w:t>
      </w:r>
    </w:p>
    <w:p w14:paraId="21097860" w14:textId="6BE25848" w:rsidR="007449F9" w:rsidRDefault="00EB682F" w:rsidP="00897982">
      <w:pPr>
        <w:pStyle w:val="DHHSbullet1"/>
        <w:spacing w:line="280" w:lineRule="atLeast"/>
        <w:rPr>
          <w:sz w:val="21"/>
          <w:szCs w:val="21"/>
          <w:lang w:val="en-US"/>
        </w:rPr>
      </w:pPr>
      <w:r>
        <w:rPr>
          <w:sz w:val="21"/>
          <w:szCs w:val="21"/>
          <w:lang w:val="en-US"/>
        </w:rPr>
        <w:t>i</w:t>
      </w:r>
      <w:r w:rsidR="007449F9" w:rsidRPr="00F81B48">
        <w:rPr>
          <w:sz w:val="21"/>
          <w:szCs w:val="21"/>
          <w:lang w:val="en-US"/>
        </w:rPr>
        <w:t xml:space="preserve">ntroduced oversight arrangements for sexual safety in clinical mental health services, including protocols for reporting sexual safety incidents and a clinical guideline on sexual </w:t>
      </w:r>
      <w:proofErr w:type="gramStart"/>
      <w:r w:rsidR="007449F9" w:rsidRPr="00F81B48">
        <w:rPr>
          <w:sz w:val="21"/>
          <w:szCs w:val="21"/>
          <w:lang w:val="en-US"/>
        </w:rPr>
        <w:t>safety</w:t>
      </w:r>
      <w:proofErr w:type="gramEnd"/>
    </w:p>
    <w:p w14:paraId="63F84933" w14:textId="3002BA1D" w:rsidR="00F81B48" w:rsidRDefault="00EB682F" w:rsidP="00897982">
      <w:pPr>
        <w:pStyle w:val="DHHSbullet1"/>
        <w:spacing w:line="280" w:lineRule="atLeast"/>
        <w:rPr>
          <w:sz w:val="21"/>
          <w:szCs w:val="21"/>
          <w:lang w:val="en-US"/>
        </w:rPr>
      </w:pPr>
      <w:r>
        <w:rPr>
          <w:sz w:val="21"/>
          <w:szCs w:val="21"/>
          <w:lang w:val="en-US"/>
        </w:rPr>
        <w:t>s</w:t>
      </w:r>
      <w:r w:rsidR="00E809F7" w:rsidRPr="00E809F7">
        <w:rPr>
          <w:sz w:val="21"/>
          <w:szCs w:val="21"/>
          <w:lang w:val="en-US"/>
        </w:rPr>
        <w:t xml:space="preserve">upported </w:t>
      </w:r>
      <w:r w:rsidR="00E809F7">
        <w:rPr>
          <w:sz w:val="21"/>
          <w:szCs w:val="21"/>
          <w:lang w:val="en-US"/>
        </w:rPr>
        <w:t xml:space="preserve">the </w:t>
      </w:r>
      <w:r w:rsidR="00E809F7" w:rsidRPr="00E809F7">
        <w:rPr>
          <w:sz w:val="21"/>
          <w:szCs w:val="21"/>
          <w:lang w:val="en-US"/>
        </w:rPr>
        <w:t>plan</w:t>
      </w:r>
      <w:r w:rsidR="00DC7557">
        <w:rPr>
          <w:sz w:val="21"/>
          <w:szCs w:val="21"/>
          <w:lang w:val="en-US"/>
        </w:rPr>
        <w:t>ning</w:t>
      </w:r>
      <w:r w:rsidR="00E809F7" w:rsidRPr="00E809F7">
        <w:rPr>
          <w:sz w:val="21"/>
          <w:szCs w:val="21"/>
          <w:lang w:val="en-US"/>
        </w:rPr>
        <w:t xml:space="preserve"> for </w:t>
      </w:r>
      <w:r w:rsidR="00D8215B">
        <w:rPr>
          <w:sz w:val="21"/>
          <w:szCs w:val="21"/>
          <w:lang w:val="en-US"/>
        </w:rPr>
        <w:t xml:space="preserve">the </w:t>
      </w:r>
      <w:r>
        <w:rPr>
          <w:sz w:val="21"/>
          <w:szCs w:val="21"/>
          <w:lang w:val="en-US"/>
        </w:rPr>
        <w:t xml:space="preserve">start </w:t>
      </w:r>
      <w:r w:rsidR="00D8215B">
        <w:rPr>
          <w:sz w:val="21"/>
          <w:szCs w:val="21"/>
          <w:lang w:val="en-US"/>
        </w:rPr>
        <w:t>of</w:t>
      </w:r>
      <w:r w:rsidR="00DA6B48">
        <w:rPr>
          <w:sz w:val="21"/>
          <w:szCs w:val="21"/>
          <w:lang w:val="en-US"/>
        </w:rPr>
        <w:t xml:space="preserve"> </w:t>
      </w:r>
      <w:r w:rsidR="00E809F7" w:rsidRPr="00E809F7">
        <w:rPr>
          <w:sz w:val="21"/>
          <w:szCs w:val="21"/>
          <w:lang w:val="en-US"/>
        </w:rPr>
        <w:t xml:space="preserve">the Mental Health and Wellbeing Act </w:t>
      </w:r>
      <w:r w:rsidR="00DA6B48">
        <w:rPr>
          <w:sz w:val="21"/>
          <w:szCs w:val="21"/>
          <w:lang w:val="en-US"/>
        </w:rPr>
        <w:t xml:space="preserve">in </w:t>
      </w:r>
      <w:r w:rsidR="00E809F7" w:rsidRPr="00E809F7">
        <w:rPr>
          <w:sz w:val="21"/>
          <w:szCs w:val="21"/>
          <w:lang w:val="en-US"/>
        </w:rPr>
        <w:t>Sept</w:t>
      </w:r>
      <w:r w:rsidR="00DA6B48">
        <w:rPr>
          <w:sz w:val="21"/>
          <w:szCs w:val="21"/>
          <w:lang w:val="en-US"/>
        </w:rPr>
        <w:t>ember</w:t>
      </w:r>
      <w:r w:rsidR="00E809F7" w:rsidRPr="00E809F7">
        <w:rPr>
          <w:sz w:val="21"/>
          <w:szCs w:val="21"/>
          <w:lang w:val="en-US"/>
        </w:rPr>
        <w:t xml:space="preserve"> 2023</w:t>
      </w:r>
    </w:p>
    <w:p w14:paraId="000CF402" w14:textId="33214C12" w:rsidR="002D604B" w:rsidRDefault="00EB682F" w:rsidP="00897982">
      <w:pPr>
        <w:pStyle w:val="DHHSbullet1"/>
        <w:spacing w:line="280" w:lineRule="atLeast"/>
        <w:rPr>
          <w:sz w:val="21"/>
          <w:szCs w:val="21"/>
          <w:lang w:val="en-US"/>
        </w:rPr>
      </w:pPr>
      <w:r>
        <w:rPr>
          <w:sz w:val="21"/>
          <w:szCs w:val="21"/>
          <w:lang w:val="en-US"/>
        </w:rPr>
        <w:t>p</w:t>
      </w:r>
      <w:r w:rsidR="002D604B" w:rsidRPr="002D604B">
        <w:rPr>
          <w:sz w:val="21"/>
          <w:szCs w:val="21"/>
          <w:lang w:val="en-US"/>
        </w:rPr>
        <w:t>rovided clinical advice into Department</w:t>
      </w:r>
      <w:r w:rsidR="002D604B">
        <w:rPr>
          <w:sz w:val="21"/>
          <w:szCs w:val="21"/>
          <w:lang w:val="en-US"/>
        </w:rPr>
        <w:t xml:space="preserve"> of Health</w:t>
      </w:r>
      <w:r w:rsidR="002D604B" w:rsidRPr="002D604B">
        <w:rPr>
          <w:sz w:val="21"/>
          <w:szCs w:val="21"/>
          <w:lang w:val="en-US"/>
        </w:rPr>
        <w:t xml:space="preserve"> activities </w:t>
      </w:r>
      <w:r w:rsidR="002D604B">
        <w:rPr>
          <w:sz w:val="21"/>
          <w:szCs w:val="21"/>
          <w:lang w:val="en-US"/>
        </w:rPr>
        <w:t>to</w:t>
      </w:r>
      <w:r w:rsidR="002D604B" w:rsidRPr="002D604B">
        <w:rPr>
          <w:sz w:val="21"/>
          <w:szCs w:val="21"/>
          <w:lang w:val="en-US"/>
        </w:rPr>
        <w:t xml:space="preserve"> guid</w:t>
      </w:r>
      <w:r w:rsidR="002D604B">
        <w:rPr>
          <w:sz w:val="21"/>
          <w:szCs w:val="21"/>
          <w:lang w:val="en-US"/>
        </w:rPr>
        <w:t>e</w:t>
      </w:r>
      <w:r w:rsidR="002D604B" w:rsidRPr="002D604B">
        <w:rPr>
          <w:sz w:val="21"/>
          <w:szCs w:val="21"/>
          <w:lang w:val="en-US"/>
        </w:rPr>
        <w:t xml:space="preserve"> the transformation of the mental health service sector in response to the </w:t>
      </w:r>
      <w:r w:rsidR="002D604B">
        <w:rPr>
          <w:sz w:val="21"/>
          <w:szCs w:val="21"/>
          <w:lang w:val="en-US"/>
        </w:rPr>
        <w:t>recommendation</w:t>
      </w:r>
      <w:r w:rsidR="00897982">
        <w:rPr>
          <w:sz w:val="21"/>
          <w:szCs w:val="21"/>
          <w:lang w:val="en-US"/>
        </w:rPr>
        <w:t xml:space="preserve">s of the </w:t>
      </w:r>
      <w:r w:rsidR="002D604B" w:rsidRPr="002D604B">
        <w:rPr>
          <w:sz w:val="21"/>
          <w:szCs w:val="21"/>
          <w:lang w:val="en-US"/>
        </w:rPr>
        <w:t>Royal Commission into Victori</w:t>
      </w:r>
      <w:r w:rsidR="00897982">
        <w:rPr>
          <w:sz w:val="21"/>
          <w:szCs w:val="21"/>
          <w:lang w:val="en-US"/>
        </w:rPr>
        <w:t>a’s</w:t>
      </w:r>
      <w:r w:rsidR="002D604B" w:rsidRPr="002D604B">
        <w:rPr>
          <w:sz w:val="21"/>
          <w:szCs w:val="21"/>
          <w:lang w:val="en-US"/>
        </w:rPr>
        <w:t xml:space="preserve"> Mental Health System</w:t>
      </w:r>
    </w:p>
    <w:p w14:paraId="160ED749" w14:textId="349D72FB" w:rsidR="000E14B3" w:rsidRDefault="00EB682F" w:rsidP="00897982">
      <w:pPr>
        <w:pStyle w:val="DHHSbullet1"/>
        <w:spacing w:line="280" w:lineRule="atLeast"/>
        <w:rPr>
          <w:sz w:val="21"/>
          <w:szCs w:val="21"/>
          <w:lang w:val="en-US"/>
        </w:rPr>
      </w:pPr>
      <w:r>
        <w:rPr>
          <w:sz w:val="21"/>
          <w:szCs w:val="21"/>
          <w:lang w:val="en-US"/>
        </w:rPr>
        <w:t>u</w:t>
      </w:r>
      <w:r w:rsidR="00B220BB">
        <w:rPr>
          <w:sz w:val="21"/>
          <w:szCs w:val="21"/>
          <w:lang w:val="en-US"/>
        </w:rPr>
        <w:t xml:space="preserve">ndertook research and consultation to </w:t>
      </w:r>
      <w:r w:rsidR="00115378">
        <w:rPr>
          <w:sz w:val="21"/>
          <w:szCs w:val="21"/>
          <w:lang w:val="en-US"/>
        </w:rPr>
        <w:t>revise existing</w:t>
      </w:r>
      <w:r w:rsidR="00B220BB">
        <w:rPr>
          <w:sz w:val="21"/>
          <w:szCs w:val="21"/>
          <w:lang w:val="en-US"/>
        </w:rPr>
        <w:t xml:space="preserve"> </w:t>
      </w:r>
      <w:r w:rsidR="00E512B5">
        <w:rPr>
          <w:sz w:val="21"/>
          <w:szCs w:val="21"/>
          <w:lang w:val="en-US"/>
        </w:rPr>
        <w:t>Chief Psychiatrist</w:t>
      </w:r>
      <w:r w:rsidR="00115378">
        <w:rPr>
          <w:sz w:val="21"/>
          <w:szCs w:val="21"/>
          <w:lang w:val="en-US"/>
        </w:rPr>
        <w:t xml:space="preserve"> guidelines and develop new </w:t>
      </w:r>
      <w:r w:rsidR="003320E6">
        <w:rPr>
          <w:sz w:val="21"/>
          <w:szCs w:val="21"/>
          <w:lang w:val="en-US"/>
        </w:rPr>
        <w:t>one</w:t>
      </w:r>
      <w:r w:rsidR="00676A72">
        <w:rPr>
          <w:sz w:val="21"/>
          <w:szCs w:val="21"/>
          <w:lang w:val="en-US"/>
        </w:rPr>
        <w:t>s to embody contemporary understanding</w:t>
      </w:r>
      <w:r w:rsidR="00FA4A75">
        <w:rPr>
          <w:sz w:val="21"/>
          <w:szCs w:val="21"/>
          <w:lang w:val="en-US"/>
        </w:rPr>
        <w:t>s</w:t>
      </w:r>
      <w:r w:rsidR="00676A72">
        <w:rPr>
          <w:sz w:val="21"/>
          <w:szCs w:val="21"/>
          <w:lang w:val="en-US"/>
        </w:rPr>
        <w:t xml:space="preserve"> of clinical best practice</w:t>
      </w:r>
      <w:r>
        <w:rPr>
          <w:sz w:val="21"/>
          <w:szCs w:val="21"/>
          <w:lang w:val="en-US"/>
        </w:rPr>
        <w:t xml:space="preserve"> – t</w:t>
      </w:r>
      <w:r w:rsidR="00676A72">
        <w:rPr>
          <w:sz w:val="21"/>
          <w:szCs w:val="21"/>
          <w:lang w:val="en-US"/>
        </w:rPr>
        <w:t>his include</w:t>
      </w:r>
      <w:r w:rsidR="00C85AF7">
        <w:rPr>
          <w:sz w:val="21"/>
          <w:szCs w:val="21"/>
          <w:lang w:val="en-US"/>
        </w:rPr>
        <w:t>d</w:t>
      </w:r>
      <w:r w:rsidR="00676A72">
        <w:rPr>
          <w:sz w:val="21"/>
          <w:szCs w:val="21"/>
          <w:lang w:val="en-US"/>
        </w:rPr>
        <w:t xml:space="preserve"> </w:t>
      </w:r>
      <w:r w:rsidR="00A465D5">
        <w:rPr>
          <w:sz w:val="21"/>
          <w:szCs w:val="21"/>
          <w:lang w:val="en-US"/>
        </w:rPr>
        <w:t xml:space="preserve">a new guideline on restrictive interventions </w:t>
      </w:r>
      <w:r w:rsidR="00C85AF7">
        <w:rPr>
          <w:sz w:val="21"/>
          <w:szCs w:val="21"/>
          <w:lang w:val="en-US"/>
        </w:rPr>
        <w:t>that</w:t>
      </w:r>
      <w:r w:rsidR="00A465D5">
        <w:rPr>
          <w:sz w:val="21"/>
          <w:szCs w:val="21"/>
          <w:lang w:val="en-US"/>
        </w:rPr>
        <w:t xml:space="preserve"> </w:t>
      </w:r>
      <w:r w:rsidR="00FA4A75">
        <w:rPr>
          <w:sz w:val="21"/>
          <w:szCs w:val="21"/>
          <w:lang w:val="en-US"/>
        </w:rPr>
        <w:t>outlines compliance obligations and best practice advice on us</w:t>
      </w:r>
      <w:r>
        <w:rPr>
          <w:sz w:val="21"/>
          <w:szCs w:val="21"/>
          <w:lang w:val="en-US"/>
        </w:rPr>
        <w:t>ing</w:t>
      </w:r>
      <w:r w:rsidR="00FA4A75">
        <w:rPr>
          <w:sz w:val="21"/>
          <w:szCs w:val="21"/>
          <w:lang w:val="en-US"/>
        </w:rPr>
        <w:t xml:space="preserve"> </w:t>
      </w:r>
      <w:r w:rsidR="00657503">
        <w:rPr>
          <w:sz w:val="21"/>
          <w:szCs w:val="21"/>
          <w:lang w:val="en-US"/>
        </w:rPr>
        <w:t xml:space="preserve">chemical </w:t>
      </w:r>
      <w:proofErr w:type="gramStart"/>
      <w:r w:rsidR="00657503">
        <w:rPr>
          <w:sz w:val="21"/>
          <w:szCs w:val="21"/>
          <w:lang w:val="en-US"/>
        </w:rPr>
        <w:t>restraint</w:t>
      </w:r>
      <w:proofErr w:type="gramEnd"/>
    </w:p>
    <w:p w14:paraId="51428A2A" w14:textId="64B66928" w:rsidR="00AA2303" w:rsidRDefault="00EB682F" w:rsidP="00897982">
      <w:pPr>
        <w:pStyle w:val="DHHSbullet1"/>
        <w:spacing w:line="280" w:lineRule="atLeast"/>
        <w:rPr>
          <w:sz w:val="21"/>
          <w:szCs w:val="21"/>
          <w:lang w:val="en-US"/>
        </w:rPr>
      </w:pPr>
      <w:r>
        <w:rPr>
          <w:sz w:val="21"/>
          <w:szCs w:val="21"/>
          <w:lang w:val="en-US"/>
        </w:rPr>
        <w:t>c</w:t>
      </w:r>
      <w:r w:rsidR="00AA2303">
        <w:rPr>
          <w:sz w:val="21"/>
          <w:szCs w:val="21"/>
          <w:lang w:val="en-US"/>
        </w:rPr>
        <w:t xml:space="preserve">onvened </w:t>
      </w:r>
      <w:r w:rsidR="00777CB5">
        <w:rPr>
          <w:sz w:val="21"/>
          <w:szCs w:val="21"/>
          <w:lang w:val="en-US"/>
        </w:rPr>
        <w:t>the Statewide Complex Needs Advisory Panel</w:t>
      </w:r>
      <w:r w:rsidR="00EE6087">
        <w:rPr>
          <w:sz w:val="21"/>
          <w:szCs w:val="21"/>
          <w:lang w:val="en-US"/>
        </w:rPr>
        <w:t xml:space="preserve">, </w:t>
      </w:r>
      <w:r w:rsidR="009A36A6">
        <w:rPr>
          <w:sz w:val="21"/>
          <w:szCs w:val="21"/>
          <w:lang w:val="en-US"/>
        </w:rPr>
        <w:t xml:space="preserve">providing pathways into </w:t>
      </w:r>
      <w:r w:rsidR="00E34149">
        <w:rPr>
          <w:sz w:val="21"/>
          <w:szCs w:val="21"/>
          <w:lang w:val="en-US"/>
        </w:rPr>
        <w:t xml:space="preserve">mental health and wellbeing services for </w:t>
      </w:r>
      <w:r>
        <w:rPr>
          <w:sz w:val="21"/>
          <w:szCs w:val="21"/>
          <w:lang w:val="en-US"/>
        </w:rPr>
        <w:t xml:space="preserve">people </w:t>
      </w:r>
      <w:r w:rsidR="00B27E9A">
        <w:rPr>
          <w:sz w:val="21"/>
          <w:szCs w:val="21"/>
          <w:lang w:val="en-US"/>
        </w:rPr>
        <w:t xml:space="preserve">who fall outside standard service responses </w:t>
      </w:r>
      <w:r w:rsidR="00F041A9">
        <w:rPr>
          <w:sz w:val="21"/>
          <w:szCs w:val="21"/>
          <w:lang w:val="en-US"/>
        </w:rPr>
        <w:t xml:space="preserve">and pose a serious </w:t>
      </w:r>
      <w:r w:rsidR="00E576F7">
        <w:rPr>
          <w:sz w:val="21"/>
          <w:szCs w:val="21"/>
          <w:lang w:val="en-US"/>
        </w:rPr>
        <w:t>risk to other</w:t>
      </w:r>
      <w:r w:rsidR="00795953">
        <w:rPr>
          <w:sz w:val="21"/>
          <w:szCs w:val="21"/>
          <w:lang w:val="en-US"/>
        </w:rPr>
        <w:t xml:space="preserve">s or </w:t>
      </w:r>
      <w:proofErr w:type="gramStart"/>
      <w:r w:rsidR="00795953">
        <w:rPr>
          <w:sz w:val="21"/>
          <w:szCs w:val="21"/>
          <w:lang w:val="en-US"/>
        </w:rPr>
        <w:t>themselves</w:t>
      </w:r>
      <w:proofErr w:type="gramEnd"/>
    </w:p>
    <w:p w14:paraId="33AA8AFD" w14:textId="37F0410B" w:rsidR="005F02A2" w:rsidRPr="002D604B" w:rsidRDefault="00EB682F" w:rsidP="00897982">
      <w:pPr>
        <w:pStyle w:val="DHHSbullet1"/>
        <w:spacing w:line="280" w:lineRule="atLeast"/>
        <w:rPr>
          <w:sz w:val="21"/>
          <w:szCs w:val="21"/>
          <w:lang w:val="en-US"/>
        </w:rPr>
      </w:pPr>
      <w:r>
        <w:rPr>
          <w:sz w:val="21"/>
          <w:szCs w:val="21"/>
          <w:lang w:val="en-US"/>
        </w:rPr>
        <w:t>c</w:t>
      </w:r>
      <w:r w:rsidR="00C85AF7">
        <w:rPr>
          <w:sz w:val="21"/>
          <w:szCs w:val="21"/>
          <w:lang w:val="en-US"/>
        </w:rPr>
        <w:t xml:space="preserve">onvened an expert advisory group </w:t>
      </w:r>
      <w:r w:rsidR="00632421">
        <w:rPr>
          <w:sz w:val="21"/>
          <w:szCs w:val="21"/>
          <w:lang w:val="en-US"/>
        </w:rPr>
        <w:t xml:space="preserve">made up of health professionals and </w:t>
      </w:r>
      <w:r w:rsidR="00653D4F">
        <w:rPr>
          <w:sz w:val="21"/>
          <w:szCs w:val="21"/>
          <w:lang w:val="en-US"/>
        </w:rPr>
        <w:t xml:space="preserve">people with lived experience of mental illness to support the implementation of </w:t>
      </w:r>
      <w:r w:rsidR="008E76AC">
        <w:rPr>
          <w:sz w:val="21"/>
          <w:szCs w:val="21"/>
          <w:lang w:val="en-US"/>
        </w:rPr>
        <w:t>an oversight regime for chemical restraint</w:t>
      </w:r>
      <w:r w:rsidR="002C216F">
        <w:rPr>
          <w:sz w:val="21"/>
          <w:szCs w:val="21"/>
          <w:lang w:val="en-US"/>
        </w:rPr>
        <w:t xml:space="preserve"> by the Chief </w:t>
      </w:r>
      <w:r w:rsidR="005945F2">
        <w:rPr>
          <w:sz w:val="21"/>
          <w:szCs w:val="21"/>
          <w:lang w:val="en-US"/>
        </w:rPr>
        <w:t>Psychiatrist</w:t>
      </w:r>
    </w:p>
    <w:p w14:paraId="4282848A" w14:textId="55DC16AF" w:rsidR="00021A94" w:rsidRPr="00EE3195" w:rsidRDefault="00EB682F">
      <w:pPr>
        <w:pStyle w:val="DHHSbullet1"/>
        <w:spacing w:line="280" w:lineRule="atLeast"/>
        <w:rPr>
          <w:sz w:val="21"/>
          <w:szCs w:val="21"/>
          <w:lang w:val="en-US"/>
        </w:rPr>
      </w:pPr>
      <w:r>
        <w:rPr>
          <w:sz w:val="21"/>
          <w:szCs w:val="21"/>
          <w:lang w:val="en-US"/>
        </w:rPr>
        <w:t>c</w:t>
      </w:r>
      <w:r w:rsidR="002D4D54" w:rsidRPr="00EE3195">
        <w:rPr>
          <w:sz w:val="21"/>
          <w:szCs w:val="21"/>
          <w:lang w:val="en-US"/>
        </w:rPr>
        <w:t>onvened</w:t>
      </w:r>
      <w:r w:rsidR="00557A28" w:rsidRPr="00EE3195">
        <w:rPr>
          <w:sz w:val="21"/>
          <w:szCs w:val="21"/>
          <w:lang w:val="en-US"/>
        </w:rPr>
        <w:t xml:space="preserve"> a weekly statewide </w:t>
      </w:r>
      <w:r w:rsidR="003D41A9" w:rsidRPr="00EE3195">
        <w:rPr>
          <w:sz w:val="21"/>
          <w:szCs w:val="21"/>
          <w:lang w:val="en-US"/>
        </w:rPr>
        <w:t>a</w:t>
      </w:r>
      <w:r w:rsidR="00557A28" w:rsidRPr="00EE3195">
        <w:rPr>
          <w:sz w:val="21"/>
          <w:szCs w:val="21"/>
          <w:lang w:val="en-US"/>
        </w:rPr>
        <w:t xml:space="preserve">dolescent </w:t>
      </w:r>
      <w:r w:rsidR="003D41A9" w:rsidRPr="00EE3195">
        <w:rPr>
          <w:sz w:val="21"/>
          <w:szCs w:val="21"/>
          <w:lang w:val="en-US"/>
        </w:rPr>
        <w:t>i</w:t>
      </w:r>
      <w:r w:rsidR="00557A28" w:rsidRPr="00EE3195">
        <w:rPr>
          <w:sz w:val="21"/>
          <w:szCs w:val="21"/>
          <w:lang w:val="en-US"/>
        </w:rPr>
        <w:t xml:space="preserve">npatient </w:t>
      </w:r>
      <w:r w:rsidR="003D41A9" w:rsidRPr="00EE3195">
        <w:rPr>
          <w:sz w:val="21"/>
          <w:szCs w:val="21"/>
          <w:lang w:val="en-US"/>
        </w:rPr>
        <w:t>p</w:t>
      </w:r>
      <w:r w:rsidR="00557A28" w:rsidRPr="00EE3195">
        <w:rPr>
          <w:sz w:val="21"/>
          <w:szCs w:val="21"/>
          <w:lang w:val="en-US"/>
        </w:rPr>
        <w:t xml:space="preserve">sychiatric </w:t>
      </w:r>
      <w:r w:rsidR="003D41A9" w:rsidRPr="00EE3195">
        <w:rPr>
          <w:sz w:val="21"/>
          <w:szCs w:val="21"/>
          <w:lang w:val="en-US"/>
        </w:rPr>
        <w:t>u</w:t>
      </w:r>
      <w:r w:rsidR="00557A28" w:rsidRPr="00EE3195">
        <w:rPr>
          <w:sz w:val="21"/>
          <w:szCs w:val="21"/>
          <w:lang w:val="en-US"/>
        </w:rPr>
        <w:t xml:space="preserve">nit huddle </w:t>
      </w:r>
      <w:r w:rsidR="00663CE5" w:rsidRPr="00EE3195">
        <w:rPr>
          <w:sz w:val="21"/>
          <w:szCs w:val="21"/>
          <w:lang w:val="en-US"/>
        </w:rPr>
        <w:t>to support</w:t>
      </w:r>
      <w:r w:rsidR="00557A28" w:rsidRPr="00EE3195">
        <w:rPr>
          <w:sz w:val="21"/>
          <w:szCs w:val="21"/>
          <w:lang w:val="en-US"/>
        </w:rPr>
        <w:t xml:space="preserve"> urgent inpatient care </w:t>
      </w:r>
      <w:r w:rsidR="00675E77" w:rsidRPr="00EE3195">
        <w:rPr>
          <w:sz w:val="21"/>
          <w:szCs w:val="21"/>
          <w:lang w:val="en-US"/>
        </w:rPr>
        <w:t xml:space="preserve">for adolescents </w:t>
      </w:r>
      <w:r w:rsidR="00365C33" w:rsidRPr="00EE3195">
        <w:rPr>
          <w:sz w:val="21"/>
          <w:szCs w:val="21"/>
          <w:lang w:val="en-US"/>
        </w:rPr>
        <w:t>through manag</w:t>
      </w:r>
      <w:r w:rsidR="00151777">
        <w:rPr>
          <w:sz w:val="21"/>
          <w:szCs w:val="21"/>
          <w:lang w:val="en-US"/>
        </w:rPr>
        <w:t>ing</w:t>
      </w:r>
      <w:r w:rsidR="00365C33" w:rsidRPr="00EE3195">
        <w:rPr>
          <w:sz w:val="21"/>
          <w:szCs w:val="21"/>
          <w:lang w:val="en-US"/>
        </w:rPr>
        <w:t xml:space="preserve"> demand across </w:t>
      </w:r>
      <w:proofErr w:type="gramStart"/>
      <w:r w:rsidR="00365C33" w:rsidRPr="00EE3195">
        <w:rPr>
          <w:sz w:val="21"/>
          <w:szCs w:val="21"/>
          <w:lang w:val="en-US"/>
        </w:rPr>
        <w:t>services</w:t>
      </w:r>
      <w:proofErr w:type="gramEnd"/>
    </w:p>
    <w:p w14:paraId="218F4C50" w14:textId="2E2B0A6C" w:rsidR="009A668C" w:rsidRPr="00534A83" w:rsidRDefault="00EB682F" w:rsidP="1C10FE4F">
      <w:pPr>
        <w:pStyle w:val="DHHSbullet1"/>
        <w:rPr>
          <w:sz w:val="21"/>
          <w:szCs w:val="21"/>
          <w:lang w:val="en-US"/>
        </w:rPr>
      </w:pPr>
      <w:r>
        <w:rPr>
          <w:sz w:val="21"/>
          <w:szCs w:val="21"/>
          <w:lang w:val="en-US"/>
        </w:rPr>
        <w:t>p</w:t>
      </w:r>
      <w:r w:rsidR="008D7B65">
        <w:rPr>
          <w:sz w:val="21"/>
          <w:szCs w:val="21"/>
          <w:lang w:val="en-US"/>
        </w:rPr>
        <w:t>lan</w:t>
      </w:r>
      <w:r w:rsidR="00147C6E">
        <w:rPr>
          <w:sz w:val="21"/>
          <w:szCs w:val="21"/>
          <w:lang w:val="en-US"/>
        </w:rPr>
        <w:t>ned</w:t>
      </w:r>
      <w:r w:rsidR="00D83A5F">
        <w:rPr>
          <w:sz w:val="21"/>
          <w:szCs w:val="21"/>
          <w:lang w:val="en-US"/>
        </w:rPr>
        <w:t xml:space="preserve"> and</w:t>
      </w:r>
      <w:r w:rsidR="00762E88">
        <w:rPr>
          <w:sz w:val="21"/>
          <w:szCs w:val="21"/>
          <w:lang w:val="en-US"/>
        </w:rPr>
        <w:t xml:space="preserve"> </w:t>
      </w:r>
      <w:r w:rsidR="006E6934">
        <w:rPr>
          <w:sz w:val="21"/>
          <w:szCs w:val="21"/>
          <w:lang w:val="en-US"/>
        </w:rPr>
        <w:t>design</w:t>
      </w:r>
      <w:r w:rsidR="00147C6E">
        <w:rPr>
          <w:sz w:val="21"/>
          <w:szCs w:val="21"/>
          <w:lang w:val="en-US"/>
        </w:rPr>
        <w:t>ed</w:t>
      </w:r>
      <w:r w:rsidR="006E6934">
        <w:rPr>
          <w:sz w:val="21"/>
          <w:szCs w:val="21"/>
          <w:lang w:val="en-US"/>
        </w:rPr>
        <w:t xml:space="preserve"> </w:t>
      </w:r>
      <w:r w:rsidR="00910C33">
        <w:rPr>
          <w:sz w:val="21"/>
          <w:szCs w:val="21"/>
          <w:lang w:val="en-US"/>
        </w:rPr>
        <w:t xml:space="preserve">the </w:t>
      </w:r>
      <w:r w:rsidR="00CF0C44">
        <w:rPr>
          <w:sz w:val="21"/>
          <w:szCs w:val="21"/>
          <w:lang w:val="en-US"/>
        </w:rPr>
        <w:t xml:space="preserve">oversight of mental health </w:t>
      </w:r>
      <w:r w:rsidR="00CF0C44" w:rsidRPr="45B36C01">
        <w:rPr>
          <w:sz w:val="21"/>
          <w:szCs w:val="21"/>
          <w:lang w:val="en-US"/>
        </w:rPr>
        <w:t>service</w:t>
      </w:r>
      <w:r w:rsidR="00FD0BCC">
        <w:rPr>
          <w:sz w:val="21"/>
          <w:szCs w:val="21"/>
          <w:lang w:val="en-US"/>
        </w:rPr>
        <w:t>s</w:t>
      </w:r>
      <w:r w:rsidR="7CD034BA" w:rsidRPr="45B36C01">
        <w:rPr>
          <w:sz w:val="21"/>
          <w:szCs w:val="21"/>
          <w:lang w:val="en-US"/>
        </w:rPr>
        <w:t xml:space="preserve"> </w:t>
      </w:r>
      <w:r w:rsidR="00CF0C44">
        <w:rPr>
          <w:sz w:val="21"/>
          <w:szCs w:val="21"/>
          <w:lang w:val="en-US"/>
        </w:rPr>
        <w:t>in custodial settings</w:t>
      </w:r>
      <w:r w:rsidR="00910C33">
        <w:rPr>
          <w:sz w:val="21"/>
          <w:szCs w:val="21"/>
          <w:lang w:val="en-US"/>
        </w:rPr>
        <w:t xml:space="preserve"> by the Chief Psychiatrist</w:t>
      </w:r>
      <w:r w:rsidR="00147C6E">
        <w:rPr>
          <w:sz w:val="21"/>
          <w:szCs w:val="21"/>
          <w:lang w:val="en-US"/>
        </w:rPr>
        <w:t xml:space="preserve"> </w:t>
      </w:r>
      <w:r w:rsidR="00B17768">
        <w:rPr>
          <w:sz w:val="21"/>
          <w:szCs w:val="21"/>
          <w:lang w:val="en-US"/>
        </w:rPr>
        <w:t xml:space="preserve">in collaboration </w:t>
      </w:r>
      <w:r w:rsidR="00147C6E">
        <w:rPr>
          <w:sz w:val="21"/>
          <w:szCs w:val="21"/>
          <w:lang w:val="en-US"/>
        </w:rPr>
        <w:t>with</w:t>
      </w:r>
      <w:r w:rsidR="6E8C945A" w:rsidRPr="2C5B42D8">
        <w:rPr>
          <w:sz w:val="21"/>
          <w:szCs w:val="21"/>
          <w:lang w:val="en-US"/>
        </w:rPr>
        <w:t xml:space="preserve"> </w:t>
      </w:r>
      <w:r w:rsidR="00534A83" w:rsidRPr="1E362516">
        <w:rPr>
          <w:sz w:val="21"/>
          <w:szCs w:val="21"/>
          <w:lang w:val="en-US"/>
        </w:rPr>
        <w:t>Forensicare</w:t>
      </w:r>
      <w:r w:rsidR="00534A83" w:rsidRPr="2C5B42D8">
        <w:rPr>
          <w:sz w:val="21"/>
          <w:szCs w:val="21"/>
          <w:lang w:val="en-US"/>
        </w:rPr>
        <w:t xml:space="preserve">, </w:t>
      </w:r>
      <w:r w:rsidR="695EF2DC" w:rsidRPr="2C5B42D8">
        <w:rPr>
          <w:sz w:val="21"/>
          <w:szCs w:val="21"/>
          <w:lang w:val="en-US"/>
        </w:rPr>
        <w:t>the</w:t>
      </w:r>
      <w:r w:rsidR="00534A83" w:rsidRPr="00534A83">
        <w:rPr>
          <w:sz w:val="21"/>
          <w:szCs w:val="21"/>
          <w:lang w:val="en-US"/>
        </w:rPr>
        <w:t xml:space="preserve"> D</w:t>
      </w:r>
      <w:r w:rsidR="00910C33">
        <w:rPr>
          <w:sz w:val="21"/>
          <w:szCs w:val="21"/>
          <w:lang w:val="en-US"/>
        </w:rPr>
        <w:t xml:space="preserve">epartment of </w:t>
      </w:r>
      <w:r w:rsidR="00534A83" w:rsidRPr="00534A83">
        <w:rPr>
          <w:sz w:val="21"/>
          <w:szCs w:val="21"/>
          <w:lang w:val="en-US"/>
        </w:rPr>
        <w:t>J</w:t>
      </w:r>
      <w:r w:rsidR="00910C33">
        <w:rPr>
          <w:sz w:val="21"/>
          <w:szCs w:val="21"/>
          <w:lang w:val="en-US"/>
        </w:rPr>
        <w:t xml:space="preserve">ustice and </w:t>
      </w:r>
      <w:r w:rsidR="00534A83" w:rsidRPr="00534A83">
        <w:rPr>
          <w:sz w:val="21"/>
          <w:szCs w:val="21"/>
          <w:lang w:val="en-US"/>
        </w:rPr>
        <w:t>C</w:t>
      </w:r>
      <w:r w:rsidR="00910C33">
        <w:rPr>
          <w:sz w:val="21"/>
          <w:szCs w:val="21"/>
          <w:lang w:val="en-US"/>
        </w:rPr>
        <w:t xml:space="preserve">ommunity </w:t>
      </w:r>
      <w:r w:rsidR="00534A83" w:rsidRPr="00534A83">
        <w:rPr>
          <w:sz w:val="21"/>
          <w:szCs w:val="21"/>
          <w:lang w:val="en-US"/>
        </w:rPr>
        <w:t>S</w:t>
      </w:r>
      <w:r w:rsidR="00910C33">
        <w:rPr>
          <w:sz w:val="21"/>
          <w:szCs w:val="21"/>
          <w:lang w:val="en-US"/>
        </w:rPr>
        <w:t>afety</w:t>
      </w:r>
      <w:r w:rsidR="3F5551FF" w:rsidRPr="2C5B42D8">
        <w:rPr>
          <w:sz w:val="21"/>
          <w:szCs w:val="21"/>
          <w:lang w:val="en-US"/>
        </w:rPr>
        <w:t xml:space="preserve">, </w:t>
      </w:r>
      <w:r w:rsidR="00534A83" w:rsidRPr="00534A83">
        <w:rPr>
          <w:sz w:val="21"/>
          <w:szCs w:val="21"/>
          <w:lang w:val="en-US"/>
        </w:rPr>
        <w:t xml:space="preserve">Corrections Victoria </w:t>
      </w:r>
      <w:r w:rsidR="78A60076" w:rsidRPr="15C0A6A4">
        <w:rPr>
          <w:sz w:val="21"/>
          <w:szCs w:val="21"/>
          <w:lang w:val="en-US"/>
        </w:rPr>
        <w:t xml:space="preserve">and </w:t>
      </w:r>
      <w:r w:rsidR="00567D11">
        <w:rPr>
          <w:sz w:val="21"/>
          <w:szCs w:val="21"/>
          <w:lang w:val="en-US"/>
        </w:rPr>
        <w:t xml:space="preserve">the </w:t>
      </w:r>
      <w:r w:rsidR="00534A83" w:rsidRPr="00534A83">
        <w:rPr>
          <w:sz w:val="21"/>
          <w:szCs w:val="21"/>
          <w:lang w:val="en-US"/>
        </w:rPr>
        <w:t xml:space="preserve">Commission for </w:t>
      </w:r>
      <w:r w:rsidR="00C15078">
        <w:rPr>
          <w:sz w:val="21"/>
          <w:szCs w:val="21"/>
          <w:lang w:val="en-US"/>
        </w:rPr>
        <w:t xml:space="preserve">Children and </w:t>
      </w:r>
      <w:r w:rsidR="00534A83" w:rsidRPr="00534A83">
        <w:rPr>
          <w:sz w:val="21"/>
          <w:szCs w:val="21"/>
          <w:lang w:val="en-US"/>
        </w:rPr>
        <w:t>Young People</w:t>
      </w:r>
    </w:p>
    <w:p w14:paraId="1FABEC11" w14:textId="6F806DD2" w:rsidR="00431DB9" w:rsidRPr="00431DB9" w:rsidRDefault="00EB682F" w:rsidP="00910C33">
      <w:pPr>
        <w:pStyle w:val="DHHSbullet1"/>
        <w:spacing w:line="280" w:lineRule="atLeast"/>
        <w:rPr>
          <w:sz w:val="21"/>
          <w:szCs w:val="21"/>
          <w:lang w:val="en-US"/>
        </w:rPr>
      </w:pPr>
      <w:r>
        <w:rPr>
          <w:sz w:val="21"/>
          <w:szCs w:val="21"/>
          <w:lang w:val="en-US"/>
        </w:rPr>
        <w:t>c</w:t>
      </w:r>
      <w:r w:rsidR="002D4D54">
        <w:rPr>
          <w:sz w:val="21"/>
          <w:szCs w:val="21"/>
          <w:lang w:val="en-US"/>
        </w:rPr>
        <w:t>onvened</w:t>
      </w:r>
      <w:r w:rsidR="0098212F">
        <w:rPr>
          <w:sz w:val="21"/>
          <w:szCs w:val="21"/>
          <w:lang w:val="en-US"/>
        </w:rPr>
        <w:t xml:space="preserve"> </w:t>
      </w:r>
      <w:r w:rsidR="00BB310A">
        <w:rPr>
          <w:sz w:val="21"/>
          <w:szCs w:val="21"/>
          <w:lang w:val="en-US"/>
        </w:rPr>
        <w:t>regular</w:t>
      </w:r>
      <w:r w:rsidR="0098212F">
        <w:rPr>
          <w:sz w:val="21"/>
          <w:szCs w:val="21"/>
          <w:lang w:val="en-US"/>
        </w:rPr>
        <w:t xml:space="preserve"> </w:t>
      </w:r>
      <w:r w:rsidR="003D41A9">
        <w:rPr>
          <w:sz w:val="21"/>
          <w:szCs w:val="21"/>
          <w:lang w:val="en-US"/>
        </w:rPr>
        <w:t>i</w:t>
      </w:r>
      <w:r w:rsidR="00431DB9" w:rsidRPr="00431DB9">
        <w:rPr>
          <w:sz w:val="21"/>
          <w:szCs w:val="21"/>
          <w:lang w:val="en-US"/>
        </w:rPr>
        <w:t>nfa</w:t>
      </w:r>
      <w:r w:rsidR="0098212F">
        <w:rPr>
          <w:sz w:val="21"/>
          <w:szCs w:val="21"/>
          <w:lang w:val="en-US"/>
        </w:rPr>
        <w:t>nt</w:t>
      </w:r>
      <w:r w:rsidR="00431DB9" w:rsidRPr="00431DB9">
        <w:rPr>
          <w:sz w:val="21"/>
          <w:szCs w:val="21"/>
          <w:lang w:val="en-US"/>
        </w:rPr>
        <w:t xml:space="preserve">, </w:t>
      </w:r>
      <w:r w:rsidR="003D41A9">
        <w:rPr>
          <w:sz w:val="21"/>
          <w:szCs w:val="21"/>
          <w:lang w:val="en-US"/>
        </w:rPr>
        <w:t>c</w:t>
      </w:r>
      <w:r w:rsidR="00431DB9" w:rsidRPr="00431DB9">
        <w:rPr>
          <w:sz w:val="21"/>
          <w:szCs w:val="21"/>
          <w:lang w:val="en-US"/>
        </w:rPr>
        <w:t xml:space="preserve">hild and </w:t>
      </w:r>
      <w:r w:rsidR="003D41A9">
        <w:rPr>
          <w:sz w:val="21"/>
          <w:szCs w:val="21"/>
          <w:lang w:val="en-US"/>
        </w:rPr>
        <w:t>y</w:t>
      </w:r>
      <w:r w:rsidR="00431DB9" w:rsidRPr="00431DB9">
        <w:rPr>
          <w:sz w:val="21"/>
          <w:szCs w:val="21"/>
          <w:lang w:val="en-US"/>
        </w:rPr>
        <w:t xml:space="preserve">outh </w:t>
      </w:r>
      <w:r w:rsidR="00CF6CE1">
        <w:rPr>
          <w:sz w:val="21"/>
          <w:szCs w:val="21"/>
          <w:lang w:val="en-US"/>
        </w:rPr>
        <w:t>clinical leaders’</w:t>
      </w:r>
      <w:r w:rsidR="00431DB9" w:rsidRPr="00431DB9">
        <w:rPr>
          <w:sz w:val="21"/>
          <w:szCs w:val="21"/>
          <w:lang w:val="en-US"/>
        </w:rPr>
        <w:t xml:space="preserve"> </w:t>
      </w:r>
      <w:r w:rsidR="003D41A9">
        <w:rPr>
          <w:sz w:val="21"/>
          <w:szCs w:val="21"/>
          <w:lang w:val="en-US"/>
        </w:rPr>
        <w:t>meeting</w:t>
      </w:r>
      <w:r w:rsidR="002E6E2C">
        <w:rPr>
          <w:sz w:val="21"/>
          <w:szCs w:val="21"/>
          <w:lang w:val="en-US"/>
        </w:rPr>
        <w:t>s</w:t>
      </w:r>
      <w:r w:rsidR="0074129B">
        <w:rPr>
          <w:sz w:val="21"/>
          <w:szCs w:val="21"/>
          <w:lang w:val="en-US"/>
        </w:rPr>
        <w:t xml:space="preserve"> with area mental health services to s</w:t>
      </w:r>
      <w:r w:rsidR="00431DB9" w:rsidRPr="00431DB9">
        <w:rPr>
          <w:sz w:val="21"/>
          <w:szCs w:val="21"/>
          <w:lang w:val="en-US"/>
        </w:rPr>
        <w:t xml:space="preserve">upport coordination and care across the infant, child and youth </w:t>
      </w:r>
      <w:proofErr w:type="gramStart"/>
      <w:r w:rsidR="00431DB9" w:rsidRPr="00431DB9">
        <w:rPr>
          <w:sz w:val="21"/>
          <w:szCs w:val="21"/>
          <w:lang w:val="en-US"/>
        </w:rPr>
        <w:t>sector</w:t>
      </w:r>
      <w:proofErr w:type="gramEnd"/>
    </w:p>
    <w:p w14:paraId="596F3617" w14:textId="6566F1CD" w:rsidR="005D4146" w:rsidRPr="00164C5F" w:rsidRDefault="00EB682F" w:rsidP="4F05B018">
      <w:pPr>
        <w:pStyle w:val="DHHSbullet1"/>
        <w:spacing w:line="280" w:lineRule="atLeast"/>
        <w:rPr>
          <w:sz w:val="21"/>
          <w:szCs w:val="21"/>
          <w:lang w:val="en-US"/>
        </w:rPr>
      </w:pPr>
      <w:r>
        <w:rPr>
          <w:sz w:val="21"/>
          <w:szCs w:val="21"/>
          <w:lang w:val="en-US"/>
        </w:rPr>
        <w:t>c</w:t>
      </w:r>
      <w:r w:rsidR="002D4D54" w:rsidRPr="00164C5F">
        <w:rPr>
          <w:sz w:val="21"/>
          <w:szCs w:val="21"/>
          <w:lang w:val="en-US"/>
        </w:rPr>
        <w:t xml:space="preserve">onvened </w:t>
      </w:r>
      <w:r w:rsidR="00887D1C" w:rsidRPr="00164C5F">
        <w:rPr>
          <w:sz w:val="21"/>
          <w:szCs w:val="21"/>
          <w:lang w:val="en-US"/>
        </w:rPr>
        <w:t xml:space="preserve">regular </w:t>
      </w:r>
      <w:r w:rsidR="00E9575E" w:rsidRPr="00164C5F">
        <w:rPr>
          <w:sz w:val="21"/>
          <w:szCs w:val="21"/>
          <w:lang w:val="en-US"/>
        </w:rPr>
        <w:t xml:space="preserve">older </w:t>
      </w:r>
      <w:proofErr w:type="gramStart"/>
      <w:r w:rsidR="00E9575E" w:rsidRPr="00164C5F">
        <w:rPr>
          <w:sz w:val="21"/>
          <w:szCs w:val="21"/>
          <w:lang w:val="en-US"/>
        </w:rPr>
        <w:t>adults</w:t>
      </w:r>
      <w:proofErr w:type="gramEnd"/>
      <w:r w:rsidR="00E9575E" w:rsidRPr="00164C5F">
        <w:rPr>
          <w:sz w:val="21"/>
          <w:szCs w:val="21"/>
          <w:lang w:val="en-US"/>
        </w:rPr>
        <w:t xml:space="preserve"> mental health service </w:t>
      </w:r>
      <w:r w:rsidR="006904DD" w:rsidRPr="00164C5F">
        <w:rPr>
          <w:sz w:val="21"/>
          <w:szCs w:val="21"/>
          <w:lang w:val="en-US"/>
        </w:rPr>
        <w:t>clinical leaders</w:t>
      </w:r>
      <w:r w:rsidR="000B1822" w:rsidRPr="00164C5F">
        <w:rPr>
          <w:sz w:val="21"/>
          <w:szCs w:val="21"/>
          <w:lang w:val="en-US"/>
        </w:rPr>
        <w:t>’</w:t>
      </w:r>
      <w:r w:rsidR="006904DD" w:rsidRPr="00164C5F">
        <w:rPr>
          <w:sz w:val="21"/>
          <w:szCs w:val="21"/>
          <w:lang w:val="en-US"/>
        </w:rPr>
        <w:t xml:space="preserve"> meeting</w:t>
      </w:r>
      <w:r w:rsidR="000B1822" w:rsidRPr="00164C5F">
        <w:rPr>
          <w:sz w:val="21"/>
          <w:szCs w:val="21"/>
          <w:lang w:val="en-US"/>
        </w:rPr>
        <w:t>s</w:t>
      </w:r>
      <w:r w:rsidR="00A810C4" w:rsidRPr="00164C5F">
        <w:rPr>
          <w:sz w:val="21"/>
          <w:szCs w:val="21"/>
          <w:lang w:val="en-US"/>
        </w:rPr>
        <w:t xml:space="preserve">, </w:t>
      </w:r>
      <w:r w:rsidR="00EE630A" w:rsidRPr="00164C5F">
        <w:rPr>
          <w:sz w:val="21"/>
          <w:szCs w:val="21"/>
          <w:lang w:val="en-US"/>
        </w:rPr>
        <w:t>foster</w:t>
      </w:r>
      <w:r w:rsidR="00A810C4" w:rsidRPr="00164C5F">
        <w:rPr>
          <w:sz w:val="21"/>
          <w:szCs w:val="21"/>
          <w:lang w:val="en-US"/>
        </w:rPr>
        <w:t>ing</w:t>
      </w:r>
      <w:r w:rsidR="00EE630A" w:rsidRPr="00164C5F">
        <w:rPr>
          <w:sz w:val="21"/>
          <w:szCs w:val="21"/>
          <w:lang w:val="en-US"/>
        </w:rPr>
        <w:t xml:space="preserve"> collaboration</w:t>
      </w:r>
      <w:r w:rsidR="00A810C4" w:rsidRPr="00164C5F">
        <w:rPr>
          <w:sz w:val="21"/>
          <w:szCs w:val="21"/>
          <w:lang w:val="en-US"/>
        </w:rPr>
        <w:t xml:space="preserve"> between services to </w:t>
      </w:r>
      <w:r w:rsidR="009318B4" w:rsidRPr="00164C5F">
        <w:rPr>
          <w:sz w:val="21"/>
          <w:szCs w:val="21"/>
          <w:lang w:val="en-US"/>
        </w:rPr>
        <w:t>improve</w:t>
      </w:r>
      <w:r w:rsidR="001E3501" w:rsidRPr="00164C5F">
        <w:rPr>
          <w:sz w:val="21"/>
          <w:szCs w:val="21"/>
          <w:lang w:val="en-US"/>
        </w:rPr>
        <w:t xml:space="preserve"> </w:t>
      </w:r>
      <w:r w:rsidR="00245692" w:rsidRPr="00164C5F">
        <w:rPr>
          <w:sz w:val="21"/>
          <w:szCs w:val="21"/>
          <w:lang w:val="en-US"/>
        </w:rPr>
        <w:t>treatment and care</w:t>
      </w:r>
      <w:r w:rsidR="007F0AE0" w:rsidRPr="00164C5F">
        <w:rPr>
          <w:sz w:val="21"/>
          <w:szCs w:val="21"/>
          <w:lang w:val="en-US"/>
        </w:rPr>
        <w:t xml:space="preserve"> for </w:t>
      </w:r>
      <w:r w:rsidR="004C3CB9" w:rsidRPr="00164C5F">
        <w:rPr>
          <w:sz w:val="21"/>
          <w:szCs w:val="21"/>
          <w:lang w:val="en-US"/>
        </w:rPr>
        <w:t>older adults</w:t>
      </w:r>
    </w:p>
    <w:p w14:paraId="5C6EDD48" w14:textId="1A0F24E5" w:rsidR="00F835D7" w:rsidRPr="00F81B48" w:rsidRDefault="00EB682F" w:rsidP="00897982">
      <w:pPr>
        <w:pStyle w:val="DHHSbullet1"/>
        <w:spacing w:line="280" w:lineRule="atLeast"/>
        <w:rPr>
          <w:sz w:val="21"/>
          <w:szCs w:val="21"/>
          <w:lang w:val="en-US"/>
        </w:rPr>
      </w:pPr>
      <w:r>
        <w:rPr>
          <w:sz w:val="21"/>
          <w:szCs w:val="21"/>
          <w:lang w:val="en-US"/>
        </w:rPr>
        <w:t>w</w:t>
      </w:r>
      <w:r w:rsidR="003A4C68">
        <w:rPr>
          <w:sz w:val="21"/>
          <w:szCs w:val="21"/>
          <w:lang w:val="en-US"/>
        </w:rPr>
        <w:t>ork</w:t>
      </w:r>
      <w:r w:rsidR="00AB04BC">
        <w:rPr>
          <w:sz w:val="21"/>
          <w:szCs w:val="21"/>
          <w:lang w:val="en-US"/>
        </w:rPr>
        <w:t>ed</w:t>
      </w:r>
      <w:r w:rsidR="003A4C68">
        <w:rPr>
          <w:sz w:val="21"/>
          <w:szCs w:val="21"/>
          <w:lang w:val="en-US"/>
        </w:rPr>
        <w:t xml:space="preserve"> with </w:t>
      </w:r>
      <w:proofErr w:type="spellStart"/>
      <w:r w:rsidR="003A4C68">
        <w:rPr>
          <w:sz w:val="21"/>
          <w:szCs w:val="21"/>
          <w:lang w:val="en-US"/>
        </w:rPr>
        <w:t>authorised</w:t>
      </w:r>
      <w:proofErr w:type="spellEnd"/>
      <w:r w:rsidR="003A4C68">
        <w:rPr>
          <w:sz w:val="21"/>
          <w:szCs w:val="21"/>
          <w:lang w:val="en-US"/>
        </w:rPr>
        <w:t xml:space="preserve"> psychiatrists to </w:t>
      </w:r>
      <w:r w:rsidR="00451F4A">
        <w:rPr>
          <w:sz w:val="21"/>
          <w:szCs w:val="21"/>
          <w:lang w:val="en-US"/>
        </w:rPr>
        <w:t xml:space="preserve">identify issues </w:t>
      </w:r>
      <w:r w:rsidR="004850BC">
        <w:rPr>
          <w:sz w:val="21"/>
          <w:szCs w:val="21"/>
          <w:lang w:val="en-US"/>
        </w:rPr>
        <w:t xml:space="preserve">in the clinical mental health and wellbeing system </w:t>
      </w:r>
      <w:r w:rsidR="00A61CDC">
        <w:rPr>
          <w:sz w:val="21"/>
          <w:szCs w:val="21"/>
          <w:lang w:val="en-US"/>
        </w:rPr>
        <w:t xml:space="preserve">via </w:t>
      </w:r>
      <w:r w:rsidR="00B92585">
        <w:rPr>
          <w:sz w:val="21"/>
          <w:szCs w:val="21"/>
          <w:lang w:val="en-US"/>
        </w:rPr>
        <w:t xml:space="preserve">a series of ongoing </w:t>
      </w:r>
      <w:r w:rsidR="5D4CA9C9" w:rsidRPr="61588F6F">
        <w:rPr>
          <w:sz w:val="21"/>
          <w:szCs w:val="21"/>
          <w:lang w:val="en-US"/>
        </w:rPr>
        <w:t>forums</w:t>
      </w:r>
      <w:r>
        <w:rPr>
          <w:sz w:val="21"/>
          <w:szCs w:val="21"/>
          <w:lang w:val="en-US"/>
        </w:rPr>
        <w:t xml:space="preserve"> (t</w:t>
      </w:r>
      <w:r w:rsidR="00C63F7C">
        <w:rPr>
          <w:sz w:val="21"/>
          <w:szCs w:val="21"/>
          <w:lang w:val="en-US"/>
        </w:rPr>
        <w:t>opics included</w:t>
      </w:r>
      <w:r w:rsidR="00905988">
        <w:rPr>
          <w:sz w:val="21"/>
          <w:szCs w:val="21"/>
          <w:lang w:val="en-US"/>
        </w:rPr>
        <w:t xml:space="preserve"> briefings on emerging reforms and compliance requirements relating to Royal Commission recommendations and the new Mental Health and Wellbeing Act</w:t>
      </w:r>
      <w:r>
        <w:rPr>
          <w:sz w:val="21"/>
          <w:szCs w:val="21"/>
          <w:lang w:val="en-US"/>
        </w:rPr>
        <w:t>)</w:t>
      </w:r>
    </w:p>
    <w:p w14:paraId="3F364BD8" w14:textId="57D6EF14" w:rsidR="002C6C58" w:rsidRPr="002C6C58" w:rsidRDefault="00EB682F" w:rsidP="002C6C58">
      <w:pPr>
        <w:pStyle w:val="DHHSbullet1"/>
        <w:rPr>
          <w:sz w:val="21"/>
          <w:szCs w:val="21"/>
          <w:lang w:val="en-US"/>
        </w:rPr>
      </w:pPr>
      <w:r>
        <w:rPr>
          <w:sz w:val="21"/>
          <w:szCs w:val="21"/>
          <w:lang w:val="en-US"/>
        </w:rPr>
        <w:t>g</w:t>
      </w:r>
      <w:r w:rsidR="005F7BFA">
        <w:rPr>
          <w:sz w:val="21"/>
          <w:szCs w:val="21"/>
          <w:lang w:val="en-US"/>
        </w:rPr>
        <w:t>ave a keynote presentation</w:t>
      </w:r>
      <w:r w:rsidR="002C6C58" w:rsidRPr="002C6C58">
        <w:rPr>
          <w:sz w:val="21"/>
          <w:szCs w:val="21"/>
          <w:lang w:val="en-US"/>
        </w:rPr>
        <w:t xml:space="preserve"> at a</w:t>
      </w:r>
      <w:r w:rsidR="005F7BFA">
        <w:rPr>
          <w:sz w:val="21"/>
          <w:szCs w:val="21"/>
          <w:lang w:val="en-US"/>
        </w:rPr>
        <w:t xml:space="preserve"> Safer Care Victoria</w:t>
      </w:r>
      <w:r w:rsidR="002C6C58" w:rsidRPr="002C6C58">
        <w:rPr>
          <w:sz w:val="21"/>
          <w:szCs w:val="21"/>
          <w:lang w:val="en-US"/>
        </w:rPr>
        <w:t xml:space="preserve"> ligature safety forum</w:t>
      </w:r>
      <w:r w:rsidR="002B1F1C">
        <w:rPr>
          <w:sz w:val="21"/>
          <w:szCs w:val="21"/>
          <w:lang w:val="en-US"/>
        </w:rPr>
        <w:t xml:space="preserve"> on </w:t>
      </w:r>
      <w:r w:rsidR="0000259A">
        <w:rPr>
          <w:sz w:val="21"/>
          <w:szCs w:val="21"/>
          <w:lang w:val="en-US"/>
        </w:rPr>
        <w:t xml:space="preserve">the need </w:t>
      </w:r>
      <w:r w:rsidR="00ED50EB">
        <w:rPr>
          <w:sz w:val="21"/>
          <w:szCs w:val="21"/>
          <w:lang w:val="en-US"/>
        </w:rPr>
        <w:t xml:space="preserve">to </w:t>
      </w:r>
      <w:r w:rsidR="002C6C58" w:rsidRPr="002C6C58">
        <w:rPr>
          <w:sz w:val="21"/>
          <w:szCs w:val="21"/>
          <w:lang w:val="en-US"/>
        </w:rPr>
        <w:t xml:space="preserve">balance safety </w:t>
      </w:r>
      <w:r w:rsidR="000B5ABA">
        <w:rPr>
          <w:sz w:val="21"/>
          <w:szCs w:val="21"/>
          <w:lang w:val="en-US"/>
        </w:rPr>
        <w:t>with</w:t>
      </w:r>
      <w:r w:rsidR="002C6C58" w:rsidRPr="002C6C58">
        <w:rPr>
          <w:sz w:val="21"/>
          <w:szCs w:val="21"/>
          <w:lang w:val="en-US"/>
        </w:rPr>
        <w:t xml:space="preserve"> consumer rights in inpatient </w:t>
      </w:r>
      <w:proofErr w:type="gramStart"/>
      <w:r w:rsidR="002C6C58" w:rsidRPr="002C6C58">
        <w:rPr>
          <w:sz w:val="21"/>
          <w:szCs w:val="21"/>
          <w:lang w:val="en-US"/>
        </w:rPr>
        <w:t>settings</w:t>
      </w:r>
      <w:proofErr w:type="gramEnd"/>
    </w:p>
    <w:p w14:paraId="724C3967" w14:textId="5CEB9E24" w:rsidR="003C5FC0" w:rsidRDefault="00EB682F" w:rsidP="003C5FC0">
      <w:pPr>
        <w:pStyle w:val="DHHSbullet1"/>
        <w:rPr>
          <w:sz w:val="21"/>
          <w:szCs w:val="21"/>
          <w:lang w:val="en-US"/>
        </w:rPr>
      </w:pPr>
      <w:proofErr w:type="spellStart"/>
      <w:r>
        <w:rPr>
          <w:sz w:val="21"/>
          <w:szCs w:val="21"/>
          <w:lang w:val="en-US"/>
        </w:rPr>
        <w:t>m</w:t>
      </w:r>
      <w:r w:rsidR="003C5FC0" w:rsidRPr="003C5FC0">
        <w:rPr>
          <w:sz w:val="21"/>
          <w:szCs w:val="21"/>
          <w:lang w:val="en-US"/>
        </w:rPr>
        <w:t>odernised</w:t>
      </w:r>
      <w:proofErr w:type="spellEnd"/>
      <w:r w:rsidR="003C5FC0" w:rsidRPr="003C5FC0">
        <w:rPr>
          <w:sz w:val="21"/>
          <w:szCs w:val="21"/>
          <w:lang w:val="en-US"/>
        </w:rPr>
        <w:t xml:space="preserve"> systems to ease the administrative burden on services reporting clinical incidents and practices to the </w:t>
      </w:r>
      <w:proofErr w:type="gramStart"/>
      <w:r w:rsidR="003C5FC0" w:rsidRPr="003C5FC0">
        <w:rPr>
          <w:sz w:val="21"/>
          <w:szCs w:val="21"/>
          <w:lang w:val="en-US"/>
        </w:rPr>
        <w:t>OCP</w:t>
      </w:r>
      <w:proofErr w:type="gramEnd"/>
    </w:p>
    <w:p w14:paraId="5418E181" w14:textId="4C26C553" w:rsidR="00096850" w:rsidRPr="00D44152" w:rsidRDefault="00EB682F" w:rsidP="00D44152">
      <w:pPr>
        <w:pStyle w:val="DHHSbullet1"/>
        <w:rPr>
          <w:sz w:val="21"/>
          <w:szCs w:val="21"/>
          <w:lang w:val="en-US"/>
        </w:rPr>
      </w:pPr>
      <w:r>
        <w:rPr>
          <w:sz w:val="21"/>
          <w:szCs w:val="21"/>
          <w:lang w:val="en-US"/>
        </w:rPr>
        <w:t>r</w:t>
      </w:r>
      <w:r w:rsidR="00192642">
        <w:rPr>
          <w:sz w:val="21"/>
          <w:szCs w:val="21"/>
          <w:lang w:val="en-US"/>
        </w:rPr>
        <w:t xml:space="preserve">edesigned and rebuilt a </w:t>
      </w:r>
      <w:r w:rsidR="007A6D11">
        <w:rPr>
          <w:sz w:val="21"/>
          <w:szCs w:val="21"/>
          <w:lang w:val="en-US"/>
        </w:rPr>
        <w:t xml:space="preserve">new </w:t>
      </w:r>
      <w:r w:rsidR="00E437A2">
        <w:rPr>
          <w:sz w:val="21"/>
          <w:szCs w:val="21"/>
          <w:lang w:val="en-US"/>
        </w:rPr>
        <w:t xml:space="preserve">OCP </w:t>
      </w:r>
      <w:r w:rsidR="00E437A2" w:rsidRPr="00E437A2">
        <w:rPr>
          <w:sz w:val="21"/>
          <w:szCs w:val="21"/>
          <w:lang w:val="en-US"/>
        </w:rPr>
        <w:t>website to increase accessibility to information and resources vital for legislative compliance and protection of consumer rights</w:t>
      </w:r>
      <w:r w:rsidR="00096850" w:rsidRPr="00D44152">
        <w:rPr>
          <w:sz w:val="21"/>
          <w:szCs w:val="21"/>
          <w:lang w:val="en-US"/>
        </w:rPr>
        <w:t xml:space="preserve">. </w:t>
      </w:r>
    </w:p>
    <w:p w14:paraId="4DAF748C" w14:textId="5BCD0DD7" w:rsidR="00381B2F" w:rsidRPr="002F6D1F" w:rsidRDefault="00381B2F" w:rsidP="00261B45">
      <w:pPr>
        <w:pStyle w:val="Heading1"/>
        <w:tabs>
          <w:tab w:val="center" w:pos="4643"/>
        </w:tabs>
        <w:rPr>
          <w:color w:val="auto"/>
          <w:sz w:val="22"/>
          <w:szCs w:val="22"/>
        </w:rPr>
      </w:pPr>
      <w:bookmarkStart w:id="22" w:name="_Toc52886239"/>
      <w:bookmarkStart w:id="23" w:name="_Toc149041969"/>
      <w:r w:rsidRPr="00182DBC">
        <w:lastRenderedPageBreak/>
        <w:t xml:space="preserve">Statutory </w:t>
      </w:r>
      <w:r w:rsidR="00F06C75">
        <w:t>r</w:t>
      </w:r>
      <w:r w:rsidRPr="00182DBC">
        <w:t>eporting</w:t>
      </w:r>
      <w:bookmarkEnd w:id="22"/>
      <w:bookmarkEnd w:id="23"/>
      <w:r w:rsidR="00261B45">
        <w:tab/>
      </w:r>
    </w:p>
    <w:p w14:paraId="297B38E2" w14:textId="68875695" w:rsidR="00381B2F" w:rsidRPr="00EC49D8" w:rsidRDefault="00381B2F" w:rsidP="00563C62">
      <w:pPr>
        <w:pStyle w:val="Body"/>
        <w:rPr>
          <w:rFonts w:eastAsia="Arial" w:cs="Arial"/>
          <w:color w:val="000000" w:themeColor="text1"/>
        </w:rPr>
      </w:pPr>
      <w:r>
        <w:t xml:space="preserve">Under the </w:t>
      </w:r>
      <w:r w:rsidRPr="0003685A">
        <w:t>Act</w:t>
      </w:r>
      <w:r>
        <w:t xml:space="preserve">, mental health services must report to the Chief Psychiatrist about their use of </w:t>
      </w:r>
      <w:r w:rsidR="00DB1CED">
        <w:t>E</w:t>
      </w:r>
      <w:r>
        <w:t>CT and restrictive interventions. They must also report the deaths of mental health consumers. The Chief Psychiatrist understands that the loss of a loved one or the use of restrictive practices</w:t>
      </w:r>
      <w:r w:rsidR="005A0956">
        <w:t xml:space="preserve"> has</w:t>
      </w:r>
      <w:r>
        <w:t xml:space="preserve"> impacts on people, their families and the workforce and is </w:t>
      </w:r>
      <w:r w:rsidR="374319EE" w:rsidRPr="00EC49D8">
        <w:rPr>
          <w:rFonts w:eastAsia="Arial" w:cs="Arial"/>
          <w:color w:val="000000" w:themeColor="text1"/>
        </w:rPr>
        <w:t>working with</w:t>
      </w:r>
      <w:r w:rsidR="0A7FB939" w:rsidRPr="00EC49D8">
        <w:rPr>
          <w:rFonts w:eastAsia="Arial" w:cs="Arial"/>
          <w:color w:val="000000" w:themeColor="text1"/>
        </w:rPr>
        <w:t xml:space="preserve"> services to improve consumers’ physical wellbeing and minimise the use of restrictive practices.</w:t>
      </w:r>
    </w:p>
    <w:p w14:paraId="7952D87B" w14:textId="6BC62E10" w:rsidR="3266B38D" w:rsidRDefault="00FD0BCC" w:rsidP="00563C62">
      <w:pPr>
        <w:pStyle w:val="Body"/>
      </w:pPr>
      <w:r>
        <w:t>T</w:t>
      </w:r>
      <w:r w:rsidR="3266B38D" w:rsidRPr="00EC49D8">
        <w:t xml:space="preserve">he Chief Psychiatrist </w:t>
      </w:r>
      <w:r>
        <w:t xml:space="preserve">collects data </w:t>
      </w:r>
      <w:r w:rsidR="3266B38D" w:rsidRPr="00EC49D8">
        <w:t xml:space="preserve">to </w:t>
      </w:r>
      <w:r>
        <w:t xml:space="preserve">help </w:t>
      </w:r>
      <w:r w:rsidR="3266B38D" w:rsidRPr="00EC49D8">
        <w:t xml:space="preserve">monitor trends, identify </w:t>
      </w:r>
      <w:proofErr w:type="gramStart"/>
      <w:r w:rsidR="3266B38D" w:rsidRPr="00EC49D8">
        <w:t>issues</w:t>
      </w:r>
      <w:proofErr w:type="gramEnd"/>
      <w:r w:rsidR="3266B38D" w:rsidRPr="00EC49D8">
        <w:t xml:space="preserve"> and improve quality and safety in clinical services. This section of the report provides data and analysis </w:t>
      </w:r>
      <w:bookmarkStart w:id="24" w:name="_Hlk82767354"/>
      <w:r w:rsidR="00920F37">
        <w:t>for</w:t>
      </w:r>
      <w:r w:rsidR="00920F37" w:rsidRPr="00EC49D8">
        <w:t xml:space="preserve"> </w:t>
      </w:r>
      <w:r w:rsidR="3266B38D" w:rsidRPr="00EC49D8">
        <w:t xml:space="preserve">ECT, restrictive interventions and consumers’ deaths </w:t>
      </w:r>
      <w:bookmarkEnd w:id="24"/>
      <w:r w:rsidR="00920F37">
        <w:t>in</w:t>
      </w:r>
      <w:r w:rsidR="3266B38D" w:rsidRPr="00EC49D8">
        <w:t xml:space="preserve"> 20</w:t>
      </w:r>
      <w:r w:rsidR="00613598">
        <w:t>2</w:t>
      </w:r>
      <w:r w:rsidR="00C661C0">
        <w:t>2</w:t>
      </w:r>
      <w:r w:rsidR="3266B38D" w:rsidRPr="00EC49D8">
        <w:t>–2</w:t>
      </w:r>
      <w:r w:rsidR="00C661C0">
        <w:t>3</w:t>
      </w:r>
      <w:r w:rsidR="3266B38D" w:rsidRPr="00EC49D8">
        <w:t>.</w:t>
      </w:r>
    </w:p>
    <w:p w14:paraId="45235E71" w14:textId="1EF15B5B" w:rsidR="00033301" w:rsidRDefault="00617164" w:rsidP="00563C62">
      <w:pPr>
        <w:pStyle w:val="Body"/>
      </w:pPr>
      <w:r>
        <w:t xml:space="preserve">The </w:t>
      </w:r>
      <w:r w:rsidR="006013F0">
        <w:t xml:space="preserve">data </w:t>
      </w:r>
      <w:r w:rsidR="00B573E4">
        <w:t>in this section</w:t>
      </w:r>
      <w:r w:rsidR="00736250">
        <w:t xml:space="preserve"> </w:t>
      </w:r>
      <w:r w:rsidR="00042503">
        <w:t>is grouped</w:t>
      </w:r>
      <w:r w:rsidR="00E933FC">
        <w:t xml:space="preserve"> </w:t>
      </w:r>
      <w:r w:rsidR="00E933FC" w:rsidRPr="00EC2812">
        <w:rPr>
          <w:i/>
          <w:iCs/>
        </w:rPr>
        <w:t>female</w:t>
      </w:r>
      <w:r w:rsidR="00E933FC">
        <w:t xml:space="preserve"> and </w:t>
      </w:r>
      <w:r w:rsidR="00E933FC" w:rsidRPr="00EC2812">
        <w:rPr>
          <w:i/>
          <w:iCs/>
        </w:rPr>
        <w:t>male</w:t>
      </w:r>
      <w:r w:rsidR="00E933FC">
        <w:t xml:space="preserve">. </w:t>
      </w:r>
      <w:r w:rsidR="00E62729">
        <w:t>T</w:t>
      </w:r>
      <w:r w:rsidR="00272F9A">
        <w:t xml:space="preserve">he </w:t>
      </w:r>
      <w:r w:rsidR="00E62729">
        <w:t>OCP</w:t>
      </w:r>
      <w:r w:rsidR="001501ED">
        <w:t xml:space="preserve"> acknowledge</w:t>
      </w:r>
      <w:r w:rsidR="00AD4311">
        <w:t>s</w:t>
      </w:r>
      <w:r w:rsidR="001501ED">
        <w:t xml:space="preserve"> that</w:t>
      </w:r>
      <w:r w:rsidR="00272F9A">
        <w:t xml:space="preserve"> </w:t>
      </w:r>
      <w:r w:rsidR="00AD4311">
        <w:t>some</w:t>
      </w:r>
      <w:r w:rsidR="001E000C">
        <w:t xml:space="preserve"> </w:t>
      </w:r>
      <w:r w:rsidR="001501ED">
        <w:t>people</w:t>
      </w:r>
      <w:r w:rsidR="001E000C">
        <w:t xml:space="preserve"> </w:t>
      </w:r>
      <w:r w:rsidR="001501ED">
        <w:t xml:space="preserve">express their </w:t>
      </w:r>
      <w:r w:rsidR="005112BA">
        <w:t xml:space="preserve">gender in ways that do not correspond with </w:t>
      </w:r>
      <w:r w:rsidR="0075166E">
        <w:t>the</w:t>
      </w:r>
      <w:r w:rsidR="00503EA2">
        <w:t>se</w:t>
      </w:r>
      <w:r w:rsidR="004D4154">
        <w:t xml:space="preserve"> </w:t>
      </w:r>
      <w:r w:rsidR="002F0E43">
        <w:t xml:space="preserve">binary </w:t>
      </w:r>
      <w:r w:rsidR="004D4154">
        <w:t>differences</w:t>
      </w:r>
      <w:r w:rsidR="005112BA">
        <w:t xml:space="preserve">. </w:t>
      </w:r>
      <w:r w:rsidR="00F95BCD">
        <w:t xml:space="preserve">This includes people who </w:t>
      </w:r>
      <w:r w:rsidR="00FC0384">
        <w:t>are gender non-binary, gender queer, agender or gender fluid</w:t>
      </w:r>
      <w:r w:rsidR="001B0934">
        <w:t>/diverse</w:t>
      </w:r>
      <w:r w:rsidR="002E63ED">
        <w:t xml:space="preserve">. </w:t>
      </w:r>
      <w:r w:rsidR="007767A1">
        <w:t xml:space="preserve">The OCP data systems are </w:t>
      </w:r>
      <w:r w:rsidR="00033301">
        <w:t>operating under</w:t>
      </w:r>
      <w:r w:rsidR="00B6028D">
        <w:t xml:space="preserve"> historical and current data</w:t>
      </w:r>
      <w:r w:rsidR="002510D3">
        <w:t>-</w:t>
      </w:r>
      <w:r w:rsidR="00B6028D">
        <w:t>gathering methods, wh</w:t>
      </w:r>
      <w:r w:rsidR="001D3A39">
        <w:t xml:space="preserve">ich </w:t>
      </w:r>
      <w:r w:rsidR="0042798C">
        <w:t xml:space="preserve">typically </w:t>
      </w:r>
      <w:r w:rsidR="001D3A39">
        <w:t>group</w:t>
      </w:r>
      <w:r w:rsidR="00B6028D">
        <w:t xml:space="preserve"> </w:t>
      </w:r>
      <w:r w:rsidR="00CC0B35">
        <w:t xml:space="preserve">data </w:t>
      </w:r>
      <w:r w:rsidR="00872012">
        <w:t>according to</w:t>
      </w:r>
      <w:r w:rsidR="00F22CC3">
        <w:t xml:space="preserve"> categories</w:t>
      </w:r>
      <w:r w:rsidR="00BE6A70">
        <w:t xml:space="preserve"> of biological sex</w:t>
      </w:r>
      <w:r w:rsidR="00413593">
        <w:t xml:space="preserve">. The </w:t>
      </w:r>
      <w:r w:rsidR="00E62729">
        <w:t>OCP</w:t>
      </w:r>
      <w:r w:rsidR="00413593">
        <w:t xml:space="preserve"> acknowledges th</w:t>
      </w:r>
      <w:r w:rsidR="009F56E1">
        <w:t>at th</w:t>
      </w:r>
      <w:r w:rsidR="00CC7252">
        <w:t xml:space="preserve">is binary approach does not provide a full picture of </w:t>
      </w:r>
      <w:r w:rsidR="00C91B49">
        <w:t>the experiences of consumers</w:t>
      </w:r>
      <w:r w:rsidR="005911AB">
        <w:t xml:space="preserve"> and</w:t>
      </w:r>
      <w:r w:rsidR="00C91B49">
        <w:t xml:space="preserve"> </w:t>
      </w:r>
      <w:r w:rsidR="00D93E4E">
        <w:t xml:space="preserve">is currently working towards adopting a more </w:t>
      </w:r>
      <w:r w:rsidR="00E7277E">
        <w:t>inclusive</w:t>
      </w:r>
      <w:r w:rsidR="00D93E4E">
        <w:t xml:space="preserve"> approach that better captures </w:t>
      </w:r>
      <w:r w:rsidR="0007442C">
        <w:t xml:space="preserve">the </w:t>
      </w:r>
      <w:r w:rsidR="00E549B7">
        <w:t xml:space="preserve">diverse ways people </w:t>
      </w:r>
      <w:r w:rsidR="00E7277E">
        <w:t xml:space="preserve">express </w:t>
      </w:r>
      <w:r w:rsidR="00E549B7">
        <w:t>their gender</w:t>
      </w:r>
      <w:r w:rsidR="00D93E4E">
        <w:t>.</w:t>
      </w:r>
    </w:p>
    <w:p w14:paraId="12633735" w14:textId="684F3024" w:rsidR="00381B2F" w:rsidRPr="002F6D1F" w:rsidRDefault="00381B2F" w:rsidP="00381B2F">
      <w:pPr>
        <w:pStyle w:val="Heading2"/>
        <w:rPr>
          <w:rFonts w:ascii="Calibri" w:eastAsia="Calibri" w:hAnsi="Calibri"/>
          <w:b w:val="0"/>
          <w:bCs/>
          <w:color w:val="auto"/>
          <w:sz w:val="22"/>
          <w:szCs w:val="22"/>
          <w:highlight w:val="magenta"/>
        </w:rPr>
      </w:pPr>
      <w:bookmarkStart w:id="25" w:name="_Toc52886240"/>
      <w:bookmarkStart w:id="26" w:name="_Toc149041970"/>
      <w:r>
        <w:t>Electroconvulsive treatment</w:t>
      </w:r>
      <w:bookmarkEnd w:id="25"/>
      <w:bookmarkEnd w:id="26"/>
    </w:p>
    <w:p w14:paraId="42610908" w14:textId="695B6126" w:rsidR="00EF4255" w:rsidRDefault="00EF4255" w:rsidP="00EF4255">
      <w:pPr>
        <w:pStyle w:val="Body"/>
      </w:pPr>
      <w:r>
        <w:t xml:space="preserve">ECT is a safe, effective, evidence-based treatment </w:t>
      </w:r>
      <w:r w:rsidR="00612276">
        <w:t>for</w:t>
      </w:r>
      <w:r>
        <w:t xml:space="preserve"> mood disorders, </w:t>
      </w:r>
      <w:proofErr w:type="gramStart"/>
      <w:r>
        <w:t>psychosis</w:t>
      </w:r>
      <w:proofErr w:type="gramEnd"/>
      <w:r>
        <w:t xml:space="preserve"> and catatonia. It may be recommended when other medical treatments have not worked, take too long to work or cannot be undertaken safely. It might also be recommended to people for whom the treatment has worked well previously. </w:t>
      </w:r>
    </w:p>
    <w:p w14:paraId="6FE823EA" w14:textId="71AA417E" w:rsidR="00EF4255" w:rsidRDefault="00EF4255" w:rsidP="00EF4255">
      <w:pPr>
        <w:pStyle w:val="Body"/>
      </w:pPr>
      <w:r>
        <w:t>ECT is now highly advanced and individually tailored to maximise its benefits and reduce side effects, including cognitive impairment. Adverse effects are minimised by preferentially applying stimulation to one side of the head (unilateral ECT) with the smallest possible dose of electrical stimulation. Bilateral ECT is used when clinically indicated. Treatments are typically administered on two or three occasions per week over a period of two or more weeks. A small proportion of people benefit from ongoing treatments to prevent relapse.</w:t>
      </w:r>
    </w:p>
    <w:p w14:paraId="1E6C5A93" w14:textId="0B66556E" w:rsidR="00381B2F" w:rsidRDefault="00381B2F" w:rsidP="00563C62">
      <w:pPr>
        <w:pStyle w:val="Body"/>
      </w:pPr>
      <w:r w:rsidRPr="00A809FE">
        <w:t>The Chief Psychiatrist and the Mental Health Tribunal oversee ECT. Services must inform the Chief Psychiatrist of each treatment, stipulating the type of treatment and the reason for its use.</w:t>
      </w:r>
      <w:r w:rsidR="0057779F">
        <w:t xml:space="preserve"> </w:t>
      </w:r>
    </w:p>
    <w:p w14:paraId="3DDB76B2" w14:textId="6A8C3DFA" w:rsidR="00381B2F" w:rsidRPr="00477ED3" w:rsidRDefault="00381B2F" w:rsidP="00381B2F">
      <w:pPr>
        <w:pStyle w:val="Heading3"/>
        <w:rPr>
          <w:sz w:val="22"/>
          <w:szCs w:val="22"/>
        </w:rPr>
      </w:pPr>
      <w:bookmarkStart w:id="27" w:name="_Toc52886241"/>
      <w:r w:rsidRPr="33B77389">
        <w:t>Electroconvulsive treatment in public mental health services</w:t>
      </w:r>
      <w:bookmarkEnd w:id="27"/>
    </w:p>
    <w:p w14:paraId="62F03045" w14:textId="60AD6158" w:rsidR="006B3F7E" w:rsidRDefault="00381B2F" w:rsidP="00587D98">
      <w:pPr>
        <w:pStyle w:val="Body"/>
        <w:rPr>
          <w:rFonts w:eastAsia="Arial"/>
          <w:b/>
        </w:rPr>
      </w:pPr>
      <w:r w:rsidRPr="00A809FE">
        <w:t xml:space="preserve">In </w:t>
      </w:r>
      <w:r w:rsidR="002233A8" w:rsidRPr="00A809FE">
        <w:t>20</w:t>
      </w:r>
      <w:r w:rsidR="002233A8">
        <w:t>2</w:t>
      </w:r>
      <w:r w:rsidR="00CD668E">
        <w:t>2</w:t>
      </w:r>
      <w:r w:rsidR="002233A8">
        <w:t>–2</w:t>
      </w:r>
      <w:r w:rsidR="00413A67">
        <w:t>3</w:t>
      </w:r>
      <w:r w:rsidR="000D300F">
        <w:t>,</w:t>
      </w:r>
      <w:r w:rsidRPr="00A809FE">
        <w:t xml:space="preserve"> </w:t>
      </w:r>
      <w:r w:rsidR="007C103E">
        <w:t>88</w:t>
      </w:r>
      <w:r w:rsidR="00413A67">
        <w:t>4</w:t>
      </w:r>
      <w:r w:rsidRPr="00A809FE">
        <w:t xml:space="preserve"> people received ECT</w:t>
      </w:r>
      <w:r w:rsidR="00EB7F4C">
        <w:t xml:space="preserve"> (Table </w:t>
      </w:r>
      <w:r w:rsidR="00BC0D9B">
        <w:t>1</w:t>
      </w:r>
      <w:r w:rsidR="00280C7F">
        <w:t>)</w:t>
      </w:r>
      <w:r w:rsidR="000D300F">
        <w:t>,</w:t>
      </w:r>
      <w:r w:rsidR="00413A67">
        <w:t xml:space="preserve"> w</w:t>
      </w:r>
      <w:r w:rsidR="00D37BD5" w:rsidRPr="00D37BD5">
        <w:t>ith 11,</w:t>
      </w:r>
      <w:r w:rsidR="00413A67">
        <w:t>699</w:t>
      </w:r>
      <w:r w:rsidR="00D37BD5" w:rsidRPr="00D37BD5">
        <w:t xml:space="preserve"> ECT treatments delivered</w:t>
      </w:r>
      <w:r w:rsidR="003E42D4">
        <w:t>. T</w:t>
      </w:r>
      <w:r w:rsidR="00D37BD5" w:rsidRPr="00D37BD5">
        <w:t xml:space="preserve">he rate of treatments delivered per person was </w:t>
      </w:r>
      <w:r w:rsidR="0008389F">
        <w:t>13.2</w:t>
      </w:r>
      <w:r w:rsidR="00BB011A">
        <w:t>.</w:t>
      </w:r>
    </w:p>
    <w:p w14:paraId="75665635" w14:textId="5DE4FF60" w:rsidR="00381B2F" w:rsidRPr="00A809FE" w:rsidRDefault="00381B2F" w:rsidP="000D0B9B">
      <w:pPr>
        <w:pStyle w:val="Tablecaption"/>
      </w:pPr>
      <w:r w:rsidRPr="00E9A183">
        <w:rPr>
          <w:rFonts w:eastAsia="Arial"/>
        </w:rPr>
        <w:t xml:space="preserve">Table </w:t>
      </w:r>
      <w:r w:rsidR="00BC0D9B">
        <w:rPr>
          <w:rFonts w:eastAsia="Arial"/>
        </w:rPr>
        <w:t>1</w:t>
      </w:r>
      <w:r w:rsidRPr="00E9A183">
        <w:rPr>
          <w:rFonts w:eastAsia="Arial"/>
          <w:iCs/>
        </w:rPr>
        <w:t>:</w:t>
      </w:r>
      <w:r w:rsidRPr="00E9A183">
        <w:rPr>
          <w:rFonts w:eastAsia="Arial"/>
        </w:rPr>
        <w:t xml:space="preserve"> Number of treatments and people treated by ECT</w:t>
      </w:r>
      <w:r w:rsidR="00D437C5">
        <w:rPr>
          <w:rFonts w:eastAsia="Arial"/>
        </w:rPr>
        <w:t xml:space="preserve"> in public hospitals</w:t>
      </w:r>
      <w:r w:rsidRPr="00E9A183">
        <w:rPr>
          <w:rFonts w:eastAsia="Arial"/>
        </w:rPr>
        <w:t>, 201</w:t>
      </w:r>
      <w:r w:rsidR="00660850">
        <w:rPr>
          <w:rFonts w:eastAsia="Arial"/>
        </w:rPr>
        <w:t>8</w:t>
      </w:r>
      <w:r w:rsidR="0012686C">
        <w:rPr>
          <w:rFonts w:eastAsia="Arial"/>
        </w:rPr>
        <w:t>–1</w:t>
      </w:r>
      <w:r w:rsidR="00660850">
        <w:rPr>
          <w:rFonts w:eastAsia="Arial"/>
        </w:rPr>
        <w:t>9</w:t>
      </w:r>
      <w:r w:rsidRPr="00E9A183">
        <w:rPr>
          <w:rFonts w:eastAsia="Arial"/>
        </w:rPr>
        <w:t xml:space="preserve"> to 20</w:t>
      </w:r>
      <w:r w:rsidR="00E8354D">
        <w:rPr>
          <w:rFonts w:eastAsia="Arial"/>
        </w:rPr>
        <w:t>2</w:t>
      </w:r>
      <w:r w:rsidR="00660850">
        <w:rPr>
          <w:rFonts w:eastAsia="Arial"/>
        </w:rPr>
        <w:t>2</w:t>
      </w:r>
      <w:r w:rsidR="0012686C">
        <w:rPr>
          <w:rFonts w:eastAsia="Arial"/>
        </w:rPr>
        <w:t>–</w:t>
      </w:r>
      <w:r w:rsidRPr="002D796E">
        <w:rPr>
          <w:rFonts w:eastAsia="Arial"/>
        </w:rPr>
        <w:t>2</w:t>
      </w:r>
      <w:r w:rsidR="00660850">
        <w:rPr>
          <w:rFonts w:eastAsia="Arial"/>
        </w:rPr>
        <w:t>3</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65"/>
        <w:gridCol w:w="1223"/>
        <w:gridCol w:w="1223"/>
        <w:gridCol w:w="1223"/>
        <w:gridCol w:w="1223"/>
        <w:gridCol w:w="1224"/>
      </w:tblGrid>
      <w:tr w:rsidR="00265DDD" w:rsidRPr="00E60608" w14:paraId="54040192" w14:textId="102B08FB" w:rsidTr="00587D98">
        <w:trPr>
          <w:trHeight w:val="501"/>
          <w:tblHeader/>
        </w:trPr>
        <w:tc>
          <w:tcPr>
            <w:tcW w:w="3065" w:type="dxa"/>
            <w:shd w:val="clear" w:color="auto" w:fill="auto"/>
            <w:hideMark/>
          </w:tcPr>
          <w:p w14:paraId="73BA19FE" w14:textId="58E87F77" w:rsidR="00265DDD" w:rsidRPr="00E60608" w:rsidRDefault="00265DDD" w:rsidP="00265DDD">
            <w:pPr>
              <w:pStyle w:val="Tablecolhead"/>
              <w:rPr>
                <w:lang w:eastAsia="en-AU"/>
              </w:rPr>
            </w:pPr>
            <w:r>
              <w:rPr>
                <w:lang w:eastAsia="en-AU"/>
              </w:rPr>
              <w:t>Measure</w:t>
            </w:r>
          </w:p>
        </w:tc>
        <w:tc>
          <w:tcPr>
            <w:tcW w:w="1223" w:type="dxa"/>
            <w:shd w:val="clear" w:color="auto" w:fill="auto"/>
            <w:vAlign w:val="center"/>
            <w:hideMark/>
          </w:tcPr>
          <w:p w14:paraId="77A4A1D3" w14:textId="1DFAF114" w:rsidR="00265DDD" w:rsidRPr="00E60608" w:rsidRDefault="00265DDD" w:rsidP="00265DDD">
            <w:pPr>
              <w:pStyle w:val="Tablecolhead"/>
              <w:jc w:val="center"/>
              <w:rPr>
                <w:lang w:eastAsia="en-AU"/>
              </w:rPr>
            </w:pPr>
            <w:r w:rsidRPr="009C6AE2">
              <w:t>2018</w:t>
            </w:r>
            <w:r>
              <w:t>–</w:t>
            </w:r>
            <w:r w:rsidRPr="009C6AE2">
              <w:t>19</w:t>
            </w:r>
          </w:p>
        </w:tc>
        <w:tc>
          <w:tcPr>
            <w:tcW w:w="1223" w:type="dxa"/>
            <w:shd w:val="clear" w:color="auto" w:fill="auto"/>
            <w:vAlign w:val="center"/>
            <w:hideMark/>
          </w:tcPr>
          <w:p w14:paraId="01E11EC8" w14:textId="63A731E3" w:rsidR="00265DDD" w:rsidRPr="00E60608" w:rsidRDefault="00265DDD" w:rsidP="00265DDD">
            <w:pPr>
              <w:pStyle w:val="Tablecolhead"/>
              <w:jc w:val="center"/>
              <w:rPr>
                <w:lang w:eastAsia="en-AU"/>
              </w:rPr>
            </w:pPr>
            <w:r w:rsidRPr="009C6AE2">
              <w:t>2019</w:t>
            </w:r>
            <w:r>
              <w:t>–</w:t>
            </w:r>
            <w:r w:rsidRPr="009C6AE2">
              <w:t>20</w:t>
            </w:r>
          </w:p>
        </w:tc>
        <w:tc>
          <w:tcPr>
            <w:tcW w:w="1223" w:type="dxa"/>
            <w:shd w:val="clear" w:color="auto" w:fill="auto"/>
            <w:vAlign w:val="center"/>
            <w:hideMark/>
          </w:tcPr>
          <w:p w14:paraId="34668D56" w14:textId="31A745E8" w:rsidR="00265DDD" w:rsidRPr="00E60608" w:rsidRDefault="00265DDD" w:rsidP="00265DDD">
            <w:pPr>
              <w:pStyle w:val="Tablecolhead"/>
              <w:jc w:val="center"/>
              <w:rPr>
                <w:lang w:eastAsia="en-AU"/>
              </w:rPr>
            </w:pPr>
            <w:r w:rsidRPr="009C6AE2">
              <w:t>2020</w:t>
            </w:r>
            <w:r>
              <w:t>–</w:t>
            </w:r>
            <w:r w:rsidRPr="009C6AE2">
              <w:t>21</w:t>
            </w:r>
          </w:p>
        </w:tc>
        <w:tc>
          <w:tcPr>
            <w:tcW w:w="1223" w:type="dxa"/>
            <w:shd w:val="clear" w:color="auto" w:fill="auto"/>
            <w:vAlign w:val="center"/>
            <w:hideMark/>
          </w:tcPr>
          <w:p w14:paraId="5D48FC4D" w14:textId="017FB0CB" w:rsidR="00265DDD" w:rsidRPr="00E60608" w:rsidRDefault="00265DDD" w:rsidP="00265DDD">
            <w:pPr>
              <w:pStyle w:val="Tablecolhead"/>
              <w:jc w:val="center"/>
              <w:rPr>
                <w:lang w:eastAsia="en-AU"/>
              </w:rPr>
            </w:pPr>
            <w:r w:rsidRPr="009C6AE2">
              <w:t>2021</w:t>
            </w:r>
            <w:r>
              <w:t>–</w:t>
            </w:r>
            <w:r w:rsidRPr="009C6AE2">
              <w:t>22</w:t>
            </w:r>
          </w:p>
        </w:tc>
        <w:tc>
          <w:tcPr>
            <w:tcW w:w="1224" w:type="dxa"/>
            <w:vAlign w:val="center"/>
          </w:tcPr>
          <w:p w14:paraId="5E0434E9" w14:textId="2947E403" w:rsidR="00265DDD" w:rsidRPr="00E60608" w:rsidRDefault="00265DDD" w:rsidP="00265DDD">
            <w:pPr>
              <w:pStyle w:val="Tablecolhead"/>
              <w:jc w:val="center"/>
            </w:pPr>
            <w:r w:rsidRPr="009C6AE2">
              <w:t>202</w:t>
            </w:r>
            <w:r w:rsidR="00660850">
              <w:t>2</w:t>
            </w:r>
            <w:r>
              <w:t>–</w:t>
            </w:r>
            <w:r w:rsidRPr="009C6AE2">
              <w:t>2</w:t>
            </w:r>
            <w:r w:rsidR="00660850">
              <w:t>3</w:t>
            </w:r>
          </w:p>
        </w:tc>
      </w:tr>
      <w:tr w:rsidR="00265DDD" w:rsidRPr="00E60608" w14:paraId="479B749B" w14:textId="657E4598" w:rsidTr="00587D98">
        <w:trPr>
          <w:trHeight w:val="334"/>
        </w:trPr>
        <w:tc>
          <w:tcPr>
            <w:tcW w:w="3065" w:type="dxa"/>
            <w:shd w:val="clear" w:color="auto" w:fill="auto"/>
            <w:hideMark/>
          </w:tcPr>
          <w:p w14:paraId="5F29A964" w14:textId="2EF368C8" w:rsidR="00265DDD" w:rsidRPr="00892ED8" w:rsidRDefault="00265DDD" w:rsidP="00265DDD">
            <w:pPr>
              <w:pStyle w:val="Tabletext"/>
              <w:rPr>
                <w:lang w:eastAsia="en-AU"/>
              </w:rPr>
            </w:pPr>
            <w:r w:rsidRPr="009C6AE2">
              <w:t>Number of ECT treatments</w:t>
            </w:r>
          </w:p>
        </w:tc>
        <w:tc>
          <w:tcPr>
            <w:tcW w:w="1223" w:type="dxa"/>
            <w:shd w:val="clear" w:color="auto" w:fill="auto"/>
            <w:vAlign w:val="center"/>
          </w:tcPr>
          <w:p w14:paraId="2AC7203F" w14:textId="748478DC" w:rsidR="00265DDD" w:rsidRPr="00E60608" w:rsidRDefault="00265DDD" w:rsidP="00265DDD">
            <w:pPr>
              <w:pStyle w:val="Tabletext"/>
              <w:jc w:val="center"/>
            </w:pPr>
            <w:r w:rsidRPr="00265DDD">
              <w:t>12,991</w:t>
            </w:r>
          </w:p>
        </w:tc>
        <w:tc>
          <w:tcPr>
            <w:tcW w:w="1223" w:type="dxa"/>
            <w:shd w:val="clear" w:color="auto" w:fill="auto"/>
            <w:vAlign w:val="center"/>
          </w:tcPr>
          <w:p w14:paraId="342CD453" w14:textId="19D95F4B" w:rsidR="00265DDD" w:rsidRPr="00E60608" w:rsidRDefault="00265DDD" w:rsidP="00265DDD">
            <w:pPr>
              <w:pStyle w:val="Tabletext"/>
              <w:jc w:val="center"/>
            </w:pPr>
            <w:r w:rsidRPr="00265DDD">
              <w:t>12,107</w:t>
            </w:r>
          </w:p>
        </w:tc>
        <w:tc>
          <w:tcPr>
            <w:tcW w:w="1223" w:type="dxa"/>
            <w:shd w:val="clear" w:color="auto" w:fill="auto"/>
            <w:vAlign w:val="center"/>
          </w:tcPr>
          <w:p w14:paraId="36DA39E9" w14:textId="2BEF87D9" w:rsidR="00265DDD" w:rsidRPr="00E60608" w:rsidRDefault="00265DDD" w:rsidP="00265DDD">
            <w:pPr>
              <w:pStyle w:val="Tabletext"/>
              <w:jc w:val="center"/>
            </w:pPr>
            <w:r w:rsidRPr="00265DDD">
              <w:t>11,982</w:t>
            </w:r>
          </w:p>
        </w:tc>
        <w:tc>
          <w:tcPr>
            <w:tcW w:w="1223" w:type="dxa"/>
            <w:shd w:val="clear" w:color="auto" w:fill="auto"/>
            <w:vAlign w:val="center"/>
          </w:tcPr>
          <w:p w14:paraId="6CEC7D9A" w14:textId="45C1D81D" w:rsidR="00265DDD" w:rsidRPr="00E60608" w:rsidRDefault="00265DDD" w:rsidP="00265DDD">
            <w:pPr>
              <w:pStyle w:val="Tabletext"/>
              <w:jc w:val="center"/>
            </w:pPr>
            <w:r w:rsidRPr="00265DDD">
              <w:t>11,947</w:t>
            </w:r>
          </w:p>
        </w:tc>
        <w:tc>
          <w:tcPr>
            <w:tcW w:w="1224" w:type="dxa"/>
            <w:vAlign w:val="center"/>
          </w:tcPr>
          <w:p w14:paraId="3840BF3F" w14:textId="0648E3DF" w:rsidR="00265DDD" w:rsidRDefault="00265DDD" w:rsidP="00265DDD">
            <w:pPr>
              <w:pStyle w:val="Tabletext"/>
              <w:jc w:val="center"/>
            </w:pPr>
            <w:r w:rsidRPr="00265DDD">
              <w:t>11,699</w:t>
            </w:r>
          </w:p>
        </w:tc>
      </w:tr>
      <w:tr w:rsidR="00265DDD" w:rsidRPr="00E60608" w14:paraId="570CAB7A" w14:textId="35609195" w:rsidTr="00587D98">
        <w:trPr>
          <w:trHeight w:val="334"/>
        </w:trPr>
        <w:tc>
          <w:tcPr>
            <w:tcW w:w="3065" w:type="dxa"/>
            <w:shd w:val="clear" w:color="auto" w:fill="auto"/>
            <w:hideMark/>
          </w:tcPr>
          <w:p w14:paraId="5721C538" w14:textId="716FEA18" w:rsidR="00265DDD" w:rsidRPr="00892ED8" w:rsidRDefault="00265DDD" w:rsidP="00265DDD">
            <w:pPr>
              <w:pStyle w:val="Tabletext"/>
              <w:rPr>
                <w:lang w:eastAsia="en-AU"/>
              </w:rPr>
            </w:pPr>
            <w:r w:rsidRPr="009C6AE2">
              <w:t>Number of people receiving ECT</w:t>
            </w:r>
          </w:p>
        </w:tc>
        <w:tc>
          <w:tcPr>
            <w:tcW w:w="1223" w:type="dxa"/>
            <w:shd w:val="clear" w:color="auto" w:fill="auto"/>
            <w:vAlign w:val="center"/>
          </w:tcPr>
          <w:p w14:paraId="6C6CCA50" w14:textId="6F734A96" w:rsidR="00265DDD" w:rsidRPr="00E60608" w:rsidRDefault="00265DDD" w:rsidP="00265DDD">
            <w:pPr>
              <w:pStyle w:val="Tabletext"/>
              <w:jc w:val="center"/>
            </w:pPr>
            <w:r w:rsidRPr="00265DDD">
              <w:t>974</w:t>
            </w:r>
          </w:p>
        </w:tc>
        <w:tc>
          <w:tcPr>
            <w:tcW w:w="1223" w:type="dxa"/>
            <w:shd w:val="clear" w:color="auto" w:fill="auto"/>
            <w:vAlign w:val="center"/>
          </w:tcPr>
          <w:p w14:paraId="249A4B30" w14:textId="10CF4485" w:rsidR="00265DDD" w:rsidRPr="00E60608" w:rsidRDefault="00265DDD" w:rsidP="00265DDD">
            <w:pPr>
              <w:pStyle w:val="Tabletext"/>
              <w:jc w:val="center"/>
            </w:pPr>
            <w:r w:rsidRPr="00265DDD">
              <w:t>893</w:t>
            </w:r>
          </w:p>
        </w:tc>
        <w:tc>
          <w:tcPr>
            <w:tcW w:w="1223" w:type="dxa"/>
            <w:shd w:val="clear" w:color="auto" w:fill="auto"/>
            <w:vAlign w:val="center"/>
          </w:tcPr>
          <w:p w14:paraId="4E43281C" w14:textId="42BF3434" w:rsidR="00265DDD" w:rsidRPr="00E60608" w:rsidRDefault="00265DDD" w:rsidP="00265DDD">
            <w:pPr>
              <w:pStyle w:val="Tabletext"/>
              <w:jc w:val="center"/>
            </w:pPr>
            <w:r w:rsidRPr="00265DDD">
              <w:t>910</w:t>
            </w:r>
          </w:p>
        </w:tc>
        <w:tc>
          <w:tcPr>
            <w:tcW w:w="1223" w:type="dxa"/>
            <w:shd w:val="clear" w:color="auto" w:fill="auto"/>
            <w:vAlign w:val="center"/>
          </w:tcPr>
          <w:p w14:paraId="01669271" w14:textId="5CAA2074" w:rsidR="00265DDD" w:rsidRPr="00E60608" w:rsidRDefault="00265DDD" w:rsidP="00265DDD">
            <w:pPr>
              <w:pStyle w:val="Tabletext"/>
              <w:jc w:val="center"/>
            </w:pPr>
            <w:r w:rsidRPr="00265DDD">
              <w:t>894</w:t>
            </w:r>
          </w:p>
        </w:tc>
        <w:tc>
          <w:tcPr>
            <w:tcW w:w="1224" w:type="dxa"/>
            <w:vAlign w:val="center"/>
          </w:tcPr>
          <w:p w14:paraId="54BDC6E3" w14:textId="2EB56BC0" w:rsidR="00265DDD" w:rsidRDefault="00265DDD" w:rsidP="00265DDD">
            <w:pPr>
              <w:pStyle w:val="Tabletext"/>
              <w:jc w:val="center"/>
            </w:pPr>
            <w:r w:rsidRPr="00265DDD">
              <w:t>884</w:t>
            </w:r>
          </w:p>
        </w:tc>
      </w:tr>
    </w:tbl>
    <w:p w14:paraId="4B067B9C" w14:textId="77B70E39" w:rsidR="00381B2F" w:rsidRPr="00A809FE" w:rsidRDefault="00381B2F" w:rsidP="00643556">
      <w:pPr>
        <w:pStyle w:val="Bodyaftertable"/>
      </w:pPr>
      <w:r>
        <w:lastRenderedPageBreak/>
        <w:t xml:space="preserve">While the numbers of treatments administered vary from year to year, </w:t>
      </w:r>
      <w:r w:rsidR="005315DD">
        <w:t>the variation</w:t>
      </w:r>
      <w:r>
        <w:t xml:space="preserve"> </w:t>
      </w:r>
      <w:r w:rsidR="002F6358">
        <w:t>from 20</w:t>
      </w:r>
      <w:r w:rsidR="00E43980">
        <w:t>18–19 t</w:t>
      </w:r>
      <w:r w:rsidR="003A3954">
        <w:t xml:space="preserve">o </w:t>
      </w:r>
      <w:r w:rsidR="002F6358">
        <w:t>202</w:t>
      </w:r>
      <w:r w:rsidR="006B0338">
        <w:t>2</w:t>
      </w:r>
      <w:r w:rsidR="002F6358">
        <w:t>–2</w:t>
      </w:r>
      <w:r w:rsidR="006B0338">
        <w:t>3</w:t>
      </w:r>
      <w:r>
        <w:t xml:space="preserve"> m</w:t>
      </w:r>
      <w:r w:rsidR="76DF34D0">
        <w:t>ay</w:t>
      </w:r>
      <w:r>
        <w:t xml:space="preserve"> reflect changes in practice due to COVI</w:t>
      </w:r>
      <w:r w:rsidR="00892ED8">
        <w:t>D-19</w:t>
      </w:r>
      <w:r>
        <w:t xml:space="preserve">. To reduce the risk of infection, some outpatient treatments (which account for about half of the total) </w:t>
      </w:r>
      <w:r w:rsidR="4C21E09C">
        <w:t>were</w:t>
      </w:r>
      <w:r>
        <w:t xml:space="preserve"> postponed</w:t>
      </w:r>
      <w:r w:rsidR="005A0956">
        <w:t>,</w:t>
      </w:r>
      <w:r>
        <w:t xml:space="preserve"> and access to theatre was sometimes constrained. </w:t>
      </w:r>
      <w:r w:rsidR="00706D58">
        <w:t>A possible</w:t>
      </w:r>
      <w:r>
        <w:t xml:space="preserve"> consequence of </w:t>
      </w:r>
      <w:r w:rsidR="00706D58">
        <w:t>efforts to</w:t>
      </w:r>
      <w:r>
        <w:t xml:space="preserve"> contain </w:t>
      </w:r>
      <w:r w:rsidR="00706D58">
        <w:t>COVI</w:t>
      </w:r>
      <w:r w:rsidR="00236D5B">
        <w:t>D-19</w:t>
      </w:r>
      <w:r>
        <w:t xml:space="preserve"> transmission </w:t>
      </w:r>
      <w:r w:rsidR="00606416">
        <w:t xml:space="preserve">during the pandemic </w:t>
      </w:r>
      <w:r>
        <w:t>might be a prolonged recovery for some mental health consumers or a greater vulnerability to relapse in others.</w:t>
      </w:r>
      <w:r w:rsidR="0057779F">
        <w:t xml:space="preserve"> </w:t>
      </w:r>
    </w:p>
    <w:p w14:paraId="52C0FC04" w14:textId="12D5CDD2" w:rsidR="00381B2F" w:rsidRDefault="00381B2F" w:rsidP="00563C62">
      <w:pPr>
        <w:pStyle w:val="Body"/>
      </w:pPr>
      <w:r w:rsidRPr="00A809FE">
        <w:t xml:space="preserve">Mood disorders accounted for </w:t>
      </w:r>
      <w:r w:rsidR="005505E8">
        <w:t>60</w:t>
      </w:r>
      <w:r w:rsidR="0094775C">
        <w:t>%</w:t>
      </w:r>
      <w:r w:rsidR="003C3A4C">
        <w:t xml:space="preserve"> </w:t>
      </w:r>
      <w:r w:rsidRPr="00A809FE">
        <w:t>of treatments in 20</w:t>
      </w:r>
      <w:r w:rsidR="00BB18EE">
        <w:t>2</w:t>
      </w:r>
      <w:r w:rsidR="00236D5B">
        <w:t>2</w:t>
      </w:r>
      <w:r w:rsidRPr="00A809FE">
        <w:t>–</w:t>
      </w:r>
      <w:r w:rsidR="00BB18EE">
        <w:t>2</w:t>
      </w:r>
      <w:r w:rsidR="00236D5B">
        <w:t>3</w:t>
      </w:r>
      <w:r w:rsidRPr="00A809FE">
        <w:t xml:space="preserve">, followed by schizophrenia and other psychoses </w:t>
      </w:r>
      <w:r w:rsidRPr="004074FA">
        <w:t xml:space="preserve">(Table </w:t>
      </w:r>
      <w:r w:rsidR="0061119B">
        <w:t>2</w:t>
      </w:r>
      <w:r w:rsidRPr="004074FA">
        <w:t>).</w:t>
      </w:r>
    </w:p>
    <w:p w14:paraId="50911851" w14:textId="1ECA546C" w:rsidR="00381B2F" w:rsidRPr="00A809FE" w:rsidRDefault="00381B2F" w:rsidP="000D0B9B">
      <w:pPr>
        <w:pStyle w:val="Tablecaption"/>
      </w:pPr>
      <w:r w:rsidRPr="00E9A183">
        <w:rPr>
          <w:rFonts w:eastAsia="Arial"/>
        </w:rPr>
        <w:t xml:space="preserve">Table </w:t>
      </w:r>
      <w:r w:rsidR="0061119B">
        <w:rPr>
          <w:rFonts w:eastAsia="Arial"/>
        </w:rPr>
        <w:t>2</w:t>
      </w:r>
      <w:r w:rsidRPr="00E9A183">
        <w:rPr>
          <w:rFonts w:eastAsia="Arial"/>
          <w:iCs/>
        </w:rPr>
        <w:t>:</w:t>
      </w:r>
      <w:r w:rsidRPr="00E9A183">
        <w:rPr>
          <w:rFonts w:eastAsia="Arial"/>
        </w:rPr>
        <w:t xml:space="preserve"> Number of ECT treatments</w:t>
      </w:r>
      <w:r w:rsidR="00D437C5">
        <w:rPr>
          <w:rFonts w:eastAsia="Arial"/>
        </w:rPr>
        <w:t xml:space="preserve"> in a public hospital</w:t>
      </w:r>
      <w:r w:rsidR="005A0956">
        <w:rPr>
          <w:rFonts w:eastAsia="Arial"/>
        </w:rPr>
        <w:t>,</w:t>
      </w:r>
      <w:r w:rsidRPr="00E9A183">
        <w:rPr>
          <w:rFonts w:eastAsia="Arial"/>
        </w:rPr>
        <w:t xml:space="preserve"> by diagnosis, 201</w:t>
      </w:r>
      <w:r w:rsidR="009B01ED">
        <w:rPr>
          <w:rFonts w:eastAsia="Arial"/>
        </w:rPr>
        <w:t>8</w:t>
      </w:r>
      <w:r w:rsidR="0012686C">
        <w:rPr>
          <w:rFonts w:eastAsia="Arial"/>
        </w:rPr>
        <w:t>–1</w:t>
      </w:r>
      <w:r w:rsidR="009B01ED">
        <w:rPr>
          <w:rFonts w:eastAsia="Arial"/>
        </w:rPr>
        <w:t>9</w:t>
      </w:r>
      <w:r w:rsidRPr="00E9A183">
        <w:rPr>
          <w:rFonts w:eastAsia="Arial"/>
        </w:rPr>
        <w:t xml:space="preserve"> to 20</w:t>
      </w:r>
      <w:r w:rsidR="00EB58AA">
        <w:rPr>
          <w:rFonts w:eastAsia="Arial"/>
        </w:rPr>
        <w:t>2</w:t>
      </w:r>
      <w:r w:rsidR="009B01ED">
        <w:rPr>
          <w:rFonts w:eastAsia="Arial"/>
        </w:rPr>
        <w:t>2</w:t>
      </w:r>
      <w:r w:rsidR="0012686C" w:rsidRPr="00A03C87">
        <w:rPr>
          <w:rFonts w:eastAsia="Arial"/>
        </w:rPr>
        <w:t>–</w:t>
      </w:r>
      <w:r w:rsidRPr="00A03C87">
        <w:rPr>
          <w:rFonts w:eastAsia="Arial"/>
        </w:rPr>
        <w:t>2</w:t>
      </w:r>
      <w:r w:rsidR="009B01ED">
        <w:rPr>
          <w:rFonts w:eastAsia="Arial"/>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33"/>
        <w:gridCol w:w="1236"/>
        <w:gridCol w:w="1236"/>
        <w:gridCol w:w="1236"/>
        <w:gridCol w:w="1236"/>
        <w:gridCol w:w="1236"/>
      </w:tblGrid>
      <w:tr w:rsidR="009B01ED" w:rsidRPr="00476060" w14:paraId="4072CA1E" w14:textId="747459A0" w:rsidTr="00587D98">
        <w:trPr>
          <w:trHeight w:val="450"/>
          <w:tblHeader/>
        </w:trPr>
        <w:tc>
          <w:tcPr>
            <w:tcW w:w="3033" w:type="dxa"/>
            <w:shd w:val="clear" w:color="auto" w:fill="auto"/>
            <w:hideMark/>
          </w:tcPr>
          <w:p w14:paraId="695EC6B9" w14:textId="75B18FCE" w:rsidR="009B01ED" w:rsidRPr="00014318" w:rsidRDefault="009B01ED" w:rsidP="009B01ED">
            <w:pPr>
              <w:pStyle w:val="Tablecolhead"/>
              <w:rPr>
                <w:lang w:eastAsia="en-AU"/>
              </w:rPr>
            </w:pPr>
            <w:r>
              <w:rPr>
                <w:lang w:eastAsia="en-AU"/>
              </w:rPr>
              <w:t>Health conditions</w:t>
            </w:r>
          </w:p>
        </w:tc>
        <w:tc>
          <w:tcPr>
            <w:tcW w:w="1236" w:type="dxa"/>
            <w:shd w:val="clear" w:color="auto" w:fill="FFFFFF" w:themeFill="background1"/>
            <w:vAlign w:val="center"/>
            <w:hideMark/>
          </w:tcPr>
          <w:p w14:paraId="6CD673C9" w14:textId="72CE1764" w:rsidR="009B01ED" w:rsidRPr="00014318" w:rsidRDefault="009B01ED" w:rsidP="009B01ED">
            <w:pPr>
              <w:pStyle w:val="Tablecolhead"/>
              <w:jc w:val="center"/>
              <w:rPr>
                <w:lang w:eastAsia="en-AU"/>
              </w:rPr>
            </w:pPr>
            <w:r w:rsidRPr="0032356D">
              <w:t>2018</w:t>
            </w:r>
            <w:r>
              <w:t>–</w:t>
            </w:r>
            <w:r w:rsidRPr="0032356D">
              <w:t>19</w:t>
            </w:r>
          </w:p>
        </w:tc>
        <w:tc>
          <w:tcPr>
            <w:tcW w:w="1236" w:type="dxa"/>
            <w:shd w:val="clear" w:color="auto" w:fill="FFFFFF" w:themeFill="background1"/>
            <w:vAlign w:val="center"/>
            <w:hideMark/>
          </w:tcPr>
          <w:p w14:paraId="7A24E552" w14:textId="0C62920E" w:rsidR="009B01ED" w:rsidRPr="00014318" w:rsidRDefault="009B01ED" w:rsidP="009B01ED">
            <w:pPr>
              <w:pStyle w:val="Tablecolhead"/>
              <w:jc w:val="center"/>
              <w:rPr>
                <w:lang w:eastAsia="en-AU"/>
              </w:rPr>
            </w:pPr>
            <w:r w:rsidRPr="0032356D">
              <w:t>2019</w:t>
            </w:r>
            <w:r>
              <w:t>–</w:t>
            </w:r>
            <w:r w:rsidRPr="0032356D">
              <w:t>20</w:t>
            </w:r>
          </w:p>
        </w:tc>
        <w:tc>
          <w:tcPr>
            <w:tcW w:w="1236" w:type="dxa"/>
            <w:shd w:val="clear" w:color="auto" w:fill="FFFFFF" w:themeFill="background1"/>
            <w:vAlign w:val="center"/>
            <w:hideMark/>
          </w:tcPr>
          <w:p w14:paraId="747E6C01" w14:textId="0F973CE0" w:rsidR="009B01ED" w:rsidRPr="00014318" w:rsidRDefault="009B01ED" w:rsidP="009B01ED">
            <w:pPr>
              <w:pStyle w:val="Tablecolhead"/>
              <w:jc w:val="center"/>
              <w:rPr>
                <w:lang w:eastAsia="en-AU"/>
              </w:rPr>
            </w:pPr>
            <w:r w:rsidRPr="0032356D">
              <w:t>2020</w:t>
            </w:r>
            <w:r>
              <w:t>–</w:t>
            </w:r>
            <w:r w:rsidRPr="0032356D">
              <w:t>21</w:t>
            </w:r>
          </w:p>
        </w:tc>
        <w:tc>
          <w:tcPr>
            <w:tcW w:w="1236" w:type="dxa"/>
            <w:shd w:val="clear" w:color="auto" w:fill="FFFFFF" w:themeFill="background1"/>
            <w:vAlign w:val="center"/>
            <w:hideMark/>
          </w:tcPr>
          <w:p w14:paraId="31024DE3" w14:textId="02942792" w:rsidR="009B01ED" w:rsidRPr="00014318" w:rsidRDefault="009B01ED" w:rsidP="009B01ED">
            <w:pPr>
              <w:pStyle w:val="Tablecolhead"/>
              <w:jc w:val="center"/>
              <w:rPr>
                <w:lang w:eastAsia="en-AU"/>
              </w:rPr>
            </w:pPr>
            <w:r w:rsidRPr="0032356D">
              <w:t>2021</w:t>
            </w:r>
            <w:r>
              <w:t>–</w:t>
            </w:r>
            <w:r w:rsidRPr="0032356D">
              <w:t>22</w:t>
            </w:r>
          </w:p>
        </w:tc>
        <w:tc>
          <w:tcPr>
            <w:tcW w:w="1236" w:type="dxa"/>
            <w:shd w:val="clear" w:color="auto" w:fill="FFFFFF" w:themeFill="background1"/>
            <w:vAlign w:val="center"/>
          </w:tcPr>
          <w:p w14:paraId="2E9F4CC8" w14:textId="32D67513" w:rsidR="009B01ED" w:rsidRPr="00476060" w:rsidRDefault="009B01ED" w:rsidP="009B01ED">
            <w:pPr>
              <w:pStyle w:val="Tablecolhead"/>
              <w:jc w:val="center"/>
            </w:pPr>
            <w:r w:rsidRPr="0032356D">
              <w:t>202</w:t>
            </w:r>
            <w:r>
              <w:t>2–</w:t>
            </w:r>
            <w:r w:rsidRPr="0032356D">
              <w:t>2</w:t>
            </w:r>
            <w:r>
              <w:t>3</w:t>
            </w:r>
          </w:p>
        </w:tc>
      </w:tr>
      <w:tr w:rsidR="009B01ED" w:rsidRPr="00476060" w14:paraId="682E000F" w14:textId="05A32B3E" w:rsidTr="00587D98">
        <w:trPr>
          <w:trHeight w:val="306"/>
        </w:trPr>
        <w:tc>
          <w:tcPr>
            <w:tcW w:w="3033" w:type="dxa"/>
            <w:shd w:val="clear" w:color="auto" w:fill="auto"/>
            <w:hideMark/>
          </w:tcPr>
          <w:p w14:paraId="11BD625D" w14:textId="58316850" w:rsidR="009B01ED" w:rsidRPr="00014318" w:rsidRDefault="009B01ED" w:rsidP="009B01ED">
            <w:pPr>
              <w:pStyle w:val="Tabletext"/>
              <w:rPr>
                <w:lang w:eastAsia="en-AU"/>
              </w:rPr>
            </w:pPr>
            <w:r w:rsidRPr="0032356D">
              <w:t>Major affective and other mood disorders</w:t>
            </w:r>
          </w:p>
        </w:tc>
        <w:tc>
          <w:tcPr>
            <w:tcW w:w="1236" w:type="dxa"/>
            <w:shd w:val="clear" w:color="auto" w:fill="auto"/>
            <w:vAlign w:val="center"/>
            <w:hideMark/>
          </w:tcPr>
          <w:p w14:paraId="44E2666F" w14:textId="04F400B2" w:rsidR="009B01ED" w:rsidRPr="00014318" w:rsidRDefault="009B01ED" w:rsidP="009B01ED">
            <w:pPr>
              <w:pStyle w:val="Tabletext"/>
              <w:jc w:val="center"/>
            </w:pPr>
            <w:r w:rsidRPr="009B01ED">
              <w:t>7,868</w:t>
            </w:r>
          </w:p>
        </w:tc>
        <w:tc>
          <w:tcPr>
            <w:tcW w:w="1236" w:type="dxa"/>
            <w:shd w:val="clear" w:color="auto" w:fill="auto"/>
            <w:vAlign w:val="center"/>
            <w:hideMark/>
          </w:tcPr>
          <w:p w14:paraId="3C8090AF" w14:textId="57092433" w:rsidR="009B01ED" w:rsidRPr="00014318" w:rsidRDefault="009B01ED" w:rsidP="009B01ED">
            <w:pPr>
              <w:pStyle w:val="Tabletext"/>
              <w:jc w:val="center"/>
            </w:pPr>
            <w:r w:rsidRPr="009B01ED">
              <w:t>7,442</w:t>
            </w:r>
          </w:p>
        </w:tc>
        <w:tc>
          <w:tcPr>
            <w:tcW w:w="1236" w:type="dxa"/>
            <w:shd w:val="clear" w:color="auto" w:fill="auto"/>
            <w:vAlign w:val="center"/>
            <w:hideMark/>
          </w:tcPr>
          <w:p w14:paraId="2B3B53AE" w14:textId="6EEDA737" w:rsidR="009B01ED" w:rsidRPr="00014318" w:rsidRDefault="009B01ED" w:rsidP="009B01ED">
            <w:pPr>
              <w:pStyle w:val="Tabletext"/>
              <w:jc w:val="center"/>
            </w:pPr>
            <w:r w:rsidRPr="009B01ED">
              <w:t>7,255</w:t>
            </w:r>
          </w:p>
        </w:tc>
        <w:tc>
          <w:tcPr>
            <w:tcW w:w="1236" w:type="dxa"/>
            <w:shd w:val="clear" w:color="auto" w:fill="auto"/>
            <w:vAlign w:val="center"/>
            <w:hideMark/>
          </w:tcPr>
          <w:p w14:paraId="1E060657" w14:textId="3A2B3823" w:rsidR="009B01ED" w:rsidRPr="00014318" w:rsidRDefault="009B01ED" w:rsidP="009B01ED">
            <w:pPr>
              <w:pStyle w:val="Tabletext"/>
              <w:jc w:val="center"/>
            </w:pPr>
            <w:r w:rsidRPr="009B01ED">
              <w:t>7,168</w:t>
            </w:r>
          </w:p>
        </w:tc>
        <w:tc>
          <w:tcPr>
            <w:tcW w:w="1236" w:type="dxa"/>
            <w:vAlign w:val="center"/>
          </w:tcPr>
          <w:p w14:paraId="5FBE93EE" w14:textId="7E32563E" w:rsidR="009B01ED" w:rsidRDefault="009B01ED" w:rsidP="009B01ED">
            <w:pPr>
              <w:pStyle w:val="Tabletext"/>
              <w:jc w:val="center"/>
            </w:pPr>
            <w:r w:rsidRPr="009B01ED">
              <w:t>7,010</w:t>
            </w:r>
          </w:p>
        </w:tc>
      </w:tr>
      <w:tr w:rsidR="009B01ED" w:rsidRPr="00476060" w14:paraId="1C2DAC07" w14:textId="777C6410" w:rsidTr="00587D98">
        <w:trPr>
          <w:trHeight w:val="460"/>
        </w:trPr>
        <w:tc>
          <w:tcPr>
            <w:tcW w:w="3033" w:type="dxa"/>
            <w:shd w:val="clear" w:color="auto" w:fill="auto"/>
            <w:hideMark/>
          </w:tcPr>
          <w:p w14:paraId="731F72BF" w14:textId="5E5E7873" w:rsidR="009B01ED" w:rsidRPr="00892ED8" w:rsidRDefault="009B01ED" w:rsidP="009B01ED">
            <w:pPr>
              <w:pStyle w:val="Tabletext"/>
              <w:rPr>
                <w:bCs/>
                <w:lang w:eastAsia="en-AU"/>
              </w:rPr>
            </w:pPr>
            <w:r w:rsidRPr="0032356D">
              <w:t>Schizophrenia, schizoaffective and other psychotic disorders</w:t>
            </w:r>
          </w:p>
        </w:tc>
        <w:tc>
          <w:tcPr>
            <w:tcW w:w="1236" w:type="dxa"/>
            <w:shd w:val="clear" w:color="auto" w:fill="auto"/>
            <w:vAlign w:val="center"/>
            <w:hideMark/>
          </w:tcPr>
          <w:p w14:paraId="4C723D29" w14:textId="2B636C2F" w:rsidR="009B01ED" w:rsidRPr="00014318" w:rsidRDefault="009B01ED" w:rsidP="009B01ED">
            <w:pPr>
              <w:pStyle w:val="Tabletext"/>
              <w:jc w:val="center"/>
            </w:pPr>
            <w:r w:rsidRPr="009B01ED">
              <w:t>4,424</w:t>
            </w:r>
          </w:p>
        </w:tc>
        <w:tc>
          <w:tcPr>
            <w:tcW w:w="1236" w:type="dxa"/>
            <w:shd w:val="clear" w:color="auto" w:fill="auto"/>
            <w:vAlign w:val="center"/>
            <w:hideMark/>
          </w:tcPr>
          <w:p w14:paraId="55A13140" w14:textId="6C1CBB95" w:rsidR="009B01ED" w:rsidRPr="00014318" w:rsidRDefault="009B01ED" w:rsidP="009B01ED">
            <w:pPr>
              <w:pStyle w:val="Tabletext"/>
              <w:jc w:val="center"/>
            </w:pPr>
            <w:r w:rsidRPr="009B01ED">
              <w:t>3,811</w:t>
            </w:r>
          </w:p>
        </w:tc>
        <w:tc>
          <w:tcPr>
            <w:tcW w:w="1236" w:type="dxa"/>
            <w:shd w:val="clear" w:color="auto" w:fill="auto"/>
            <w:vAlign w:val="center"/>
            <w:hideMark/>
          </w:tcPr>
          <w:p w14:paraId="23EB388C" w14:textId="4EBAD707" w:rsidR="009B01ED" w:rsidRPr="00014318" w:rsidRDefault="009B01ED" w:rsidP="009B01ED">
            <w:pPr>
              <w:pStyle w:val="Tabletext"/>
              <w:jc w:val="center"/>
            </w:pPr>
            <w:r w:rsidRPr="009B01ED">
              <w:t>4,104</w:t>
            </w:r>
          </w:p>
        </w:tc>
        <w:tc>
          <w:tcPr>
            <w:tcW w:w="1236" w:type="dxa"/>
            <w:shd w:val="clear" w:color="auto" w:fill="auto"/>
            <w:vAlign w:val="center"/>
            <w:hideMark/>
          </w:tcPr>
          <w:p w14:paraId="11E5139A" w14:textId="2AE7B0B2" w:rsidR="009B01ED" w:rsidRPr="00014318" w:rsidRDefault="009B01ED" w:rsidP="009B01ED">
            <w:pPr>
              <w:pStyle w:val="Tabletext"/>
              <w:jc w:val="center"/>
            </w:pPr>
            <w:r w:rsidRPr="009B01ED">
              <w:t>4,215</w:t>
            </w:r>
          </w:p>
        </w:tc>
        <w:tc>
          <w:tcPr>
            <w:tcW w:w="1236" w:type="dxa"/>
            <w:vAlign w:val="center"/>
          </w:tcPr>
          <w:p w14:paraId="7A17B00C" w14:textId="618F97AC" w:rsidR="009B01ED" w:rsidRDefault="009B01ED" w:rsidP="009B01ED">
            <w:pPr>
              <w:pStyle w:val="Tabletext"/>
              <w:jc w:val="center"/>
            </w:pPr>
            <w:r w:rsidRPr="009B01ED">
              <w:t>3,939</w:t>
            </w:r>
          </w:p>
        </w:tc>
      </w:tr>
      <w:tr w:rsidR="009B01ED" w:rsidRPr="00476060" w14:paraId="6131ECC2" w14:textId="692D066F" w:rsidTr="00587D98">
        <w:trPr>
          <w:trHeight w:val="306"/>
        </w:trPr>
        <w:tc>
          <w:tcPr>
            <w:tcW w:w="3033" w:type="dxa"/>
            <w:shd w:val="clear" w:color="auto" w:fill="auto"/>
            <w:hideMark/>
          </w:tcPr>
          <w:p w14:paraId="253EFF2C" w14:textId="5338A182" w:rsidR="009B01ED" w:rsidRPr="00892ED8" w:rsidRDefault="009B01ED" w:rsidP="009B01ED">
            <w:pPr>
              <w:pStyle w:val="Tabletext"/>
              <w:rPr>
                <w:bCs/>
                <w:lang w:eastAsia="en-AU"/>
              </w:rPr>
            </w:pPr>
            <w:r w:rsidRPr="0032356D">
              <w:t>Other mental health disorders</w:t>
            </w:r>
          </w:p>
        </w:tc>
        <w:tc>
          <w:tcPr>
            <w:tcW w:w="1236" w:type="dxa"/>
            <w:shd w:val="clear" w:color="auto" w:fill="auto"/>
            <w:vAlign w:val="center"/>
            <w:hideMark/>
          </w:tcPr>
          <w:p w14:paraId="52323D10" w14:textId="7E32F61B" w:rsidR="009B01ED" w:rsidRPr="00014318" w:rsidRDefault="009B01ED" w:rsidP="009B01ED">
            <w:pPr>
              <w:pStyle w:val="Tabletext"/>
              <w:jc w:val="center"/>
            </w:pPr>
            <w:r w:rsidRPr="009B01ED">
              <w:t>226</w:t>
            </w:r>
          </w:p>
        </w:tc>
        <w:tc>
          <w:tcPr>
            <w:tcW w:w="1236" w:type="dxa"/>
            <w:shd w:val="clear" w:color="auto" w:fill="auto"/>
            <w:vAlign w:val="center"/>
            <w:hideMark/>
          </w:tcPr>
          <w:p w14:paraId="6C5D620E" w14:textId="38E9B85A" w:rsidR="009B01ED" w:rsidRPr="00014318" w:rsidRDefault="009B01ED" w:rsidP="009B01ED">
            <w:pPr>
              <w:pStyle w:val="Tabletext"/>
              <w:jc w:val="center"/>
            </w:pPr>
            <w:r w:rsidRPr="009B01ED">
              <w:t>233</w:t>
            </w:r>
          </w:p>
        </w:tc>
        <w:tc>
          <w:tcPr>
            <w:tcW w:w="1236" w:type="dxa"/>
            <w:shd w:val="clear" w:color="auto" w:fill="auto"/>
            <w:vAlign w:val="center"/>
            <w:hideMark/>
          </w:tcPr>
          <w:p w14:paraId="5587ABB8" w14:textId="619C2642" w:rsidR="009B01ED" w:rsidRPr="00014318" w:rsidRDefault="009B01ED" w:rsidP="009B01ED">
            <w:pPr>
              <w:pStyle w:val="Tabletext"/>
              <w:jc w:val="center"/>
            </w:pPr>
            <w:r w:rsidRPr="009B01ED">
              <w:t>167</w:t>
            </w:r>
          </w:p>
        </w:tc>
        <w:tc>
          <w:tcPr>
            <w:tcW w:w="1236" w:type="dxa"/>
            <w:shd w:val="clear" w:color="auto" w:fill="auto"/>
            <w:vAlign w:val="center"/>
            <w:hideMark/>
          </w:tcPr>
          <w:p w14:paraId="50D39CC4" w14:textId="1A3B4A8C" w:rsidR="009B01ED" w:rsidRPr="00014318" w:rsidRDefault="009B01ED" w:rsidP="009B01ED">
            <w:pPr>
              <w:pStyle w:val="Tabletext"/>
              <w:jc w:val="center"/>
            </w:pPr>
            <w:r w:rsidRPr="009B01ED">
              <w:t>214</w:t>
            </w:r>
          </w:p>
        </w:tc>
        <w:tc>
          <w:tcPr>
            <w:tcW w:w="1236" w:type="dxa"/>
            <w:vAlign w:val="center"/>
          </w:tcPr>
          <w:p w14:paraId="7F5CCE0D" w14:textId="0A648466" w:rsidR="009B01ED" w:rsidRDefault="009B01ED" w:rsidP="009B01ED">
            <w:pPr>
              <w:pStyle w:val="Tabletext"/>
              <w:jc w:val="center"/>
            </w:pPr>
            <w:r w:rsidRPr="009B01ED">
              <w:t>335</w:t>
            </w:r>
          </w:p>
        </w:tc>
      </w:tr>
      <w:tr w:rsidR="009B01ED" w:rsidRPr="00476060" w14:paraId="718164E3" w14:textId="1C584F6B" w:rsidTr="00587D98">
        <w:trPr>
          <w:trHeight w:val="306"/>
        </w:trPr>
        <w:tc>
          <w:tcPr>
            <w:tcW w:w="3033" w:type="dxa"/>
            <w:shd w:val="clear" w:color="auto" w:fill="auto"/>
            <w:hideMark/>
          </w:tcPr>
          <w:p w14:paraId="74A41C3F" w14:textId="5BCC6CA0" w:rsidR="009B01ED" w:rsidRPr="00892ED8" w:rsidRDefault="009B01ED" w:rsidP="009B01ED">
            <w:pPr>
              <w:pStyle w:val="Tabletext"/>
              <w:rPr>
                <w:bCs/>
                <w:lang w:eastAsia="en-AU"/>
              </w:rPr>
            </w:pPr>
            <w:r w:rsidRPr="0032356D">
              <w:t>No mental health diagnosis recorded</w:t>
            </w:r>
          </w:p>
        </w:tc>
        <w:tc>
          <w:tcPr>
            <w:tcW w:w="1236" w:type="dxa"/>
            <w:shd w:val="clear" w:color="auto" w:fill="auto"/>
            <w:vAlign w:val="center"/>
            <w:hideMark/>
          </w:tcPr>
          <w:p w14:paraId="66CE60C2" w14:textId="794F3DD4" w:rsidR="009B01ED" w:rsidRPr="00014318" w:rsidRDefault="009B01ED" w:rsidP="009B01ED">
            <w:pPr>
              <w:pStyle w:val="Tabletext"/>
              <w:jc w:val="center"/>
            </w:pPr>
            <w:r w:rsidRPr="009B01ED">
              <w:t>473</w:t>
            </w:r>
          </w:p>
        </w:tc>
        <w:tc>
          <w:tcPr>
            <w:tcW w:w="1236" w:type="dxa"/>
            <w:shd w:val="clear" w:color="auto" w:fill="auto"/>
            <w:vAlign w:val="center"/>
            <w:hideMark/>
          </w:tcPr>
          <w:p w14:paraId="1662DF6D" w14:textId="622168BA" w:rsidR="009B01ED" w:rsidRPr="00014318" w:rsidRDefault="009B01ED" w:rsidP="009B01ED">
            <w:pPr>
              <w:pStyle w:val="Tabletext"/>
              <w:jc w:val="center"/>
            </w:pPr>
            <w:r w:rsidRPr="009B01ED">
              <w:t>621</w:t>
            </w:r>
          </w:p>
        </w:tc>
        <w:tc>
          <w:tcPr>
            <w:tcW w:w="1236" w:type="dxa"/>
            <w:shd w:val="clear" w:color="auto" w:fill="auto"/>
            <w:vAlign w:val="center"/>
            <w:hideMark/>
          </w:tcPr>
          <w:p w14:paraId="6A22101E" w14:textId="548E11BA" w:rsidR="009B01ED" w:rsidRPr="00014318" w:rsidRDefault="009B01ED" w:rsidP="009B01ED">
            <w:pPr>
              <w:pStyle w:val="Tabletext"/>
              <w:jc w:val="center"/>
            </w:pPr>
            <w:r w:rsidRPr="009B01ED">
              <w:t>456</w:t>
            </w:r>
          </w:p>
        </w:tc>
        <w:tc>
          <w:tcPr>
            <w:tcW w:w="1236" w:type="dxa"/>
            <w:shd w:val="clear" w:color="auto" w:fill="auto"/>
            <w:vAlign w:val="center"/>
            <w:hideMark/>
          </w:tcPr>
          <w:p w14:paraId="37D13F97" w14:textId="7A5091FC" w:rsidR="009B01ED" w:rsidRPr="00014318" w:rsidRDefault="009B01ED" w:rsidP="009B01ED">
            <w:pPr>
              <w:pStyle w:val="Tabletext"/>
              <w:jc w:val="center"/>
            </w:pPr>
            <w:r w:rsidRPr="009B01ED">
              <w:t>350</w:t>
            </w:r>
          </w:p>
        </w:tc>
        <w:tc>
          <w:tcPr>
            <w:tcW w:w="1236" w:type="dxa"/>
            <w:vAlign w:val="center"/>
          </w:tcPr>
          <w:p w14:paraId="02EB84A1" w14:textId="37D89323" w:rsidR="009B01ED" w:rsidRDefault="009B01ED" w:rsidP="009B01ED">
            <w:pPr>
              <w:pStyle w:val="Tabletext"/>
              <w:jc w:val="center"/>
            </w:pPr>
            <w:r w:rsidRPr="009B01ED">
              <w:t>415</w:t>
            </w:r>
          </w:p>
        </w:tc>
      </w:tr>
    </w:tbl>
    <w:p w14:paraId="6D40F348" w14:textId="1737839A" w:rsidR="00381B2F" w:rsidRDefault="00381B2F" w:rsidP="00643556">
      <w:pPr>
        <w:pStyle w:val="Bodyaftertable"/>
      </w:pPr>
      <w:r w:rsidRPr="004074FA">
        <w:t xml:space="preserve">Table </w:t>
      </w:r>
      <w:r w:rsidR="004A116A">
        <w:t>3</w:t>
      </w:r>
      <w:r w:rsidRPr="00A809FE">
        <w:t xml:space="preserve"> shows that, overall, more women than men were treated with ECT across the life span.</w:t>
      </w:r>
    </w:p>
    <w:p w14:paraId="00DC224C" w14:textId="6FD37F6C" w:rsidR="00381B2F" w:rsidRDefault="00381B2F" w:rsidP="000D0B9B">
      <w:pPr>
        <w:pStyle w:val="Tablecaption"/>
      </w:pPr>
      <w:r w:rsidRPr="4117A3B1">
        <w:rPr>
          <w:rFonts w:eastAsia="Arial"/>
        </w:rPr>
        <w:t xml:space="preserve">Table </w:t>
      </w:r>
      <w:r w:rsidR="004A116A">
        <w:rPr>
          <w:rFonts w:eastAsia="Arial"/>
        </w:rPr>
        <w:t>3</w:t>
      </w:r>
      <w:r w:rsidRPr="4117A3B1">
        <w:rPr>
          <w:rFonts w:eastAsia="Arial"/>
        </w:rPr>
        <w:t>: Number of ECT treatments</w:t>
      </w:r>
      <w:r w:rsidR="005A0956" w:rsidRPr="4117A3B1">
        <w:rPr>
          <w:rFonts w:eastAsia="Arial"/>
        </w:rPr>
        <w:t>,</w:t>
      </w:r>
      <w:r w:rsidRPr="4117A3B1">
        <w:rPr>
          <w:rFonts w:eastAsia="Arial"/>
        </w:rPr>
        <w:t xml:space="preserve"> by age group and </w:t>
      </w:r>
      <w:r w:rsidR="00505B12">
        <w:rPr>
          <w:rFonts w:eastAsia="Arial"/>
        </w:rPr>
        <w:t>sex</w:t>
      </w:r>
      <w:r w:rsidR="005A0956" w:rsidRPr="4117A3B1">
        <w:rPr>
          <w:rFonts w:eastAsia="Arial"/>
        </w:rPr>
        <w:t>,</w:t>
      </w:r>
      <w:r w:rsidRPr="4117A3B1">
        <w:rPr>
          <w:rFonts w:eastAsia="Arial"/>
        </w:rPr>
        <w:t xml:space="preserve"> </w:t>
      </w:r>
      <w:r w:rsidR="007B2175">
        <w:rPr>
          <w:rFonts w:eastAsia="Arial"/>
        </w:rPr>
        <w:t>202</w:t>
      </w:r>
      <w:r w:rsidR="00FE05B1">
        <w:rPr>
          <w:rFonts w:eastAsia="Arial"/>
        </w:rPr>
        <w:t>2</w:t>
      </w:r>
      <w:r w:rsidR="007B2175">
        <w:rPr>
          <w:rFonts w:eastAsia="Arial"/>
        </w:rPr>
        <w:t>–</w:t>
      </w:r>
      <w:r w:rsidR="007B2175" w:rsidRPr="002D796E">
        <w:rPr>
          <w:rFonts w:eastAsia="Arial"/>
        </w:rPr>
        <w:t>2</w:t>
      </w:r>
      <w:r w:rsidR="00FE05B1">
        <w:rPr>
          <w:rFonts w:eastAsia="Arial"/>
        </w:rPr>
        <w:t>3</w:t>
      </w:r>
    </w:p>
    <w:tbl>
      <w:tblPr>
        <w:tblStyle w:val="TableGrid"/>
        <w:tblW w:w="5000" w:type="pct"/>
        <w:tblInd w:w="0" w:type="dxa"/>
        <w:tblLayout w:type="fixed"/>
        <w:tblLook w:val="0620" w:firstRow="1" w:lastRow="0" w:firstColumn="0" w:lastColumn="0" w:noHBand="1" w:noVBand="1"/>
      </w:tblPr>
      <w:tblGrid>
        <w:gridCol w:w="1485"/>
        <w:gridCol w:w="867"/>
        <w:gridCol w:w="867"/>
        <w:gridCol w:w="867"/>
        <w:gridCol w:w="867"/>
        <w:gridCol w:w="867"/>
        <w:gridCol w:w="866"/>
        <w:gridCol w:w="866"/>
        <w:gridCol w:w="863"/>
        <w:gridCol w:w="861"/>
      </w:tblGrid>
      <w:tr w:rsidR="00C229D1" w14:paraId="5BEEE49E" w14:textId="2937405F" w:rsidTr="00C229D1">
        <w:trPr>
          <w:tblHeader/>
        </w:trPr>
        <w:tc>
          <w:tcPr>
            <w:tcW w:w="800" w:type="pct"/>
          </w:tcPr>
          <w:p w14:paraId="181C6C25" w14:textId="52BE2ADF" w:rsidR="00C229D1" w:rsidRDefault="00C229D1" w:rsidP="000D0B9B">
            <w:pPr>
              <w:pStyle w:val="Tablecolhead"/>
            </w:pPr>
            <w:r w:rsidRPr="10DC7BF4">
              <w:t>Measure</w:t>
            </w:r>
          </w:p>
        </w:tc>
        <w:tc>
          <w:tcPr>
            <w:tcW w:w="467" w:type="pct"/>
            <w:vAlign w:val="center"/>
          </w:tcPr>
          <w:p w14:paraId="03ACE0EF" w14:textId="79EFA39F" w:rsidR="00C229D1" w:rsidRPr="10DC7BF4" w:rsidRDefault="00C229D1" w:rsidP="00312856">
            <w:pPr>
              <w:pStyle w:val="Tablecolhead"/>
              <w:jc w:val="center"/>
            </w:pPr>
            <w:r w:rsidRPr="009765C6">
              <w:t>13–17</w:t>
            </w:r>
          </w:p>
        </w:tc>
        <w:tc>
          <w:tcPr>
            <w:tcW w:w="467" w:type="pct"/>
            <w:vAlign w:val="center"/>
          </w:tcPr>
          <w:p w14:paraId="156D7334" w14:textId="308B63B5" w:rsidR="00C229D1" w:rsidRDefault="00C229D1" w:rsidP="00312856">
            <w:pPr>
              <w:pStyle w:val="Tablecolhead"/>
              <w:jc w:val="center"/>
            </w:pPr>
            <w:r w:rsidRPr="10DC7BF4">
              <w:t>18</w:t>
            </w:r>
            <w:r>
              <w:t>–2</w:t>
            </w:r>
            <w:r w:rsidRPr="10DC7BF4">
              <w:t>9</w:t>
            </w:r>
          </w:p>
        </w:tc>
        <w:tc>
          <w:tcPr>
            <w:tcW w:w="467" w:type="pct"/>
            <w:vAlign w:val="center"/>
          </w:tcPr>
          <w:p w14:paraId="22E953DE" w14:textId="49A28ED7" w:rsidR="00C229D1" w:rsidRDefault="00C229D1" w:rsidP="00312856">
            <w:pPr>
              <w:pStyle w:val="Tablecolhead"/>
              <w:jc w:val="center"/>
            </w:pPr>
            <w:r w:rsidRPr="10DC7BF4">
              <w:t>30</w:t>
            </w:r>
            <w:r>
              <w:t>–</w:t>
            </w:r>
            <w:r w:rsidRPr="10DC7BF4">
              <w:t>39</w:t>
            </w:r>
          </w:p>
        </w:tc>
        <w:tc>
          <w:tcPr>
            <w:tcW w:w="467" w:type="pct"/>
            <w:vAlign w:val="center"/>
          </w:tcPr>
          <w:p w14:paraId="6C432FCB" w14:textId="7026453D" w:rsidR="00C229D1" w:rsidRDefault="00C229D1" w:rsidP="00312856">
            <w:pPr>
              <w:pStyle w:val="Tablecolhead"/>
              <w:jc w:val="center"/>
            </w:pPr>
            <w:r w:rsidRPr="10DC7BF4">
              <w:t>40</w:t>
            </w:r>
            <w:r>
              <w:t>–</w:t>
            </w:r>
            <w:r w:rsidRPr="10DC7BF4">
              <w:t>49</w:t>
            </w:r>
          </w:p>
        </w:tc>
        <w:tc>
          <w:tcPr>
            <w:tcW w:w="467" w:type="pct"/>
            <w:vAlign w:val="center"/>
          </w:tcPr>
          <w:p w14:paraId="688D7385" w14:textId="04AC0BD9" w:rsidR="00C229D1" w:rsidRDefault="00C229D1" w:rsidP="00312856">
            <w:pPr>
              <w:pStyle w:val="Tablecolhead"/>
              <w:jc w:val="center"/>
            </w:pPr>
            <w:r w:rsidRPr="10DC7BF4">
              <w:t>50</w:t>
            </w:r>
            <w:r>
              <w:t>–</w:t>
            </w:r>
            <w:r w:rsidRPr="10DC7BF4">
              <w:t>59</w:t>
            </w:r>
          </w:p>
        </w:tc>
        <w:tc>
          <w:tcPr>
            <w:tcW w:w="467" w:type="pct"/>
            <w:vAlign w:val="center"/>
          </w:tcPr>
          <w:p w14:paraId="1595A5C9" w14:textId="147CC9B6" w:rsidR="00C229D1" w:rsidRDefault="00C229D1" w:rsidP="00312856">
            <w:pPr>
              <w:pStyle w:val="Tablecolhead"/>
              <w:jc w:val="center"/>
            </w:pPr>
            <w:r w:rsidRPr="10DC7BF4">
              <w:t>60</w:t>
            </w:r>
            <w:r>
              <w:t>–</w:t>
            </w:r>
            <w:r w:rsidRPr="10DC7BF4">
              <w:t>69</w:t>
            </w:r>
          </w:p>
        </w:tc>
        <w:tc>
          <w:tcPr>
            <w:tcW w:w="467" w:type="pct"/>
            <w:vAlign w:val="center"/>
          </w:tcPr>
          <w:p w14:paraId="2905DC26" w14:textId="1670AE36" w:rsidR="00C229D1" w:rsidRDefault="00C229D1" w:rsidP="00312856">
            <w:pPr>
              <w:pStyle w:val="Tablecolhead"/>
              <w:jc w:val="center"/>
            </w:pPr>
            <w:r w:rsidRPr="10DC7BF4">
              <w:t>70</w:t>
            </w:r>
            <w:r>
              <w:t>–</w:t>
            </w:r>
            <w:r w:rsidRPr="10DC7BF4">
              <w:t>79</w:t>
            </w:r>
          </w:p>
        </w:tc>
        <w:tc>
          <w:tcPr>
            <w:tcW w:w="465" w:type="pct"/>
            <w:vAlign w:val="center"/>
          </w:tcPr>
          <w:p w14:paraId="60DB6642" w14:textId="296F5EBA" w:rsidR="00C229D1" w:rsidRDefault="00C229D1" w:rsidP="00312856">
            <w:pPr>
              <w:pStyle w:val="Tablecolhead"/>
              <w:jc w:val="center"/>
            </w:pPr>
            <w:r w:rsidRPr="10DC7BF4">
              <w:t>80+</w:t>
            </w:r>
          </w:p>
        </w:tc>
        <w:tc>
          <w:tcPr>
            <w:tcW w:w="464" w:type="pct"/>
          </w:tcPr>
          <w:p w14:paraId="47AD51A1" w14:textId="2FA6F378" w:rsidR="00C229D1" w:rsidRPr="10DC7BF4" w:rsidRDefault="00C229D1" w:rsidP="00312856">
            <w:pPr>
              <w:pStyle w:val="Tablecolhead"/>
              <w:jc w:val="center"/>
            </w:pPr>
            <w:r>
              <w:t>Total</w:t>
            </w:r>
          </w:p>
        </w:tc>
      </w:tr>
      <w:tr w:rsidR="00C229D1" w14:paraId="5FA85316" w14:textId="3C6C7E96" w:rsidTr="00562D3B">
        <w:tc>
          <w:tcPr>
            <w:tcW w:w="800" w:type="pct"/>
          </w:tcPr>
          <w:p w14:paraId="76C557CA" w14:textId="6603DE86" w:rsidR="00C229D1" w:rsidRDefault="00C229D1" w:rsidP="00FE05B1">
            <w:pPr>
              <w:pStyle w:val="Tabletext"/>
            </w:pPr>
            <w:r w:rsidRPr="009765C6">
              <w:t>Female</w:t>
            </w:r>
          </w:p>
        </w:tc>
        <w:tc>
          <w:tcPr>
            <w:tcW w:w="467" w:type="pct"/>
            <w:vAlign w:val="center"/>
          </w:tcPr>
          <w:p w14:paraId="0EFFBA53" w14:textId="28291F82" w:rsidR="00C229D1" w:rsidRDefault="00C229D1" w:rsidP="00FE05B1">
            <w:pPr>
              <w:pStyle w:val="Tabletext"/>
              <w:jc w:val="center"/>
            </w:pPr>
            <w:r w:rsidRPr="00FE05B1">
              <w:t>6</w:t>
            </w:r>
          </w:p>
        </w:tc>
        <w:tc>
          <w:tcPr>
            <w:tcW w:w="467" w:type="pct"/>
            <w:vAlign w:val="center"/>
          </w:tcPr>
          <w:p w14:paraId="0BC5CAC9" w14:textId="42E70BE8" w:rsidR="00C229D1" w:rsidRDefault="00C229D1" w:rsidP="00FE05B1">
            <w:pPr>
              <w:pStyle w:val="Tabletext"/>
              <w:jc w:val="center"/>
            </w:pPr>
            <w:r w:rsidRPr="00FE05B1">
              <w:t>806</w:t>
            </w:r>
          </w:p>
        </w:tc>
        <w:tc>
          <w:tcPr>
            <w:tcW w:w="467" w:type="pct"/>
            <w:vAlign w:val="center"/>
          </w:tcPr>
          <w:p w14:paraId="3E0131CC" w14:textId="5BB7872D" w:rsidR="00C229D1" w:rsidRDefault="00C229D1" w:rsidP="00FE05B1">
            <w:pPr>
              <w:pStyle w:val="Tabletext"/>
              <w:jc w:val="center"/>
            </w:pPr>
            <w:r w:rsidRPr="00FE05B1">
              <w:t>784</w:t>
            </w:r>
          </w:p>
        </w:tc>
        <w:tc>
          <w:tcPr>
            <w:tcW w:w="467" w:type="pct"/>
            <w:vAlign w:val="center"/>
          </w:tcPr>
          <w:p w14:paraId="4EE04277" w14:textId="148BF9DB" w:rsidR="00C229D1" w:rsidRDefault="00C229D1" w:rsidP="00FE05B1">
            <w:pPr>
              <w:pStyle w:val="Tabletext"/>
              <w:jc w:val="center"/>
            </w:pPr>
            <w:r w:rsidRPr="00FE05B1">
              <w:t>936</w:t>
            </w:r>
          </w:p>
        </w:tc>
        <w:tc>
          <w:tcPr>
            <w:tcW w:w="467" w:type="pct"/>
            <w:vAlign w:val="center"/>
          </w:tcPr>
          <w:p w14:paraId="0C62A387" w14:textId="7AC38BF1" w:rsidR="00C229D1" w:rsidRDefault="00C229D1" w:rsidP="00FE05B1">
            <w:pPr>
              <w:pStyle w:val="Tabletext"/>
              <w:jc w:val="center"/>
            </w:pPr>
            <w:r w:rsidRPr="00FE05B1">
              <w:t>753</w:t>
            </w:r>
          </w:p>
        </w:tc>
        <w:tc>
          <w:tcPr>
            <w:tcW w:w="467" w:type="pct"/>
            <w:vAlign w:val="center"/>
          </w:tcPr>
          <w:p w14:paraId="3F2832C8" w14:textId="394BCE55" w:rsidR="00C229D1" w:rsidRDefault="00C229D1" w:rsidP="00FE05B1">
            <w:pPr>
              <w:pStyle w:val="Tabletext"/>
              <w:jc w:val="center"/>
            </w:pPr>
            <w:r w:rsidRPr="00FE05B1">
              <w:t>1,008</w:t>
            </w:r>
          </w:p>
        </w:tc>
        <w:tc>
          <w:tcPr>
            <w:tcW w:w="467" w:type="pct"/>
            <w:vAlign w:val="center"/>
          </w:tcPr>
          <w:p w14:paraId="0430FA1A" w14:textId="623C2414" w:rsidR="00C229D1" w:rsidRDefault="00C229D1" w:rsidP="00FE05B1">
            <w:pPr>
              <w:pStyle w:val="Tabletext"/>
              <w:jc w:val="center"/>
            </w:pPr>
            <w:r w:rsidRPr="00FE05B1">
              <w:t>1,301</w:t>
            </w:r>
          </w:p>
        </w:tc>
        <w:tc>
          <w:tcPr>
            <w:tcW w:w="465" w:type="pct"/>
            <w:vAlign w:val="center"/>
          </w:tcPr>
          <w:p w14:paraId="65F769F2" w14:textId="30DFF36F" w:rsidR="00C229D1" w:rsidRDefault="00C229D1" w:rsidP="00FE05B1">
            <w:pPr>
              <w:pStyle w:val="Tabletext"/>
              <w:jc w:val="center"/>
            </w:pPr>
            <w:r w:rsidRPr="00FE05B1">
              <w:t>514</w:t>
            </w:r>
          </w:p>
        </w:tc>
        <w:tc>
          <w:tcPr>
            <w:tcW w:w="464" w:type="pct"/>
            <w:vAlign w:val="center"/>
          </w:tcPr>
          <w:p w14:paraId="294103EE" w14:textId="130E867D" w:rsidR="00C229D1" w:rsidRPr="00A051A6" w:rsidRDefault="00A051A6" w:rsidP="00FE05B1">
            <w:pPr>
              <w:pStyle w:val="Tabletext"/>
              <w:jc w:val="center"/>
              <w:rPr>
                <w:b/>
                <w:bCs/>
              </w:rPr>
            </w:pPr>
            <w:r w:rsidRPr="00A051A6">
              <w:rPr>
                <w:b/>
                <w:bCs/>
              </w:rPr>
              <w:t>6,108</w:t>
            </w:r>
          </w:p>
        </w:tc>
      </w:tr>
      <w:tr w:rsidR="00C229D1" w14:paraId="3C20A48E" w14:textId="56F27AA2" w:rsidTr="00562D3B">
        <w:trPr>
          <w:trHeight w:val="458"/>
        </w:trPr>
        <w:tc>
          <w:tcPr>
            <w:tcW w:w="800" w:type="pct"/>
          </w:tcPr>
          <w:p w14:paraId="57885B97" w14:textId="4A91CFD0" w:rsidR="00C229D1" w:rsidRDefault="00C229D1" w:rsidP="00FE05B1">
            <w:pPr>
              <w:pStyle w:val="Tabletext"/>
            </w:pPr>
            <w:r w:rsidRPr="009765C6">
              <w:t>Male</w:t>
            </w:r>
          </w:p>
        </w:tc>
        <w:tc>
          <w:tcPr>
            <w:tcW w:w="467" w:type="pct"/>
            <w:vAlign w:val="center"/>
          </w:tcPr>
          <w:p w14:paraId="5855B842" w14:textId="57B8DC13" w:rsidR="00C229D1" w:rsidRDefault="00C229D1" w:rsidP="00FE05B1">
            <w:pPr>
              <w:pStyle w:val="Tabletext"/>
              <w:jc w:val="center"/>
            </w:pPr>
            <w:r w:rsidRPr="00FE05B1">
              <w:t>34</w:t>
            </w:r>
          </w:p>
        </w:tc>
        <w:tc>
          <w:tcPr>
            <w:tcW w:w="467" w:type="pct"/>
            <w:vAlign w:val="center"/>
          </w:tcPr>
          <w:p w14:paraId="252E9F93" w14:textId="47321EA5" w:rsidR="00C229D1" w:rsidRDefault="00C229D1" w:rsidP="00FE05B1">
            <w:pPr>
              <w:pStyle w:val="Tabletext"/>
              <w:jc w:val="center"/>
            </w:pPr>
            <w:r w:rsidRPr="00FE05B1">
              <w:t>607</w:t>
            </w:r>
          </w:p>
        </w:tc>
        <w:tc>
          <w:tcPr>
            <w:tcW w:w="467" w:type="pct"/>
            <w:vAlign w:val="center"/>
          </w:tcPr>
          <w:p w14:paraId="08AC9D94" w14:textId="568703C8" w:rsidR="00C229D1" w:rsidRDefault="00C229D1" w:rsidP="00FE05B1">
            <w:pPr>
              <w:pStyle w:val="Tabletext"/>
              <w:jc w:val="center"/>
            </w:pPr>
            <w:r w:rsidRPr="00FE05B1">
              <w:t>808</w:t>
            </w:r>
          </w:p>
        </w:tc>
        <w:tc>
          <w:tcPr>
            <w:tcW w:w="467" w:type="pct"/>
            <w:vAlign w:val="center"/>
          </w:tcPr>
          <w:p w14:paraId="6125DBB4" w14:textId="2FB097B2" w:rsidR="00C229D1" w:rsidRDefault="00C229D1" w:rsidP="00FE05B1">
            <w:pPr>
              <w:pStyle w:val="Tabletext"/>
              <w:jc w:val="center"/>
            </w:pPr>
            <w:r w:rsidRPr="00FE05B1">
              <w:t>882</w:t>
            </w:r>
          </w:p>
        </w:tc>
        <w:tc>
          <w:tcPr>
            <w:tcW w:w="467" w:type="pct"/>
            <w:vAlign w:val="center"/>
          </w:tcPr>
          <w:p w14:paraId="046A774A" w14:textId="50F73E3B" w:rsidR="00C229D1" w:rsidRDefault="00C229D1" w:rsidP="00FE05B1">
            <w:pPr>
              <w:pStyle w:val="Tabletext"/>
              <w:jc w:val="center"/>
            </w:pPr>
            <w:r w:rsidRPr="00FE05B1">
              <w:t>1,149</w:t>
            </w:r>
          </w:p>
        </w:tc>
        <w:tc>
          <w:tcPr>
            <w:tcW w:w="467" w:type="pct"/>
            <w:vAlign w:val="center"/>
          </w:tcPr>
          <w:p w14:paraId="036EFEC5" w14:textId="0A7FC370" w:rsidR="00C229D1" w:rsidRDefault="00C229D1" w:rsidP="00FE05B1">
            <w:pPr>
              <w:pStyle w:val="Tabletext"/>
              <w:jc w:val="center"/>
            </w:pPr>
            <w:r w:rsidRPr="00FE05B1">
              <w:t>927</w:t>
            </w:r>
          </w:p>
        </w:tc>
        <w:tc>
          <w:tcPr>
            <w:tcW w:w="467" w:type="pct"/>
            <w:vAlign w:val="center"/>
          </w:tcPr>
          <w:p w14:paraId="54307779" w14:textId="62B7AC98" w:rsidR="00C229D1" w:rsidRDefault="00C229D1" w:rsidP="00FE05B1">
            <w:pPr>
              <w:pStyle w:val="Tabletext"/>
              <w:jc w:val="center"/>
            </w:pPr>
            <w:r w:rsidRPr="00FE05B1">
              <w:t>759</w:t>
            </w:r>
          </w:p>
        </w:tc>
        <w:tc>
          <w:tcPr>
            <w:tcW w:w="465" w:type="pct"/>
            <w:vAlign w:val="center"/>
          </w:tcPr>
          <w:p w14:paraId="626447BA" w14:textId="3229ADD6" w:rsidR="00C229D1" w:rsidRDefault="00C229D1" w:rsidP="00FE05B1">
            <w:pPr>
              <w:pStyle w:val="Tabletext"/>
              <w:jc w:val="center"/>
            </w:pPr>
            <w:r w:rsidRPr="00FE05B1">
              <w:t>413</w:t>
            </w:r>
          </w:p>
        </w:tc>
        <w:tc>
          <w:tcPr>
            <w:tcW w:w="464" w:type="pct"/>
            <w:vAlign w:val="center"/>
          </w:tcPr>
          <w:p w14:paraId="2F5775C4" w14:textId="0A0CBC71" w:rsidR="00C229D1" w:rsidRPr="00A051A6" w:rsidRDefault="00F0054B" w:rsidP="00FE05B1">
            <w:pPr>
              <w:pStyle w:val="Tabletext"/>
              <w:jc w:val="center"/>
              <w:rPr>
                <w:b/>
                <w:bCs/>
              </w:rPr>
            </w:pPr>
            <w:r>
              <w:rPr>
                <w:b/>
                <w:bCs/>
              </w:rPr>
              <w:t>5,579</w:t>
            </w:r>
          </w:p>
        </w:tc>
      </w:tr>
      <w:tr w:rsidR="00C229D1" w14:paraId="62112C97" w14:textId="6F98995E" w:rsidTr="00562D3B">
        <w:trPr>
          <w:trHeight w:val="458"/>
        </w:trPr>
        <w:tc>
          <w:tcPr>
            <w:tcW w:w="800" w:type="pct"/>
          </w:tcPr>
          <w:p w14:paraId="5D1C074F" w14:textId="6480933A" w:rsidR="00C229D1" w:rsidRDefault="00C229D1" w:rsidP="00FE05B1">
            <w:pPr>
              <w:pStyle w:val="Tabletext"/>
            </w:pPr>
            <w:r>
              <w:t>Other or unknown</w:t>
            </w:r>
          </w:p>
        </w:tc>
        <w:tc>
          <w:tcPr>
            <w:tcW w:w="467" w:type="pct"/>
            <w:vAlign w:val="center"/>
          </w:tcPr>
          <w:p w14:paraId="17513A31" w14:textId="5E894828" w:rsidR="00C229D1" w:rsidRDefault="00C229D1" w:rsidP="00FE05B1">
            <w:pPr>
              <w:pStyle w:val="Tabletext"/>
              <w:jc w:val="center"/>
            </w:pPr>
            <w:r w:rsidRPr="00FE05B1">
              <w:t>0</w:t>
            </w:r>
          </w:p>
        </w:tc>
        <w:tc>
          <w:tcPr>
            <w:tcW w:w="467" w:type="pct"/>
            <w:vAlign w:val="center"/>
          </w:tcPr>
          <w:p w14:paraId="22323122" w14:textId="0873B402" w:rsidR="00C229D1" w:rsidRDefault="00C229D1" w:rsidP="00FE05B1">
            <w:pPr>
              <w:pStyle w:val="Tabletext"/>
              <w:jc w:val="center"/>
            </w:pPr>
            <w:r w:rsidRPr="00FE05B1">
              <w:t>0</w:t>
            </w:r>
          </w:p>
        </w:tc>
        <w:tc>
          <w:tcPr>
            <w:tcW w:w="467" w:type="pct"/>
            <w:vAlign w:val="center"/>
          </w:tcPr>
          <w:p w14:paraId="7A93BC31" w14:textId="36845C55" w:rsidR="00C229D1" w:rsidRDefault="00C229D1" w:rsidP="00FE05B1">
            <w:pPr>
              <w:pStyle w:val="Tabletext"/>
              <w:jc w:val="center"/>
            </w:pPr>
            <w:r w:rsidRPr="00FE05B1">
              <w:t>0</w:t>
            </w:r>
          </w:p>
        </w:tc>
        <w:tc>
          <w:tcPr>
            <w:tcW w:w="467" w:type="pct"/>
            <w:vAlign w:val="center"/>
          </w:tcPr>
          <w:p w14:paraId="10A791A6" w14:textId="68344E29" w:rsidR="00C229D1" w:rsidRDefault="00C229D1" w:rsidP="00FE05B1">
            <w:pPr>
              <w:pStyle w:val="Tabletext"/>
              <w:jc w:val="center"/>
            </w:pPr>
            <w:r w:rsidRPr="00FE05B1">
              <w:t>0</w:t>
            </w:r>
          </w:p>
        </w:tc>
        <w:tc>
          <w:tcPr>
            <w:tcW w:w="467" w:type="pct"/>
            <w:vAlign w:val="center"/>
          </w:tcPr>
          <w:p w14:paraId="078B4BE0" w14:textId="691620A8" w:rsidR="00C229D1" w:rsidRDefault="00C229D1" w:rsidP="00FE05B1">
            <w:pPr>
              <w:pStyle w:val="Tabletext"/>
              <w:jc w:val="center"/>
            </w:pPr>
            <w:r w:rsidRPr="00FE05B1">
              <w:t>0</w:t>
            </w:r>
          </w:p>
        </w:tc>
        <w:tc>
          <w:tcPr>
            <w:tcW w:w="467" w:type="pct"/>
            <w:vAlign w:val="center"/>
          </w:tcPr>
          <w:p w14:paraId="05EA7731" w14:textId="5922F9AB" w:rsidR="00C229D1" w:rsidRDefault="00C229D1" w:rsidP="00FE05B1">
            <w:pPr>
              <w:pStyle w:val="Tabletext"/>
              <w:jc w:val="center"/>
            </w:pPr>
            <w:r w:rsidRPr="00FE05B1">
              <w:t>12</w:t>
            </w:r>
          </w:p>
        </w:tc>
        <w:tc>
          <w:tcPr>
            <w:tcW w:w="467" w:type="pct"/>
            <w:vAlign w:val="center"/>
          </w:tcPr>
          <w:p w14:paraId="0EEB49BA" w14:textId="450172CE" w:rsidR="00C229D1" w:rsidRDefault="00C229D1" w:rsidP="00FE05B1">
            <w:pPr>
              <w:pStyle w:val="Tabletext"/>
              <w:jc w:val="center"/>
            </w:pPr>
            <w:r w:rsidRPr="00FE05B1">
              <w:t>0</w:t>
            </w:r>
          </w:p>
        </w:tc>
        <w:tc>
          <w:tcPr>
            <w:tcW w:w="465" w:type="pct"/>
            <w:vAlign w:val="center"/>
          </w:tcPr>
          <w:p w14:paraId="73781D83" w14:textId="43BC42FF" w:rsidR="00C229D1" w:rsidRDefault="00C229D1" w:rsidP="00FE05B1">
            <w:pPr>
              <w:pStyle w:val="Tabletext"/>
              <w:jc w:val="center"/>
            </w:pPr>
            <w:r w:rsidRPr="00FE05B1">
              <w:t>0</w:t>
            </w:r>
          </w:p>
        </w:tc>
        <w:tc>
          <w:tcPr>
            <w:tcW w:w="464" w:type="pct"/>
            <w:vAlign w:val="center"/>
          </w:tcPr>
          <w:p w14:paraId="4C40A655" w14:textId="6298981D" w:rsidR="00C229D1" w:rsidRPr="00A051A6" w:rsidRDefault="003D5323" w:rsidP="00FE05B1">
            <w:pPr>
              <w:pStyle w:val="Tabletext"/>
              <w:jc w:val="center"/>
              <w:rPr>
                <w:b/>
                <w:bCs/>
              </w:rPr>
            </w:pPr>
            <w:r w:rsidRPr="00A051A6">
              <w:rPr>
                <w:b/>
                <w:bCs/>
              </w:rPr>
              <w:t>12</w:t>
            </w:r>
          </w:p>
        </w:tc>
      </w:tr>
    </w:tbl>
    <w:p w14:paraId="51D40624" w14:textId="3A1F718B" w:rsidR="00123C4A" w:rsidRPr="00A30D86" w:rsidRDefault="00381B2F" w:rsidP="00155658">
      <w:pPr>
        <w:pStyle w:val="Heading2"/>
        <w:rPr>
          <w:color w:val="FF0000"/>
        </w:rPr>
      </w:pPr>
      <w:bookmarkStart w:id="28" w:name="_Toc52886243"/>
      <w:bookmarkStart w:id="29" w:name="_Toc149041971"/>
      <w:r w:rsidRPr="56B42FB6">
        <w:rPr>
          <w:rFonts w:eastAsia="Arial"/>
        </w:rPr>
        <w:t>Deaths of people receiving mental health treatment</w:t>
      </w:r>
      <w:bookmarkEnd w:id="28"/>
      <w:bookmarkEnd w:id="29"/>
    </w:p>
    <w:p w14:paraId="431C85F1" w14:textId="0A67F94F" w:rsidR="00381B2F" w:rsidRPr="005269A4" w:rsidRDefault="00381B2F" w:rsidP="00563C62">
      <w:pPr>
        <w:pStyle w:val="Body"/>
      </w:pPr>
      <w:r w:rsidRPr="005269A4">
        <w:t>The death of a person receiving treatment or support for a mental illness is a tragic event. The Chief Psychiatrist collects data from mental health services to learn from each incident</w:t>
      </w:r>
      <w:r w:rsidR="00EB58AA">
        <w:t>,</w:t>
      </w:r>
      <w:r w:rsidRPr="005269A4">
        <w:t xml:space="preserve"> with a view to improving the quality and safety of clinical practices and reducing the number of preventable deaths.</w:t>
      </w:r>
    </w:p>
    <w:p w14:paraId="384B452B" w14:textId="1B7E7F47" w:rsidR="00381B2F" w:rsidRPr="005269A4" w:rsidRDefault="00701695" w:rsidP="00563C62">
      <w:pPr>
        <w:pStyle w:val="Body"/>
      </w:pPr>
      <w:r>
        <w:t>T</w:t>
      </w:r>
      <w:r w:rsidR="00381B2F" w:rsidRPr="005269A4">
        <w:t>he Chief Psychiatrist must be notified of the deaths of all mental health inpatients where an inpatient is defined as any person</w:t>
      </w:r>
      <w:r w:rsidR="0060110C">
        <w:t>,</w:t>
      </w:r>
      <w:r w:rsidR="00381B2F" w:rsidRPr="005269A4">
        <w:t xml:space="preserve"> regardless of legal status</w:t>
      </w:r>
      <w:r w:rsidR="0060110C">
        <w:t>,</w:t>
      </w:r>
      <w:r w:rsidR="00381B2F" w:rsidRPr="005269A4">
        <w:rPr>
          <w:i/>
          <w:iCs/>
        </w:rPr>
        <w:t xml:space="preserve"> </w:t>
      </w:r>
      <w:r w:rsidR="00381B2F" w:rsidRPr="005269A4">
        <w:t>who</w:t>
      </w:r>
      <w:r w:rsidR="00381B2F" w:rsidRPr="005269A4">
        <w:rPr>
          <w:i/>
          <w:iCs/>
        </w:rPr>
        <w:t>:</w:t>
      </w:r>
    </w:p>
    <w:p w14:paraId="3AA95B90" w14:textId="77777777" w:rsidR="00381B2F" w:rsidRPr="005269A4" w:rsidRDefault="00381B2F" w:rsidP="00563C62">
      <w:pPr>
        <w:pStyle w:val="Bullet1"/>
        <w:rPr>
          <w:rFonts w:eastAsiaTheme="minorEastAsia"/>
        </w:rPr>
      </w:pPr>
      <w:r w:rsidRPr="005269A4">
        <w:t>had been admitted to a mental health inpatient unit</w:t>
      </w:r>
    </w:p>
    <w:p w14:paraId="0E2A6E18" w14:textId="77777777" w:rsidR="00381B2F" w:rsidRPr="005269A4" w:rsidRDefault="00381B2F" w:rsidP="00563C62">
      <w:pPr>
        <w:pStyle w:val="Bullet1"/>
        <w:rPr>
          <w:rFonts w:eastAsiaTheme="minorEastAsia"/>
        </w:rPr>
      </w:pPr>
      <w:r w:rsidRPr="005269A4">
        <w:t>was on approved leave from an inpatient unit</w:t>
      </w:r>
    </w:p>
    <w:p w14:paraId="0CCE4CD6" w14:textId="77777777" w:rsidR="00381B2F" w:rsidRPr="005269A4" w:rsidRDefault="00381B2F" w:rsidP="00563C62">
      <w:pPr>
        <w:pStyle w:val="Bullet1"/>
        <w:rPr>
          <w:rFonts w:eastAsiaTheme="minorEastAsia"/>
        </w:rPr>
      </w:pPr>
      <w:r w:rsidRPr="005269A4">
        <w:t>had absconded from an inpatient unit</w:t>
      </w:r>
    </w:p>
    <w:p w14:paraId="61667778" w14:textId="77777777" w:rsidR="00381B2F" w:rsidRPr="005269A4" w:rsidRDefault="00381B2F" w:rsidP="00563C62">
      <w:pPr>
        <w:pStyle w:val="Bullet1"/>
        <w:rPr>
          <w:rFonts w:eastAsiaTheme="minorEastAsia"/>
        </w:rPr>
      </w:pPr>
      <w:r w:rsidRPr="005269A4">
        <w:t>had been transferred to a non-psychiatric ward during a mental health admission</w:t>
      </w:r>
    </w:p>
    <w:p w14:paraId="33022C9B" w14:textId="77777777" w:rsidR="00381B2F" w:rsidRPr="005269A4" w:rsidRDefault="00381B2F" w:rsidP="00563C62">
      <w:pPr>
        <w:pStyle w:val="Bullet1"/>
        <w:rPr>
          <w:rFonts w:eastAsiaTheme="minorEastAsia"/>
        </w:rPr>
      </w:pPr>
      <w:r w:rsidRPr="005269A4">
        <w:t>had been discharged from a mental health inpatient unit within the previous 24 hours</w:t>
      </w:r>
    </w:p>
    <w:p w14:paraId="7576135E" w14:textId="77777777" w:rsidR="00381B2F" w:rsidRPr="005269A4" w:rsidRDefault="00381B2F" w:rsidP="00563C62">
      <w:pPr>
        <w:pStyle w:val="Bullet1"/>
        <w:rPr>
          <w:rFonts w:eastAsiaTheme="minorEastAsia"/>
        </w:rPr>
      </w:pPr>
      <w:r w:rsidRPr="005269A4">
        <w:t>had been waiting in an emergency department for a mental health bed to become available.</w:t>
      </w:r>
    </w:p>
    <w:p w14:paraId="4DD1EDEA" w14:textId="77777777" w:rsidR="00381B2F" w:rsidRPr="005269A4" w:rsidRDefault="00381B2F" w:rsidP="00643556">
      <w:pPr>
        <w:pStyle w:val="Bodyafterbullets"/>
      </w:pPr>
      <w:r w:rsidRPr="005269A4">
        <w:t>In the case of deaths in the community, the Chief Psychiatrist must be notified of:</w:t>
      </w:r>
    </w:p>
    <w:p w14:paraId="09A11216" w14:textId="42E83701" w:rsidR="00381B2F" w:rsidRPr="00EC49D8" w:rsidRDefault="00381B2F" w:rsidP="00563C62">
      <w:pPr>
        <w:pStyle w:val="Bullet1"/>
      </w:pPr>
      <w:r w:rsidRPr="005269A4">
        <w:lastRenderedPageBreak/>
        <w:t xml:space="preserve">all unexpected, unnatural or violent deaths (including suspected suicides) of people who </w:t>
      </w:r>
      <w:r w:rsidR="1182E09B">
        <w:t xml:space="preserve">are, or </w:t>
      </w:r>
      <w:r w:rsidRPr="005269A4">
        <w:t xml:space="preserve">had been </w:t>
      </w:r>
      <w:r w:rsidR="02CD7C07">
        <w:t xml:space="preserve">in the previous </w:t>
      </w:r>
      <w:r w:rsidR="000D300F">
        <w:t>three</w:t>
      </w:r>
      <w:r w:rsidR="02CD7C07">
        <w:t xml:space="preserve"> months</w:t>
      </w:r>
      <w:r w:rsidR="009056E9">
        <w:t>,</w:t>
      </w:r>
      <w:r w:rsidDel="00381B2F">
        <w:t xml:space="preserve"> </w:t>
      </w:r>
      <w:r w:rsidR="1BC2F358">
        <w:t xml:space="preserve">a </w:t>
      </w:r>
      <w:r w:rsidRPr="005269A4">
        <w:t xml:space="preserve">registered mental health consumer or who had sought care from a mental health provider </w:t>
      </w:r>
      <w:r w:rsidR="019C7CDA">
        <w:t xml:space="preserve">even though it had not led them to being a registered mental health </w:t>
      </w:r>
      <w:proofErr w:type="gramStart"/>
      <w:r w:rsidR="019C7CDA">
        <w:t>consumer</w:t>
      </w:r>
      <w:proofErr w:type="gramEnd"/>
    </w:p>
    <w:p w14:paraId="033F94F0" w14:textId="77777777" w:rsidR="00381B2F" w:rsidRPr="00EC49D8" w:rsidRDefault="00381B2F" w:rsidP="00563C62">
      <w:pPr>
        <w:pStyle w:val="Bullet1"/>
      </w:pPr>
      <w:r w:rsidRPr="005269A4">
        <w:t>all deaths of patients under community treatment orders or non-custodial supervision orders.</w:t>
      </w:r>
    </w:p>
    <w:p w14:paraId="39415E7B" w14:textId="59491487" w:rsidR="00381B2F" w:rsidRPr="005269A4" w:rsidRDefault="00381B2F" w:rsidP="00D55654">
      <w:pPr>
        <w:pStyle w:val="Bodyafterbullets"/>
      </w:pPr>
      <w:r w:rsidRPr="005269A4">
        <w:t xml:space="preserve">People </w:t>
      </w:r>
      <w:proofErr w:type="gramStart"/>
      <w:r w:rsidRPr="005269A4">
        <w:t>are considered to be</w:t>
      </w:r>
      <w:proofErr w:type="gramEnd"/>
      <w:r w:rsidRPr="005269A4">
        <w:t xml:space="preserve"> mental health consumers until their case is closed and they have been told of this change in status (or the service has made reasonable efforts to do so).</w:t>
      </w:r>
    </w:p>
    <w:p w14:paraId="1BD25D5E" w14:textId="77777777" w:rsidR="00381B2F" w:rsidRPr="005269A4" w:rsidRDefault="00381B2F" w:rsidP="00B5548B">
      <w:pPr>
        <w:pStyle w:val="Bodyafterbullets"/>
      </w:pPr>
      <w:r w:rsidRPr="005269A4">
        <w:t>The Chief Psychiatrist is accountable for the following functions with respect to consumers’ deaths:</w:t>
      </w:r>
    </w:p>
    <w:p w14:paraId="7054B0F8" w14:textId="77777777" w:rsidR="00381B2F" w:rsidRPr="00EC49D8" w:rsidRDefault="00381B2F" w:rsidP="00563C62">
      <w:pPr>
        <w:pStyle w:val="Bullet1"/>
      </w:pPr>
      <w:r w:rsidRPr="005269A4">
        <w:t>to maintain a database of reportable deaths</w:t>
      </w:r>
    </w:p>
    <w:p w14:paraId="7C16016B" w14:textId="430846F4" w:rsidR="00381B2F" w:rsidRPr="00EC49D8" w:rsidRDefault="00381B2F" w:rsidP="00563C62">
      <w:pPr>
        <w:pStyle w:val="Bullet1"/>
      </w:pPr>
      <w:r w:rsidRPr="005269A4">
        <w:t xml:space="preserve">to contribute to coronial </w:t>
      </w:r>
      <w:r w:rsidR="00EB58AA">
        <w:t>i</w:t>
      </w:r>
      <w:r w:rsidRPr="005269A4">
        <w:t>nquiries and recommendations when requested by the coroner</w:t>
      </w:r>
    </w:p>
    <w:p w14:paraId="7341524A" w14:textId="08D48ABE" w:rsidR="00381B2F" w:rsidRPr="00EC49D8" w:rsidRDefault="00381B2F" w:rsidP="00563C62">
      <w:pPr>
        <w:pStyle w:val="Bullet1"/>
      </w:pPr>
      <w:r w:rsidRPr="005269A4">
        <w:t>to review clinical reports provided by services to identify systemic issues that may have contributed to a person’s death</w:t>
      </w:r>
      <w:r w:rsidR="00BB20E2">
        <w:t>,</w:t>
      </w:r>
      <w:r w:rsidR="007A07B3">
        <w:t xml:space="preserve"> including through the Chief Psychiatrists Sentinel Event Review </w:t>
      </w:r>
      <w:r w:rsidR="007751C6">
        <w:t>Subc</w:t>
      </w:r>
      <w:r w:rsidR="007A07B3">
        <w:t xml:space="preserve">ommittee </w:t>
      </w:r>
    </w:p>
    <w:p w14:paraId="2BFEDACB" w14:textId="2905343F" w:rsidR="00381B2F" w:rsidRDefault="00381B2F" w:rsidP="00563C62">
      <w:pPr>
        <w:pStyle w:val="Bullet1"/>
      </w:pPr>
      <w:r w:rsidRPr="005269A4">
        <w:t xml:space="preserve">to identify </w:t>
      </w:r>
      <w:r w:rsidR="5C8313BD">
        <w:t>statewide</w:t>
      </w:r>
      <w:r w:rsidRPr="005269A4">
        <w:t xml:space="preserve"> issues and provide guidance to mental health services to reduce and prevent deaths and </w:t>
      </w:r>
      <w:r w:rsidR="0060110C">
        <w:t xml:space="preserve">to </w:t>
      </w:r>
      <w:r w:rsidRPr="005269A4">
        <w:t>provide safe and effective care.</w:t>
      </w:r>
    </w:p>
    <w:p w14:paraId="113E4F7D" w14:textId="46236DF3" w:rsidR="00155658" w:rsidRPr="00155658" w:rsidRDefault="00155658" w:rsidP="00FC5F9B">
      <w:pPr>
        <w:pStyle w:val="Bodyafterbullets"/>
      </w:pPr>
      <w:r w:rsidRPr="00155658">
        <w:t xml:space="preserve">The Chief </w:t>
      </w:r>
      <w:r>
        <w:t>P</w:t>
      </w:r>
      <w:r w:rsidRPr="00155658">
        <w:t xml:space="preserve">sychiatrist </w:t>
      </w:r>
      <w:r w:rsidR="000D300F">
        <w:t>works</w:t>
      </w:r>
      <w:r w:rsidR="000D300F" w:rsidRPr="00155658">
        <w:t xml:space="preserve"> </w:t>
      </w:r>
      <w:r w:rsidRPr="00155658">
        <w:t xml:space="preserve">with the </w:t>
      </w:r>
      <w:r>
        <w:t>C</w:t>
      </w:r>
      <w:r w:rsidRPr="00155658">
        <w:t xml:space="preserve">oroners </w:t>
      </w:r>
      <w:r>
        <w:t>C</w:t>
      </w:r>
      <w:r w:rsidRPr="00155658">
        <w:t xml:space="preserve">ourt </w:t>
      </w:r>
      <w:r>
        <w:t>to match</w:t>
      </w:r>
      <w:r w:rsidRPr="00155658">
        <w:t xml:space="preserve"> data </w:t>
      </w:r>
      <w:r>
        <w:t>and</w:t>
      </w:r>
      <w:r w:rsidRPr="00155658">
        <w:t xml:space="preserve"> identify suicide</w:t>
      </w:r>
      <w:r>
        <w:t xml:space="preserve">s of </w:t>
      </w:r>
      <w:r w:rsidR="004C15F1">
        <w:t xml:space="preserve">people </w:t>
      </w:r>
      <w:r>
        <w:t xml:space="preserve">who were recently discharged from </w:t>
      </w:r>
      <w:r w:rsidR="000D300F">
        <w:t xml:space="preserve">a </w:t>
      </w:r>
      <w:r>
        <w:t xml:space="preserve">mental health service. This cross-checking of data is also used to detect </w:t>
      </w:r>
      <w:r w:rsidRPr="00155658">
        <w:t xml:space="preserve">suicide in </w:t>
      </w:r>
      <w:r>
        <w:t>specific</w:t>
      </w:r>
      <w:r w:rsidRPr="00155658">
        <w:t xml:space="preserve"> areas</w:t>
      </w:r>
      <w:r w:rsidR="0844DB03">
        <w:t xml:space="preserve"> or demographics</w:t>
      </w:r>
      <w:r>
        <w:t>, enabling th</w:t>
      </w:r>
      <w:r w:rsidRPr="00155658">
        <w:t xml:space="preserve">e </w:t>
      </w:r>
      <w:r>
        <w:t>D</w:t>
      </w:r>
      <w:r w:rsidRPr="00155658">
        <w:t>epartment</w:t>
      </w:r>
      <w:r>
        <w:t xml:space="preserve"> of Health to take early action</w:t>
      </w:r>
      <w:r w:rsidRPr="00155658">
        <w:t xml:space="preserve"> </w:t>
      </w:r>
      <w:r>
        <w:t>in</w:t>
      </w:r>
      <w:r w:rsidRPr="00155658">
        <w:t xml:space="preserve"> </w:t>
      </w:r>
      <w:r>
        <w:t xml:space="preserve">support of services responding to suicide </w:t>
      </w:r>
      <w:r w:rsidRPr="00155658">
        <w:t>clusters.</w:t>
      </w:r>
    </w:p>
    <w:p w14:paraId="6B1C659A" w14:textId="705A6BB5" w:rsidR="00381B2F" w:rsidRDefault="1CC23CA0" w:rsidP="00383721">
      <w:pPr>
        <w:pStyle w:val="Heading3"/>
        <w:rPr>
          <w:rFonts w:ascii="Calibri" w:eastAsia="Calibri" w:hAnsi="Calibri"/>
          <w:b/>
          <w:sz w:val="22"/>
          <w:szCs w:val="22"/>
          <w:highlight w:val="magenta"/>
        </w:rPr>
      </w:pPr>
      <w:bookmarkStart w:id="30" w:name="_Toc52886244"/>
      <w:r>
        <w:t xml:space="preserve">Reportable deaths in </w:t>
      </w:r>
      <w:bookmarkEnd w:id="30"/>
      <w:r w:rsidR="00CB4697">
        <w:t>2022</w:t>
      </w:r>
      <w:bookmarkStart w:id="31" w:name="_Hlk147485986"/>
      <w:r w:rsidR="7B0FCD3B">
        <w:t>–</w:t>
      </w:r>
      <w:bookmarkEnd w:id="31"/>
      <w:r w:rsidR="7B0FCD3B">
        <w:t>2</w:t>
      </w:r>
      <w:r w:rsidR="00CB4697">
        <w:t>3</w:t>
      </w:r>
      <w:r w:rsidR="070EEA88" w:rsidRPr="584E5347">
        <w:rPr>
          <w:sz w:val="22"/>
          <w:szCs w:val="22"/>
          <w:highlight w:val="red"/>
        </w:rPr>
        <w:t xml:space="preserve"> </w:t>
      </w:r>
    </w:p>
    <w:p w14:paraId="02CBDB77" w14:textId="77777777" w:rsidR="00E944CC" w:rsidRDefault="00381B2F" w:rsidP="00563C62">
      <w:pPr>
        <w:pStyle w:val="Body"/>
      </w:pPr>
      <w:r>
        <w:t xml:space="preserve">In </w:t>
      </w:r>
      <w:r w:rsidR="571CD37D">
        <w:t>20</w:t>
      </w:r>
      <w:r w:rsidR="7C0666A0">
        <w:t>2</w:t>
      </w:r>
      <w:r w:rsidR="00F31A8E">
        <w:t>2</w:t>
      </w:r>
      <w:r w:rsidR="571CD37D">
        <w:t>–</w:t>
      </w:r>
      <w:r w:rsidR="00882208" w:rsidDel="00F31A8E">
        <w:t>2</w:t>
      </w:r>
      <w:r w:rsidR="00F31A8E">
        <w:t>3</w:t>
      </w:r>
      <w:r>
        <w:t xml:space="preserve"> mental health services reported </w:t>
      </w:r>
      <w:r w:rsidR="00933FF7">
        <w:t>3</w:t>
      </w:r>
      <w:r w:rsidR="007B17D2">
        <w:t>77</w:t>
      </w:r>
      <w:r w:rsidR="00933FF7">
        <w:t xml:space="preserve"> </w:t>
      </w:r>
      <w:r>
        <w:t>deaths</w:t>
      </w:r>
      <w:r w:rsidR="00F60B53">
        <w:t>,</w:t>
      </w:r>
      <w:r>
        <w:t xml:space="preserve"> of which </w:t>
      </w:r>
      <w:r w:rsidR="00DF15A5">
        <w:t>19</w:t>
      </w:r>
      <w:r w:rsidR="00A5671D">
        <w:t xml:space="preserve"> </w:t>
      </w:r>
      <w:r>
        <w:t xml:space="preserve">were defined as ‘inpatient deaths’ </w:t>
      </w:r>
      <w:r w:rsidR="00A12442">
        <w:t xml:space="preserve">(Table </w:t>
      </w:r>
      <w:r w:rsidR="001E67E0">
        <w:t>5</w:t>
      </w:r>
      <w:r w:rsidR="00A12442">
        <w:t xml:space="preserve">). </w:t>
      </w:r>
      <w:r w:rsidR="3AF1F21D">
        <w:t xml:space="preserve">Four of these </w:t>
      </w:r>
      <w:r w:rsidR="00AF2F79">
        <w:t>19</w:t>
      </w:r>
      <w:r w:rsidR="3AF1F21D">
        <w:t xml:space="preserve"> deaths were recorded as suicide.</w:t>
      </w:r>
      <w:r w:rsidR="00A12442">
        <w:t xml:space="preserve"> Th</w:t>
      </w:r>
      <w:r w:rsidR="009E6ADE">
        <w:t>e overall number</w:t>
      </w:r>
      <w:r w:rsidR="00A12442">
        <w:t xml:space="preserve"> </w:t>
      </w:r>
      <w:r w:rsidR="15004A53">
        <w:t xml:space="preserve">of inpatient deaths </w:t>
      </w:r>
      <w:r w:rsidR="00A12442">
        <w:t>encompasses</w:t>
      </w:r>
      <w:r>
        <w:t xml:space="preserve"> the deaths of people while on leave, shortly after </w:t>
      </w:r>
      <w:r w:rsidR="000D1445">
        <w:t xml:space="preserve">their </w:t>
      </w:r>
      <w:r>
        <w:t>discharge or following</w:t>
      </w:r>
      <w:r w:rsidR="000D1445">
        <w:t xml:space="preserve"> their</w:t>
      </w:r>
      <w:r>
        <w:t xml:space="preserve"> transfer to other types of wards. </w:t>
      </w:r>
    </w:p>
    <w:p w14:paraId="3B72A634" w14:textId="275A192F" w:rsidR="00381B2F" w:rsidRPr="002F20AE" w:rsidRDefault="00381B2F" w:rsidP="00563C62">
      <w:pPr>
        <w:pStyle w:val="Body"/>
        <w:rPr>
          <w:color w:val="FF0000"/>
        </w:rPr>
      </w:pPr>
      <w:r>
        <w:t xml:space="preserve">When adjusted for population, rates of </w:t>
      </w:r>
      <w:r w:rsidR="00C71B9A">
        <w:t xml:space="preserve">inpatient </w:t>
      </w:r>
      <w:r>
        <w:t xml:space="preserve">deaths </w:t>
      </w:r>
      <w:r w:rsidR="00EA0166">
        <w:t xml:space="preserve">have </w:t>
      </w:r>
      <w:r w:rsidR="00156C9B">
        <w:t xml:space="preserve">remained steady </w:t>
      </w:r>
      <w:r w:rsidR="0094775C">
        <w:t xml:space="preserve">over </w:t>
      </w:r>
      <w:r w:rsidR="00156C9B">
        <w:t xml:space="preserve">the </w:t>
      </w:r>
      <w:r w:rsidR="0094775C">
        <w:t>p</w:t>
      </w:r>
      <w:r w:rsidR="00156C9B">
        <w:t xml:space="preserve">ast three years and </w:t>
      </w:r>
      <w:r w:rsidR="00EA0166">
        <w:t>been</w:t>
      </w:r>
      <w:r w:rsidR="00F24A0E">
        <w:t xml:space="preserve"> </w:t>
      </w:r>
      <w:r w:rsidR="00AD70CB">
        <w:t>on a downward trend</w:t>
      </w:r>
      <w:r w:rsidR="00156C9B">
        <w:t xml:space="preserve"> since </w:t>
      </w:r>
      <w:r w:rsidR="00A2692B">
        <w:t>2018</w:t>
      </w:r>
      <w:r w:rsidR="00690DA2" w:rsidRPr="00690DA2">
        <w:t>–</w:t>
      </w:r>
      <w:r w:rsidR="00690DA2">
        <w:t>19</w:t>
      </w:r>
      <w:r w:rsidR="468FCF4E">
        <w:t>. C</w:t>
      </w:r>
      <w:r w:rsidR="00C71B9A">
        <w:t xml:space="preserve">ommunity </w:t>
      </w:r>
      <w:r>
        <w:t xml:space="preserve">deaths </w:t>
      </w:r>
      <w:r w:rsidR="00CB0976">
        <w:t xml:space="preserve">have </w:t>
      </w:r>
      <w:r w:rsidR="00F24A0E">
        <w:t xml:space="preserve">increased </w:t>
      </w:r>
      <w:r w:rsidR="0094775C">
        <w:t xml:space="preserve">on </w:t>
      </w:r>
      <w:r w:rsidR="00F24A0E">
        <w:t xml:space="preserve">the previous year but </w:t>
      </w:r>
      <w:r w:rsidR="00C71B9A">
        <w:t xml:space="preserve">are </w:t>
      </w:r>
      <w:r w:rsidR="004E3CFE">
        <w:t>lower</w:t>
      </w:r>
      <w:r w:rsidR="00C71B9A">
        <w:t xml:space="preserve"> over the </w:t>
      </w:r>
      <w:r w:rsidR="004F2D80">
        <w:t>long term</w:t>
      </w:r>
      <w:r>
        <w:t xml:space="preserve"> (</w:t>
      </w:r>
      <w:r w:rsidR="00D8536C">
        <w:t xml:space="preserve">Figure </w:t>
      </w:r>
      <w:r w:rsidR="00BC0D9B">
        <w:t>1</w:t>
      </w:r>
      <w:r w:rsidR="004C15F1">
        <w:t xml:space="preserve"> and Table </w:t>
      </w:r>
      <w:r w:rsidR="004A116A">
        <w:t>4</w:t>
      </w:r>
      <w:r>
        <w:t xml:space="preserve">). </w:t>
      </w:r>
      <w:r w:rsidRPr="008521A9">
        <w:t xml:space="preserve">None of these deaths were known at the time of writing to </w:t>
      </w:r>
      <w:r w:rsidR="199C95CD" w:rsidRPr="008521A9">
        <w:t xml:space="preserve">have been </w:t>
      </w:r>
      <w:r w:rsidR="370814BB" w:rsidRPr="008521A9">
        <w:t xml:space="preserve">directly </w:t>
      </w:r>
      <w:r w:rsidR="199C95CD" w:rsidRPr="008521A9">
        <w:t xml:space="preserve">the </w:t>
      </w:r>
      <w:r w:rsidRPr="008521A9">
        <w:t xml:space="preserve">result </w:t>
      </w:r>
      <w:r w:rsidR="0ECCF1A5" w:rsidRPr="008521A9">
        <w:t>of</w:t>
      </w:r>
      <w:r w:rsidRPr="008521A9">
        <w:t xml:space="preserve"> COVI</w:t>
      </w:r>
      <w:r w:rsidR="00892ED8" w:rsidRPr="008521A9">
        <w:t>D-19</w:t>
      </w:r>
      <w:r w:rsidR="00337734">
        <w:t>,</w:t>
      </w:r>
      <w:r w:rsidR="4B359FD2" w:rsidRPr="008521A9">
        <w:t xml:space="preserve"> although </w:t>
      </w:r>
      <w:r w:rsidR="0094775C">
        <w:t>six people</w:t>
      </w:r>
      <w:r w:rsidR="4B359FD2" w:rsidRPr="008521A9">
        <w:t xml:space="preserve"> test</w:t>
      </w:r>
      <w:r w:rsidR="0094775C">
        <w:t>ed</w:t>
      </w:r>
      <w:r w:rsidR="4B359FD2" w:rsidRPr="008521A9">
        <w:t xml:space="preserve"> positive for COVID at the time of death</w:t>
      </w:r>
      <w:r>
        <w:t>.</w:t>
      </w:r>
      <w:r w:rsidR="00AE5510">
        <w:t xml:space="preserve"> </w:t>
      </w:r>
    </w:p>
    <w:p w14:paraId="2C45509C" w14:textId="334C50C3" w:rsidR="00381B2F" w:rsidRDefault="00315BD4" w:rsidP="009A5423">
      <w:pPr>
        <w:pStyle w:val="Figurecaption"/>
        <w:rPr>
          <w:bCs/>
          <w:highlight w:val="green"/>
        </w:rPr>
      </w:pPr>
      <w:r>
        <w:lastRenderedPageBreak/>
        <w:t>Figure</w:t>
      </w:r>
      <w:r w:rsidR="00381B2F">
        <w:t xml:space="preserve"> </w:t>
      </w:r>
      <w:r w:rsidR="00BC0D9B">
        <w:t>1</w:t>
      </w:r>
      <w:r w:rsidR="00381B2F">
        <w:t>: Reportable deaths</w:t>
      </w:r>
      <w:r w:rsidR="00F37D79">
        <w:t xml:space="preserve"> </w:t>
      </w:r>
      <w:r w:rsidR="00381B2F">
        <w:t xml:space="preserve">per 100,000 Victorian </w:t>
      </w:r>
      <w:r w:rsidR="66FE9466">
        <w:t>population</w:t>
      </w:r>
      <w:r w:rsidR="00381B2F">
        <w:t>, 201</w:t>
      </w:r>
      <w:r w:rsidR="5CD2D132">
        <w:t>8</w:t>
      </w:r>
      <w:r w:rsidR="00381B2F">
        <w:t>–1</w:t>
      </w:r>
      <w:r w:rsidR="1A980636">
        <w:t>9</w:t>
      </w:r>
      <w:r w:rsidR="00381B2F">
        <w:t xml:space="preserve"> to </w:t>
      </w:r>
      <w:r w:rsidR="007B2175">
        <w:t>202</w:t>
      </w:r>
      <w:r w:rsidR="3B54A087">
        <w:t>2</w:t>
      </w:r>
      <w:r w:rsidR="007B2175">
        <w:t>–2</w:t>
      </w:r>
      <w:r w:rsidR="050642B8">
        <w:t>3</w:t>
      </w:r>
    </w:p>
    <w:p w14:paraId="3764363A" w14:textId="6A80E5A3" w:rsidR="004A3160" w:rsidRPr="00310DA3" w:rsidRDefault="00A57306" w:rsidP="009A5423">
      <w:pPr>
        <w:pStyle w:val="Body"/>
        <w:rPr>
          <w:highlight w:val="yellow"/>
        </w:rPr>
      </w:pPr>
      <w:r>
        <w:rPr>
          <w:noProof/>
        </w:rPr>
        <w:drawing>
          <wp:inline distT="0" distB="0" distL="0" distR="0" wp14:anchorId="1FA12403" wp14:editId="4FD24522">
            <wp:extent cx="5943600" cy="2936875"/>
            <wp:effectExtent l="0" t="0" r="0" b="15875"/>
            <wp:docPr id="2" name="Chart 2">
              <a:extLst xmlns:a="http://schemas.openxmlformats.org/drawingml/2006/main">
                <a:ext uri="{FF2B5EF4-FFF2-40B4-BE49-F238E27FC236}">
                  <a16:creationId xmlns:a16="http://schemas.microsoft.com/office/drawing/2014/main" id="{23E761DA-DF94-422F-A1AC-709AB453B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8221C7" w14:textId="48FC2AB3" w:rsidR="006B3F7E" w:rsidRDefault="00E8354D" w:rsidP="00013293">
      <w:pPr>
        <w:pStyle w:val="Tablefigurenote"/>
        <w:rPr>
          <w:b/>
          <w:sz w:val="21"/>
          <w:szCs w:val="21"/>
        </w:rPr>
      </w:pPr>
      <w:r>
        <w:t>Note:</w:t>
      </w:r>
      <w:r w:rsidR="008B4B58">
        <w:t xml:space="preserve"> </w:t>
      </w:r>
      <w:r w:rsidR="009F4C23">
        <w:t>R</w:t>
      </w:r>
      <w:r w:rsidR="009F4C23" w:rsidRPr="00BB7DF1">
        <w:t xml:space="preserve">eportable deaths </w:t>
      </w:r>
      <w:r w:rsidR="009F4C23">
        <w:t>data is</w:t>
      </w:r>
      <w:r w:rsidR="009F4C23" w:rsidRPr="00BB7DF1">
        <w:t xml:space="preserve"> continuously revised following confirmation of cause of death by coroner. As such, </w:t>
      </w:r>
      <w:r w:rsidR="009F4C23">
        <w:t>figures</w:t>
      </w:r>
      <w:r w:rsidR="009F4C23" w:rsidRPr="00BB7DF1">
        <w:t xml:space="preserve"> may </w:t>
      </w:r>
      <w:r w:rsidR="009F4C23">
        <w:t>vary</w:t>
      </w:r>
      <w:r w:rsidR="009F4C23" w:rsidRPr="00BB7DF1">
        <w:t xml:space="preserve"> slightly </w:t>
      </w:r>
      <w:r w:rsidR="009F4C23">
        <w:t xml:space="preserve">between annual </w:t>
      </w:r>
      <w:r w:rsidR="009F4C23" w:rsidRPr="00BB7DF1">
        <w:t>reports</w:t>
      </w:r>
      <w:r w:rsidR="009F4C23">
        <w:t xml:space="preserve"> from previous years</w:t>
      </w:r>
      <w:r w:rsidR="009F4C23" w:rsidRPr="00BB7DF1">
        <w:t>.</w:t>
      </w:r>
    </w:p>
    <w:p w14:paraId="66F563AE" w14:textId="2EF44D63" w:rsidR="000C64A4" w:rsidRPr="000C64A4" w:rsidRDefault="000C64A4" w:rsidP="00993C80">
      <w:pPr>
        <w:pStyle w:val="Tablecaption"/>
        <w:rPr>
          <w:highlight w:val="yellow"/>
        </w:rPr>
      </w:pPr>
      <w:r>
        <w:t xml:space="preserve">Table </w:t>
      </w:r>
      <w:r w:rsidR="004A116A">
        <w:t>4</w:t>
      </w:r>
      <w:r>
        <w:t>: Reportable deaths per 100,000 Victorian population, 201</w:t>
      </w:r>
      <w:r w:rsidR="4DD18215">
        <w:t>8</w:t>
      </w:r>
      <w:r>
        <w:t>–1</w:t>
      </w:r>
      <w:r w:rsidR="118C65F9">
        <w:t>9</w:t>
      </w:r>
      <w:r>
        <w:t xml:space="preserve"> to 202</w:t>
      </w:r>
      <w:r w:rsidR="36631837">
        <w:t>2</w:t>
      </w:r>
      <w:r w:rsidR="008B4B58">
        <w:t>–</w:t>
      </w:r>
      <w:r>
        <w:t>2</w:t>
      </w:r>
      <w:r w:rsidR="5EF86456">
        <w:t>3</w:t>
      </w:r>
    </w:p>
    <w:tbl>
      <w:tblPr>
        <w:tblStyle w:val="TableGrid"/>
        <w:tblW w:w="4456" w:type="pct"/>
        <w:tblInd w:w="0" w:type="dxa"/>
        <w:shd w:val="clear" w:color="auto" w:fill="92CDDC" w:themeFill="accent5" w:themeFillTint="99"/>
        <w:tblLook w:val="0620" w:firstRow="1" w:lastRow="0" w:firstColumn="0" w:lastColumn="0" w:noHBand="1" w:noVBand="1"/>
      </w:tblPr>
      <w:tblGrid>
        <w:gridCol w:w="2207"/>
        <w:gridCol w:w="1011"/>
        <w:gridCol w:w="1010"/>
        <w:gridCol w:w="1010"/>
        <w:gridCol w:w="1010"/>
        <w:gridCol w:w="1010"/>
        <w:gridCol w:w="1009"/>
      </w:tblGrid>
      <w:tr w:rsidR="00DC3B2A" w:rsidRPr="00310DA3" w14:paraId="47254E75" w14:textId="77777777" w:rsidTr="00DC3B2A">
        <w:trPr>
          <w:trHeight w:val="395"/>
          <w:tblHeader/>
        </w:trPr>
        <w:tc>
          <w:tcPr>
            <w:tcW w:w="1334" w:type="pct"/>
            <w:shd w:val="clear" w:color="auto" w:fill="FFFFFF" w:themeFill="background1"/>
          </w:tcPr>
          <w:p w14:paraId="1AD61B42" w14:textId="77777777" w:rsidR="00DC3B2A" w:rsidRPr="006B3F7E" w:rsidRDefault="00DC3B2A" w:rsidP="00C165F7">
            <w:pPr>
              <w:pStyle w:val="Tablecolhead"/>
              <w:rPr>
                <w:sz w:val="20"/>
                <w:szCs w:val="20"/>
              </w:rPr>
            </w:pPr>
            <w:bookmarkStart w:id="32" w:name="_Hlk83213603"/>
            <w:r w:rsidRPr="006B3F7E">
              <w:rPr>
                <w:sz w:val="20"/>
                <w:szCs w:val="20"/>
              </w:rPr>
              <w:t>Measure</w:t>
            </w:r>
          </w:p>
        </w:tc>
        <w:tc>
          <w:tcPr>
            <w:tcW w:w="611" w:type="pct"/>
            <w:shd w:val="clear" w:color="auto" w:fill="FFFFFF" w:themeFill="background1"/>
            <w:vAlign w:val="center"/>
          </w:tcPr>
          <w:p w14:paraId="478D9AFB" w14:textId="4CCD505B" w:rsidR="00DC3B2A" w:rsidRPr="006B3F7E" w:rsidRDefault="00DC3B2A" w:rsidP="00312856">
            <w:pPr>
              <w:pStyle w:val="Tablecolhead"/>
              <w:jc w:val="center"/>
              <w:rPr>
                <w:sz w:val="20"/>
                <w:szCs w:val="20"/>
              </w:rPr>
            </w:pPr>
            <w:r w:rsidRPr="006B3F7E">
              <w:rPr>
                <w:sz w:val="20"/>
                <w:szCs w:val="20"/>
              </w:rPr>
              <w:t>2018–19</w:t>
            </w:r>
          </w:p>
        </w:tc>
        <w:tc>
          <w:tcPr>
            <w:tcW w:w="611" w:type="pct"/>
            <w:shd w:val="clear" w:color="auto" w:fill="FFFFFF" w:themeFill="background1"/>
            <w:vAlign w:val="center"/>
          </w:tcPr>
          <w:p w14:paraId="1E7F728A" w14:textId="72EA6BB1" w:rsidR="00DC3B2A" w:rsidRPr="006B3F7E" w:rsidRDefault="00DC3B2A" w:rsidP="00312856">
            <w:pPr>
              <w:pStyle w:val="Tablecolhead"/>
              <w:jc w:val="center"/>
              <w:rPr>
                <w:sz w:val="20"/>
                <w:szCs w:val="20"/>
              </w:rPr>
            </w:pPr>
            <w:r w:rsidRPr="006B3F7E">
              <w:rPr>
                <w:sz w:val="20"/>
                <w:szCs w:val="20"/>
              </w:rPr>
              <w:t>2019–20</w:t>
            </w:r>
          </w:p>
        </w:tc>
        <w:tc>
          <w:tcPr>
            <w:tcW w:w="611" w:type="pct"/>
            <w:shd w:val="clear" w:color="auto" w:fill="auto"/>
            <w:vAlign w:val="center"/>
          </w:tcPr>
          <w:p w14:paraId="1A59EC6E" w14:textId="72BE0207" w:rsidR="00DC3B2A" w:rsidRPr="006B3F7E" w:rsidRDefault="00DC3B2A" w:rsidP="00312856">
            <w:pPr>
              <w:pStyle w:val="Tablecolhead"/>
              <w:jc w:val="center"/>
              <w:rPr>
                <w:sz w:val="20"/>
                <w:szCs w:val="20"/>
              </w:rPr>
            </w:pPr>
            <w:r w:rsidRPr="006B3F7E">
              <w:rPr>
                <w:sz w:val="20"/>
                <w:szCs w:val="20"/>
              </w:rPr>
              <w:t>2020–21</w:t>
            </w:r>
          </w:p>
        </w:tc>
        <w:tc>
          <w:tcPr>
            <w:tcW w:w="611" w:type="pct"/>
            <w:vAlign w:val="center"/>
          </w:tcPr>
          <w:p w14:paraId="06CFF8B4" w14:textId="0175A1CE" w:rsidR="00DC3B2A" w:rsidRPr="006B3F7E" w:rsidRDefault="00DC3B2A" w:rsidP="00312856">
            <w:pPr>
              <w:pStyle w:val="Tablecolhead"/>
              <w:jc w:val="center"/>
              <w:rPr>
                <w:sz w:val="20"/>
                <w:szCs w:val="20"/>
              </w:rPr>
            </w:pPr>
            <w:r w:rsidRPr="006B3F7E">
              <w:rPr>
                <w:sz w:val="20"/>
                <w:szCs w:val="20"/>
              </w:rPr>
              <w:t>202</w:t>
            </w:r>
            <w:r>
              <w:rPr>
                <w:sz w:val="20"/>
                <w:szCs w:val="20"/>
              </w:rPr>
              <w:t>1</w:t>
            </w:r>
            <w:r w:rsidRPr="006B3F7E">
              <w:rPr>
                <w:sz w:val="20"/>
                <w:szCs w:val="20"/>
              </w:rPr>
              <w:t>–2</w:t>
            </w:r>
            <w:r>
              <w:rPr>
                <w:sz w:val="20"/>
                <w:szCs w:val="20"/>
              </w:rPr>
              <w:t>2</w:t>
            </w:r>
          </w:p>
        </w:tc>
        <w:tc>
          <w:tcPr>
            <w:tcW w:w="611" w:type="pct"/>
          </w:tcPr>
          <w:p w14:paraId="0C63DBA8" w14:textId="148B1649" w:rsidR="00DC3B2A" w:rsidRPr="006B3F7E" w:rsidRDefault="00DC3B2A" w:rsidP="00312856">
            <w:pPr>
              <w:pStyle w:val="Tablecolhead"/>
              <w:jc w:val="center"/>
              <w:rPr>
                <w:sz w:val="20"/>
                <w:szCs w:val="20"/>
              </w:rPr>
            </w:pPr>
            <w:r>
              <w:rPr>
                <w:sz w:val="20"/>
                <w:szCs w:val="20"/>
              </w:rPr>
              <w:t>2022</w:t>
            </w:r>
            <w:r w:rsidR="00D7458D">
              <w:rPr>
                <w:sz w:val="20"/>
                <w:szCs w:val="20"/>
              </w:rPr>
              <w:t>–</w:t>
            </w:r>
            <w:r>
              <w:rPr>
                <w:sz w:val="20"/>
                <w:szCs w:val="20"/>
              </w:rPr>
              <w:t>23</w:t>
            </w:r>
          </w:p>
        </w:tc>
        <w:tc>
          <w:tcPr>
            <w:tcW w:w="610" w:type="pct"/>
            <w:vAlign w:val="center"/>
          </w:tcPr>
          <w:p w14:paraId="7384C277" w14:textId="2240009A" w:rsidR="00DC3B2A" w:rsidRPr="006B3F7E" w:rsidRDefault="00DC3B2A" w:rsidP="00312856">
            <w:pPr>
              <w:pStyle w:val="Tablecolhead"/>
              <w:jc w:val="center"/>
              <w:rPr>
                <w:sz w:val="20"/>
                <w:szCs w:val="20"/>
              </w:rPr>
            </w:pPr>
            <w:r w:rsidRPr="006B3F7E">
              <w:rPr>
                <w:sz w:val="20"/>
                <w:szCs w:val="20"/>
              </w:rPr>
              <w:t>Average</w:t>
            </w:r>
          </w:p>
        </w:tc>
      </w:tr>
      <w:tr w:rsidR="00DC3B2A" w:rsidRPr="00310DA3" w14:paraId="1E8B3FCE" w14:textId="77777777" w:rsidTr="0092730E">
        <w:trPr>
          <w:trHeight w:val="458"/>
        </w:trPr>
        <w:tc>
          <w:tcPr>
            <w:tcW w:w="1334" w:type="pct"/>
            <w:shd w:val="clear" w:color="auto" w:fill="FFFFFF" w:themeFill="background1"/>
          </w:tcPr>
          <w:p w14:paraId="7D3FC8D3" w14:textId="77777777" w:rsidR="00DC3B2A" w:rsidRPr="00310DA3" w:rsidRDefault="00DC3B2A" w:rsidP="00C165F7">
            <w:pPr>
              <w:pStyle w:val="Tabletext"/>
            </w:pPr>
            <w:r w:rsidRPr="408B5DD1">
              <w:t>Community deaths</w:t>
            </w:r>
          </w:p>
        </w:tc>
        <w:tc>
          <w:tcPr>
            <w:tcW w:w="611" w:type="pct"/>
            <w:shd w:val="clear" w:color="auto" w:fill="FFFFFF" w:themeFill="background1"/>
            <w:vAlign w:val="center"/>
          </w:tcPr>
          <w:p w14:paraId="769341AA" w14:textId="488C6247" w:rsidR="00DC3B2A" w:rsidRPr="004C15F1" w:rsidRDefault="00DC3B2A" w:rsidP="00312856">
            <w:pPr>
              <w:pStyle w:val="Tabletext"/>
              <w:jc w:val="center"/>
              <w:rPr>
                <w:rFonts w:cs="Arial"/>
              </w:rPr>
            </w:pPr>
            <w:r w:rsidRPr="00AD1A96">
              <w:rPr>
                <w:rFonts w:cs="Arial"/>
                <w:color w:val="000000"/>
              </w:rPr>
              <w:t>6.50</w:t>
            </w:r>
          </w:p>
        </w:tc>
        <w:tc>
          <w:tcPr>
            <w:tcW w:w="611" w:type="pct"/>
            <w:shd w:val="clear" w:color="auto" w:fill="FFFFFF" w:themeFill="background1"/>
            <w:vAlign w:val="center"/>
          </w:tcPr>
          <w:p w14:paraId="0A4B1F81" w14:textId="2ABCB1C5" w:rsidR="00DC3B2A" w:rsidRPr="004C15F1" w:rsidRDefault="00DC3B2A" w:rsidP="00312856">
            <w:pPr>
              <w:pStyle w:val="Tabletext"/>
              <w:jc w:val="center"/>
              <w:rPr>
                <w:rFonts w:cs="Arial"/>
              </w:rPr>
            </w:pPr>
            <w:r w:rsidRPr="00AD1A96">
              <w:rPr>
                <w:rFonts w:cs="Arial"/>
                <w:color w:val="000000"/>
              </w:rPr>
              <w:t>5.42</w:t>
            </w:r>
          </w:p>
        </w:tc>
        <w:tc>
          <w:tcPr>
            <w:tcW w:w="611" w:type="pct"/>
            <w:shd w:val="clear" w:color="auto" w:fill="auto"/>
            <w:vAlign w:val="center"/>
          </w:tcPr>
          <w:p w14:paraId="7F045E5E" w14:textId="2F2706B0" w:rsidR="00DC3B2A" w:rsidRPr="004C15F1" w:rsidRDefault="00DC3B2A" w:rsidP="00312856">
            <w:pPr>
              <w:pStyle w:val="Tabletext"/>
              <w:jc w:val="center"/>
              <w:rPr>
                <w:rFonts w:cs="Arial"/>
              </w:rPr>
            </w:pPr>
            <w:r w:rsidRPr="00AD1A96">
              <w:rPr>
                <w:rFonts w:cs="Arial"/>
                <w:color w:val="000000"/>
              </w:rPr>
              <w:t>4.42</w:t>
            </w:r>
          </w:p>
        </w:tc>
        <w:tc>
          <w:tcPr>
            <w:tcW w:w="611" w:type="pct"/>
            <w:vAlign w:val="center"/>
          </w:tcPr>
          <w:p w14:paraId="65A5396D" w14:textId="1E97F2A7" w:rsidR="00DC3B2A" w:rsidRPr="00AD1A96" w:rsidRDefault="00DC3B2A" w:rsidP="00312856">
            <w:pPr>
              <w:pStyle w:val="Tabletext"/>
              <w:jc w:val="center"/>
              <w:rPr>
                <w:rFonts w:cs="Arial"/>
                <w:color w:val="000000"/>
              </w:rPr>
            </w:pPr>
            <w:r w:rsidRPr="00AD1A96">
              <w:rPr>
                <w:rFonts w:cs="Arial"/>
                <w:color w:val="000000"/>
              </w:rPr>
              <w:t>4.56</w:t>
            </w:r>
          </w:p>
        </w:tc>
        <w:tc>
          <w:tcPr>
            <w:tcW w:w="611" w:type="pct"/>
            <w:vAlign w:val="center"/>
          </w:tcPr>
          <w:p w14:paraId="242C9772" w14:textId="33D63379" w:rsidR="00DC3B2A" w:rsidRPr="0092730E" w:rsidRDefault="006F08A2" w:rsidP="0092730E">
            <w:pPr>
              <w:jc w:val="center"/>
              <w:rPr>
                <w:rFonts w:ascii="Arial" w:hAnsi="Arial" w:cs="Arial"/>
                <w:sz w:val="21"/>
                <w:szCs w:val="21"/>
                <w:lang w:eastAsia="en-AU"/>
              </w:rPr>
            </w:pPr>
            <w:r w:rsidRPr="0092730E">
              <w:rPr>
                <w:rFonts w:ascii="Arial" w:hAnsi="Arial" w:cs="Arial"/>
                <w:sz w:val="21"/>
                <w:szCs w:val="21"/>
              </w:rPr>
              <w:t>5.03</w:t>
            </w:r>
          </w:p>
        </w:tc>
        <w:tc>
          <w:tcPr>
            <w:tcW w:w="610" w:type="pct"/>
            <w:vAlign w:val="center"/>
          </w:tcPr>
          <w:p w14:paraId="0E98FF6A" w14:textId="768A4F6B" w:rsidR="00DC3B2A" w:rsidRPr="00AD1A96" w:rsidRDefault="00DC3B2A" w:rsidP="00312856">
            <w:pPr>
              <w:pStyle w:val="Tabletext"/>
              <w:jc w:val="center"/>
              <w:rPr>
                <w:rFonts w:cs="Arial"/>
                <w:color w:val="000000"/>
              </w:rPr>
            </w:pPr>
            <w:r w:rsidRPr="00AD1A96">
              <w:rPr>
                <w:rFonts w:cs="Arial"/>
                <w:color w:val="000000"/>
              </w:rPr>
              <w:t>5.</w:t>
            </w:r>
            <w:r w:rsidR="006845C7">
              <w:rPr>
                <w:rFonts w:cs="Arial"/>
                <w:color w:val="000000"/>
              </w:rPr>
              <w:t>1</w:t>
            </w:r>
            <w:r w:rsidR="002B3689">
              <w:rPr>
                <w:rFonts w:cs="Arial"/>
                <w:color w:val="000000"/>
              </w:rPr>
              <w:t>9</w:t>
            </w:r>
          </w:p>
        </w:tc>
      </w:tr>
      <w:tr w:rsidR="00DC3B2A" w:rsidRPr="00310DA3" w14:paraId="4CE756DB" w14:textId="77777777" w:rsidTr="0092730E">
        <w:trPr>
          <w:trHeight w:val="438"/>
        </w:trPr>
        <w:tc>
          <w:tcPr>
            <w:tcW w:w="1334" w:type="pct"/>
            <w:shd w:val="clear" w:color="auto" w:fill="FFFFFF" w:themeFill="background1"/>
          </w:tcPr>
          <w:p w14:paraId="5F1B8173" w14:textId="77777777" w:rsidR="00DC3B2A" w:rsidRPr="00310DA3" w:rsidRDefault="00DC3B2A" w:rsidP="00C165F7">
            <w:pPr>
              <w:pStyle w:val="Tabletext"/>
            </w:pPr>
            <w:r w:rsidRPr="408B5DD1">
              <w:t>Inpatient deaths</w:t>
            </w:r>
          </w:p>
        </w:tc>
        <w:tc>
          <w:tcPr>
            <w:tcW w:w="611" w:type="pct"/>
            <w:shd w:val="clear" w:color="auto" w:fill="FFFFFF" w:themeFill="background1"/>
            <w:vAlign w:val="center"/>
          </w:tcPr>
          <w:p w14:paraId="2C97C703" w14:textId="67B1C573" w:rsidR="00DC3B2A" w:rsidRPr="004C15F1" w:rsidRDefault="00DC3B2A" w:rsidP="00312856">
            <w:pPr>
              <w:pStyle w:val="Tabletext"/>
              <w:jc w:val="center"/>
              <w:rPr>
                <w:rFonts w:cs="Arial"/>
              </w:rPr>
            </w:pPr>
            <w:r w:rsidRPr="00AD1A96">
              <w:rPr>
                <w:rFonts w:cs="Arial"/>
                <w:color w:val="000000"/>
              </w:rPr>
              <w:t>0.36</w:t>
            </w:r>
          </w:p>
        </w:tc>
        <w:tc>
          <w:tcPr>
            <w:tcW w:w="611" w:type="pct"/>
            <w:shd w:val="clear" w:color="auto" w:fill="FFFFFF" w:themeFill="background1"/>
            <w:vAlign w:val="center"/>
          </w:tcPr>
          <w:p w14:paraId="55BA8EC9" w14:textId="11AD5C22" w:rsidR="00DC3B2A" w:rsidRPr="004C15F1" w:rsidRDefault="00DC3B2A" w:rsidP="00312856">
            <w:pPr>
              <w:pStyle w:val="Tabletext"/>
              <w:jc w:val="center"/>
              <w:rPr>
                <w:rFonts w:cs="Arial"/>
              </w:rPr>
            </w:pPr>
            <w:r w:rsidRPr="00AD1A96">
              <w:rPr>
                <w:rFonts w:cs="Arial"/>
                <w:color w:val="000000"/>
              </w:rPr>
              <w:t>0.62</w:t>
            </w:r>
          </w:p>
        </w:tc>
        <w:tc>
          <w:tcPr>
            <w:tcW w:w="611" w:type="pct"/>
            <w:shd w:val="clear" w:color="auto" w:fill="auto"/>
            <w:vAlign w:val="center"/>
          </w:tcPr>
          <w:p w14:paraId="7104A6E8" w14:textId="1652F740" w:rsidR="00DC3B2A" w:rsidRPr="004C15F1" w:rsidRDefault="00DC3B2A" w:rsidP="00312856">
            <w:pPr>
              <w:pStyle w:val="Tabletext"/>
              <w:jc w:val="center"/>
              <w:rPr>
                <w:rFonts w:cs="Arial"/>
              </w:rPr>
            </w:pPr>
            <w:r w:rsidRPr="00AD1A96">
              <w:rPr>
                <w:rFonts w:cs="Arial"/>
                <w:color w:val="000000"/>
              </w:rPr>
              <w:t>0.25</w:t>
            </w:r>
          </w:p>
        </w:tc>
        <w:tc>
          <w:tcPr>
            <w:tcW w:w="611" w:type="pct"/>
            <w:vAlign w:val="center"/>
          </w:tcPr>
          <w:p w14:paraId="5A841614" w14:textId="4B0A83E7" w:rsidR="00DC3B2A" w:rsidRPr="00AD1A96" w:rsidRDefault="00DC3B2A" w:rsidP="00312856">
            <w:pPr>
              <w:pStyle w:val="Tabletext"/>
              <w:jc w:val="center"/>
              <w:rPr>
                <w:rFonts w:cs="Arial"/>
                <w:color w:val="000000"/>
              </w:rPr>
            </w:pPr>
            <w:r w:rsidRPr="00AD1A96">
              <w:rPr>
                <w:rFonts w:cs="Arial"/>
                <w:color w:val="000000"/>
              </w:rPr>
              <w:t>0.24</w:t>
            </w:r>
          </w:p>
        </w:tc>
        <w:tc>
          <w:tcPr>
            <w:tcW w:w="611" w:type="pct"/>
            <w:vAlign w:val="center"/>
          </w:tcPr>
          <w:p w14:paraId="55E8173D" w14:textId="0F945828" w:rsidR="00DC3B2A" w:rsidRPr="0092730E" w:rsidRDefault="00604908" w:rsidP="0092730E">
            <w:pPr>
              <w:jc w:val="center"/>
              <w:rPr>
                <w:rFonts w:ascii="Arial" w:hAnsi="Arial" w:cs="Arial"/>
                <w:sz w:val="21"/>
                <w:szCs w:val="21"/>
                <w:lang w:eastAsia="en-AU"/>
              </w:rPr>
            </w:pPr>
            <w:r w:rsidRPr="0092730E">
              <w:rPr>
                <w:rFonts w:ascii="Arial" w:hAnsi="Arial" w:cs="Arial"/>
                <w:sz w:val="21"/>
                <w:szCs w:val="21"/>
              </w:rPr>
              <w:t>0.27</w:t>
            </w:r>
          </w:p>
        </w:tc>
        <w:tc>
          <w:tcPr>
            <w:tcW w:w="610" w:type="pct"/>
            <w:vAlign w:val="center"/>
          </w:tcPr>
          <w:p w14:paraId="184FEA97" w14:textId="36DA290C" w:rsidR="00DC3B2A" w:rsidRPr="00AD1A96" w:rsidRDefault="00DC3B2A" w:rsidP="00312856">
            <w:pPr>
              <w:pStyle w:val="Tabletext"/>
              <w:jc w:val="center"/>
              <w:rPr>
                <w:rFonts w:cs="Arial"/>
                <w:color w:val="000000"/>
              </w:rPr>
            </w:pPr>
            <w:r w:rsidRPr="00AD1A96">
              <w:rPr>
                <w:rFonts w:cs="Arial"/>
                <w:color w:val="000000"/>
              </w:rPr>
              <w:t>0.</w:t>
            </w:r>
            <w:r w:rsidR="005E544A">
              <w:rPr>
                <w:rFonts w:cs="Arial"/>
                <w:color w:val="000000"/>
              </w:rPr>
              <w:t>35</w:t>
            </w:r>
          </w:p>
        </w:tc>
      </w:tr>
      <w:tr w:rsidR="00DC3B2A" w:rsidRPr="00310DA3" w14:paraId="73BF8B81" w14:textId="77777777" w:rsidTr="0092730E">
        <w:trPr>
          <w:trHeight w:val="438"/>
        </w:trPr>
        <w:tc>
          <w:tcPr>
            <w:tcW w:w="1334" w:type="pct"/>
            <w:shd w:val="clear" w:color="auto" w:fill="FFFFFF" w:themeFill="background1"/>
          </w:tcPr>
          <w:p w14:paraId="61FBEBA5" w14:textId="77777777" w:rsidR="00DC3B2A" w:rsidRPr="006359F9" w:rsidRDefault="00DC3B2A" w:rsidP="00C165F7">
            <w:pPr>
              <w:pStyle w:val="Tabletext"/>
              <w:rPr>
                <w:b/>
                <w:bCs/>
              </w:rPr>
            </w:pPr>
            <w:r w:rsidRPr="006359F9">
              <w:rPr>
                <w:b/>
                <w:bCs/>
              </w:rPr>
              <w:t>All deaths</w:t>
            </w:r>
          </w:p>
        </w:tc>
        <w:tc>
          <w:tcPr>
            <w:tcW w:w="611" w:type="pct"/>
            <w:shd w:val="clear" w:color="auto" w:fill="FFFFFF" w:themeFill="background1"/>
            <w:vAlign w:val="center"/>
          </w:tcPr>
          <w:p w14:paraId="1873E0AE" w14:textId="7061D838" w:rsidR="00DC3B2A" w:rsidRPr="004C15F1" w:rsidRDefault="00DC3B2A" w:rsidP="00312856">
            <w:pPr>
              <w:pStyle w:val="Tabletext"/>
              <w:jc w:val="center"/>
              <w:rPr>
                <w:rFonts w:cs="Arial"/>
                <w:b/>
                <w:bCs/>
              </w:rPr>
            </w:pPr>
            <w:r w:rsidRPr="00AD1A96">
              <w:rPr>
                <w:rFonts w:cs="Arial"/>
                <w:b/>
                <w:bCs/>
                <w:color w:val="000000"/>
              </w:rPr>
              <w:t>6.87</w:t>
            </w:r>
          </w:p>
        </w:tc>
        <w:tc>
          <w:tcPr>
            <w:tcW w:w="611" w:type="pct"/>
            <w:shd w:val="clear" w:color="auto" w:fill="FFFFFF" w:themeFill="background1"/>
            <w:vAlign w:val="center"/>
          </w:tcPr>
          <w:p w14:paraId="307F220B" w14:textId="3B4CAF2F" w:rsidR="00DC3B2A" w:rsidRPr="004C15F1" w:rsidRDefault="00DC3B2A" w:rsidP="00312856">
            <w:pPr>
              <w:pStyle w:val="Tabletext"/>
              <w:jc w:val="center"/>
              <w:rPr>
                <w:rFonts w:cs="Arial"/>
                <w:b/>
                <w:bCs/>
              </w:rPr>
            </w:pPr>
            <w:r w:rsidRPr="00AD1A96">
              <w:rPr>
                <w:rFonts w:cs="Arial"/>
                <w:b/>
                <w:bCs/>
                <w:color w:val="000000"/>
              </w:rPr>
              <w:t>6.05</w:t>
            </w:r>
          </w:p>
        </w:tc>
        <w:tc>
          <w:tcPr>
            <w:tcW w:w="611" w:type="pct"/>
            <w:shd w:val="clear" w:color="auto" w:fill="auto"/>
            <w:vAlign w:val="center"/>
          </w:tcPr>
          <w:p w14:paraId="1849C7A1" w14:textId="1FCFFE88" w:rsidR="00DC3B2A" w:rsidRPr="004C15F1" w:rsidRDefault="00DC3B2A" w:rsidP="00312856">
            <w:pPr>
              <w:pStyle w:val="Tabletext"/>
              <w:jc w:val="center"/>
              <w:rPr>
                <w:rFonts w:cs="Arial"/>
                <w:b/>
                <w:bCs/>
              </w:rPr>
            </w:pPr>
            <w:r w:rsidRPr="00AD1A96">
              <w:rPr>
                <w:rFonts w:cs="Arial"/>
                <w:b/>
                <w:bCs/>
                <w:color w:val="000000"/>
              </w:rPr>
              <w:t>4.66</w:t>
            </w:r>
          </w:p>
        </w:tc>
        <w:tc>
          <w:tcPr>
            <w:tcW w:w="611" w:type="pct"/>
            <w:vAlign w:val="center"/>
          </w:tcPr>
          <w:p w14:paraId="617C37D7" w14:textId="6007C8D1" w:rsidR="00DC3B2A" w:rsidRPr="004C15F1" w:rsidRDefault="00DC3B2A" w:rsidP="00312856">
            <w:pPr>
              <w:pStyle w:val="Tabletext"/>
              <w:jc w:val="center"/>
              <w:rPr>
                <w:rFonts w:cs="Arial"/>
                <w:b/>
                <w:bCs/>
              </w:rPr>
            </w:pPr>
            <w:r w:rsidRPr="00AD1A96">
              <w:rPr>
                <w:rFonts w:cs="Arial"/>
                <w:b/>
                <w:bCs/>
                <w:color w:val="000000"/>
              </w:rPr>
              <w:t>4.81</w:t>
            </w:r>
          </w:p>
        </w:tc>
        <w:tc>
          <w:tcPr>
            <w:tcW w:w="611" w:type="pct"/>
            <w:vAlign w:val="center"/>
          </w:tcPr>
          <w:p w14:paraId="7A9F73BB" w14:textId="25267F6A" w:rsidR="00DC3B2A" w:rsidRPr="0092730E" w:rsidRDefault="00E946ED" w:rsidP="0092730E">
            <w:pPr>
              <w:jc w:val="center"/>
              <w:rPr>
                <w:rFonts w:ascii="Arial" w:hAnsi="Arial" w:cs="Arial"/>
                <w:b/>
                <w:sz w:val="21"/>
                <w:szCs w:val="21"/>
                <w:lang w:eastAsia="en-AU"/>
              </w:rPr>
            </w:pPr>
            <w:r w:rsidRPr="0092730E">
              <w:rPr>
                <w:rFonts w:ascii="Arial" w:hAnsi="Arial" w:cs="Arial"/>
                <w:b/>
                <w:sz w:val="21"/>
                <w:szCs w:val="21"/>
              </w:rPr>
              <w:t>5.29</w:t>
            </w:r>
          </w:p>
        </w:tc>
        <w:tc>
          <w:tcPr>
            <w:tcW w:w="610" w:type="pct"/>
            <w:vAlign w:val="center"/>
          </w:tcPr>
          <w:p w14:paraId="75771077" w14:textId="21161094" w:rsidR="00DC3B2A" w:rsidRPr="004C15F1" w:rsidRDefault="00DC3B2A" w:rsidP="00312856">
            <w:pPr>
              <w:pStyle w:val="Tabletext"/>
              <w:jc w:val="center"/>
              <w:rPr>
                <w:rFonts w:cs="Arial"/>
                <w:b/>
                <w:bCs/>
              </w:rPr>
            </w:pPr>
            <w:r w:rsidRPr="00AD1A96">
              <w:rPr>
                <w:rFonts w:cs="Arial"/>
                <w:b/>
                <w:bCs/>
                <w:color w:val="000000"/>
              </w:rPr>
              <w:t>5.</w:t>
            </w:r>
            <w:r w:rsidR="00DA232D">
              <w:rPr>
                <w:rFonts w:cs="Arial"/>
                <w:b/>
                <w:bCs/>
                <w:color w:val="000000"/>
              </w:rPr>
              <w:t>54</w:t>
            </w:r>
          </w:p>
        </w:tc>
      </w:tr>
    </w:tbl>
    <w:p w14:paraId="7F5AF2F7" w14:textId="223122C4" w:rsidR="00C7551A" w:rsidRPr="00BB7DF1" w:rsidRDefault="0099684E" w:rsidP="0099684E">
      <w:pPr>
        <w:pStyle w:val="Tablefigurenote"/>
      </w:pPr>
      <w:r>
        <w:t>Note:</w:t>
      </w:r>
      <w:bookmarkStart w:id="33" w:name="_Hlk83213080"/>
      <w:bookmarkEnd w:id="32"/>
      <w:r w:rsidR="008B4B58">
        <w:t xml:space="preserve"> </w:t>
      </w:r>
      <w:r w:rsidR="00BB7DF1">
        <w:t>T</w:t>
      </w:r>
      <w:r w:rsidR="00C7551A" w:rsidRPr="00BB7DF1">
        <w:t xml:space="preserve">his table </w:t>
      </w:r>
      <w:r w:rsidR="00B13E4B">
        <w:t>corresponds with</w:t>
      </w:r>
      <w:r w:rsidR="00C7551A" w:rsidRPr="00BB7DF1">
        <w:t xml:space="preserve"> the graph </w:t>
      </w:r>
      <w:r w:rsidR="00EB58AA">
        <w:t xml:space="preserve">in Figure </w:t>
      </w:r>
      <w:r w:rsidR="00BC0D9B">
        <w:t>1</w:t>
      </w:r>
      <w:r w:rsidR="00C7551A" w:rsidRPr="00BB7DF1">
        <w:t>. It is included for purposes of accessibility.</w:t>
      </w:r>
      <w:bookmarkEnd w:id="33"/>
    </w:p>
    <w:p w14:paraId="61C933C6" w14:textId="77F934EC" w:rsidR="00450119" w:rsidRDefault="0050235F" w:rsidP="00E92ED4">
      <w:pPr>
        <w:pStyle w:val="Bodyaftertable"/>
      </w:pPr>
      <w:r w:rsidRPr="00E9A183">
        <w:t xml:space="preserve">Of the </w:t>
      </w:r>
      <w:r w:rsidR="00677E77" w:rsidRPr="00773107">
        <w:t>3</w:t>
      </w:r>
      <w:r w:rsidR="002E630D">
        <w:t>77</w:t>
      </w:r>
      <w:r w:rsidR="00677E77" w:rsidRPr="00E9A183">
        <w:t xml:space="preserve"> </w:t>
      </w:r>
      <w:r w:rsidRPr="00E9A183">
        <w:t xml:space="preserve">notified deaths in </w:t>
      </w:r>
      <w:r w:rsidR="37A84D1D" w:rsidRPr="009F708E">
        <w:t>20</w:t>
      </w:r>
      <w:r w:rsidR="3A3A94BA" w:rsidRPr="009F708E">
        <w:t>2</w:t>
      </w:r>
      <w:r w:rsidR="002E630D">
        <w:t>2</w:t>
      </w:r>
      <w:r w:rsidR="37A84D1D" w:rsidRPr="009F708E">
        <w:t>–2</w:t>
      </w:r>
      <w:r w:rsidR="002E630D">
        <w:t>3</w:t>
      </w:r>
      <w:r w:rsidR="0072413B">
        <w:t xml:space="preserve"> (Table </w:t>
      </w:r>
      <w:r w:rsidR="00881351">
        <w:t>5</w:t>
      </w:r>
      <w:r w:rsidR="009F46C1">
        <w:t>)</w:t>
      </w:r>
      <w:r w:rsidR="37A84D1D">
        <w:t xml:space="preserve">, </w:t>
      </w:r>
      <w:r w:rsidR="6728C706">
        <w:t xml:space="preserve">the cause of death has yet to be </w:t>
      </w:r>
      <w:r w:rsidR="00BD519D">
        <w:t xml:space="preserve">determined </w:t>
      </w:r>
      <w:r w:rsidR="6728C706" w:rsidRPr="00773107">
        <w:t xml:space="preserve">in </w:t>
      </w:r>
      <w:r w:rsidR="00677E77">
        <w:t>3</w:t>
      </w:r>
      <w:r w:rsidR="19248548">
        <w:t>1</w:t>
      </w:r>
      <w:r w:rsidR="0094775C">
        <w:t>%</w:t>
      </w:r>
      <w:r w:rsidR="6728C706">
        <w:t xml:space="preserve"> of instances. Of the remainder, suicide and medical causes accounted for nearly equ</w:t>
      </w:r>
      <w:r w:rsidR="2083A1F4">
        <w:t>al proportions (</w:t>
      </w:r>
      <w:r w:rsidR="0059269B">
        <w:t>3</w:t>
      </w:r>
      <w:r w:rsidR="663A6D34">
        <w:t>5</w:t>
      </w:r>
      <w:r w:rsidR="0094775C">
        <w:t>%</w:t>
      </w:r>
      <w:r w:rsidR="45FF2314">
        <w:t xml:space="preserve"> and </w:t>
      </w:r>
      <w:r w:rsidR="00491EF1">
        <w:t>28</w:t>
      </w:r>
      <w:r w:rsidR="0094775C">
        <w:t>%</w:t>
      </w:r>
      <w:r w:rsidR="2083A1F4">
        <w:t xml:space="preserve"> respectively</w:t>
      </w:r>
      <w:r w:rsidR="497604DB">
        <w:t>)</w:t>
      </w:r>
      <w:r w:rsidR="2083A1F4">
        <w:t>.</w:t>
      </w:r>
      <w:r w:rsidR="2083A1F4" w:rsidDel="00FD17F5">
        <w:t xml:space="preserve"> </w:t>
      </w:r>
      <w:r w:rsidR="00766429">
        <w:t xml:space="preserve">Suicide data </w:t>
      </w:r>
      <w:r w:rsidR="004045B3">
        <w:t xml:space="preserve">is </w:t>
      </w:r>
      <w:proofErr w:type="gramStart"/>
      <w:r w:rsidR="004045B3">
        <w:t>cross</w:t>
      </w:r>
      <w:r w:rsidR="00EB58AA">
        <w:t>-</w:t>
      </w:r>
      <w:r w:rsidR="004045B3">
        <w:t>validated</w:t>
      </w:r>
      <w:proofErr w:type="gramEnd"/>
      <w:r w:rsidR="004045B3">
        <w:t xml:space="preserve"> </w:t>
      </w:r>
      <w:r w:rsidR="00655ABE">
        <w:t xml:space="preserve">with data received from the </w:t>
      </w:r>
      <w:r w:rsidR="00D6491A">
        <w:t>C</w:t>
      </w:r>
      <w:r w:rsidR="00655ABE">
        <w:t xml:space="preserve">oroners </w:t>
      </w:r>
      <w:r w:rsidR="00D6491A">
        <w:t>C</w:t>
      </w:r>
      <w:r w:rsidR="00655ABE">
        <w:t>ourt.</w:t>
      </w:r>
      <w:r w:rsidR="00BB3267">
        <w:t xml:space="preserve"> </w:t>
      </w:r>
      <w:r w:rsidR="003750F6">
        <w:t>T</w:t>
      </w:r>
      <w:r w:rsidR="003750F6" w:rsidRPr="003750F6">
        <w:t xml:space="preserve">he </w:t>
      </w:r>
      <w:r w:rsidR="003750F6">
        <w:t>OCP</w:t>
      </w:r>
      <w:r w:rsidR="003750F6" w:rsidRPr="003750F6">
        <w:t xml:space="preserve"> maintains an active interest in ongoing coronial investigations</w:t>
      </w:r>
      <w:r w:rsidR="00BB3267">
        <w:t xml:space="preserve"> relating to reportable deaths</w:t>
      </w:r>
      <w:r w:rsidR="00AF5F17">
        <w:t xml:space="preserve">. It </w:t>
      </w:r>
      <w:r w:rsidR="003750F6" w:rsidRPr="003750F6">
        <w:t>receives and reviews the outcome of these as they arise</w:t>
      </w:r>
      <w:r w:rsidR="2671A67E">
        <w:t xml:space="preserve"> and updates the data set. This</w:t>
      </w:r>
      <w:r w:rsidR="003750F6" w:rsidRPr="003750F6">
        <w:t xml:space="preserve"> may be several years after </w:t>
      </w:r>
      <w:r w:rsidR="00AF5F17">
        <w:t xml:space="preserve">a </w:t>
      </w:r>
      <w:r w:rsidR="003750F6" w:rsidRPr="003750F6">
        <w:t>death</w:t>
      </w:r>
      <w:r w:rsidR="00A72BA1">
        <w:t>.</w:t>
      </w:r>
    </w:p>
    <w:p w14:paraId="65655B5D" w14:textId="6C59659A" w:rsidR="00381B2F" w:rsidRDefault="068C1BAB" w:rsidP="000D0B9B">
      <w:pPr>
        <w:pStyle w:val="Tablecaption"/>
      </w:pPr>
      <w:r>
        <w:t>Table</w:t>
      </w:r>
      <w:r w:rsidR="74DD142C">
        <w:t xml:space="preserve"> </w:t>
      </w:r>
      <w:r w:rsidR="00881351">
        <w:t>5</w:t>
      </w:r>
      <w:r w:rsidR="00381B2F">
        <w:t xml:space="preserve">: Reportable deaths by category, </w:t>
      </w:r>
      <w:r w:rsidR="007B2175">
        <w:t>202</w:t>
      </w:r>
      <w:r w:rsidR="71DA419D">
        <w:t>2</w:t>
      </w:r>
      <w:r w:rsidR="007B2175">
        <w:t>–2</w:t>
      </w:r>
      <w:r w:rsidR="317D2C6E">
        <w:t>3</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95"/>
        <w:gridCol w:w="1465"/>
        <w:gridCol w:w="1465"/>
        <w:gridCol w:w="1465"/>
        <w:gridCol w:w="1465"/>
      </w:tblGrid>
      <w:tr w:rsidR="002F45A7" w:rsidRPr="00934BBD" w14:paraId="6C3A0FBF" w14:textId="77777777" w:rsidTr="00036AD0">
        <w:trPr>
          <w:trHeight w:val="510"/>
          <w:tblHeader/>
        </w:trPr>
        <w:tc>
          <w:tcPr>
            <w:tcW w:w="2595" w:type="dxa"/>
            <w:shd w:val="clear" w:color="auto" w:fill="auto"/>
            <w:hideMark/>
          </w:tcPr>
          <w:p w14:paraId="512CC337" w14:textId="1B0082EF" w:rsidR="00934BBD" w:rsidRPr="00B43935" w:rsidRDefault="00934BBD" w:rsidP="006B3F7E">
            <w:pPr>
              <w:pStyle w:val="Tablecolhead"/>
              <w:rPr>
                <w:lang w:eastAsia="en-AU"/>
              </w:rPr>
            </w:pPr>
            <w:r w:rsidRPr="00BC67FA">
              <w:t>Category</w:t>
            </w:r>
          </w:p>
        </w:tc>
        <w:tc>
          <w:tcPr>
            <w:tcW w:w="1465" w:type="dxa"/>
            <w:shd w:val="clear" w:color="auto" w:fill="auto"/>
            <w:vAlign w:val="center"/>
            <w:hideMark/>
          </w:tcPr>
          <w:p w14:paraId="3D49F63D" w14:textId="1CA83A05" w:rsidR="00934BBD" w:rsidRPr="00B43935" w:rsidRDefault="00C94050" w:rsidP="00312856">
            <w:pPr>
              <w:pStyle w:val="Tablecolhead"/>
              <w:jc w:val="center"/>
              <w:rPr>
                <w:lang w:eastAsia="en-AU"/>
              </w:rPr>
            </w:pPr>
            <w:r w:rsidRPr="00BC67FA">
              <w:t xml:space="preserve">Community </w:t>
            </w:r>
            <w:r w:rsidR="004C15F1">
              <w:t>p</w:t>
            </w:r>
            <w:r w:rsidRPr="00BC67FA">
              <w:t>atient</w:t>
            </w:r>
          </w:p>
        </w:tc>
        <w:tc>
          <w:tcPr>
            <w:tcW w:w="1465" w:type="dxa"/>
            <w:shd w:val="clear" w:color="auto" w:fill="auto"/>
            <w:vAlign w:val="center"/>
            <w:hideMark/>
          </w:tcPr>
          <w:p w14:paraId="59785328" w14:textId="4B12A10A" w:rsidR="00934BBD" w:rsidRPr="00B43935" w:rsidRDefault="00C94050" w:rsidP="00312856">
            <w:pPr>
              <w:pStyle w:val="Tablecolhead"/>
              <w:jc w:val="center"/>
              <w:rPr>
                <w:lang w:eastAsia="en-AU"/>
              </w:rPr>
            </w:pPr>
            <w:r w:rsidRPr="00BC67FA">
              <w:t>Inpatient</w:t>
            </w:r>
          </w:p>
        </w:tc>
        <w:tc>
          <w:tcPr>
            <w:tcW w:w="1465" w:type="dxa"/>
            <w:shd w:val="clear" w:color="auto" w:fill="auto"/>
            <w:vAlign w:val="center"/>
            <w:hideMark/>
          </w:tcPr>
          <w:p w14:paraId="781B0CEE" w14:textId="622B3013" w:rsidR="00934BBD" w:rsidRPr="00B43935" w:rsidRDefault="00934BBD" w:rsidP="00312856">
            <w:pPr>
              <w:pStyle w:val="Tablecolhead"/>
              <w:jc w:val="center"/>
              <w:rPr>
                <w:lang w:eastAsia="en-AU"/>
              </w:rPr>
            </w:pPr>
            <w:r w:rsidRPr="00BC67FA">
              <w:t>Total</w:t>
            </w:r>
          </w:p>
        </w:tc>
        <w:tc>
          <w:tcPr>
            <w:tcW w:w="1465" w:type="dxa"/>
            <w:shd w:val="clear" w:color="auto" w:fill="auto"/>
            <w:vAlign w:val="center"/>
            <w:hideMark/>
          </w:tcPr>
          <w:p w14:paraId="40CBF9C7" w14:textId="0EA6B666" w:rsidR="00934BBD" w:rsidRPr="00B43935" w:rsidRDefault="002171FB" w:rsidP="00312856">
            <w:pPr>
              <w:pStyle w:val="Tablecolhead"/>
              <w:jc w:val="center"/>
              <w:rPr>
                <w:lang w:eastAsia="en-AU"/>
              </w:rPr>
            </w:pPr>
            <w:r w:rsidRPr="00BC67FA">
              <w:t>Proportion</w:t>
            </w:r>
          </w:p>
        </w:tc>
      </w:tr>
      <w:tr w:rsidR="002F45A7" w:rsidRPr="00934BBD" w14:paraId="49896F78" w14:textId="77777777" w:rsidTr="00036AD0">
        <w:trPr>
          <w:trHeight w:val="300"/>
        </w:trPr>
        <w:tc>
          <w:tcPr>
            <w:tcW w:w="2595" w:type="dxa"/>
            <w:shd w:val="clear" w:color="auto" w:fill="auto"/>
            <w:vAlign w:val="bottom"/>
            <w:hideMark/>
          </w:tcPr>
          <w:p w14:paraId="0A7B0508" w14:textId="7E0481E6" w:rsidR="00934BBD" w:rsidRPr="004C15F1" w:rsidRDefault="00C94050" w:rsidP="008B4B58">
            <w:pPr>
              <w:pStyle w:val="Tabletext"/>
              <w:rPr>
                <w:rFonts w:cs="Arial"/>
                <w:lang w:eastAsia="en-AU"/>
              </w:rPr>
            </w:pPr>
            <w:r w:rsidRPr="00036AD0">
              <w:rPr>
                <w:rFonts w:cs="Arial"/>
                <w:color w:val="000000"/>
              </w:rPr>
              <w:t>Accident/misadventure</w:t>
            </w:r>
          </w:p>
        </w:tc>
        <w:tc>
          <w:tcPr>
            <w:tcW w:w="1465" w:type="dxa"/>
            <w:shd w:val="clear" w:color="auto" w:fill="auto"/>
            <w:vAlign w:val="bottom"/>
            <w:hideMark/>
          </w:tcPr>
          <w:p w14:paraId="2C7CB416" w14:textId="55598DB9" w:rsidR="00934BBD" w:rsidRPr="004C15F1" w:rsidRDefault="000F636B" w:rsidP="00312856">
            <w:pPr>
              <w:pStyle w:val="Tabletext"/>
              <w:jc w:val="center"/>
              <w:rPr>
                <w:rFonts w:cs="Arial"/>
                <w:lang w:eastAsia="en-AU"/>
              </w:rPr>
            </w:pPr>
            <w:r>
              <w:rPr>
                <w:rFonts w:cs="Arial"/>
                <w:color w:val="000000"/>
              </w:rPr>
              <w:t>21</w:t>
            </w:r>
          </w:p>
        </w:tc>
        <w:tc>
          <w:tcPr>
            <w:tcW w:w="1465" w:type="dxa"/>
            <w:shd w:val="clear" w:color="auto" w:fill="auto"/>
            <w:vAlign w:val="bottom"/>
            <w:hideMark/>
          </w:tcPr>
          <w:p w14:paraId="471581F7" w14:textId="2D9CDCE2" w:rsidR="00934BBD" w:rsidRPr="004C15F1" w:rsidRDefault="003C3DA0" w:rsidP="00312856">
            <w:pPr>
              <w:pStyle w:val="Tabletext"/>
              <w:jc w:val="center"/>
              <w:rPr>
                <w:rFonts w:cs="Arial"/>
                <w:lang w:eastAsia="en-AU"/>
              </w:rPr>
            </w:pPr>
            <w:r w:rsidRPr="004C15F1">
              <w:rPr>
                <w:rFonts w:cs="Arial"/>
                <w:lang w:eastAsia="en-AU"/>
              </w:rPr>
              <w:t>0</w:t>
            </w:r>
          </w:p>
        </w:tc>
        <w:tc>
          <w:tcPr>
            <w:tcW w:w="1465" w:type="dxa"/>
            <w:shd w:val="clear" w:color="auto" w:fill="auto"/>
            <w:noWrap/>
            <w:vAlign w:val="bottom"/>
            <w:hideMark/>
          </w:tcPr>
          <w:p w14:paraId="1F27AFA2" w14:textId="3C84CEBF" w:rsidR="00934BBD" w:rsidRPr="004C15F1" w:rsidRDefault="009404D9" w:rsidP="00312856">
            <w:pPr>
              <w:pStyle w:val="Tabletext"/>
              <w:jc w:val="center"/>
              <w:rPr>
                <w:rFonts w:cs="Arial"/>
                <w:lang w:eastAsia="en-AU"/>
              </w:rPr>
            </w:pPr>
            <w:r>
              <w:rPr>
                <w:rFonts w:cs="Arial"/>
                <w:color w:val="000000"/>
              </w:rPr>
              <w:t>21</w:t>
            </w:r>
          </w:p>
        </w:tc>
        <w:tc>
          <w:tcPr>
            <w:tcW w:w="1465" w:type="dxa"/>
            <w:shd w:val="clear" w:color="auto" w:fill="auto"/>
            <w:vAlign w:val="bottom"/>
            <w:hideMark/>
          </w:tcPr>
          <w:p w14:paraId="50899797" w14:textId="0D7465D7" w:rsidR="00934BBD" w:rsidRPr="004C15F1" w:rsidRDefault="003D1EA3" w:rsidP="00312856">
            <w:pPr>
              <w:pStyle w:val="Tabletext"/>
              <w:jc w:val="center"/>
              <w:rPr>
                <w:rFonts w:cs="Arial"/>
                <w:lang w:eastAsia="en-AU"/>
              </w:rPr>
            </w:pPr>
            <w:r>
              <w:rPr>
                <w:rFonts w:cs="Arial"/>
                <w:color w:val="000000"/>
              </w:rPr>
              <w:t>6</w:t>
            </w:r>
            <w:r w:rsidR="00667BCD" w:rsidRPr="00036AD0">
              <w:rPr>
                <w:rFonts w:cs="Arial"/>
                <w:color w:val="000000"/>
              </w:rPr>
              <w:t>%</w:t>
            </w:r>
          </w:p>
        </w:tc>
      </w:tr>
      <w:tr w:rsidR="002F45A7" w:rsidRPr="00934BBD" w14:paraId="313C1BA2" w14:textId="77777777" w:rsidTr="00036AD0">
        <w:trPr>
          <w:trHeight w:val="300"/>
        </w:trPr>
        <w:tc>
          <w:tcPr>
            <w:tcW w:w="2595" w:type="dxa"/>
            <w:shd w:val="clear" w:color="auto" w:fill="auto"/>
            <w:vAlign w:val="bottom"/>
            <w:hideMark/>
          </w:tcPr>
          <w:p w14:paraId="388632D9" w14:textId="78DA1BB5" w:rsidR="00934BBD" w:rsidRPr="004C15F1" w:rsidRDefault="00C94050" w:rsidP="008B4B58">
            <w:pPr>
              <w:pStyle w:val="Tabletext"/>
              <w:rPr>
                <w:rFonts w:cs="Arial"/>
                <w:lang w:eastAsia="en-AU"/>
              </w:rPr>
            </w:pPr>
            <w:r w:rsidRPr="00036AD0">
              <w:rPr>
                <w:rFonts w:cs="Arial"/>
                <w:color w:val="000000"/>
              </w:rPr>
              <w:t>Homicide</w:t>
            </w:r>
          </w:p>
        </w:tc>
        <w:tc>
          <w:tcPr>
            <w:tcW w:w="1465" w:type="dxa"/>
            <w:shd w:val="clear" w:color="auto" w:fill="auto"/>
            <w:vAlign w:val="bottom"/>
            <w:hideMark/>
          </w:tcPr>
          <w:p w14:paraId="0F598A06" w14:textId="6A34AB4A" w:rsidR="00934BBD" w:rsidRPr="004C15F1" w:rsidRDefault="00C94050" w:rsidP="00312856">
            <w:pPr>
              <w:pStyle w:val="Tabletext"/>
              <w:jc w:val="center"/>
              <w:rPr>
                <w:rFonts w:cs="Arial"/>
                <w:lang w:eastAsia="en-AU"/>
              </w:rPr>
            </w:pPr>
            <w:r w:rsidRPr="00036AD0" w:rsidDel="00130418">
              <w:rPr>
                <w:rFonts w:cs="Arial"/>
                <w:color w:val="000000"/>
              </w:rPr>
              <w:t>2</w:t>
            </w:r>
          </w:p>
        </w:tc>
        <w:tc>
          <w:tcPr>
            <w:tcW w:w="1465" w:type="dxa"/>
            <w:shd w:val="clear" w:color="auto" w:fill="auto"/>
            <w:vAlign w:val="bottom"/>
            <w:hideMark/>
          </w:tcPr>
          <w:p w14:paraId="7910BDD3" w14:textId="75D28C56" w:rsidR="00934BBD" w:rsidRPr="004C15F1" w:rsidRDefault="003C3DA0" w:rsidP="00312856">
            <w:pPr>
              <w:pStyle w:val="Tabletext"/>
              <w:jc w:val="center"/>
              <w:rPr>
                <w:rFonts w:cs="Arial"/>
                <w:lang w:eastAsia="en-AU"/>
              </w:rPr>
            </w:pPr>
            <w:r w:rsidRPr="004C15F1">
              <w:rPr>
                <w:rFonts w:cs="Arial"/>
                <w:lang w:eastAsia="en-AU"/>
              </w:rPr>
              <w:t>0</w:t>
            </w:r>
          </w:p>
        </w:tc>
        <w:tc>
          <w:tcPr>
            <w:tcW w:w="1465" w:type="dxa"/>
            <w:shd w:val="clear" w:color="auto" w:fill="auto"/>
            <w:noWrap/>
            <w:vAlign w:val="bottom"/>
            <w:hideMark/>
          </w:tcPr>
          <w:p w14:paraId="124F49F5" w14:textId="18BFFF56" w:rsidR="00934BBD" w:rsidRPr="004C15F1" w:rsidRDefault="00C94050" w:rsidP="00312856">
            <w:pPr>
              <w:pStyle w:val="Tabletext"/>
              <w:jc w:val="center"/>
              <w:rPr>
                <w:rFonts w:cs="Arial"/>
                <w:lang w:eastAsia="en-AU"/>
              </w:rPr>
            </w:pPr>
            <w:r w:rsidRPr="00036AD0">
              <w:rPr>
                <w:rFonts w:cs="Arial"/>
                <w:color w:val="000000"/>
              </w:rPr>
              <w:t>2</w:t>
            </w:r>
          </w:p>
        </w:tc>
        <w:tc>
          <w:tcPr>
            <w:tcW w:w="1465" w:type="dxa"/>
            <w:shd w:val="clear" w:color="auto" w:fill="auto"/>
            <w:vAlign w:val="bottom"/>
            <w:hideMark/>
          </w:tcPr>
          <w:p w14:paraId="06D4EAB0" w14:textId="30B6E2A0" w:rsidR="00934BBD" w:rsidRPr="004C15F1" w:rsidRDefault="00C94050" w:rsidP="00312856">
            <w:pPr>
              <w:pStyle w:val="Tabletext"/>
              <w:jc w:val="center"/>
              <w:rPr>
                <w:rFonts w:cs="Arial"/>
                <w:lang w:eastAsia="en-AU"/>
              </w:rPr>
            </w:pPr>
            <w:r w:rsidRPr="00036AD0">
              <w:rPr>
                <w:rFonts w:cs="Arial"/>
                <w:color w:val="000000"/>
              </w:rPr>
              <w:t>1</w:t>
            </w:r>
            <w:r w:rsidR="00667BCD" w:rsidRPr="00036AD0">
              <w:rPr>
                <w:rFonts w:cs="Arial"/>
                <w:color w:val="000000"/>
              </w:rPr>
              <w:t>%</w:t>
            </w:r>
          </w:p>
        </w:tc>
      </w:tr>
      <w:tr w:rsidR="002F45A7" w:rsidRPr="00934BBD" w14:paraId="4BE94C3C" w14:textId="77777777" w:rsidTr="00036AD0">
        <w:trPr>
          <w:trHeight w:val="300"/>
        </w:trPr>
        <w:tc>
          <w:tcPr>
            <w:tcW w:w="2595" w:type="dxa"/>
            <w:shd w:val="clear" w:color="auto" w:fill="auto"/>
            <w:vAlign w:val="bottom"/>
            <w:hideMark/>
          </w:tcPr>
          <w:p w14:paraId="69FCEA72" w14:textId="7CC6983F" w:rsidR="00934BBD" w:rsidRPr="004C15F1" w:rsidRDefault="00C94050" w:rsidP="008B4B58">
            <w:pPr>
              <w:pStyle w:val="Tabletext"/>
              <w:rPr>
                <w:rFonts w:cs="Arial"/>
                <w:lang w:eastAsia="en-AU"/>
              </w:rPr>
            </w:pPr>
            <w:r w:rsidRPr="00036AD0">
              <w:rPr>
                <w:rFonts w:cs="Arial"/>
                <w:color w:val="000000"/>
              </w:rPr>
              <w:t xml:space="preserve">Medical </w:t>
            </w:r>
            <w:r w:rsidR="004C15F1">
              <w:rPr>
                <w:rFonts w:cs="Arial"/>
                <w:color w:val="000000"/>
              </w:rPr>
              <w:t>c</w:t>
            </w:r>
            <w:r w:rsidRPr="00036AD0">
              <w:rPr>
                <w:rFonts w:cs="Arial"/>
                <w:color w:val="000000"/>
              </w:rPr>
              <w:t>ondition</w:t>
            </w:r>
          </w:p>
        </w:tc>
        <w:tc>
          <w:tcPr>
            <w:tcW w:w="1465" w:type="dxa"/>
            <w:shd w:val="clear" w:color="auto" w:fill="auto"/>
            <w:vAlign w:val="bottom"/>
            <w:hideMark/>
          </w:tcPr>
          <w:p w14:paraId="26BAF407" w14:textId="1E2D0125" w:rsidR="00934BBD" w:rsidRPr="004C15F1" w:rsidRDefault="00597DDD" w:rsidP="00312856">
            <w:pPr>
              <w:pStyle w:val="Tabletext"/>
              <w:jc w:val="center"/>
              <w:rPr>
                <w:rFonts w:cs="Arial"/>
                <w:lang w:eastAsia="en-AU"/>
              </w:rPr>
            </w:pPr>
            <w:r>
              <w:rPr>
                <w:rFonts w:cs="Arial"/>
                <w:color w:val="000000"/>
              </w:rPr>
              <w:t>97</w:t>
            </w:r>
          </w:p>
        </w:tc>
        <w:tc>
          <w:tcPr>
            <w:tcW w:w="1465" w:type="dxa"/>
            <w:shd w:val="clear" w:color="auto" w:fill="auto"/>
            <w:vAlign w:val="bottom"/>
            <w:hideMark/>
          </w:tcPr>
          <w:p w14:paraId="6D30777F" w14:textId="4F16CF8A" w:rsidR="00934BBD" w:rsidRPr="004C15F1" w:rsidRDefault="001A576D" w:rsidP="00312856">
            <w:pPr>
              <w:pStyle w:val="Tabletext"/>
              <w:jc w:val="center"/>
              <w:rPr>
                <w:rFonts w:cs="Arial"/>
                <w:lang w:eastAsia="en-AU"/>
              </w:rPr>
            </w:pPr>
            <w:r>
              <w:rPr>
                <w:rFonts w:cs="Arial"/>
                <w:color w:val="000000"/>
              </w:rPr>
              <w:t>9</w:t>
            </w:r>
          </w:p>
        </w:tc>
        <w:tc>
          <w:tcPr>
            <w:tcW w:w="1465" w:type="dxa"/>
            <w:shd w:val="clear" w:color="auto" w:fill="auto"/>
            <w:noWrap/>
            <w:vAlign w:val="bottom"/>
            <w:hideMark/>
          </w:tcPr>
          <w:p w14:paraId="776543DC" w14:textId="62F1809C" w:rsidR="00934BBD" w:rsidRPr="004C15F1" w:rsidRDefault="00076CA0" w:rsidP="00312856">
            <w:pPr>
              <w:pStyle w:val="Tabletext"/>
              <w:jc w:val="center"/>
              <w:rPr>
                <w:rFonts w:cs="Arial"/>
                <w:lang w:eastAsia="en-AU"/>
              </w:rPr>
            </w:pPr>
            <w:r>
              <w:rPr>
                <w:rFonts w:cs="Arial"/>
                <w:color w:val="000000"/>
              </w:rPr>
              <w:t>106</w:t>
            </w:r>
          </w:p>
        </w:tc>
        <w:tc>
          <w:tcPr>
            <w:tcW w:w="1465" w:type="dxa"/>
            <w:shd w:val="clear" w:color="auto" w:fill="auto"/>
            <w:vAlign w:val="bottom"/>
            <w:hideMark/>
          </w:tcPr>
          <w:p w14:paraId="02E95187" w14:textId="0B86E2EB" w:rsidR="00934BBD" w:rsidRPr="004C15F1" w:rsidRDefault="00C94050" w:rsidP="00312856">
            <w:pPr>
              <w:pStyle w:val="Tabletext"/>
              <w:jc w:val="center"/>
              <w:rPr>
                <w:rFonts w:cs="Arial"/>
                <w:lang w:eastAsia="en-AU"/>
              </w:rPr>
            </w:pPr>
            <w:r w:rsidRPr="00036AD0">
              <w:rPr>
                <w:rFonts w:cs="Arial"/>
                <w:color w:val="000000"/>
              </w:rPr>
              <w:t>28</w:t>
            </w:r>
            <w:r w:rsidR="00667BCD" w:rsidRPr="00036AD0">
              <w:rPr>
                <w:rFonts w:cs="Arial"/>
                <w:color w:val="000000"/>
              </w:rPr>
              <w:t>%</w:t>
            </w:r>
          </w:p>
        </w:tc>
      </w:tr>
      <w:tr w:rsidR="002F45A7" w:rsidRPr="00934BBD" w14:paraId="166B2F02" w14:textId="77777777" w:rsidTr="00036AD0">
        <w:trPr>
          <w:trHeight w:val="300"/>
        </w:trPr>
        <w:tc>
          <w:tcPr>
            <w:tcW w:w="2595" w:type="dxa"/>
            <w:shd w:val="clear" w:color="auto" w:fill="auto"/>
            <w:vAlign w:val="bottom"/>
            <w:hideMark/>
          </w:tcPr>
          <w:p w14:paraId="501E695F" w14:textId="43A73A2C" w:rsidR="00934BBD" w:rsidRPr="004C15F1" w:rsidRDefault="00C94050" w:rsidP="008B4B58">
            <w:pPr>
              <w:pStyle w:val="Tabletext"/>
              <w:rPr>
                <w:rFonts w:cs="Arial"/>
                <w:lang w:eastAsia="en-AU"/>
              </w:rPr>
            </w:pPr>
            <w:r w:rsidRPr="00036AD0">
              <w:rPr>
                <w:rFonts w:cs="Arial"/>
                <w:color w:val="000000"/>
              </w:rPr>
              <w:t xml:space="preserve">Not </w:t>
            </w:r>
            <w:r w:rsidR="004C15F1">
              <w:rPr>
                <w:rFonts w:cs="Arial"/>
                <w:color w:val="000000"/>
              </w:rPr>
              <w:t>y</w:t>
            </w:r>
            <w:r w:rsidRPr="00036AD0">
              <w:rPr>
                <w:rFonts w:cs="Arial"/>
                <w:color w:val="000000"/>
              </w:rPr>
              <w:t xml:space="preserve">et </w:t>
            </w:r>
            <w:r w:rsidR="004C15F1">
              <w:rPr>
                <w:rFonts w:cs="Arial"/>
                <w:color w:val="000000"/>
              </w:rPr>
              <w:t>k</w:t>
            </w:r>
            <w:r w:rsidRPr="00036AD0">
              <w:rPr>
                <w:rFonts w:cs="Arial"/>
                <w:color w:val="000000"/>
              </w:rPr>
              <w:t>nown</w:t>
            </w:r>
          </w:p>
        </w:tc>
        <w:tc>
          <w:tcPr>
            <w:tcW w:w="1465" w:type="dxa"/>
            <w:shd w:val="clear" w:color="auto" w:fill="auto"/>
            <w:vAlign w:val="bottom"/>
            <w:hideMark/>
          </w:tcPr>
          <w:p w14:paraId="39BD4E9C" w14:textId="4EA54E3D" w:rsidR="00934BBD" w:rsidRPr="004C15F1" w:rsidRDefault="00F97A68" w:rsidP="00312856">
            <w:pPr>
              <w:pStyle w:val="Tabletext"/>
              <w:jc w:val="center"/>
              <w:rPr>
                <w:rFonts w:cs="Arial"/>
                <w:lang w:eastAsia="en-AU"/>
              </w:rPr>
            </w:pPr>
            <w:r w:rsidRPr="00036AD0" w:rsidDel="00CA4103">
              <w:rPr>
                <w:rFonts w:cs="Arial"/>
                <w:color w:val="000000"/>
              </w:rPr>
              <w:t>111</w:t>
            </w:r>
          </w:p>
        </w:tc>
        <w:tc>
          <w:tcPr>
            <w:tcW w:w="1465" w:type="dxa"/>
            <w:shd w:val="clear" w:color="auto" w:fill="auto"/>
            <w:vAlign w:val="bottom"/>
            <w:hideMark/>
          </w:tcPr>
          <w:p w14:paraId="2E7D7C22" w14:textId="2B0E87E8" w:rsidR="00934BBD" w:rsidRPr="004C15F1" w:rsidRDefault="004039D3" w:rsidP="00312856">
            <w:pPr>
              <w:pStyle w:val="Tabletext"/>
              <w:jc w:val="center"/>
              <w:rPr>
                <w:rFonts w:cs="Arial"/>
                <w:lang w:eastAsia="en-AU"/>
              </w:rPr>
            </w:pPr>
            <w:r>
              <w:rPr>
                <w:rFonts w:cs="Arial"/>
                <w:color w:val="000000"/>
              </w:rPr>
              <w:t>6</w:t>
            </w:r>
          </w:p>
        </w:tc>
        <w:tc>
          <w:tcPr>
            <w:tcW w:w="1465" w:type="dxa"/>
            <w:shd w:val="clear" w:color="auto" w:fill="auto"/>
            <w:noWrap/>
            <w:vAlign w:val="bottom"/>
            <w:hideMark/>
          </w:tcPr>
          <w:p w14:paraId="1F0FE671" w14:textId="0FF9BC39" w:rsidR="00934BBD" w:rsidRPr="004C15F1" w:rsidRDefault="00F97A68" w:rsidP="00312856">
            <w:pPr>
              <w:pStyle w:val="Tabletext"/>
              <w:jc w:val="center"/>
              <w:rPr>
                <w:rFonts w:cs="Arial"/>
                <w:lang w:eastAsia="en-AU"/>
              </w:rPr>
            </w:pPr>
            <w:r w:rsidRPr="00036AD0">
              <w:rPr>
                <w:rFonts w:cs="Arial"/>
                <w:color w:val="000000"/>
              </w:rPr>
              <w:t>11</w:t>
            </w:r>
            <w:r w:rsidR="00F84979">
              <w:rPr>
                <w:rFonts w:cs="Arial"/>
                <w:color w:val="000000"/>
              </w:rPr>
              <w:t>7</w:t>
            </w:r>
          </w:p>
        </w:tc>
        <w:tc>
          <w:tcPr>
            <w:tcW w:w="1465" w:type="dxa"/>
            <w:shd w:val="clear" w:color="auto" w:fill="auto"/>
            <w:vAlign w:val="bottom"/>
            <w:hideMark/>
          </w:tcPr>
          <w:p w14:paraId="40083878" w14:textId="53361DD0" w:rsidR="00934BBD" w:rsidRPr="004C15F1" w:rsidRDefault="00F12E73" w:rsidP="00312856">
            <w:pPr>
              <w:pStyle w:val="Tabletext"/>
              <w:jc w:val="center"/>
              <w:rPr>
                <w:rFonts w:cs="Arial"/>
                <w:lang w:eastAsia="en-AU"/>
              </w:rPr>
            </w:pPr>
            <w:r>
              <w:rPr>
                <w:rFonts w:cs="Arial"/>
                <w:color w:val="000000"/>
              </w:rPr>
              <w:t>31</w:t>
            </w:r>
            <w:r w:rsidR="00667BCD" w:rsidRPr="00036AD0">
              <w:rPr>
                <w:rFonts w:cs="Arial"/>
                <w:color w:val="000000"/>
              </w:rPr>
              <w:t>%</w:t>
            </w:r>
          </w:p>
        </w:tc>
      </w:tr>
      <w:tr w:rsidR="002F45A7" w:rsidRPr="00934BBD" w14:paraId="18936B55" w14:textId="77777777" w:rsidTr="00036AD0">
        <w:trPr>
          <w:trHeight w:val="300"/>
        </w:trPr>
        <w:tc>
          <w:tcPr>
            <w:tcW w:w="2595" w:type="dxa"/>
            <w:shd w:val="clear" w:color="auto" w:fill="auto"/>
            <w:vAlign w:val="bottom"/>
            <w:hideMark/>
          </w:tcPr>
          <w:p w14:paraId="28F72A48" w14:textId="7F32C781" w:rsidR="00934BBD" w:rsidRPr="004C15F1" w:rsidRDefault="00C94050" w:rsidP="008B4B58">
            <w:pPr>
              <w:pStyle w:val="Tabletext"/>
              <w:rPr>
                <w:rFonts w:cs="Arial"/>
                <w:lang w:eastAsia="en-AU"/>
              </w:rPr>
            </w:pPr>
            <w:r w:rsidRPr="00036AD0">
              <w:rPr>
                <w:rFonts w:cs="Arial"/>
                <w:color w:val="000000"/>
              </w:rPr>
              <w:t>Suicide</w:t>
            </w:r>
          </w:p>
        </w:tc>
        <w:tc>
          <w:tcPr>
            <w:tcW w:w="1465" w:type="dxa"/>
            <w:shd w:val="clear" w:color="auto" w:fill="auto"/>
            <w:vAlign w:val="bottom"/>
            <w:hideMark/>
          </w:tcPr>
          <w:p w14:paraId="2D1DDBBB" w14:textId="5E68F173" w:rsidR="00934BBD" w:rsidRPr="004C15F1" w:rsidRDefault="00397272" w:rsidP="00312856">
            <w:pPr>
              <w:pStyle w:val="Tabletext"/>
              <w:jc w:val="center"/>
              <w:rPr>
                <w:rFonts w:cs="Arial"/>
                <w:lang w:eastAsia="en-AU"/>
              </w:rPr>
            </w:pPr>
            <w:r>
              <w:rPr>
                <w:rFonts w:cs="Arial"/>
                <w:color w:val="000000"/>
              </w:rPr>
              <w:t>12</w:t>
            </w:r>
            <w:r w:rsidR="00F10F4C">
              <w:rPr>
                <w:rFonts w:cs="Arial"/>
                <w:color w:val="000000"/>
              </w:rPr>
              <w:t>7</w:t>
            </w:r>
          </w:p>
        </w:tc>
        <w:tc>
          <w:tcPr>
            <w:tcW w:w="1465" w:type="dxa"/>
            <w:shd w:val="clear" w:color="auto" w:fill="auto"/>
            <w:vAlign w:val="bottom"/>
            <w:hideMark/>
          </w:tcPr>
          <w:p w14:paraId="6D836B06" w14:textId="6D17D17C" w:rsidR="00934BBD" w:rsidRPr="004C15F1" w:rsidRDefault="00BA1EB5" w:rsidP="00312856">
            <w:pPr>
              <w:pStyle w:val="Tabletext"/>
              <w:jc w:val="center"/>
              <w:rPr>
                <w:rFonts w:cs="Arial"/>
                <w:lang w:eastAsia="en-AU"/>
              </w:rPr>
            </w:pPr>
            <w:r>
              <w:rPr>
                <w:rFonts w:cs="Arial"/>
                <w:color w:val="000000"/>
              </w:rPr>
              <w:t>4</w:t>
            </w:r>
          </w:p>
        </w:tc>
        <w:tc>
          <w:tcPr>
            <w:tcW w:w="1465" w:type="dxa"/>
            <w:shd w:val="clear" w:color="auto" w:fill="auto"/>
            <w:noWrap/>
            <w:vAlign w:val="bottom"/>
            <w:hideMark/>
          </w:tcPr>
          <w:p w14:paraId="65ADBA11" w14:textId="435F4347" w:rsidR="00934BBD" w:rsidRPr="004C15F1" w:rsidRDefault="00C30F32" w:rsidP="00312856">
            <w:pPr>
              <w:pStyle w:val="Tabletext"/>
              <w:jc w:val="center"/>
              <w:rPr>
                <w:rFonts w:cs="Arial"/>
                <w:lang w:eastAsia="en-AU"/>
              </w:rPr>
            </w:pPr>
            <w:r>
              <w:rPr>
                <w:rFonts w:cs="Arial"/>
                <w:color w:val="000000"/>
              </w:rPr>
              <w:t>13</w:t>
            </w:r>
            <w:r w:rsidR="003E42BC">
              <w:rPr>
                <w:rFonts w:cs="Arial"/>
                <w:color w:val="000000"/>
              </w:rPr>
              <w:t>1</w:t>
            </w:r>
          </w:p>
        </w:tc>
        <w:tc>
          <w:tcPr>
            <w:tcW w:w="1465" w:type="dxa"/>
            <w:shd w:val="clear" w:color="auto" w:fill="auto"/>
            <w:vAlign w:val="bottom"/>
            <w:hideMark/>
          </w:tcPr>
          <w:p w14:paraId="54C805CD" w14:textId="58A17AE4" w:rsidR="00934BBD" w:rsidRPr="004C15F1" w:rsidRDefault="006F6850" w:rsidP="00312856">
            <w:pPr>
              <w:pStyle w:val="Tabletext"/>
              <w:jc w:val="center"/>
              <w:rPr>
                <w:rFonts w:cs="Arial"/>
                <w:lang w:eastAsia="en-AU"/>
              </w:rPr>
            </w:pPr>
            <w:r>
              <w:rPr>
                <w:rFonts w:cs="Arial"/>
                <w:color w:val="000000"/>
              </w:rPr>
              <w:t>35</w:t>
            </w:r>
            <w:r w:rsidR="00667BCD" w:rsidRPr="00036AD0">
              <w:rPr>
                <w:rFonts w:cs="Arial"/>
                <w:color w:val="000000"/>
              </w:rPr>
              <w:t>%</w:t>
            </w:r>
          </w:p>
        </w:tc>
      </w:tr>
      <w:tr w:rsidR="002F45A7" w:rsidRPr="00934BBD" w14:paraId="1D2ACB54" w14:textId="77777777" w:rsidTr="00036AD0">
        <w:trPr>
          <w:trHeight w:val="315"/>
        </w:trPr>
        <w:tc>
          <w:tcPr>
            <w:tcW w:w="2595" w:type="dxa"/>
            <w:shd w:val="clear" w:color="auto" w:fill="auto"/>
            <w:vAlign w:val="bottom"/>
            <w:hideMark/>
          </w:tcPr>
          <w:p w14:paraId="6A8957E5" w14:textId="016F913D" w:rsidR="00934BBD" w:rsidRPr="004C15F1" w:rsidRDefault="00F97A68" w:rsidP="008B4B58">
            <w:pPr>
              <w:pStyle w:val="Tabletext"/>
              <w:rPr>
                <w:rFonts w:cs="Arial"/>
                <w:b/>
                <w:bCs/>
                <w:lang w:eastAsia="en-AU"/>
              </w:rPr>
            </w:pPr>
            <w:r w:rsidRPr="00036AD0">
              <w:rPr>
                <w:rFonts w:cs="Arial"/>
                <w:b/>
                <w:bCs/>
                <w:color w:val="000000"/>
              </w:rPr>
              <w:t>Total</w:t>
            </w:r>
          </w:p>
        </w:tc>
        <w:tc>
          <w:tcPr>
            <w:tcW w:w="1465" w:type="dxa"/>
            <w:shd w:val="clear" w:color="auto" w:fill="auto"/>
            <w:noWrap/>
            <w:vAlign w:val="bottom"/>
            <w:hideMark/>
          </w:tcPr>
          <w:p w14:paraId="31FDD8FD" w14:textId="76186E1D" w:rsidR="00934BBD" w:rsidRPr="004C15F1" w:rsidRDefault="00397272" w:rsidP="00312856">
            <w:pPr>
              <w:pStyle w:val="Tabletext"/>
              <w:jc w:val="center"/>
              <w:rPr>
                <w:rFonts w:cs="Arial"/>
                <w:b/>
                <w:bCs/>
                <w:lang w:eastAsia="en-AU"/>
              </w:rPr>
            </w:pPr>
            <w:r>
              <w:rPr>
                <w:rFonts w:cs="Arial"/>
                <w:b/>
                <w:bCs/>
                <w:color w:val="000000"/>
              </w:rPr>
              <w:t>35</w:t>
            </w:r>
            <w:r w:rsidR="00A668AE">
              <w:rPr>
                <w:rFonts w:cs="Arial"/>
                <w:b/>
                <w:bCs/>
                <w:color w:val="000000"/>
              </w:rPr>
              <w:t>8</w:t>
            </w:r>
          </w:p>
        </w:tc>
        <w:tc>
          <w:tcPr>
            <w:tcW w:w="1465" w:type="dxa"/>
            <w:shd w:val="clear" w:color="auto" w:fill="auto"/>
            <w:noWrap/>
            <w:vAlign w:val="bottom"/>
            <w:hideMark/>
          </w:tcPr>
          <w:p w14:paraId="727A31DB" w14:textId="2424692E" w:rsidR="00934BBD" w:rsidRPr="004C15F1" w:rsidRDefault="00F97A68" w:rsidP="00312856">
            <w:pPr>
              <w:pStyle w:val="Tabletext"/>
              <w:jc w:val="center"/>
              <w:rPr>
                <w:rFonts w:cs="Arial"/>
                <w:b/>
                <w:bCs/>
                <w:lang w:eastAsia="en-AU"/>
              </w:rPr>
            </w:pPr>
            <w:r w:rsidRPr="00036AD0">
              <w:rPr>
                <w:rFonts w:cs="Arial"/>
                <w:b/>
                <w:bCs/>
                <w:color w:val="000000"/>
              </w:rPr>
              <w:t>1</w:t>
            </w:r>
            <w:r w:rsidR="00F22AA4">
              <w:rPr>
                <w:rFonts w:cs="Arial"/>
                <w:b/>
                <w:bCs/>
                <w:color w:val="000000"/>
              </w:rPr>
              <w:t>9</w:t>
            </w:r>
          </w:p>
        </w:tc>
        <w:tc>
          <w:tcPr>
            <w:tcW w:w="1465" w:type="dxa"/>
            <w:shd w:val="clear" w:color="auto" w:fill="auto"/>
            <w:noWrap/>
            <w:vAlign w:val="bottom"/>
            <w:hideMark/>
          </w:tcPr>
          <w:p w14:paraId="54D7977E" w14:textId="0B85D81F" w:rsidR="00934BBD" w:rsidRPr="004C15F1" w:rsidRDefault="00F84979" w:rsidP="00312856">
            <w:pPr>
              <w:pStyle w:val="Tabletext"/>
              <w:jc w:val="center"/>
              <w:rPr>
                <w:rFonts w:cs="Arial"/>
                <w:b/>
                <w:bCs/>
                <w:lang w:eastAsia="en-AU"/>
              </w:rPr>
            </w:pPr>
            <w:r>
              <w:rPr>
                <w:rFonts w:cs="Arial"/>
                <w:b/>
                <w:bCs/>
                <w:color w:val="000000"/>
              </w:rPr>
              <w:t>377</w:t>
            </w:r>
          </w:p>
        </w:tc>
        <w:tc>
          <w:tcPr>
            <w:tcW w:w="1465" w:type="dxa"/>
            <w:shd w:val="clear" w:color="auto" w:fill="auto"/>
            <w:vAlign w:val="bottom"/>
            <w:hideMark/>
          </w:tcPr>
          <w:p w14:paraId="6DDB9D34" w14:textId="3059BC5B" w:rsidR="00934BBD" w:rsidRPr="004C15F1" w:rsidRDefault="00F97A68" w:rsidP="00312856">
            <w:pPr>
              <w:pStyle w:val="Tabletext"/>
              <w:jc w:val="center"/>
              <w:rPr>
                <w:rFonts w:cs="Arial"/>
                <w:b/>
                <w:bCs/>
                <w:lang w:eastAsia="en-AU"/>
              </w:rPr>
            </w:pPr>
            <w:r w:rsidRPr="00036AD0">
              <w:rPr>
                <w:rFonts w:cs="Arial"/>
                <w:b/>
                <w:bCs/>
                <w:color w:val="000000"/>
              </w:rPr>
              <w:t>100</w:t>
            </w:r>
            <w:r w:rsidR="00667BCD" w:rsidRPr="00036AD0">
              <w:rPr>
                <w:rFonts w:cs="Arial"/>
                <w:b/>
                <w:color w:val="000000"/>
              </w:rPr>
              <w:t>%</w:t>
            </w:r>
          </w:p>
        </w:tc>
      </w:tr>
    </w:tbl>
    <w:p w14:paraId="3B928FEB" w14:textId="4CF10F84" w:rsidR="002022A1" w:rsidRDefault="00E8354D" w:rsidP="00CD2F0F">
      <w:pPr>
        <w:pStyle w:val="Tablefigurenote"/>
      </w:pPr>
      <w:r>
        <w:t>Notes:</w:t>
      </w:r>
      <w:r w:rsidR="00CD2F0F">
        <w:t xml:space="preserve"> </w:t>
      </w:r>
      <w:r w:rsidR="004D4154">
        <w:t>‘</w:t>
      </w:r>
      <w:r w:rsidR="39073E04" w:rsidRPr="00643556">
        <w:t>Not yet known</w:t>
      </w:r>
      <w:r w:rsidR="004D4154">
        <w:t>’</w:t>
      </w:r>
      <w:r w:rsidR="39073E04" w:rsidRPr="00643556">
        <w:t xml:space="preserve"> figures relate to deaths </w:t>
      </w:r>
      <w:r w:rsidR="00EB58AA">
        <w:t>that</w:t>
      </w:r>
      <w:r w:rsidR="00EB58AA" w:rsidRPr="00643556">
        <w:t xml:space="preserve"> </w:t>
      </w:r>
      <w:r w:rsidR="39073E04" w:rsidRPr="00643556">
        <w:t xml:space="preserve">are under investigation by the Coroner and not yet determined. Some of these investigations may result in a finding of </w:t>
      </w:r>
      <w:r w:rsidR="009E6ADE">
        <w:t>‘</w:t>
      </w:r>
      <w:r w:rsidR="39073E04" w:rsidRPr="00643556">
        <w:t>undetermined</w:t>
      </w:r>
      <w:r w:rsidR="009E6ADE">
        <w:t>’</w:t>
      </w:r>
      <w:r w:rsidR="39073E04" w:rsidRPr="00643556">
        <w:t>.</w:t>
      </w:r>
    </w:p>
    <w:p w14:paraId="6521B5EF" w14:textId="203FBEF6" w:rsidR="00A36039" w:rsidRPr="00643556" w:rsidRDefault="00A36039" w:rsidP="00223282">
      <w:pPr>
        <w:pStyle w:val="Tablefigurenote"/>
        <w:spacing w:line="220" w:lineRule="exact"/>
      </w:pPr>
      <w:r w:rsidRPr="00E46CDA">
        <w:lastRenderedPageBreak/>
        <w:t xml:space="preserve">Out of </w:t>
      </w:r>
      <w:r w:rsidR="00DA27D1" w:rsidRPr="00E46CDA">
        <w:t>377</w:t>
      </w:r>
      <w:r w:rsidR="00127CAF" w:rsidRPr="00E46CDA">
        <w:t xml:space="preserve"> notified </w:t>
      </w:r>
      <w:r w:rsidR="00444EF4" w:rsidRPr="00E46CDA">
        <w:t>deaths</w:t>
      </w:r>
      <w:r w:rsidR="004D3E5B" w:rsidRPr="00E46CDA">
        <w:t xml:space="preserve">, </w:t>
      </w:r>
      <w:r w:rsidR="00DA27D1" w:rsidRPr="00E46CDA">
        <w:t>seven</w:t>
      </w:r>
      <w:r w:rsidR="004D3E5B" w:rsidRPr="00E46CDA">
        <w:t xml:space="preserve"> </w:t>
      </w:r>
      <w:r w:rsidR="06868341" w:rsidRPr="00E46CDA">
        <w:t xml:space="preserve">were deemed </w:t>
      </w:r>
      <w:r w:rsidR="004D3E5B" w:rsidRPr="00E46CDA">
        <w:t>out of scope</w:t>
      </w:r>
      <w:r w:rsidR="7436F16D" w:rsidRPr="00E46CDA">
        <w:t>.</w:t>
      </w:r>
      <w:r w:rsidR="004D3E5B">
        <w:t xml:space="preserve"> </w:t>
      </w:r>
      <w:r w:rsidR="62C6CC51">
        <w:t>The</w:t>
      </w:r>
      <w:r w:rsidR="00735992">
        <w:t>se</w:t>
      </w:r>
      <w:r w:rsidR="00A56803">
        <w:t xml:space="preserve"> encompass deaths in private hospitals and community s</w:t>
      </w:r>
      <w:r w:rsidR="005E5F59">
        <w:t>upport services</w:t>
      </w:r>
      <w:r w:rsidR="1D424935">
        <w:t xml:space="preserve"> or where the death was not judged as not unexpected, </w:t>
      </w:r>
      <w:proofErr w:type="gramStart"/>
      <w:r w:rsidR="4C417479">
        <w:t>unnatural</w:t>
      </w:r>
      <w:proofErr w:type="gramEnd"/>
      <w:r w:rsidR="4C417479">
        <w:t xml:space="preserve"> or</w:t>
      </w:r>
      <w:r w:rsidR="1D424935">
        <w:t xml:space="preserve"> violent</w:t>
      </w:r>
      <w:r w:rsidR="4A6F82D5">
        <w:t>.</w:t>
      </w:r>
    </w:p>
    <w:p w14:paraId="1527A0AE" w14:textId="60546CEE" w:rsidR="003F8BE4" w:rsidRPr="00643556" w:rsidRDefault="00E8354D" w:rsidP="00223282">
      <w:pPr>
        <w:pStyle w:val="Tablefigurenote"/>
        <w:spacing w:line="220" w:lineRule="exact"/>
      </w:pPr>
      <w:r>
        <w:t>The ‘</w:t>
      </w:r>
      <w:r w:rsidR="00264390">
        <w:t>m</w:t>
      </w:r>
      <w:r>
        <w:t xml:space="preserve">edical condition’ figures </w:t>
      </w:r>
      <w:r w:rsidR="49C582D4" w:rsidRPr="00643556">
        <w:t xml:space="preserve">include </w:t>
      </w:r>
      <w:r w:rsidR="00450119" w:rsidRPr="00643556">
        <w:t>several</w:t>
      </w:r>
      <w:r w:rsidR="003F8BE4" w:rsidRPr="00643556">
        <w:t xml:space="preserve"> </w:t>
      </w:r>
      <w:r w:rsidR="00316B56" w:rsidRPr="00643556">
        <w:t>i</w:t>
      </w:r>
      <w:r w:rsidR="003F8BE4" w:rsidRPr="00643556">
        <w:t>npatient death</w:t>
      </w:r>
      <w:r w:rsidR="00316B56" w:rsidRPr="00643556">
        <w:t>s</w:t>
      </w:r>
      <w:r w:rsidR="003F8BE4" w:rsidRPr="00643556">
        <w:t xml:space="preserve"> due to medical events unrelated to acute </w:t>
      </w:r>
      <w:r w:rsidR="0E7DD4B3" w:rsidRPr="00643556">
        <w:t xml:space="preserve">mental health </w:t>
      </w:r>
      <w:r w:rsidR="003F8BE4" w:rsidRPr="00643556">
        <w:t>care</w:t>
      </w:r>
      <w:r w:rsidR="7AAD7E10" w:rsidRPr="00643556">
        <w:t xml:space="preserve"> and a small number of death</w:t>
      </w:r>
      <w:r w:rsidR="00243AA9" w:rsidRPr="00643556">
        <w:t>s</w:t>
      </w:r>
      <w:r w:rsidR="7AAD7E10" w:rsidRPr="00643556">
        <w:t xml:space="preserve"> </w:t>
      </w:r>
      <w:r w:rsidR="00264390">
        <w:t>that</w:t>
      </w:r>
      <w:r w:rsidR="00264390" w:rsidRPr="00643556">
        <w:t xml:space="preserve"> </w:t>
      </w:r>
      <w:r w:rsidR="7AAD7E10" w:rsidRPr="00643556">
        <w:t>took place as part of</w:t>
      </w:r>
      <w:r w:rsidR="00264390">
        <w:t xml:space="preserve"> an</w:t>
      </w:r>
      <w:r w:rsidR="7AAD7E10" w:rsidRPr="00643556">
        <w:t xml:space="preserve"> </w:t>
      </w:r>
      <w:r w:rsidR="6CCFDBB1" w:rsidRPr="00643556">
        <w:t>end-of-life</w:t>
      </w:r>
      <w:r w:rsidR="7AAD7E10" w:rsidRPr="00643556">
        <w:t xml:space="preserve"> pathway</w:t>
      </w:r>
      <w:r w:rsidR="633FA4B5" w:rsidRPr="00643556">
        <w:t xml:space="preserve"> for terminal illness.</w:t>
      </w:r>
    </w:p>
    <w:p w14:paraId="4FC3CFED" w14:textId="5D48F3A3" w:rsidR="002022A1" w:rsidRPr="00643556" w:rsidRDefault="005509E0" w:rsidP="00223282">
      <w:pPr>
        <w:pStyle w:val="Tablefigurenote"/>
        <w:spacing w:after="240" w:line="220" w:lineRule="exact"/>
      </w:pPr>
      <w:r w:rsidRPr="00643556">
        <w:t xml:space="preserve">The </w:t>
      </w:r>
      <w:r w:rsidR="002022A1" w:rsidRPr="00643556">
        <w:t xml:space="preserve">percentages may </w:t>
      </w:r>
      <w:r w:rsidRPr="00643556">
        <w:t xml:space="preserve">not add </w:t>
      </w:r>
      <w:r w:rsidR="002022A1" w:rsidRPr="00643556">
        <w:t>to exactly 100</w:t>
      </w:r>
      <w:r w:rsidR="0094775C">
        <w:t>%</w:t>
      </w:r>
      <w:r w:rsidR="002022A1" w:rsidRPr="00643556">
        <w:t xml:space="preserve"> because of rounding</w:t>
      </w:r>
      <w:r w:rsidRPr="00643556">
        <w:t>.</w:t>
      </w:r>
      <w:r w:rsidR="002022A1" w:rsidRPr="00643556">
        <w:rPr>
          <w:bCs/>
        </w:rPr>
        <w:t xml:space="preserve"> </w:t>
      </w:r>
    </w:p>
    <w:p w14:paraId="09436961" w14:textId="16210722" w:rsidR="00B5103B" w:rsidRPr="004B15D5" w:rsidRDefault="00381B2F" w:rsidP="004B15D5">
      <w:pPr>
        <w:pStyle w:val="DHHSbody"/>
        <w:rPr>
          <w:sz w:val="21"/>
          <w:szCs w:val="21"/>
          <w:lang w:val="en-US"/>
        </w:rPr>
      </w:pPr>
      <w:r w:rsidRPr="004B15D5">
        <w:rPr>
          <w:sz w:val="21"/>
          <w:szCs w:val="21"/>
          <w:lang w:val="en-US"/>
        </w:rPr>
        <w:t xml:space="preserve">The OCP views every suicide in care as potentially preventable. Each number represents a person who has suffered and left behind family and loved ones. </w:t>
      </w:r>
      <w:r w:rsidR="00450119" w:rsidRPr="004B15D5">
        <w:rPr>
          <w:sz w:val="21"/>
          <w:szCs w:val="21"/>
          <w:lang w:val="en-US"/>
        </w:rPr>
        <w:t>Safer Care Victoria classifies a</w:t>
      </w:r>
      <w:r w:rsidRPr="004B15D5">
        <w:rPr>
          <w:sz w:val="21"/>
          <w:szCs w:val="21"/>
          <w:lang w:val="en-US"/>
        </w:rPr>
        <w:t>ll inpatient suicides as sentinel events</w:t>
      </w:r>
      <w:r w:rsidR="00450119" w:rsidRPr="004B15D5">
        <w:rPr>
          <w:sz w:val="21"/>
          <w:szCs w:val="21"/>
          <w:lang w:val="en-US"/>
        </w:rPr>
        <w:t>;</w:t>
      </w:r>
      <w:r w:rsidRPr="004B15D5">
        <w:rPr>
          <w:sz w:val="21"/>
          <w:szCs w:val="21"/>
          <w:lang w:val="en-US"/>
        </w:rPr>
        <w:t xml:space="preserve"> </w:t>
      </w:r>
      <w:r w:rsidR="00450119" w:rsidRPr="004B15D5">
        <w:rPr>
          <w:sz w:val="21"/>
          <w:szCs w:val="21"/>
          <w:lang w:val="en-US"/>
        </w:rPr>
        <w:t>they</w:t>
      </w:r>
      <w:r w:rsidRPr="004B15D5">
        <w:rPr>
          <w:sz w:val="21"/>
          <w:szCs w:val="21"/>
          <w:lang w:val="en-US"/>
        </w:rPr>
        <w:t xml:space="preserve"> </w:t>
      </w:r>
      <w:r w:rsidR="00450119" w:rsidRPr="004B15D5">
        <w:rPr>
          <w:sz w:val="21"/>
          <w:szCs w:val="21"/>
          <w:lang w:val="en-US"/>
        </w:rPr>
        <w:t>trigger</w:t>
      </w:r>
      <w:r w:rsidRPr="004B15D5">
        <w:rPr>
          <w:sz w:val="21"/>
          <w:szCs w:val="21"/>
          <w:lang w:val="en-US"/>
        </w:rPr>
        <w:t xml:space="preserve"> detailed reports </w:t>
      </w:r>
      <w:r w:rsidR="00450119" w:rsidRPr="004B15D5">
        <w:rPr>
          <w:sz w:val="21"/>
          <w:szCs w:val="21"/>
          <w:lang w:val="en-US"/>
        </w:rPr>
        <w:t xml:space="preserve">from </w:t>
      </w:r>
      <w:r w:rsidRPr="004B15D5">
        <w:rPr>
          <w:sz w:val="21"/>
          <w:szCs w:val="21"/>
          <w:lang w:val="en-US"/>
        </w:rPr>
        <w:t xml:space="preserve">health services. These reports are reviewed </w:t>
      </w:r>
      <w:r w:rsidR="006E202E" w:rsidRPr="004B15D5">
        <w:rPr>
          <w:sz w:val="21"/>
          <w:szCs w:val="21"/>
          <w:lang w:val="en-US"/>
        </w:rPr>
        <w:t>by the Chief Psychiatrist</w:t>
      </w:r>
      <w:r w:rsidR="002D5BB4">
        <w:rPr>
          <w:sz w:val="21"/>
          <w:szCs w:val="21"/>
          <w:lang w:val="en-US"/>
        </w:rPr>
        <w:t>’</w:t>
      </w:r>
      <w:r w:rsidR="006E202E" w:rsidRPr="004B15D5">
        <w:rPr>
          <w:sz w:val="21"/>
          <w:szCs w:val="21"/>
          <w:lang w:val="en-US"/>
        </w:rPr>
        <w:t>s Sentinel Event Review Subcommittee supported</w:t>
      </w:r>
      <w:r w:rsidRPr="004B15D5">
        <w:rPr>
          <w:sz w:val="21"/>
          <w:szCs w:val="21"/>
          <w:lang w:val="en-US"/>
        </w:rPr>
        <w:t xml:space="preserve"> by a panel of senior clinicians </w:t>
      </w:r>
      <w:r w:rsidR="3A31F611" w:rsidRPr="004B15D5">
        <w:rPr>
          <w:sz w:val="21"/>
          <w:szCs w:val="21"/>
          <w:lang w:val="en-US"/>
        </w:rPr>
        <w:t>of various disciplines</w:t>
      </w:r>
      <w:r w:rsidRPr="004B15D5">
        <w:rPr>
          <w:sz w:val="21"/>
          <w:szCs w:val="21"/>
          <w:lang w:val="en-US"/>
        </w:rPr>
        <w:t xml:space="preserve"> and consumer and carer representatives. The panel makes recommendations to services </w:t>
      </w:r>
      <w:proofErr w:type="gramStart"/>
      <w:r w:rsidRPr="004B15D5">
        <w:rPr>
          <w:sz w:val="21"/>
          <w:szCs w:val="21"/>
          <w:lang w:val="en-US"/>
        </w:rPr>
        <w:t>where</w:t>
      </w:r>
      <w:proofErr w:type="gramEnd"/>
      <w:r w:rsidRPr="004B15D5">
        <w:rPr>
          <w:sz w:val="21"/>
          <w:szCs w:val="21"/>
          <w:lang w:val="en-US"/>
        </w:rPr>
        <w:t xml:space="preserve"> indicated to</w:t>
      </w:r>
      <w:r w:rsidRPr="004B15D5" w:rsidDel="003450CF">
        <w:rPr>
          <w:sz w:val="21"/>
          <w:szCs w:val="21"/>
          <w:lang w:val="en-US"/>
        </w:rPr>
        <w:t xml:space="preserve"> </w:t>
      </w:r>
      <w:r w:rsidRPr="004B15D5">
        <w:rPr>
          <w:sz w:val="21"/>
          <w:szCs w:val="21"/>
          <w:lang w:val="en-US"/>
        </w:rPr>
        <w:t>reduce the possibility of a recurrence.</w:t>
      </w:r>
      <w:r w:rsidR="08C663C8" w:rsidRPr="004B15D5">
        <w:rPr>
          <w:sz w:val="21"/>
          <w:szCs w:val="21"/>
          <w:lang w:val="en-US"/>
        </w:rPr>
        <w:t xml:space="preserve"> The panel may also make recommendations to </w:t>
      </w:r>
      <w:r w:rsidR="00FE0C28" w:rsidRPr="004B15D5">
        <w:rPr>
          <w:sz w:val="21"/>
          <w:szCs w:val="21"/>
          <w:lang w:val="en-US"/>
        </w:rPr>
        <w:t xml:space="preserve">enhance </w:t>
      </w:r>
      <w:r w:rsidR="08C663C8" w:rsidRPr="004B15D5">
        <w:rPr>
          <w:sz w:val="21"/>
          <w:szCs w:val="21"/>
          <w:lang w:val="en-US"/>
        </w:rPr>
        <w:t>the rigo</w:t>
      </w:r>
      <w:r w:rsidR="00264390" w:rsidRPr="004B15D5">
        <w:rPr>
          <w:sz w:val="21"/>
          <w:szCs w:val="21"/>
          <w:lang w:val="en-US"/>
        </w:rPr>
        <w:t>u</w:t>
      </w:r>
      <w:r w:rsidR="08C663C8" w:rsidRPr="004B15D5">
        <w:rPr>
          <w:sz w:val="21"/>
          <w:szCs w:val="21"/>
          <w:lang w:val="en-US"/>
        </w:rPr>
        <w:t xml:space="preserve">r of </w:t>
      </w:r>
      <w:r w:rsidR="00552198" w:rsidRPr="004B15D5">
        <w:rPr>
          <w:sz w:val="21"/>
          <w:szCs w:val="21"/>
          <w:lang w:val="en-US"/>
        </w:rPr>
        <w:t xml:space="preserve">service </w:t>
      </w:r>
      <w:r w:rsidR="08C663C8" w:rsidRPr="004B15D5">
        <w:rPr>
          <w:sz w:val="21"/>
          <w:szCs w:val="21"/>
          <w:lang w:val="en-US"/>
        </w:rPr>
        <w:t>review processes.</w:t>
      </w:r>
      <w:r w:rsidR="00B5548B" w:rsidRPr="004B15D5">
        <w:rPr>
          <w:sz w:val="21"/>
          <w:szCs w:val="21"/>
          <w:lang w:val="en-US"/>
        </w:rPr>
        <w:t xml:space="preserve"> </w:t>
      </w:r>
      <w:r w:rsidRPr="004B15D5">
        <w:rPr>
          <w:sz w:val="21"/>
          <w:szCs w:val="21"/>
          <w:lang w:val="en-US"/>
        </w:rPr>
        <w:t xml:space="preserve">Important </w:t>
      </w:r>
      <w:r w:rsidR="00450119" w:rsidRPr="004B15D5">
        <w:rPr>
          <w:sz w:val="21"/>
          <w:szCs w:val="21"/>
          <w:lang w:val="en-US"/>
        </w:rPr>
        <w:t xml:space="preserve">lessons </w:t>
      </w:r>
      <w:r w:rsidRPr="004B15D5">
        <w:rPr>
          <w:sz w:val="21"/>
          <w:szCs w:val="21"/>
          <w:lang w:val="en-US"/>
        </w:rPr>
        <w:t>are</w:t>
      </w:r>
      <w:r w:rsidR="00B5548B" w:rsidRPr="004B15D5">
        <w:rPr>
          <w:sz w:val="21"/>
          <w:szCs w:val="21"/>
          <w:lang w:val="en-US"/>
        </w:rPr>
        <w:t xml:space="preserve"> </w:t>
      </w:r>
      <w:r w:rsidRPr="004B15D5">
        <w:rPr>
          <w:sz w:val="21"/>
          <w:szCs w:val="21"/>
          <w:lang w:val="en-US"/>
        </w:rPr>
        <w:t xml:space="preserve">communicated to services through the Chief Psychiatrist’s </w:t>
      </w:r>
      <w:r w:rsidRPr="004B15D5">
        <w:rPr>
          <w:i/>
          <w:sz w:val="21"/>
          <w:szCs w:val="21"/>
          <w:lang w:val="en-US"/>
        </w:rPr>
        <w:t xml:space="preserve">Quality and </w:t>
      </w:r>
      <w:r w:rsidR="00264390" w:rsidRPr="004B15D5">
        <w:rPr>
          <w:i/>
          <w:sz w:val="21"/>
          <w:szCs w:val="21"/>
          <w:lang w:val="en-US"/>
        </w:rPr>
        <w:t>s</w:t>
      </w:r>
      <w:r w:rsidRPr="004B15D5">
        <w:rPr>
          <w:i/>
          <w:sz w:val="21"/>
          <w:szCs w:val="21"/>
          <w:lang w:val="en-US"/>
        </w:rPr>
        <w:t xml:space="preserve">afety </w:t>
      </w:r>
      <w:r w:rsidR="00264390" w:rsidRPr="004B15D5">
        <w:rPr>
          <w:i/>
          <w:sz w:val="21"/>
          <w:szCs w:val="21"/>
          <w:lang w:val="en-US"/>
        </w:rPr>
        <w:t>b</w:t>
      </w:r>
      <w:r w:rsidRPr="004B15D5">
        <w:rPr>
          <w:i/>
          <w:sz w:val="21"/>
          <w:szCs w:val="21"/>
          <w:lang w:val="en-US"/>
        </w:rPr>
        <w:t>ulletin</w:t>
      </w:r>
      <w:r w:rsidR="18F6A04C" w:rsidRPr="004B15D5">
        <w:rPr>
          <w:i/>
          <w:sz w:val="21"/>
          <w:szCs w:val="21"/>
          <w:lang w:val="en-US"/>
        </w:rPr>
        <w:t>.</w:t>
      </w:r>
      <w:r w:rsidR="0057779F" w:rsidRPr="004B15D5">
        <w:rPr>
          <w:sz w:val="21"/>
          <w:szCs w:val="21"/>
          <w:lang w:val="en-US"/>
        </w:rPr>
        <w:t xml:space="preserve"> </w:t>
      </w:r>
    </w:p>
    <w:p w14:paraId="463A00EA" w14:textId="2CA714E5" w:rsidR="00381B2F" w:rsidRPr="00D5401E" w:rsidRDefault="00381B2F" w:rsidP="003A735B">
      <w:pPr>
        <w:pStyle w:val="Heading2"/>
      </w:pPr>
      <w:bookmarkStart w:id="34" w:name="_Toc149041972"/>
      <w:r w:rsidRPr="00D5401E">
        <w:t>Restrictive interventions</w:t>
      </w:r>
      <w:bookmarkStart w:id="35" w:name="_Hlk134523004"/>
      <w:bookmarkEnd w:id="34"/>
    </w:p>
    <w:bookmarkEnd w:id="35"/>
    <w:p w14:paraId="16DB0DD2" w14:textId="42AC7458" w:rsidR="00381B2F" w:rsidRPr="00EF7534" w:rsidRDefault="004D4154" w:rsidP="00EF7534">
      <w:pPr>
        <w:pStyle w:val="DHHSbody"/>
        <w:rPr>
          <w:i/>
          <w:sz w:val="21"/>
          <w:szCs w:val="21"/>
        </w:rPr>
      </w:pPr>
      <w:r w:rsidRPr="00EF7534">
        <w:rPr>
          <w:sz w:val="21"/>
          <w:szCs w:val="21"/>
        </w:rPr>
        <w:t xml:space="preserve">The Chief Psychiatrist </w:t>
      </w:r>
      <w:r w:rsidR="007418F0" w:rsidRPr="00EF7534">
        <w:rPr>
          <w:sz w:val="21"/>
          <w:szCs w:val="21"/>
        </w:rPr>
        <w:t xml:space="preserve">is committed </w:t>
      </w:r>
      <w:r w:rsidRPr="00EF7534">
        <w:rPr>
          <w:sz w:val="21"/>
          <w:szCs w:val="21"/>
        </w:rPr>
        <w:t xml:space="preserve">to reducing and eventually eliminating restrictive interventions </w:t>
      </w:r>
      <w:r w:rsidR="7159BB7B" w:rsidRPr="00EF7534">
        <w:rPr>
          <w:sz w:val="21"/>
          <w:szCs w:val="21"/>
        </w:rPr>
        <w:t>as outlined in th</w:t>
      </w:r>
      <w:r w:rsidRPr="00EF7534">
        <w:rPr>
          <w:sz w:val="21"/>
          <w:szCs w:val="21"/>
        </w:rPr>
        <w:t xml:space="preserve">e </w:t>
      </w:r>
      <w:r w:rsidR="003D1043" w:rsidRPr="00EF7534">
        <w:rPr>
          <w:sz w:val="21"/>
          <w:szCs w:val="21"/>
        </w:rPr>
        <w:t xml:space="preserve">Royal Commission’s </w:t>
      </w:r>
      <w:r w:rsidRPr="00EF7534">
        <w:rPr>
          <w:sz w:val="21"/>
          <w:szCs w:val="21"/>
        </w:rPr>
        <w:t xml:space="preserve">recommendations and the </w:t>
      </w:r>
      <w:r w:rsidR="003D1043" w:rsidRPr="00EF7534">
        <w:rPr>
          <w:sz w:val="21"/>
          <w:szCs w:val="21"/>
        </w:rPr>
        <w:t>National Mental Health Commission</w:t>
      </w:r>
      <w:r w:rsidR="002D5BB4">
        <w:rPr>
          <w:sz w:val="21"/>
          <w:szCs w:val="21"/>
        </w:rPr>
        <w:t>’</w:t>
      </w:r>
      <w:r w:rsidR="003D1043" w:rsidRPr="00EF7534">
        <w:rPr>
          <w:sz w:val="21"/>
          <w:szCs w:val="21"/>
        </w:rPr>
        <w:t>s</w:t>
      </w:r>
      <w:r w:rsidR="003D1043" w:rsidRPr="00EF7534">
        <w:rPr>
          <w:i/>
          <w:sz w:val="21"/>
          <w:szCs w:val="21"/>
        </w:rPr>
        <w:t xml:space="preserve"> </w:t>
      </w:r>
      <w:r w:rsidRPr="00EF7534">
        <w:rPr>
          <w:i/>
          <w:sz w:val="21"/>
          <w:szCs w:val="21"/>
        </w:rPr>
        <w:t>Seclusion and restraint declaration</w:t>
      </w:r>
      <w:r w:rsidR="4AB9D1AD" w:rsidRPr="00EF7534">
        <w:rPr>
          <w:i/>
          <w:sz w:val="21"/>
          <w:szCs w:val="21"/>
        </w:rPr>
        <w:t xml:space="preserve">. </w:t>
      </w:r>
      <w:r w:rsidR="43BB7847" w:rsidRPr="00EF7534">
        <w:rPr>
          <w:sz w:val="21"/>
          <w:szCs w:val="21"/>
        </w:rPr>
        <w:t>For the year being reported on</w:t>
      </w:r>
      <w:r w:rsidR="21725B1E" w:rsidRPr="00EF7534">
        <w:rPr>
          <w:sz w:val="21"/>
          <w:szCs w:val="21"/>
        </w:rPr>
        <w:t>,</w:t>
      </w:r>
      <w:r w:rsidR="43BB7847" w:rsidRPr="00EF7534">
        <w:rPr>
          <w:sz w:val="21"/>
          <w:szCs w:val="21"/>
        </w:rPr>
        <w:t xml:space="preserve"> t</w:t>
      </w:r>
      <w:r w:rsidR="4AB9D1AD" w:rsidRPr="00EF7534">
        <w:rPr>
          <w:sz w:val="21"/>
          <w:szCs w:val="21"/>
        </w:rPr>
        <w:t xml:space="preserve">he Chief Psychiatrist </w:t>
      </w:r>
      <w:r w:rsidR="06396AA5" w:rsidRPr="00EF7534">
        <w:rPr>
          <w:sz w:val="21"/>
          <w:szCs w:val="21"/>
        </w:rPr>
        <w:t>was the main authority in Victoria for overseeing restrictive interventions</w:t>
      </w:r>
      <w:r w:rsidR="35B2B3AD" w:rsidRPr="00EF7534">
        <w:rPr>
          <w:sz w:val="21"/>
          <w:szCs w:val="21"/>
        </w:rPr>
        <w:t>.</w:t>
      </w:r>
    </w:p>
    <w:p w14:paraId="0F7945E2" w14:textId="752F9BD1" w:rsidR="00381B2F" w:rsidRPr="00EF7534" w:rsidRDefault="00381B2F" w:rsidP="00EF7534">
      <w:pPr>
        <w:pStyle w:val="DHHSbody"/>
        <w:rPr>
          <w:sz w:val="21"/>
          <w:szCs w:val="21"/>
        </w:rPr>
      </w:pPr>
      <w:r w:rsidRPr="00EF7534">
        <w:rPr>
          <w:sz w:val="21"/>
          <w:szCs w:val="21"/>
        </w:rPr>
        <w:t xml:space="preserve">Restrictive interventions are defined in the </w:t>
      </w:r>
      <w:r w:rsidR="001C3762" w:rsidRPr="00EF7534">
        <w:rPr>
          <w:sz w:val="21"/>
          <w:szCs w:val="21"/>
        </w:rPr>
        <w:t>A</w:t>
      </w:r>
      <w:r w:rsidR="00BB30E4" w:rsidRPr="00EF7534">
        <w:rPr>
          <w:sz w:val="21"/>
          <w:szCs w:val="21"/>
        </w:rPr>
        <w:t>ct</w:t>
      </w:r>
      <w:r w:rsidR="001C3762" w:rsidRPr="00EF7534">
        <w:rPr>
          <w:sz w:val="21"/>
          <w:szCs w:val="21"/>
        </w:rPr>
        <w:t xml:space="preserve"> </w:t>
      </w:r>
      <w:r w:rsidRPr="00EF7534">
        <w:rPr>
          <w:sz w:val="21"/>
          <w:szCs w:val="21"/>
        </w:rPr>
        <w:t>as the use of seclusion or bodily restraint. Seclusion is ‘the sole confinement of a person to a room or any other enclosed space from which it is not within the control of the person confined to leave’</w:t>
      </w:r>
      <w:r w:rsidR="00D23AF5" w:rsidRPr="00EF7534">
        <w:rPr>
          <w:sz w:val="21"/>
          <w:szCs w:val="21"/>
        </w:rPr>
        <w:t xml:space="preserve"> (s 3)</w:t>
      </w:r>
      <w:r w:rsidRPr="00EF7534">
        <w:rPr>
          <w:sz w:val="21"/>
          <w:szCs w:val="21"/>
        </w:rPr>
        <w:t>. Bodily restraint is ‘a form of physical or mechanical restraint that prevents a person having free movement of his or her limbs’</w:t>
      </w:r>
      <w:r w:rsidR="00D23AF5" w:rsidRPr="00EF7534">
        <w:rPr>
          <w:sz w:val="21"/>
          <w:szCs w:val="21"/>
        </w:rPr>
        <w:t xml:space="preserve"> (s 3)</w:t>
      </w:r>
      <w:r w:rsidRPr="00EF7534">
        <w:rPr>
          <w:sz w:val="21"/>
          <w:szCs w:val="21"/>
        </w:rPr>
        <w:t>.</w:t>
      </w:r>
    </w:p>
    <w:p w14:paraId="3A7AB682" w14:textId="1ED39B09" w:rsidR="00381B2F" w:rsidRPr="009672D1" w:rsidRDefault="00381B2F" w:rsidP="00563C62">
      <w:pPr>
        <w:pStyle w:val="Body"/>
      </w:pPr>
      <w:r w:rsidRPr="009672D1">
        <w:t xml:space="preserve">The </w:t>
      </w:r>
      <w:r w:rsidR="00BB30E4">
        <w:t xml:space="preserve">Mental Health </w:t>
      </w:r>
      <w:r w:rsidRPr="009672D1">
        <w:t xml:space="preserve">Act provides that a person may only be placed in seclusion or restraint to prevent imminent and serious harm to the person or another person or, in the case of restraint, to administer treatment. The principles outlined in the Act specify that people receiving mental health services should be treated in the least restrictive way possible, meaning that seclusion and restraints can be applied only after all reasonable and less restrictive options have been tried or considered and found unsuitable. </w:t>
      </w:r>
    </w:p>
    <w:p w14:paraId="67F4E04D" w14:textId="063F311A" w:rsidR="000D0FE8" w:rsidRPr="009672D1" w:rsidRDefault="00461B61" w:rsidP="00563C62">
      <w:pPr>
        <w:pStyle w:val="Body"/>
        <w:rPr>
          <w:rStyle w:val="FootnoteReference"/>
        </w:rPr>
      </w:pPr>
      <w:r>
        <w:t>The</w:t>
      </w:r>
      <w:r w:rsidR="000D0FE8">
        <w:t xml:space="preserve"> Mental Health </w:t>
      </w:r>
      <w:r w:rsidR="00BF4D88">
        <w:t xml:space="preserve">and </w:t>
      </w:r>
      <w:r w:rsidR="008815B5">
        <w:t xml:space="preserve">Wellbeing </w:t>
      </w:r>
      <w:r w:rsidR="0062703F">
        <w:t>Act</w:t>
      </w:r>
      <w:r w:rsidR="00193CEC">
        <w:t xml:space="preserve"> 2022</w:t>
      </w:r>
      <w:r w:rsidR="00181E7D">
        <w:t xml:space="preserve"> </w:t>
      </w:r>
      <w:r w:rsidR="000D0FE8">
        <w:t>provide</w:t>
      </w:r>
      <w:r w:rsidR="00095777">
        <w:t>s</w:t>
      </w:r>
      <w:r w:rsidR="000176C1">
        <w:t xml:space="preserve"> </w:t>
      </w:r>
      <w:r w:rsidR="4FB86FFD">
        <w:t>the regulatory</w:t>
      </w:r>
      <w:r w:rsidR="00221428">
        <w:t xml:space="preserve"> framework</w:t>
      </w:r>
      <w:r w:rsidR="000D0FE8">
        <w:t xml:space="preserve"> to reduce and eliminate restrictive interventions in our mental health services over </w:t>
      </w:r>
      <w:r w:rsidR="15931464">
        <w:t>a</w:t>
      </w:r>
      <w:r w:rsidR="000D0FE8">
        <w:t xml:space="preserve"> 10</w:t>
      </w:r>
      <w:r w:rsidR="15931464">
        <w:t>-year period</w:t>
      </w:r>
      <w:r w:rsidR="000D0FE8">
        <w:t xml:space="preserve"> in </w:t>
      </w:r>
      <w:r w:rsidR="00190540">
        <w:t xml:space="preserve">line </w:t>
      </w:r>
      <w:r w:rsidR="000D0FE8">
        <w:t xml:space="preserve">with </w:t>
      </w:r>
      <w:r w:rsidR="00190540" w:rsidRPr="004D4154">
        <w:t xml:space="preserve">Royal Commission </w:t>
      </w:r>
      <w:r w:rsidR="000F785B">
        <w:t>recommendations</w:t>
      </w:r>
      <w:r w:rsidR="000D0FE8">
        <w:t xml:space="preserve">. </w:t>
      </w:r>
      <w:r w:rsidR="00E453E6">
        <w:t xml:space="preserve">This </w:t>
      </w:r>
      <w:r w:rsidR="002D5BB4">
        <w:t>new A</w:t>
      </w:r>
      <w:r w:rsidR="00E453E6">
        <w:t xml:space="preserve">ct </w:t>
      </w:r>
      <w:r w:rsidR="12D38E36">
        <w:t>define</w:t>
      </w:r>
      <w:r w:rsidR="00FB7440">
        <w:t>s</w:t>
      </w:r>
      <w:r w:rsidR="000D0FE8">
        <w:t xml:space="preserve"> chemical restraint as a restrictive intervention</w:t>
      </w:r>
      <w:r w:rsidR="000F735E">
        <w:t xml:space="preserve"> and </w:t>
      </w:r>
      <w:r w:rsidR="794086B2">
        <w:t>the mechanisms for reporting</w:t>
      </w:r>
      <w:r w:rsidR="000D0FE8">
        <w:t xml:space="preserve"> in the </w:t>
      </w:r>
      <w:r w:rsidR="794086B2">
        <w:t>2023</w:t>
      </w:r>
      <w:r w:rsidR="00F4685F" w:rsidRPr="00F4685F">
        <w:t>–</w:t>
      </w:r>
      <w:r w:rsidR="794086B2">
        <w:t>24 year have been established</w:t>
      </w:r>
      <w:r w:rsidR="00190540">
        <w:t>.</w:t>
      </w:r>
      <w:r w:rsidR="03C26836">
        <w:t xml:space="preserve"> </w:t>
      </w:r>
      <w:r w:rsidR="002D5BB4">
        <w:t xml:space="preserve">Because </w:t>
      </w:r>
      <w:r w:rsidR="0006599B">
        <w:t>the M</w:t>
      </w:r>
      <w:r w:rsidR="00B34335">
        <w:t xml:space="preserve">ental </w:t>
      </w:r>
      <w:r w:rsidR="0006599B">
        <w:t>H</w:t>
      </w:r>
      <w:r w:rsidR="00B34335">
        <w:t xml:space="preserve">ealth and </w:t>
      </w:r>
      <w:r w:rsidR="0006599B">
        <w:t>W</w:t>
      </w:r>
      <w:r w:rsidR="00B34335">
        <w:t xml:space="preserve">ellbeing </w:t>
      </w:r>
      <w:r w:rsidR="0006599B">
        <w:t>A</w:t>
      </w:r>
      <w:r w:rsidR="00B34335">
        <w:t xml:space="preserve">ct </w:t>
      </w:r>
      <w:r w:rsidR="002D5BB4">
        <w:t xml:space="preserve">began </w:t>
      </w:r>
      <w:r w:rsidR="0060706A">
        <w:t>on 1 September 2023</w:t>
      </w:r>
      <w:r w:rsidR="00B34335">
        <w:t>,</w:t>
      </w:r>
      <w:r w:rsidR="0060706A">
        <w:t xml:space="preserve"> reporting on </w:t>
      </w:r>
      <w:r w:rsidR="004F2728">
        <w:t xml:space="preserve">chemical restraint is </w:t>
      </w:r>
      <w:r w:rsidR="03C26836">
        <w:t xml:space="preserve">outside of the scope of this year’s annual report. </w:t>
      </w:r>
    </w:p>
    <w:p w14:paraId="75C00BC9" w14:textId="02DA0044" w:rsidR="19AD87E3" w:rsidRDefault="19AD87E3" w:rsidP="6A77C92E">
      <w:pPr>
        <w:pStyle w:val="Body"/>
      </w:pPr>
      <w:r>
        <w:t xml:space="preserve">The Chief Psychiatrist has received advice that the term ‘restrictive interventions’ is offensive to some and has undertaken to increasingly adopt the term ‘restrictive </w:t>
      </w:r>
      <w:r w:rsidR="5A267D92">
        <w:t>practices’ to reflect the views of stakeholders, particularly those with lived and living experience.</w:t>
      </w:r>
      <w:r w:rsidR="6035EE18">
        <w:t xml:space="preserve"> </w:t>
      </w:r>
      <w:r w:rsidR="7D4C3030">
        <w:t>Restrictive</w:t>
      </w:r>
      <w:r w:rsidR="3FC7A826">
        <w:t xml:space="preserve"> practices are distressing and non-</w:t>
      </w:r>
      <w:r w:rsidR="134535E4">
        <w:t>therapeutic</w:t>
      </w:r>
      <w:r w:rsidR="3FC7A826">
        <w:t xml:space="preserve">, leaving the </w:t>
      </w:r>
      <w:r w:rsidR="00A7E00B">
        <w:t>people</w:t>
      </w:r>
      <w:r w:rsidR="3FC7A826">
        <w:t xml:space="preserve"> who </w:t>
      </w:r>
      <w:r w:rsidR="31C9ABC9">
        <w:t>experience</w:t>
      </w:r>
      <w:r w:rsidR="3FC7A826">
        <w:t xml:space="preserve"> them with long-term impacts. T</w:t>
      </w:r>
      <w:r w:rsidR="6035EE18">
        <w:t xml:space="preserve">he word ‘intervention’ </w:t>
      </w:r>
      <w:r w:rsidR="58C756AF">
        <w:t xml:space="preserve">may be </w:t>
      </w:r>
      <w:r w:rsidR="6035EE18">
        <w:t>seen to le</w:t>
      </w:r>
      <w:r w:rsidR="3528E001">
        <w:t>gitimise the practice a</w:t>
      </w:r>
      <w:r w:rsidR="7D439A4E">
        <w:t xml:space="preserve">s inherently </w:t>
      </w:r>
      <w:r w:rsidR="3DB0CBD5">
        <w:t>therapeutic, and this understanding must be challenged.</w:t>
      </w:r>
    </w:p>
    <w:p w14:paraId="0FBB7DFF" w14:textId="211A0F71" w:rsidR="00381B2F" w:rsidRPr="00C64972" w:rsidRDefault="00587859" w:rsidP="00563C62">
      <w:pPr>
        <w:pStyle w:val="Body"/>
        <w:rPr>
          <w:color w:val="FF0000"/>
        </w:rPr>
      </w:pPr>
      <w:r>
        <w:t>The</w:t>
      </w:r>
      <w:r w:rsidR="00381B2F" w:rsidRPr="00D5401E">
        <w:t xml:space="preserve"> </w:t>
      </w:r>
      <w:r w:rsidR="00D664E5">
        <w:t xml:space="preserve">OCP </w:t>
      </w:r>
      <w:r w:rsidR="00B6590C">
        <w:t>continue</w:t>
      </w:r>
      <w:r>
        <w:t>s</w:t>
      </w:r>
      <w:r w:rsidR="0051690C">
        <w:t xml:space="preserve"> to </w:t>
      </w:r>
      <w:r>
        <w:t>convene</w:t>
      </w:r>
      <w:r w:rsidR="00381B2F" w:rsidRPr="00D5401E">
        <w:t xml:space="preserve"> </w:t>
      </w:r>
      <w:r w:rsidR="003D2A1F">
        <w:t>the</w:t>
      </w:r>
      <w:r w:rsidR="00381B2F" w:rsidRPr="000B43EC">
        <w:t xml:space="preserve"> Chief Psychiatrist</w:t>
      </w:r>
      <w:r w:rsidR="008B3F27" w:rsidRPr="000B43EC">
        <w:t>’s R</w:t>
      </w:r>
      <w:r w:rsidR="0019255A" w:rsidRPr="000B43EC">
        <w:t>estrictive Intervention C</w:t>
      </w:r>
      <w:r w:rsidR="00381B2F" w:rsidRPr="000B43EC">
        <w:t>ommittee</w:t>
      </w:r>
      <w:r w:rsidR="2FC738E9">
        <w:t xml:space="preserve">. This committee has regularly received updates on the work being done to develop the policy </w:t>
      </w:r>
      <w:r w:rsidR="0D79BC05">
        <w:t>and strategy</w:t>
      </w:r>
      <w:r w:rsidR="5C6C2A7F">
        <w:t xml:space="preserve"> </w:t>
      </w:r>
      <w:r w:rsidR="001E4BA3">
        <w:t xml:space="preserve">for </w:t>
      </w:r>
      <w:r w:rsidR="5C6C2A7F">
        <w:t>reduc</w:t>
      </w:r>
      <w:r w:rsidR="002D5BB4">
        <w:t>ing</w:t>
      </w:r>
      <w:r w:rsidR="5C6C2A7F">
        <w:t xml:space="preserve"> and eventual</w:t>
      </w:r>
      <w:r w:rsidR="002D5BB4">
        <w:t>ly</w:t>
      </w:r>
      <w:r w:rsidR="5C6C2A7F">
        <w:t xml:space="preserve"> </w:t>
      </w:r>
      <w:r w:rsidR="00381B2F">
        <w:t>eliminati</w:t>
      </w:r>
      <w:r w:rsidR="002D5BB4">
        <w:t>ng</w:t>
      </w:r>
      <w:r w:rsidR="00381B2F" w:rsidRPr="000B43EC">
        <w:t xml:space="preserve"> restrictive </w:t>
      </w:r>
      <w:r w:rsidR="008D063D">
        <w:t>practices</w:t>
      </w:r>
      <w:r w:rsidR="00381B2F" w:rsidRPr="000B43EC">
        <w:t>.</w:t>
      </w:r>
    </w:p>
    <w:p w14:paraId="5E3FD8F3" w14:textId="062663C1" w:rsidR="00F7091B" w:rsidRDefault="61DCC1FC" w:rsidP="00563C62">
      <w:pPr>
        <w:pStyle w:val="Body"/>
      </w:pPr>
      <w:r>
        <w:t xml:space="preserve">The OCP </w:t>
      </w:r>
      <w:r w:rsidR="0F5915BC">
        <w:t>has</w:t>
      </w:r>
      <w:r w:rsidR="3BDC46FA">
        <w:t xml:space="preserve"> </w:t>
      </w:r>
      <w:r w:rsidR="2CCA1556">
        <w:t xml:space="preserve">a </w:t>
      </w:r>
      <w:r w:rsidR="2BDE31F4">
        <w:t xml:space="preserve">secure </w:t>
      </w:r>
      <w:r w:rsidR="00D84B92">
        <w:t>SharePoint site</w:t>
      </w:r>
      <w:r>
        <w:t xml:space="preserve"> </w:t>
      </w:r>
      <w:r w:rsidR="008D063D">
        <w:t>so</w:t>
      </w:r>
      <w:r>
        <w:t xml:space="preserve"> health services</w:t>
      </w:r>
      <w:r w:rsidR="1D9F78E7">
        <w:t xml:space="preserve"> </w:t>
      </w:r>
      <w:r w:rsidR="008D063D">
        <w:t xml:space="preserve">can share data, ensuring they meet </w:t>
      </w:r>
      <w:r w:rsidR="1D9F78E7">
        <w:t>their reporting obligations.</w:t>
      </w:r>
      <w:r w:rsidR="5F4C151F">
        <w:t xml:space="preserve"> T</w:t>
      </w:r>
      <w:r w:rsidR="798D055F">
        <w:t>his</w:t>
      </w:r>
      <w:r w:rsidR="006B56E0">
        <w:t xml:space="preserve"> </w:t>
      </w:r>
      <w:r w:rsidR="3BDC46FA">
        <w:t>allow</w:t>
      </w:r>
      <w:r w:rsidR="009E6ADE">
        <w:t>s</w:t>
      </w:r>
      <w:r w:rsidR="006B56E0">
        <w:t xml:space="preserve"> </w:t>
      </w:r>
      <w:r>
        <w:t>the OCP to respond and provide feedback</w:t>
      </w:r>
      <w:r w:rsidR="102EBABB">
        <w:t xml:space="preserve"> more </w:t>
      </w:r>
      <w:r w:rsidR="2FE50D55">
        <w:t>efficiently</w:t>
      </w:r>
      <w:r>
        <w:t xml:space="preserve"> </w:t>
      </w:r>
      <w:r w:rsidR="2FE50D55">
        <w:t>in response to</w:t>
      </w:r>
      <w:r>
        <w:t xml:space="preserve"> significant varia</w:t>
      </w:r>
      <w:r w:rsidR="5AB3196D">
        <w:t>tion</w:t>
      </w:r>
      <w:r w:rsidR="008D063D">
        <w:t>s</w:t>
      </w:r>
      <w:r>
        <w:t xml:space="preserve"> in practice.</w:t>
      </w:r>
    </w:p>
    <w:p w14:paraId="20BD903C" w14:textId="3D28DCCF" w:rsidR="00381B2F" w:rsidRDefault="00381B2F" w:rsidP="00383721">
      <w:pPr>
        <w:pStyle w:val="Heading3"/>
        <w:rPr>
          <w:highlight w:val="yellow"/>
        </w:rPr>
      </w:pPr>
      <w:r>
        <w:lastRenderedPageBreak/>
        <w:t>A</w:t>
      </w:r>
      <w:r w:rsidR="00FD7427">
        <w:t>cute</w:t>
      </w:r>
      <w:r>
        <w:t xml:space="preserve"> inpatient units</w:t>
      </w:r>
    </w:p>
    <w:p w14:paraId="6F0C2D0C" w14:textId="445E54A0" w:rsidR="675D2E0E" w:rsidRPr="00EC49D8" w:rsidRDefault="675D2E0E" w:rsidP="00563C62">
      <w:pPr>
        <w:pStyle w:val="Body"/>
      </w:pPr>
      <w:r w:rsidRPr="00EC49D8">
        <w:t xml:space="preserve">Table </w:t>
      </w:r>
      <w:r w:rsidR="001E67E0">
        <w:t>6</w:t>
      </w:r>
      <w:r w:rsidRPr="00EC49D8">
        <w:t xml:space="preserve"> shows the number of episodes of bodily restraint and seclusion in acute inpatient units over the </w:t>
      </w:r>
      <w:r w:rsidR="0048002F">
        <w:t>p</w:t>
      </w:r>
      <w:r w:rsidRPr="00EC49D8">
        <w:t xml:space="preserve">ast </w:t>
      </w:r>
      <w:r w:rsidR="000F288F">
        <w:t>five</w:t>
      </w:r>
      <w:r w:rsidR="0048002F">
        <w:t xml:space="preserve"> </w:t>
      </w:r>
      <w:r w:rsidRPr="00EC49D8">
        <w:t>years. The use of bodily restraint</w:t>
      </w:r>
      <w:r w:rsidR="00EF3961">
        <w:t xml:space="preserve"> and seclusion decreased </w:t>
      </w:r>
      <w:r w:rsidR="000E7FE7">
        <w:t>in 202</w:t>
      </w:r>
      <w:r w:rsidR="00940445">
        <w:t>2</w:t>
      </w:r>
      <w:r w:rsidR="00920F37">
        <w:t>–</w:t>
      </w:r>
      <w:r w:rsidR="000E7FE7">
        <w:t>2</w:t>
      </w:r>
      <w:r w:rsidR="00940445">
        <w:t>3</w:t>
      </w:r>
      <w:r w:rsidR="000E7FE7">
        <w:t xml:space="preserve"> </w:t>
      </w:r>
      <w:r w:rsidR="00DF6158">
        <w:t>compared with</w:t>
      </w:r>
      <w:r w:rsidR="000E7FE7">
        <w:t xml:space="preserve"> the previous year</w:t>
      </w:r>
      <w:r w:rsidRPr="00EC49D8">
        <w:t>.</w:t>
      </w:r>
    </w:p>
    <w:p w14:paraId="5DC75155" w14:textId="445BEDE4" w:rsidR="702ED0C5" w:rsidRDefault="702ED0C5" w:rsidP="000D0B9B">
      <w:pPr>
        <w:pStyle w:val="Tablecaption"/>
        <w:rPr>
          <w:rFonts w:eastAsia="Arial"/>
        </w:rPr>
      </w:pPr>
      <w:r w:rsidRPr="1E6D535A">
        <w:rPr>
          <w:rFonts w:eastAsia="Arial"/>
        </w:rPr>
        <w:t xml:space="preserve">Table </w:t>
      </w:r>
      <w:r w:rsidR="001E67E0">
        <w:rPr>
          <w:rFonts w:eastAsia="Arial"/>
        </w:rPr>
        <w:t>6</w:t>
      </w:r>
      <w:r w:rsidRPr="1E6D535A">
        <w:rPr>
          <w:rFonts w:eastAsia="Arial"/>
        </w:rPr>
        <w:t xml:space="preserve">: </w:t>
      </w:r>
      <w:r w:rsidR="00041BE2" w:rsidRPr="00041BE2">
        <w:rPr>
          <w:rFonts w:eastAsia="Arial"/>
        </w:rPr>
        <w:t>Number of ended episodes of bodily restraint and seclusion in acute inpatient units</w:t>
      </w:r>
      <w:r w:rsidRPr="1E6D535A">
        <w:rPr>
          <w:rFonts w:eastAsia="Arial"/>
        </w:rPr>
        <w:t>,</w:t>
      </w:r>
      <w:r w:rsidR="00041BE2">
        <w:rPr>
          <w:rFonts w:eastAsia="Arial"/>
        </w:rPr>
        <w:t xml:space="preserve"> </w:t>
      </w:r>
      <w:r w:rsidRPr="1E6D535A">
        <w:rPr>
          <w:rFonts w:eastAsia="Arial"/>
        </w:rPr>
        <w:t>201</w:t>
      </w:r>
      <w:r w:rsidR="00D87C48">
        <w:rPr>
          <w:rFonts w:eastAsia="Arial"/>
        </w:rPr>
        <w:t>8</w:t>
      </w:r>
      <w:r w:rsidRPr="1E6D535A">
        <w:rPr>
          <w:rFonts w:eastAsia="Arial"/>
        </w:rPr>
        <w:t>–1</w:t>
      </w:r>
      <w:r w:rsidR="00D87C48">
        <w:rPr>
          <w:rFonts w:eastAsia="Arial"/>
        </w:rPr>
        <w:t>9</w:t>
      </w:r>
      <w:r w:rsidRPr="1E6D535A">
        <w:rPr>
          <w:rFonts w:eastAsia="Arial"/>
        </w:rPr>
        <w:t xml:space="preserve"> to 20</w:t>
      </w:r>
      <w:r w:rsidR="0048002F">
        <w:rPr>
          <w:rFonts w:eastAsia="Arial"/>
        </w:rPr>
        <w:t>2</w:t>
      </w:r>
      <w:r w:rsidR="00514463">
        <w:rPr>
          <w:rFonts w:eastAsia="Arial"/>
        </w:rPr>
        <w:t>2</w:t>
      </w:r>
      <w:r w:rsidRPr="1E6D535A">
        <w:rPr>
          <w:rFonts w:eastAsia="Arial"/>
        </w:rPr>
        <w:t>–</w:t>
      </w:r>
      <w:r w:rsidRPr="001945E9">
        <w:rPr>
          <w:rFonts w:eastAsia="Arial"/>
        </w:rPr>
        <w:t>2</w:t>
      </w:r>
      <w:r w:rsidR="00514463">
        <w:rPr>
          <w:rFonts w:eastAsia="Arial"/>
        </w:rPr>
        <w:t>3</w:t>
      </w:r>
    </w:p>
    <w:tbl>
      <w:tblPr>
        <w:tblStyle w:val="TableGrid"/>
        <w:tblW w:w="9330" w:type="dxa"/>
        <w:tblInd w:w="-5" w:type="dxa"/>
        <w:tblLook w:val="0620" w:firstRow="1" w:lastRow="0" w:firstColumn="0" w:lastColumn="0" w:noHBand="1" w:noVBand="1"/>
      </w:tblPr>
      <w:tblGrid>
        <w:gridCol w:w="2033"/>
        <w:gridCol w:w="1496"/>
        <w:gridCol w:w="1495"/>
        <w:gridCol w:w="1496"/>
        <w:gridCol w:w="1496"/>
        <w:gridCol w:w="1314"/>
      </w:tblGrid>
      <w:tr w:rsidR="00AC2616" w14:paraId="20F8CB54" w14:textId="5947A0E0" w:rsidTr="00BF6CFE">
        <w:trPr>
          <w:trHeight w:val="385"/>
          <w:tblHeader/>
        </w:trPr>
        <w:tc>
          <w:tcPr>
            <w:tcW w:w="2033" w:type="dxa"/>
          </w:tcPr>
          <w:p w14:paraId="57000816" w14:textId="52E465E1" w:rsidR="00D87C48" w:rsidRDefault="00D87C48" w:rsidP="00D87C48">
            <w:pPr>
              <w:pStyle w:val="Tablecolhead"/>
            </w:pPr>
            <w:r>
              <w:t>Intervention</w:t>
            </w:r>
          </w:p>
        </w:tc>
        <w:tc>
          <w:tcPr>
            <w:tcW w:w="1496" w:type="dxa"/>
            <w:vAlign w:val="center"/>
          </w:tcPr>
          <w:p w14:paraId="2687073D" w14:textId="6DF3DADC" w:rsidR="00D87C48" w:rsidRDefault="00D87C48" w:rsidP="00D87C48">
            <w:pPr>
              <w:pStyle w:val="Tablecolhead"/>
              <w:jc w:val="center"/>
            </w:pPr>
            <w:r w:rsidRPr="00F27AA5">
              <w:t>2018</w:t>
            </w:r>
            <w:r>
              <w:t>–</w:t>
            </w:r>
            <w:r w:rsidRPr="00F27AA5">
              <w:t>19</w:t>
            </w:r>
          </w:p>
        </w:tc>
        <w:tc>
          <w:tcPr>
            <w:tcW w:w="1495" w:type="dxa"/>
            <w:vAlign w:val="center"/>
          </w:tcPr>
          <w:p w14:paraId="252D6689" w14:textId="50AF175A" w:rsidR="00D87C48" w:rsidRDefault="00D87C48" w:rsidP="00D87C48">
            <w:pPr>
              <w:pStyle w:val="Tablecolhead"/>
              <w:jc w:val="center"/>
            </w:pPr>
            <w:r w:rsidRPr="00F27AA5">
              <w:t>2019</w:t>
            </w:r>
            <w:r>
              <w:t>–</w:t>
            </w:r>
            <w:r w:rsidRPr="00F27AA5">
              <w:t>20</w:t>
            </w:r>
          </w:p>
        </w:tc>
        <w:tc>
          <w:tcPr>
            <w:tcW w:w="1496" w:type="dxa"/>
            <w:vAlign w:val="center"/>
          </w:tcPr>
          <w:p w14:paraId="59C35229" w14:textId="25D8E4B0" w:rsidR="00D87C48" w:rsidRDefault="00D87C48" w:rsidP="00D87C48">
            <w:pPr>
              <w:pStyle w:val="Tablecolhead"/>
              <w:jc w:val="center"/>
            </w:pPr>
            <w:r w:rsidRPr="00F27AA5">
              <w:t>2020</w:t>
            </w:r>
            <w:r>
              <w:t>–</w:t>
            </w:r>
            <w:r w:rsidRPr="00F27AA5">
              <w:t>21</w:t>
            </w:r>
          </w:p>
        </w:tc>
        <w:tc>
          <w:tcPr>
            <w:tcW w:w="1496" w:type="dxa"/>
            <w:vAlign w:val="center"/>
          </w:tcPr>
          <w:p w14:paraId="3533D82B" w14:textId="3E378033" w:rsidR="00D87C48" w:rsidRDefault="00D87C48" w:rsidP="00D87C48">
            <w:pPr>
              <w:pStyle w:val="Tablecolhead"/>
              <w:jc w:val="center"/>
            </w:pPr>
            <w:r w:rsidRPr="00F27AA5">
              <w:t>2021</w:t>
            </w:r>
            <w:r>
              <w:t>–</w:t>
            </w:r>
            <w:r w:rsidRPr="00F27AA5">
              <w:t>22</w:t>
            </w:r>
          </w:p>
        </w:tc>
        <w:tc>
          <w:tcPr>
            <w:tcW w:w="1314" w:type="dxa"/>
            <w:vAlign w:val="center"/>
          </w:tcPr>
          <w:p w14:paraId="2BF38DC3" w14:textId="0179E363" w:rsidR="00D87C48" w:rsidRPr="004F6583" w:rsidRDefault="00D87C48" w:rsidP="00D87C48">
            <w:pPr>
              <w:pStyle w:val="Tablecolhead"/>
              <w:jc w:val="center"/>
            </w:pPr>
            <w:r w:rsidRPr="00F27AA5">
              <w:t>202</w:t>
            </w:r>
            <w:r>
              <w:t>2–</w:t>
            </w:r>
            <w:r w:rsidRPr="00F27AA5">
              <w:t>2</w:t>
            </w:r>
            <w:r>
              <w:t>3</w:t>
            </w:r>
          </w:p>
        </w:tc>
      </w:tr>
      <w:tr w:rsidR="005E79A8" w14:paraId="3D178D03" w14:textId="39299292" w:rsidTr="00BF6CFE">
        <w:trPr>
          <w:trHeight w:val="385"/>
        </w:trPr>
        <w:tc>
          <w:tcPr>
            <w:tcW w:w="2033" w:type="dxa"/>
          </w:tcPr>
          <w:p w14:paraId="039D29F7" w14:textId="36D7D860" w:rsidR="00D87C48" w:rsidRDefault="00D87C48" w:rsidP="00D87C48">
            <w:pPr>
              <w:pStyle w:val="Tabletext"/>
            </w:pPr>
            <w:r>
              <w:t>Bodily restraint</w:t>
            </w:r>
          </w:p>
        </w:tc>
        <w:tc>
          <w:tcPr>
            <w:tcW w:w="1496" w:type="dxa"/>
            <w:vAlign w:val="center"/>
          </w:tcPr>
          <w:p w14:paraId="504C2232" w14:textId="5C0FE25D" w:rsidR="00D87C48" w:rsidRDefault="00D87C48" w:rsidP="00D87C48">
            <w:pPr>
              <w:pStyle w:val="Tabletext"/>
              <w:jc w:val="center"/>
            </w:pPr>
            <w:r w:rsidRPr="00D87C48">
              <w:t>10,359</w:t>
            </w:r>
          </w:p>
        </w:tc>
        <w:tc>
          <w:tcPr>
            <w:tcW w:w="1495" w:type="dxa"/>
            <w:vAlign w:val="center"/>
          </w:tcPr>
          <w:p w14:paraId="13C8B1C8" w14:textId="104728EF" w:rsidR="00D87C48" w:rsidRDefault="00D87C48" w:rsidP="00D87C48">
            <w:pPr>
              <w:pStyle w:val="Tabletext"/>
              <w:jc w:val="center"/>
            </w:pPr>
            <w:r w:rsidRPr="00D87C48">
              <w:t>8,269</w:t>
            </w:r>
          </w:p>
        </w:tc>
        <w:tc>
          <w:tcPr>
            <w:tcW w:w="1496" w:type="dxa"/>
            <w:vAlign w:val="center"/>
          </w:tcPr>
          <w:p w14:paraId="1559026D" w14:textId="5A9C5647" w:rsidR="00D87C48" w:rsidRDefault="00D87C48" w:rsidP="00D87C48">
            <w:pPr>
              <w:pStyle w:val="Tabletext"/>
              <w:jc w:val="center"/>
            </w:pPr>
            <w:r w:rsidRPr="00D87C48">
              <w:t>8,329</w:t>
            </w:r>
          </w:p>
        </w:tc>
        <w:tc>
          <w:tcPr>
            <w:tcW w:w="1496" w:type="dxa"/>
            <w:vAlign w:val="center"/>
          </w:tcPr>
          <w:p w14:paraId="12BECEFD" w14:textId="2B0B756B" w:rsidR="00D87C48" w:rsidRDefault="00D87C48" w:rsidP="00D87C48">
            <w:pPr>
              <w:pStyle w:val="Tabletext"/>
              <w:jc w:val="center"/>
            </w:pPr>
            <w:r w:rsidRPr="00D87C48">
              <w:t>7,557</w:t>
            </w:r>
          </w:p>
        </w:tc>
        <w:tc>
          <w:tcPr>
            <w:tcW w:w="1314" w:type="dxa"/>
            <w:vAlign w:val="center"/>
          </w:tcPr>
          <w:p w14:paraId="0AE8B226" w14:textId="4A475227" w:rsidR="00D87C48" w:rsidRDefault="00D87C48" w:rsidP="00D87C48">
            <w:pPr>
              <w:pStyle w:val="Tabletext"/>
              <w:jc w:val="center"/>
            </w:pPr>
            <w:r w:rsidRPr="00D87C48">
              <w:t>6,540</w:t>
            </w:r>
          </w:p>
        </w:tc>
      </w:tr>
      <w:tr w:rsidR="005E79A8" w14:paraId="75A9BCE0" w14:textId="7F75894D" w:rsidTr="00BF6CFE">
        <w:trPr>
          <w:trHeight w:val="366"/>
        </w:trPr>
        <w:tc>
          <w:tcPr>
            <w:tcW w:w="2033" w:type="dxa"/>
          </w:tcPr>
          <w:p w14:paraId="4B898268" w14:textId="14B169BD" w:rsidR="00D87C48" w:rsidRDefault="00D87C48" w:rsidP="00D87C48">
            <w:pPr>
              <w:pStyle w:val="Tabletext"/>
            </w:pPr>
            <w:r>
              <w:t>Seclusion</w:t>
            </w:r>
          </w:p>
        </w:tc>
        <w:tc>
          <w:tcPr>
            <w:tcW w:w="1496" w:type="dxa"/>
            <w:vAlign w:val="center"/>
          </w:tcPr>
          <w:p w14:paraId="0053F9E2" w14:textId="5D8B38E2" w:rsidR="00D87C48" w:rsidRDefault="00D87C48" w:rsidP="00D87C48">
            <w:pPr>
              <w:pStyle w:val="Tabletext"/>
              <w:jc w:val="center"/>
            </w:pPr>
            <w:r w:rsidRPr="00D87C48">
              <w:t>3,182</w:t>
            </w:r>
          </w:p>
        </w:tc>
        <w:tc>
          <w:tcPr>
            <w:tcW w:w="1495" w:type="dxa"/>
            <w:vAlign w:val="center"/>
          </w:tcPr>
          <w:p w14:paraId="30A60FDF" w14:textId="6D1720ED" w:rsidR="00D87C48" w:rsidRDefault="00D87C48" w:rsidP="00D87C48">
            <w:pPr>
              <w:pStyle w:val="Tabletext"/>
              <w:jc w:val="center"/>
            </w:pPr>
            <w:r w:rsidRPr="00D87C48">
              <w:t>3,575</w:t>
            </w:r>
          </w:p>
        </w:tc>
        <w:tc>
          <w:tcPr>
            <w:tcW w:w="1496" w:type="dxa"/>
            <w:vAlign w:val="center"/>
          </w:tcPr>
          <w:p w14:paraId="6DBB9D66" w14:textId="4899F569" w:rsidR="00D87C48" w:rsidRDefault="00D87C48" w:rsidP="00D87C48">
            <w:pPr>
              <w:pStyle w:val="Tabletext"/>
              <w:jc w:val="center"/>
            </w:pPr>
            <w:r w:rsidRPr="00D87C48">
              <w:t>3,653</w:t>
            </w:r>
          </w:p>
        </w:tc>
        <w:tc>
          <w:tcPr>
            <w:tcW w:w="1496" w:type="dxa"/>
            <w:vAlign w:val="center"/>
          </w:tcPr>
          <w:p w14:paraId="519253E8" w14:textId="27DCBA13" w:rsidR="00D87C48" w:rsidRDefault="00D87C48" w:rsidP="00D87C48">
            <w:pPr>
              <w:pStyle w:val="Tabletext"/>
              <w:jc w:val="center"/>
            </w:pPr>
            <w:r w:rsidRPr="00D87C48">
              <w:t>3,316</w:t>
            </w:r>
          </w:p>
        </w:tc>
        <w:tc>
          <w:tcPr>
            <w:tcW w:w="1314" w:type="dxa"/>
            <w:vAlign w:val="center"/>
          </w:tcPr>
          <w:p w14:paraId="5B213F24" w14:textId="4A1473C6" w:rsidR="00D87C48" w:rsidRDefault="00D87C48" w:rsidP="00D87C48">
            <w:pPr>
              <w:pStyle w:val="Tabletext"/>
              <w:jc w:val="center"/>
            </w:pPr>
            <w:r w:rsidRPr="00D87C48">
              <w:t>2,810</w:t>
            </w:r>
          </w:p>
        </w:tc>
      </w:tr>
    </w:tbl>
    <w:p w14:paraId="610A64F0" w14:textId="01B59DD4" w:rsidR="008B1CC0" w:rsidRDefault="004F58D3" w:rsidP="005E31EB">
      <w:pPr>
        <w:pStyle w:val="Bodyaftertable"/>
        <w:spacing w:before="240" w:after="120" w:line="240" w:lineRule="atLeast"/>
      </w:pPr>
      <w:r>
        <w:t>In 20</w:t>
      </w:r>
      <w:r w:rsidR="00FC2373">
        <w:t>2</w:t>
      </w:r>
      <w:r w:rsidR="00E177A5">
        <w:t>2</w:t>
      </w:r>
      <w:r>
        <w:t>–2</w:t>
      </w:r>
      <w:r w:rsidR="00E177A5">
        <w:t>3</w:t>
      </w:r>
      <w:r>
        <w:t xml:space="preserve"> seclusion in a</w:t>
      </w:r>
      <w:r w:rsidR="00E177A5">
        <w:t xml:space="preserve">cute </w:t>
      </w:r>
      <w:r w:rsidR="008E16E7">
        <w:t>in</w:t>
      </w:r>
      <w:r w:rsidR="00E07058">
        <w:t xml:space="preserve">patient units </w:t>
      </w:r>
      <w:r w:rsidR="002D7056">
        <w:t xml:space="preserve">showed </w:t>
      </w:r>
      <w:r w:rsidR="00296AEC">
        <w:t>a</w:t>
      </w:r>
      <w:r w:rsidR="00DF3EC2">
        <w:t>n age/</w:t>
      </w:r>
      <w:r w:rsidR="00296AEC">
        <w:t>sex difference</w:t>
      </w:r>
      <w:r w:rsidR="00C84A05">
        <w:t>,</w:t>
      </w:r>
      <w:r w:rsidR="00296AEC">
        <w:t xml:space="preserve"> with </w:t>
      </w:r>
      <w:r w:rsidR="00336537">
        <w:t xml:space="preserve">females more likely to be secluded at younger ages and </w:t>
      </w:r>
      <w:r w:rsidR="00265C31">
        <w:t>mo</w:t>
      </w:r>
      <w:r w:rsidR="6A4532A5">
        <w:t>re</w:t>
      </w:r>
      <w:r w:rsidR="00265C31">
        <w:t xml:space="preserve"> males being secluded when aged </w:t>
      </w:r>
      <w:r w:rsidR="00014307">
        <w:t>30</w:t>
      </w:r>
      <w:r w:rsidR="00C84A05">
        <w:t>–</w:t>
      </w:r>
      <w:r w:rsidR="00014307">
        <w:t>39</w:t>
      </w:r>
      <w:r w:rsidR="007B2DBE">
        <w:t xml:space="preserve"> </w:t>
      </w:r>
      <w:r>
        <w:t>(</w:t>
      </w:r>
      <w:r w:rsidR="6236A531">
        <w:t xml:space="preserve">Table </w:t>
      </w:r>
      <w:r w:rsidR="003234E3">
        <w:t>7</w:t>
      </w:r>
      <w:r>
        <w:t>).</w:t>
      </w:r>
    </w:p>
    <w:p w14:paraId="3E663F81" w14:textId="3D764B5C" w:rsidR="2FF7EF75" w:rsidRDefault="2FF7EF75" w:rsidP="005E31EB">
      <w:pPr>
        <w:pStyle w:val="Bodyaftertable"/>
        <w:spacing w:before="240" w:after="120" w:line="240" w:lineRule="atLeast"/>
        <w:rPr>
          <w:rFonts w:eastAsia="Arial"/>
        </w:rPr>
      </w:pPr>
      <w:r w:rsidRPr="008D2117">
        <w:rPr>
          <w:rFonts w:eastAsia="Arial"/>
          <w:b/>
          <w:bCs/>
        </w:rPr>
        <w:t xml:space="preserve">Table </w:t>
      </w:r>
      <w:r w:rsidR="001A003C">
        <w:rPr>
          <w:rFonts w:eastAsia="Arial"/>
          <w:b/>
          <w:bCs/>
        </w:rPr>
        <w:t>7</w:t>
      </w:r>
      <w:r w:rsidRPr="008D2117">
        <w:rPr>
          <w:rFonts w:eastAsia="Arial"/>
          <w:b/>
          <w:bCs/>
        </w:rPr>
        <w:t xml:space="preserve">: </w:t>
      </w:r>
      <w:r w:rsidR="00EF4AA0" w:rsidRPr="008D2117">
        <w:rPr>
          <w:rFonts w:eastAsia="Arial"/>
          <w:b/>
          <w:bCs/>
        </w:rPr>
        <w:t xml:space="preserve">Number of ended seclusion episodes in acute inpatient units, by age and sex, </w:t>
      </w:r>
      <w:r w:rsidR="00C84A05">
        <w:rPr>
          <w:rFonts w:eastAsia="Arial"/>
          <w:b/>
          <w:bCs/>
        </w:rPr>
        <w:br/>
      </w:r>
      <w:r w:rsidR="00EF4AA0" w:rsidRPr="008D2117">
        <w:rPr>
          <w:rFonts w:eastAsia="Arial"/>
          <w:b/>
          <w:bCs/>
        </w:rPr>
        <w:t>2022–23</w:t>
      </w:r>
    </w:p>
    <w:tbl>
      <w:tblPr>
        <w:tblStyle w:val="TableGrid"/>
        <w:tblW w:w="5000" w:type="pct"/>
        <w:tblInd w:w="0" w:type="dxa"/>
        <w:tblLook w:val="0620" w:firstRow="1" w:lastRow="0" w:firstColumn="0" w:lastColumn="0" w:noHBand="1" w:noVBand="1"/>
      </w:tblPr>
      <w:tblGrid>
        <w:gridCol w:w="1218"/>
        <w:gridCol w:w="1008"/>
        <w:gridCol w:w="1008"/>
        <w:gridCol w:w="1008"/>
        <w:gridCol w:w="1007"/>
        <w:gridCol w:w="1007"/>
        <w:gridCol w:w="1007"/>
        <w:gridCol w:w="1007"/>
        <w:gridCol w:w="1006"/>
      </w:tblGrid>
      <w:tr w:rsidR="00431D47" w14:paraId="194A723F" w14:textId="73D320F9" w:rsidTr="00EB3296">
        <w:trPr>
          <w:trHeight w:val="624"/>
          <w:tblHeader/>
        </w:trPr>
        <w:tc>
          <w:tcPr>
            <w:tcW w:w="656" w:type="pct"/>
            <w:vAlign w:val="center"/>
          </w:tcPr>
          <w:p w14:paraId="17A8969E" w14:textId="7DEBE754" w:rsidR="00431D47" w:rsidRDefault="006B0A88" w:rsidP="00EB3296">
            <w:pPr>
              <w:pStyle w:val="Tablecolhead"/>
            </w:pPr>
            <w:r>
              <w:t>Sex</w:t>
            </w:r>
          </w:p>
        </w:tc>
        <w:tc>
          <w:tcPr>
            <w:tcW w:w="543" w:type="pct"/>
            <w:vAlign w:val="center"/>
          </w:tcPr>
          <w:p w14:paraId="39A6F401" w14:textId="1556867A" w:rsidR="00431D47" w:rsidRPr="00AA2789" w:rsidRDefault="00431D47" w:rsidP="00312856">
            <w:pPr>
              <w:pStyle w:val="Tablecolhead"/>
              <w:jc w:val="center"/>
            </w:pPr>
            <w:r w:rsidRPr="00AA2789">
              <w:t>0–17</w:t>
            </w:r>
          </w:p>
        </w:tc>
        <w:tc>
          <w:tcPr>
            <w:tcW w:w="543" w:type="pct"/>
            <w:vAlign w:val="center"/>
          </w:tcPr>
          <w:p w14:paraId="54EBA493" w14:textId="2BE1D965" w:rsidR="00431D47" w:rsidRDefault="00431D47" w:rsidP="00312856">
            <w:pPr>
              <w:pStyle w:val="Tablecolhead"/>
              <w:jc w:val="center"/>
            </w:pPr>
            <w:r>
              <w:t>18–29</w:t>
            </w:r>
          </w:p>
        </w:tc>
        <w:tc>
          <w:tcPr>
            <w:tcW w:w="543" w:type="pct"/>
            <w:vAlign w:val="center"/>
          </w:tcPr>
          <w:p w14:paraId="6F158FEA" w14:textId="2FAA34B7" w:rsidR="00431D47" w:rsidRDefault="00431D47" w:rsidP="00312856">
            <w:pPr>
              <w:pStyle w:val="Tablecolhead"/>
              <w:jc w:val="center"/>
            </w:pPr>
            <w:r>
              <w:t>30–39</w:t>
            </w:r>
          </w:p>
        </w:tc>
        <w:tc>
          <w:tcPr>
            <w:tcW w:w="543" w:type="pct"/>
            <w:vAlign w:val="center"/>
          </w:tcPr>
          <w:p w14:paraId="293EEF28" w14:textId="527910BB" w:rsidR="00431D47" w:rsidRDefault="00431D47" w:rsidP="00312856">
            <w:pPr>
              <w:pStyle w:val="Tablecolhead"/>
              <w:jc w:val="center"/>
            </w:pPr>
            <w:r>
              <w:t>40–49</w:t>
            </w:r>
          </w:p>
        </w:tc>
        <w:tc>
          <w:tcPr>
            <w:tcW w:w="543" w:type="pct"/>
            <w:vAlign w:val="center"/>
          </w:tcPr>
          <w:p w14:paraId="6E69A1C7" w14:textId="1BF270FE" w:rsidR="00431D47" w:rsidRDefault="00431D47" w:rsidP="00312856">
            <w:pPr>
              <w:pStyle w:val="Tablecolhead"/>
              <w:jc w:val="center"/>
            </w:pPr>
            <w:r>
              <w:t>50–59</w:t>
            </w:r>
          </w:p>
        </w:tc>
        <w:tc>
          <w:tcPr>
            <w:tcW w:w="543" w:type="pct"/>
            <w:vAlign w:val="center"/>
          </w:tcPr>
          <w:p w14:paraId="65703DBC" w14:textId="055F69DD" w:rsidR="00431D47" w:rsidRDefault="00431D47" w:rsidP="00312856">
            <w:pPr>
              <w:pStyle w:val="Tablecolhead"/>
              <w:jc w:val="center"/>
            </w:pPr>
            <w:r>
              <w:t>60–69</w:t>
            </w:r>
          </w:p>
        </w:tc>
        <w:tc>
          <w:tcPr>
            <w:tcW w:w="543" w:type="pct"/>
            <w:vAlign w:val="center"/>
          </w:tcPr>
          <w:p w14:paraId="1DFD4B9C" w14:textId="46BC4E97" w:rsidR="00431D47" w:rsidRDefault="00431D47" w:rsidP="00312856">
            <w:pPr>
              <w:pStyle w:val="Tablecolhead"/>
              <w:jc w:val="center"/>
            </w:pPr>
            <w:r>
              <w:t>70–79</w:t>
            </w:r>
          </w:p>
        </w:tc>
        <w:tc>
          <w:tcPr>
            <w:tcW w:w="542" w:type="pct"/>
            <w:vAlign w:val="center"/>
          </w:tcPr>
          <w:p w14:paraId="05A4EF9D" w14:textId="7CCCABE0" w:rsidR="00431D47" w:rsidRDefault="00431D47" w:rsidP="00312856">
            <w:pPr>
              <w:pStyle w:val="Tablecolhead"/>
              <w:jc w:val="center"/>
            </w:pPr>
            <w:r>
              <w:t>80+</w:t>
            </w:r>
          </w:p>
        </w:tc>
      </w:tr>
      <w:tr w:rsidR="00005460" w14:paraId="328647BB" w14:textId="55CEFDF4" w:rsidTr="50A68A59">
        <w:trPr>
          <w:trHeight w:val="374"/>
        </w:trPr>
        <w:tc>
          <w:tcPr>
            <w:tcW w:w="656" w:type="pct"/>
          </w:tcPr>
          <w:p w14:paraId="580D94CE" w14:textId="103752EF" w:rsidR="00005460" w:rsidRDefault="00005460" w:rsidP="00005460">
            <w:pPr>
              <w:pStyle w:val="Tabletext"/>
            </w:pPr>
            <w:r>
              <w:t>Female</w:t>
            </w:r>
          </w:p>
        </w:tc>
        <w:tc>
          <w:tcPr>
            <w:tcW w:w="543" w:type="pct"/>
            <w:vAlign w:val="center"/>
          </w:tcPr>
          <w:p w14:paraId="1C128C56" w14:textId="0969C16E" w:rsidR="00005460" w:rsidRPr="00AA2789" w:rsidRDefault="00005460" w:rsidP="00005460">
            <w:pPr>
              <w:pStyle w:val="Tabletext"/>
              <w:jc w:val="center"/>
            </w:pPr>
            <w:r w:rsidRPr="00005460">
              <w:t>188</w:t>
            </w:r>
          </w:p>
        </w:tc>
        <w:tc>
          <w:tcPr>
            <w:tcW w:w="543" w:type="pct"/>
            <w:vAlign w:val="center"/>
          </w:tcPr>
          <w:p w14:paraId="0E9E8F7E" w14:textId="43565268" w:rsidR="00005460" w:rsidRDefault="00005460" w:rsidP="00005460">
            <w:pPr>
              <w:pStyle w:val="Tabletext"/>
              <w:jc w:val="center"/>
            </w:pPr>
            <w:r w:rsidRPr="00005460">
              <w:t>291</w:t>
            </w:r>
          </w:p>
        </w:tc>
        <w:tc>
          <w:tcPr>
            <w:tcW w:w="543" w:type="pct"/>
            <w:vAlign w:val="center"/>
          </w:tcPr>
          <w:p w14:paraId="73F39CDA" w14:textId="74FB5227" w:rsidR="00005460" w:rsidRDefault="00005460" w:rsidP="00005460">
            <w:pPr>
              <w:pStyle w:val="Tabletext"/>
              <w:jc w:val="center"/>
            </w:pPr>
            <w:r w:rsidRPr="00005460">
              <w:t>267</w:t>
            </w:r>
          </w:p>
        </w:tc>
        <w:tc>
          <w:tcPr>
            <w:tcW w:w="543" w:type="pct"/>
            <w:vAlign w:val="center"/>
          </w:tcPr>
          <w:p w14:paraId="63D54D5B" w14:textId="5087A0C2" w:rsidR="00005460" w:rsidRDefault="00005460" w:rsidP="00005460">
            <w:pPr>
              <w:pStyle w:val="Tabletext"/>
              <w:jc w:val="center"/>
            </w:pPr>
            <w:r w:rsidRPr="00005460">
              <w:t>111</w:t>
            </w:r>
          </w:p>
        </w:tc>
        <w:tc>
          <w:tcPr>
            <w:tcW w:w="543" w:type="pct"/>
            <w:vAlign w:val="center"/>
          </w:tcPr>
          <w:p w14:paraId="09058723" w14:textId="6D9F351B" w:rsidR="00005460" w:rsidRDefault="00005460" w:rsidP="00005460">
            <w:pPr>
              <w:pStyle w:val="Tabletext"/>
              <w:jc w:val="center"/>
            </w:pPr>
            <w:r w:rsidRPr="00005460">
              <w:t>81</w:t>
            </w:r>
          </w:p>
        </w:tc>
        <w:tc>
          <w:tcPr>
            <w:tcW w:w="543" w:type="pct"/>
            <w:vAlign w:val="center"/>
          </w:tcPr>
          <w:p w14:paraId="341DEC7C" w14:textId="1B3FEAD8" w:rsidR="00005460" w:rsidRDefault="00005460" w:rsidP="00005460">
            <w:pPr>
              <w:pStyle w:val="Tabletext"/>
              <w:jc w:val="center"/>
            </w:pPr>
            <w:r w:rsidRPr="00005460">
              <w:t>12</w:t>
            </w:r>
          </w:p>
        </w:tc>
        <w:tc>
          <w:tcPr>
            <w:tcW w:w="543" w:type="pct"/>
            <w:vAlign w:val="center"/>
          </w:tcPr>
          <w:p w14:paraId="7B060F4F" w14:textId="593477FC" w:rsidR="00005460" w:rsidRDefault="00005460" w:rsidP="00005460">
            <w:pPr>
              <w:pStyle w:val="Tabletext"/>
              <w:jc w:val="center"/>
            </w:pPr>
            <w:proofErr w:type="spellStart"/>
            <w:r w:rsidRPr="00005460">
              <w:t>n.p.</w:t>
            </w:r>
            <w:proofErr w:type="spellEnd"/>
          </w:p>
        </w:tc>
        <w:tc>
          <w:tcPr>
            <w:tcW w:w="542" w:type="pct"/>
            <w:vAlign w:val="center"/>
          </w:tcPr>
          <w:p w14:paraId="00F150B6" w14:textId="7A3CE1D1" w:rsidR="00005460" w:rsidRDefault="00005460" w:rsidP="00005460">
            <w:pPr>
              <w:pStyle w:val="Tabletext"/>
              <w:jc w:val="center"/>
            </w:pPr>
            <w:r>
              <w:t>0</w:t>
            </w:r>
          </w:p>
        </w:tc>
      </w:tr>
      <w:tr w:rsidR="00005460" w14:paraId="1C1F0810" w14:textId="7C7568F6" w:rsidTr="50A68A59">
        <w:trPr>
          <w:trHeight w:val="374"/>
        </w:trPr>
        <w:tc>
          <w:tcPr>
            <w:tcW w:w="656" w:type="pct"/>
          </w:tcPr>
          <w:p w14:paraId="647A987D" w14:textId="1A705E40" w:rsidR="00005460" w:rsidRDefault="00005460" w:rsidP="00005460">
            <w:pPr>
              <w:pStyle w:val="Tabletext"/>
            </w:pPr>
            <w:r>
              <w:t>Male</w:t>
            </w:r>
          </w:p>
        </w:tc>
        <w:tc>
          <w:tcPr>
            <w:tcW w:w="543" w:type="pct"/>
            <w:vAlign w:val="center"/>
          </w:tcPr>
          <w:p w14:paraId="4E38DF28" w14:textId="79756AC4" w:rsidR="00005460" w:rsidRPr="00AA2789" w:rsidRDefault="00005460" w:rsidP="00005460">
            <w:pPr>
              <w:pStyle w:val="Tabletext"/>
              <w:jc w:val="center"/>
            </w:pPr>
            <w:r w:rsidRPr="00005460">
              <w:t>91</w:t>
            </w:r>
          </w:p>
        </w:tc>
        <w:tc>
          <w:tcPr>
            <w:tcW w:w="543" w:type="pct"/>
            <w:vAlign w:val="center"/>
          </w:tcPr>
          <w:p w14:paraId="76D5E303" w14:textId="6588EA7A" w:rsidR="00005460" w:rsidRDefault="00005460" w:rsidP="00005460">
            <w:pPr>
              <w:pStyle w:val="Tabletext"/>
              <w:jc w:val="center"/>
            </w:pPr>
            <w:r w:rsidRPr="00005460">
              <w:t>510</w:t>
            </w:r>
          </w:p>
        </w:tc>
        <w:tc>
          <w:tcPr>
            <w:tcW w:w="543" w:type="pct"/>
            <w:vAlign w:val="center"/>
          </w:tcPr>
          <w:p w14:paraId="0672CFFF" w14:textId="7853E331" w:rsidR="00005460" w:rsidRDefault="00005460" w:rsidP="00005460">
            <w:pPr>
              <w:pStyle w:val="Tabletext"/>
              <w:jc w:val="center"/>
            </w:pPr>
            <w:r w:rsidRPr="00005460">
              <w:t>628</w:t>
            </w:r>
          </w:p>
        </w:tc>
        <w:tc>
          <w:tcPr>
            <w:tcW w:w="543" w:type="pct"/>
            <w:vAlign w:val="center"/>
          </w:tcPr>
          <w:p w14:paraId="7DA21E4F" w14:textId="3B2ED41C" w:rsidR="00005460" w:rsidRDefault="00005460" w:rsidP="00005460">
            <w:pPr>
              <w:pStyle w:val="Tabletext"/>
              <w:jc w:val="center"/>
            </w:pPr>
            <w:r w:rsidRPr="00005460">
              <w:t>370</w:t>
            </w:r>
          </w:p>
        </w:tc>
        <w:tc>
          <w:tcPr>
            <w:tcW w:w="543" w:type="pct"/>
            <w:vAlign w:val="center"/>
          </w:tcPr>
          <w:p w14:paraId="4F71B123" w14:textId="2CF34469" w:rsidR="00005460" w:rsidRDefault="00005460" w:rsidP="00005460">
            <w:pPr>
              <w:pStyle w:val="Tabletext"/>
              <w:jc w:val="center"/>
            </w:pPr>
            <w:r w:rsidRPr="00005460">
              <w:t>169</w:t>
            </w:r>
          </w:p>
        </w:tc>
        <w:tc>
          <w:tcPr>
            <w:tcW w:w="543" w:type="pct"/>
            <w:vAlign w:val="center"/>
          </w:tcPr>
          <w:p w14:paraId="57A5700B" w14:textId="52D2FB20" w:rsidR="00005460" w:rsidRDefault="00005460" w:rsidP="00005460">
            <w:pPr>
              <w:pStyle w:val="Tabletext"/>
              <w:jc w:val="center"/>
            </w:pPr>
            <w:r w:rsidRPr="00005460">
              <w:t>65</w:t>
            </w:r>
          </w:p>
        </w:tc>
        <w:tc>
          <w:tcPr>
            <w:tcW w:w="543" w:type="pct"/>
            <w:vAlign w:val="center"/>
          </w:tcPr>
          <w:p w14:paraId="00C83828" w14:textId="1D7D5C1B" w:rsidR="00005460" w:rsidRDefault="00005460" w:rsidP="00005460">
            <w:pPr>
              <w:pStyle w:val="Tabletext"/>
              <w:jc w:val="center"/>
            </w:pPr>
            <w:r w:rsidRPr="00005460">
              <w:t>8</w:t>
            </w:r>
          </w:p>
        </w:tc>
        <w:tc>
          <w:tcPr>
            <w:tcW w:w="542" w:type="pct"/>
            <w:vAlign w:val="center"/>
          </w:tcPr>
          <w:p w14:paraId="3F489EAD" w14:textId="4675C5F6" w:rsidR="00005460" w:rsidRDefault="00005460" w:rsidP="00005460">
            <w:pPr>
              <w:pStyle w:val="Tabletext"/>
              <w:jc w:val="center"/>
            </w:pPr>
            <w:proofErr w:type="spellStart"/>
            <w:r w:rsidRPr="00005460">
              <w:t>n.p.</w:t>
            </w:r>
            <w:proofErr w:type="spellEnd"/>
          </w:p>
        </w:tc>
      </w:tr>
      <w:tr w:rsidR="00005460" w14:paraId="52759682" w14:textId="77777777" w:rsidTr="50A68A59">
        <w:trPr>
          <w:trHeight w:val="374"/>
        </w:trPr>
        <w:tc>
          <w:tcPr>
            <w:tcW w:w="656" w:type="pct"/>
          </w:tcPr>
          <w:p w14:paraId="4B3367D5" w14:textId="0E81BAF9" w:rsidR="00005460" w:rsidRDefault="00005460" w:rsidP="00005460">
            <w:pPr>
              <w:pStyle w:val="Tabletext"/>
            </w:pPr>
            <w:r>
              <w:t>Other or unknown</w:t>
            </w:r>
          </w:p>
        </w:tc>
        <w:tc>
          <w:tcPr>
            <w:tcW w:w="543" w:type="pct"/>
            <w:vAlign w:val="center"/>
          </w:tcPr>
          <w:p w14:paraId="0E2328BA" w14:textId="2F383939" w:rsidR="00005460" w:rsidRPr="009D5344" w:rsidRDefault="00005460" w:rsidP="00005460">
            <w:pPr>
              <w:pStyle w:val="Tabletext"/>
              <w:jc w:val="center"/>
            </w:pPr>
            <w:r w:rsidRPr="00005460">
              <w:t>8</w:t>
            </w:r>
          </w:p>
        </w:tc>
        <w:tc>
          <w:tcPr>
            <w:tcW w:w="543" w:type="pct"/>
            <w:vAlign w:val="center"/>
          </w:tcPr>
          <w:p w14:paraId="75DE32F2" w14:textId="1AF804CB" w:rsidR="00005460" w:rsidRPr="009D5344" w:rsidRDefault="00005460" w:rsidP="00005460">
            <w:pPr>
              <w:pStyle w:val="Tabletext"/>
              <w:jc w:val="center"/>
            </w:pPr>
            <w:r w:rsidRPr="00005460">
              <w:t>7</w:t>
            </w:r>
          </w:p>
        </w:tc>
        <w:tc>
          <w:tcPr>
            <w:tcW w:w="543" w:type="pct"/>
            <w:vAlign w:val="center"/>
          </w:tcPr>
          <w:p w14:paraId="685563C6" w14:textId="37DCA55B" w:rsidR="00005460" w:rsidRPr="009D5344" w:rsidRDefault="00005460" w:rsidP="00005460">
            <w:pPr>
              <w:pStyle w:val="Tabletext"/>
              <w:jc w:val="center"/>
            </w:pPr>
            <w:r w:rsidRPr="00005460">
              <w:t>0</w:t>
            </w:r>
          </w:p>
        </w:tc>
        <w:tc>
          <w:tcPr>
            <w:tcW w:w="543" w:type="pct"/>
            <w:vAlign w:val="center"/>
          </w:tcPr>
          <w:p w14:paraId="2EE1987E" w14:textId="26C06415" w:rsidR="00005460" w:rsidRPr="009D5344" w:rsidRDefault="00005460" w:rsidP="00005460">
            <w:pPr>
              <w:pStyle w:val="Tabletext"/>
              <w:jc w:val="center"/>
            </w:pPr>
            <w:r w:rsidRPr="00005460">
              <w:t>0</w:t>
            </w:r>
          </w:p>
        </w:tc>
        <w:tc>
          <w:tcPr>
            <w:tcW w:w="543" w:type="pct"/>
            <w:vAlign w:val="center"/>
          </w:tcPr>
          <w:p w14:paraId="1FA3F364" w14:textId="3DCC532B" w:rsidR="00005460" w:rsidRPr="009D5344" w:rsidRDefault="00005460" w:rsidP="00005460">
            <w:pPr>
              <w:pStyle w:val="Tabletext"/>
              <w:jc w:val="center"/>
            </w:pPr>
            <w:r w:rsidRPr="00005460">
              <w:t>0</w:t>
            </w:r>
          </w:p>
        </w:tc>
        <w:tc>
          <w:tcPr>
            <w:tcW w:w="543" w:type="pct"/>
            <w:vAlign w:val="center"/>
          </w:tcPr>
          <w:p w14:paraId="6FBD0018" w14:textId="629F74C8" w:rsidR="00005460" w:rsidRPr="009D5344" w:rsidRDefault="00005460" w:rsidP="00005460">
            <w:pPr>
              <w:pStyle w:val="Tabletext"/>
              <w:jc w:val="center"/>
            </w:pPr>
            <w:r w:rsidRPr="00005460">
              <w:t>0</w:t>
            </w:r>
          </w:p>
        </w:tc>
        <w:tc>
          <w:tcPr>
            <w:tcW w:w="543" w:type="pct"/>
            <w:vAlign w:val="center"/>
          </w:tcPr>
          <w:p w14:paraId="40B97E79" w14:textId="1A500688" w:rsidR="00005460" w:rsidRDefault="00005460" w:rsidP="00005460">
            <w:pPr>
              <w:pStyle w:val="Tabletext"/>
              <w:jc w:val="center"/>
            </w:pPr>
            <w:r w:rsidRPr="00005460">
              <w:t>0</w:t>
            </w:r>
          </w:p>
        </w:tc>
        <w:tc>
          <w:tcPr>
            <w:tcW w:w="542" w:type="pct"/>
            <w:vAlign w:val="center"/>
          </w:tcPr>
          <w:p w14:paraId="2735B536" w14:textId="0B175C23" w:rsidR="00005460" w:rsidRDefault="00005460" w:rsidP="00005460">
            <w:pPr>
              <w:pStyle w:val="Tabletext"/>
              <w:jc w:val="center"/>
            </w:pPr>
            <w:r w:rsidRPr="00005460">
              <w:t>0</w:t>
            </w:r>
          </w:p>
        </w:tc>
      </w:tr>
    </w:tbl>
    <w:p w14:paraId="70CD377A" w14:textId="75BDDEC6" w:rsidR="00685954" w:rsidRDefault="00381B2F" w:rsidP="00643556">
      <w:pPr>
        <w:pStyle w:val="Tablefigurenote"/>
      </w:pPr>
      <w:r w:rsidRPr="006837F3">
        <w:t>Note</w:t>
      </w:r>
      <w:r w:rsidR="009653F0">
        <w:t>s</w:t>
      </w:r>
      <w:r w:rsidRPr="006837F3">
        <w:t xml:space="preserve">: </w:t>
      </w:r>
    </w:p>
    <w:p w14:paraId="0C22A7FE" w14:textId="2505F679" w:rsidR="00381B2F" w:rsidRDefault="00381B2F" w:rsidP="005F4292">
      <w:pPr>
        <w:pStyle w:val="Tablefigurenote"/>
        <w:spacing w:line="220" w:lineRule="exact"/>
      </w:pPr>
      <w:r w:rsidRPr="006837F3">
        <w:t>Some age groups have been further aggregated to protect the confidentiality of individuals</w:t>
      </w:r>
      <w:r w:rsidR="004F58D3">
        <w:t>.</w:t>
      </w:r>
    </w:p>
    <w:p w14:paraId="33963820" w14:textId="51E5D0B9" w:rsidR="00685954" w:rsidRDefault="00847ED0" w:rsidP="005F4292">
      <w:pPr>
        <w:pStyle w:val="Tablefigurenote"/>
        <w:spacing w:line="220" w:lineRule="exact"/>
      </w:pPr>
      <w:proofErr w:type="spellStart"/>
      <w:r>
        <w:t>n.p.</w:t>
      </w:r>
      <w:proofErr w:type="spellEnd"/>
      <w:r>
        <w:t xml:space="preserve"> </w:t>
      </w:r>
      <w:r w:rsidR="00E633CA">
        <w:t xml:space="preserve">refers to </w:t>
      </w:r>
      <w:r w:rsidR="00C35519">
        <w:t>data that is n</w:t>
      </w:r>
      <w:r w:rsidR="005E42BE">
        <w:t>ot published</w:t>
      </w:r>
      <w:r w:rsidR="00F64AE9">
        <w:t xml:space="preserve">. </w:t>
      </w:r>
      <w:r w:rsidR="006D4BF7">
        <w:t xml:space="preserve">This is done to protect the </w:t>
      </w:r>
      <w:r w:rsidR="000C5D9C">
        <w:t>confidentiality of individuals.</w:t>
      </w:r>
      <w:r w:rsidR="00A0642D">
        <w:t xml:space="preserve"> </w:t>
      </w:r>
    </w:p>
    <w:p w14:paraId="274F9FC3" w14:textId="77777777" w:rsidR="007A3C0C" w:rsidRDefault="007A3C0C" w:rsidP="00643556">
      <w:pPr>
        <w:pStyle w:val="Tablefigurenote"/>
      </w:pPr>
    </w:p>
    <w:p w14:paraId="71B1D8D2" w14:textId="43763C99" w:rsidR="000672F8" w:rsidRPr="0070692A" w:rsidRDefault="000672F8" w:rsidP="0070692A">
      <w:pPr>
        <w:pStyle w:val="DHHSbody"/>
        <w:rPr>
          <w:rFonts w:ascii="Segoe UI" w:hAnsi="Segoe UI" w:cs="Segoe UI"/>
          <w:sz w:val="21"/>
          <w:szCs w:val="21"/>
          <w:lang w:eastAsia="en-AU"/>
        </w:rPr>
      </w:pPr>
      <w:r w:rsidRPr="0070692A">
        <w:rPr>
          <w:sz w:val="21"/>
          <w:szCs w:val="21"/>
          <w:lang w:eastAsia="en-AU"/>
        </w:rPr>
        <w:t>For bodily restraint, most episodes were among the 30- to 39-year-old age group (</w:t>
      </w:r>
      <w:r w:rsidRPr="00EB3296">
        <w:rPr>
          <w:sz w:val="21"/>
          <w:szCs w:val="21"/>
          <w:lang w:eastAsia="en-AU"/>
        </w:rPr>
        <w:t xml:space="preserve">Table </w:t>
      </w:r>
      <w:r w:rsidR="003234E3" w:rsidRPr="00EB3296">
        <w:rPr>
          <w:sz w:val="21"/>
          <w:szCs w:val="21"/>
          <w:lang w:eastAsia="en-AU"/>
        </w:rPr>
        <w:t>8</w:t>
      </w:r>
      <w:r w:rsidRPr="00EB3296">
        <w:rPr>
          <w:sz w:val="21"/>
          <w:szCs w:val="21"/>
          <w:lang w:eastAsia="en-AU"/>
        </w:rPr>
        <w:t>)</w:t>
      </w:r>
      <w:r w:rsidRPr="00EB3296">
        <w:rPr>
          <w:rFonts w:cs="Arial"/>
          <w:sz w:val="21"/>
          <w:szCs w:val="21"/>
          <w:lang w:eastAsia="en-AU"/>
        </w:rPr>
        <w:t>. </w:t>
      </w:r>
    </w:p>
    <w:p w14:paraId="4ED7DE95" w14:textId="518269F5" w:rsidR="000672F8" w:rsidRPr="0070692A" w:rsidRDefault="000672F8" w:rsidP="0070692A">
      <w:pPr>
        <w:pStyle w:val="DHHSbody"/>
        <w:rPr>
          <w:rFonts w:ascii="Segoe UI" w:hAnsi="Segoe UI" w:cs="Segoe UI"/>
          <w:sz w:val="21"/>
          <w:szCs w:val="21"/>
          <w:lang w:eastAsia="en-AU"/>
        </w:rPr>
      </w:pPr>
      <w:r w:rsidRPr="0070692A">
        <w:rPr>
          <w:rFonts w:cs="Arial"/>
          <w:sz w:val="21"/>
          <w:szCs w:val="21"/>
          <w:lang w:eastAsia="en-AU"/>
        </w:rPr>
        <w:t>There is a difference in seclusion and bodily restraint episodes between sexes, with each being more frequent in males, except in the 0- to 17-year-old age group, where it was more frequent in females.</w:t>
      </w:r>
      <w:r w:rsidR="0070692A" w:rsidRPr="0070692A">
        <w:rPr>
          <w:rFonts w:cs="Arial"/>
          <w:sz w:val="21"/>
          <w:szCs w:val="21"/>
          <w:lang w:eastAsia="en-AU"/>
        </w:rPr>
        <w:t xml:space="preserve"> </w:t>
      </w:r>
    </w:p>
    <w:p w14:paraId="321985EB" w14:textId="24660819" w:rsidR="001179A7" w:rsidRPr="0070692A" w:rsidRDefault="2B6EAD65" w:rsidP="0070692A">
      <w:pPr>
        <w:pStyle w:val="DHHSbody"/>
        <w:rPr>
          <w:sz w:val="21"/>
          <w:szCs w:val="21"/>
          <w:highlight w:val="yellow"/>
        </w:rPr>
      </w:pPr>
      <w:r w:rsidRPr="0070692A">
        <w:rPr>
          <w:sz w:val="21"/>
          <w:szCs w:val="21"/>
        </w:rPr>
        <w:t>T</w:t>
      </w:r>
      <w:r w:rsidR="00626D9C" w:rsidRPr="0070692A">
        <w:rPr>
          <w:sz w:val="21"/>
          <w:szCs w:val="21"/>
        </w:rPr>
        <w:t xml:space="preserve">he usual pattern of </w:t>
      </w:r>
      <w:r w:rsidR="00724F20" w:rsidRPr="0070692A">
        <w:rPr>
          <w:sz w:val="21"/>
          <w:szCs w:val="21"/>
        </w:rPr>
        <w:t xml:space="preserve">increased frequency in males for both bodily restraint and seclusion is not seen in the data this year. </w:t>
      </w:r>
      <w:r w:rsidR="00EB5875" w:rsidRPr="0070692A">
        <w:rPr>
          <w:sz w:val="21"/>
          <w:szCs w:val="21"/>
        </w:rPr>
        <w:t xml:space="preserve">The Chief </w:t>
      </w:r>
      <w:r w:rsidR="004B1276" w:rsidRPr="0070692A">
        <w:rPr>
          <w:sz w:val="21"/>
          <w:szCs w:val="21"/>
        </w:rPr>
        <w:t>Psychiatrist</w:t>
      </w:r>
      <w:r w:rsidR="00EB5875" w:rsidRPr="0070692A">
        <w:rPr>
          <w:sz w:val="21"/>
          <w:szCs w:val="21"/>
        </w:rPr>
        <w:t xml:space="preserve"> will monitor this </w:t>
      </w:r>
      <w:r w:rsidR="001E5626">
        <w:rPr>
          <w:sz w:val="21"/>
          <w:szCs w:val="21"/>
        </w:rPr>
        <w:t xml:space="preserve">change </w:t>
      </w:r>
      <w:r w:rsidR="00EB5875" w:rsidRPr="0070692A">
        <w:rPr>
          <w:sz w:val="21"/>
          <w:szCs w:val="21"/>
        </w:rPr>
        <w:t xml:space="preserve">with interest to see if </w:t>
      </w:r>
      <w:r w:rsidR="00442937">
        <w:rPr>
          <w:sz w:val="21"/>
          <w:szCs w:val="21"/>
        </w:rPr>
        <w:t>it</w:t>
      </w:r>
      <w:r w:rsidR="00AA3B07">
        <w:rPr>
          <w:sz w:val="21"/>
          <w:szCs w:val="21"/>
        </w:rPr>
        <w:t xml:space="preserve"> </w:t>
      </w:r>
      <w:r w:rsidR="00724686">
        <w:rPr>
          <w:sz w:val="21"/>
          <w:szCs w:val="21"/>
        </w:rPr>
        <w:t xml:space="preserve">becomes a </w:t>
      </w:r>
      <w:r w:rsidR="00425A11">
        <w:rPr>
          <w:sz w:val="21"/>
          <w:szCs w:val="21"/>
        </w:rPr>
        <w:t>long</w:t>
      </w:r>
      <w:r w:rsidR="00C84A05">
        <w:rPr>
          <w:sz w:val="21"/>
          <w:szCs w:val="21"/>
        </w:rPr>
        <w:t>-</w:t>
      </w:r>
      <w:r w:rsidR="00425A11">
        <w:rPr>
          <w:sz w:val="21"/>
          <w:szCs w:val="21"/>
        </w:rPr>
        <w:t>term</w:t>
      </w:r>
      <w:r w:rsidR="00724686">
        <w:rPr>
          <w:sz w:val="21"/>
          <w:szCs w:val="21"/>
        </w:rPr>
        <w:t xml:space="preserve"> </w:t>
      </w:r>
      <w:r w:rsidR="006561D4">
        <w:rPr>
          <w:sz w:val="21"/>
          <w:szCs w:val="21"/>
        </w:rPr>
        <w:t>feature</w:t>
      </w:r>
      <w:r w:rsidR="00425A11">
        <w:rPr>
          <w:sz w:val="21"/>
          <w:szCs w:val="21"/>
        </w:rPr>
        <w:t xml:space="preserve">. </w:t>
      </w:r>
    </w:p>
    <w:p w14:paraId="5B6F6712" w14:textId="0CCE17EA" w:rsidR="7991450A" w:rsidRDefault="7991450A" w:rsidP="000D0B9B">
      <w:pPr>
        <w:pStyle w:val="Tablecaption"/>
        <w:rPr>
          <w:rFonts w:eastAsia="Arial"/>
        </w:rPr>
      </w:pPr>
      <w:r w:rsidRPr="6413A842">
        <w:rPr>
          <w:rFonts w:eastAsia="Arial"/>
        </w:rPr>
        <w:t xml:space="preserve">Table </w:t>
      </w:r>
      <w:r w:rsidR="003234E3">
        <w:rPr>
          <w:rFonts w:eastAsia="Arial"/>
        </w:rPr>
        <w:t>8</w:t>
      </w:r>
      <w:r w:rsidRPr="6413A842">
        <w:rPr>
          <w:rFonts w:eastAsia="Arial"/>
        </w:rPr>
        <w:t xml:space="preserve">: </w:t>
      </w:r>
      <w:r w:rsidR="00EF4AA0" w:rsidRPr="00EF4AA0">
        <w:rPr>
          <w:rFonts w:eastAsia="Arial"/>
        </w:rPr>
        <w:t>Number of ended bodily restraint episodes in acute inpatient units, by age and sex, 2022–</w:t>
      </w:r>
      <w:proofErr w:type="gramStart"/>
      <w:r w:rsidR="00EF4AA0" w:rsidRPr="00EF4AA0">
        <w:rPr>
          <w:rFonts w:eastAsia="Arial"/>
        </w:rPr>
        <w:t>23</w:t>
      </w:r>
      <w:proofErr w:type="gramEnd"/>
    </w:p>
    <w:tbl>
      <w:tblPr>
        <w:tblStyle w:val="TableGrid"/>
        <w:tblW w:w="9540" w:type="dxa"/>
        <w:tblInd w:w="-5" w:type="dxa"/>
        <w:tblLook w:val="0620" w:firstRow="1" w:lastRow="0" w:firstColumn="0" w:lastColumn="0" w:noHBand="1" w:noVBand="1"/>
      </w:tblPr>
      <w:tblGrid>
        <w:gridCol w:w="1154"/>
        <w:gridCol w:w="931"/>
        <w:gridCol w:w="932"/>
        <w:gridCol w:w="932"/>
        <w:gridCol w:w="932"/>
        <w:gridCol w:w="931"/>
        <w:gridCol w:w="932"/>
        <w:gridCol w:w="932"/>
        <w:gridCol w:w="932"/>
        <w:gridCol w:w="932"/>
      </w:tblGrid>
      <w:tr w:rsidR="00D3383A" w14:paraId="1A6D021F" w14:textId="10ABA104" w:rsidTr="00954FDF">
        <w:trPr>
          <w:tblHeader/>
        </w:trPr>
        <w:tc>
          <w:tcPr>
            <w:tcW w:w="1154" w:type="dxa"/>
          </w:tcPr>
          <w:p w14:paraId="009B8984" w14:textId="7782018C" w:rsidR="008549DA" w:rsidRDefault="006B0A88" w:rsidP="000D0B9B">
            <w:pPr>
              <w:pStyle w:val="Tablecolhead"/>
            </w:pPr>
            <w:r>
              <w:t>Sex</w:t>
            </w:r>
          </w:p>
        </w:tc>
        <w:tc>
          <w:tcPr>
            <w:tcW w:w="931" w:type="dxa"/>
            <w:vAlign w:val="center"/>
          </w:tcPr>
          <w:p w14:paraId="69F74E23" w14:textId="4D63B390" w:rsidR="008549DA" w:rsidRDefault="008549DA" w:rsidP="00312856">
            <w:pPr>
              <w:pStyle w:val="Tablecolhead"/>
              <w:jc w:val="center"/>
            </w:pPr>
            <w:r>
              <w:t>0</w:t>
            </w:r>
            <w:r w:rsidR="00DC5193">
              <w:t>–</w:t>
            </w:r>
            <w:r>
              <w:t>12</w:t>
            </w:r>
          </w:p>
        </w:tc>
        <w:tc>
          <w:tcPr>
            <w:tcW w:w="932" w:type="dxa"/>
            <w:vAlign w:val="center"/>
          </w:tcPr>
          <w:p w14:paraId="4F7D95F7" w14:textId="04EC8989" w:rsidR="008549DA" w:rsidRDefault="008549DA" w:rsidP="00312856">
            <w:pPr>
              <w:pStyle w:val="Tablecolhead"/>
              <w:jc w:val="center"/>
            </w:pPr>
            <w:r>
              <w:t>13</w:t>
            </w:r>
            <w:r w:rsidR="00DC5193">
              <w:t>–</w:t>
            </w:r>
            <w:r>
              <w:t>17</w:t>
            </w:r>
          </w:p>
        </w:tc>
        <w:tc>
          <w:tcPr>
            <w:tcW w:w="932" w:type="dxa"/>
            <w:vAlign w:val="center"/>
          </w:tcPr>
          <w:p w14:paraId="1FEF16B3" w14:textId="4149118F" w:rsidR="008549DA" w:rsidRDefault="008549DA" w:rsidP="00312856">
            <w:pPr>
              <w:pStyle w:val="Tablecolhead"/>
              <w:jc w:val="center"/>
            </w:pPr>
            <w:r>
              <w:t>18–29</w:t>
            </w:r>
          </w:p>
        </w:tc>
        <w:tc>
          <w:tcPr>
            <w:tcW w:w="932" w:type="dxa"/>
            <w:vAlign w:val="center"/>
          </w:tcPr>
          <w:p w14:paraId="32468F12" w14:textId="709E34D8" w:rsidR="008549DA" w:rsidRDefault="008549DA" w:rsidP="00312856">
            <w:pPr>
              <w:pStyle w:val="Tablecolhead"/>
              <w:jc w:val="center"/>
            </w:pPr>
            <w:r>
              <w:t>30–39</w:t>
            </w:r>
          </w:p>
        </w:tc>
        <w:tc>
          <w:tcPr>
            <w:tcW w:w="931" w:type="dxa"/>
            <w:vAlign w:val="center"/>
          </w:tcPr>
          <w:p w14:paraId="57EB684D" w14:textId="3A395D5B" w:rsidR="008549DA" w:rsidRDefault="008549DA" w:rsidP="00312856">
            <w:pPr>
              <w:pStyle w:val="Tablecolhead"/>
              <w:jc w:val="center"/>
            </w:pPr>
            <w:r>
              <w:t>40–49</w:t>
            </w:r>
          </w:p>
        </w:tc>
        <w:tc>
          <w:tcPr>
            <w:tcW w:w="932" w:type="dxa"/>
            <w:vAlign w:val="center"/>
          </w:tcPr>
          <w:p w14:paraId="7D0D25BD" w14:textId="52826FCC" w:rsidR="008549DA" w:rsidRDefault="008549DA" w:rsidP="00312856">
            <w:pPr>
              <w:pStyle w:val="Tablecolhead"/>
              <w:jc w:val="center"/>
            </w:pPr>
            <w:r>
              <w:t>50–59</w:t>
            </w:r>
          </w:p>
        </w:tc>
        <w:tc>
          <w:tcPr>
            <w:tcW w:w="932" w:type="dxa"/>
            <w:vAlign w:val="center"/>
          </w:tcPr>
          <w:p w14:paraId="7C6DC6B5" w14:textId="5393C6A9" w:rsidR="008549DA" w:rsidRDefault="008549DA" w:rsidP="00312856">
            <w:pPr>
              <w:pStyle w:val="Tablecolhead"/>
              <w:jc w:val="center"/>
            </w:pPr>
            <w:r>
              <w:t>60–69</w:t>
            </w:r>
          </w:p>
        </w:tc>
        <w:tc>
          <w:tcPr>
            <w:tcW w:w="932" w:type="dxa"/>
            <w:vAlign w:val="center"/>
          </w:tcPr>
          <w:p w14:paraId="585B432C" w14:textId="16B3C901" w:rsidR="008549DA" w:rsidRDefault="008549DA" w:rsidP="00312856">
            <w:pPr>
              <w:pStyle w:val="Tablecolhead"/>
              <w:jc w:val="center"/>
            </w:pPr>
            <w:r>
              <w:t>70–79</w:t>
            </w:r>
          </w:p>
        </w:tc>
        <w:tc>
          <w:tcPr>
            <w:tcW w:w="932" w:type="dxa"/>
            <w:vAlign w:val="center"/>
          </w:tcPr>
          <w:p w14:paraId="234CDB2A" w14:textId="5D81A56E" w:rsidR="008549DA" w:rsidRDefault="008549DA" w:rsidP="00312856">
            <w:pPr>
              <w:pStyle w:val="Tablecolhead"/>
              <w:jc w:val="center"/>
            </w:pPr>
            <w:r>
              <w:t>80</w:t>
            </w:r>
            <w:r w:rsidR="00182C31">
              <w:t>+</w:t>
            </w:r>
          </w:p>
        </w:tc>
      </w:tr>
      <w:tr w:rsidR="005E79A8" w14:paraId="5471D282" w14:textId="5680A363" w:rsidTr="00954FDF">
        <w:tc>
          <w:tcPr>
            <w:tcW w:w="1154" w:type="dxa"/>
          </w:tcPr>
          <w:p w14:paraId="62F7162F" w14:textId="0E519E06" w:rsidR="00171926" w:rsidRDefault="00171926" w:rsidP="00171926">
            <w:pPr>
              <w:pStyle w:val="Tabletext"/>
            </w:pPr>
            <w:r>
              <w:t>Female</w:t>
            </w:r>
          </w:p>
        </w:tc>
        <w:tc>
          <w:tcPr>
            <w:tcW w:w="931" w:type="dxa"/>
            <w:vAlign w:val="center"/>
          </w:tcPr>
          <w:p w14:paraId="3C1AE862" w14:textId="3F0A0E0E" w:rsidR="00171926" w:rsidRDefault="00171926" w:rsidP="00171926">
            <w:pPr>
              <w:pStyle w:val="Tabletext"/>
              <w:jc w:val="center"/>
            </w:pPr>
            <w:r w:rsidRPr="00171926">
              <w:t>0</w:t>
            </w:r>
          </w:p>
        </w:tc>
        <w:tc>
          <w:tcPr>
            <w:tcW w:w="932" w:type="dxa"/>
            <w:vAlign w:val="center"/>
          </w:tcPr>
          <w:p w14:paraId="6F51D33C" w14:textId="01CB800C" w:rsidR="00171926" w:rsidRDefault="00171926" w:rsidP="00171926">
            <w:pPr>
              <w:pStyle w:val="Tabletext"/>
              <w:jc w:val="center"/>
            </w:pPr>
            <w:r w:rsidRPr="00171926">
              <w:t>726</w:t>
            </w:r>
          </w:p>
        </w:tc>
        <w:tc>
          <w:tcPr>
            <w:tcW w:w="932" w:type="dxa"/>
            <w:vAlign w:val="center"/>
          </w:tcPr>
          <w:p w14:paraId="3121AA9F" w14:textId="39736A5F" w:rsidR="00171926" w:rsidRDefault="00171926" w:rsidP="00171926">
            <w:pPr>
              <w:pStyle w:val="Tabletext"/>
              <w:jc w:val="center"/>
            </w:pPr>
            <w:r w:rsidRPr="00171926">
              <w:t>875</w:t>
            </w:r>
          </w:p>
        </w:tc>
        <w:tc>
          <w:tcPr>
            <w:tcW w:w="932" w:type="dxa"/>
            <w:vAlign w:val="center"/>
          </w:tcPr>
          <w:p w14:paraId="739B591F" w14:textId="5CF0AA94" w:rsidR="00171926" w:rsidRDefault="00171926" w:rsidP="00171926">
            <w:pPr>
              <w:pStyle w:val="Tabletext"/>
              <w:jc w:val="center"/>
            </w:pPr>
            <w:r w:rsidRPr="00171926">
              <w:t>423</w:t>
            </w:r>
          </w:p>
        </w:tc>
        <w:tc>
          <w:tcPr>
            <w:tcW w:w="931" w:type="dxa"/>
            <w:vAlign w:val="center"/>
          </w:tcPr>
          <w:p w14:paraId="29B6DF6B" w14:textId="26C0CC96" w:rsidR="00171926" w:rsidRDefault="00171926" w:rsidP="00171926">
            <w:pPr>
              <w:pStyle w:val="Tabletext"/>
              <w:jc w:val="center"/>
            </w:pPr>
            <w:r w:rsidRPr="00171926">
              <w:t>252</w:t>
            </w:r>
          </w:p>
        </w:tc>
        <w:tc>
          <w:tcPr>
            <w:tcW w:w="932" w:type="dxa"/>
            <w:vAlign w:val="center"/>
          </w:tcPr>
          <w:p w14:paraId="67A5C7BD" w14:textId="2991EA86" w:rsidR="00171926" w:rsidRDefault="00171926" w:rsidP="00171926">
            <w:pPr>
              <w:pStyle w:val="Tabletext"/>
              <w:jc w:val="center"/>
            </w:pPr>
            <w:r w:rsidRPr="00EB3296">
              <w:t>426</w:t>
            </w:r>
          </w:p>
        </w:tc>
        <w:tc>
          <w:tcPr>
            <w:tcW w:w="932" w:type="dxa"/>
            <w:vAlign w:val="center"/>
          </w:tcPr>
          <w:p w14:paraId="5DEC7C85" w14:textId="49EF5052" w:rsidR="00171926" w:rsidRDefault="00171926" w:rsidP="00171926">
            <w:pPr>
              <w:pStyle w:val="Tabletext"/>
              <w:jc w:val="center"/>
            </w:pPr>
            <w:r w:rsidRPr="00171926">
              <w:t>121</w:t>
            </w:r>
          </w:p>
        </w:tc>
        <w:tc>
          <w:tcPr>
            <w:tcW w:w="932" w:type="dxa"/>
            <w:vAlign w:val="center"/>
          </w:tcPr>
          <w:p w14:paraId="14CD0E0A" w14:textId="18888382" w:rsidR="00171926" w:rsidRDefault="00171926" w:rsidP="00171926">
            <w:pPr>
              <w:pStyle w:val="Tabletext"/>
              <w:jc w:val="center"/>
            </w:pPr>
            <w:r w:rsidRPr="00171926">
              <w:t>98</w:t>
            </w:r>
          </w:p>
        </w:tc>
        <w:tc>
          <w:tcPr>
            <w:tcW w:w="932" w:type="dxa"/>
            <w:vAlign w:val="center"/>
          </w:tcPr>
          <w:p w14:paraId="2008F199" w14:textId="08F0B545" w:rsidR="00171926" w:rsidRDefault="00171926" w:rsidP="00171926">
            <w:pPr>
              <w:pStyle w:val="Tabletext"/>
              <w:jc w:val="center"/>
            </w:pPr>
            <w:r w:rsidRPr="00171926">
              <w:t>42</w:t>
            </w:r>
          </w:p>
        </w:tc>
      </w:tr>
      <w:tr w:rsidR="005E79A8" w14:paraId="0E84D991" w14:textId="12292BE3" w:rsidTr="00954FDF">
        <w:tc>
          <w:tcPr>
            <w:tcW w:w="1154" w:type="dxa"/>
          </w:tcPr>
          <w:p w14:paraId="2DA5970D" w14:textId="20286FAE" w:rsidR="00171926" w:rsidRDefault="00171926" w:rsidP="00171926">
            <w:pPr>
              <w:pStyle w:val="Tabletext"/>
            </w:pPr>
            <w:r>
              <w:t>Male</w:t>
            </w:r>
          </w:p>
        </w:tc>
        <w:tc>
          <w:tcPr>
            <w:tcW w:w="931" w:type="dxa"/>
            <w:vAlign w:val="center"/>
          </w:tcPr>
          <w:p w14:paraId="44A08EAF" w14:textId="223CB4F3" w:rsidR="00171926" w:rsidRDefault="00171926" w:rsidP="00171926">
            <w:pPr>
              <w:pStyle w:val="Tabletext"/>
              <w:jc w:val="center"/>
            </w:pPr>
            <w:proofErr w:type="spellStart"/>
            <w:r w:rsidRPr="00171926">
              <w:t>n.p.</w:t>
            </w:r>
            <w:proofErr w:type="spellEnd"/>
          </w:p>
        </w:tc>
        <w:tc>
          <w:tcPr>
            <w:tcW w:w="932" w:type="dxa"/>
            <w:vAlign w:val="center"/>
          </w:tcPr>
          <w:p w14:paraId="5E8EBBEB" w14:textId="45669494" w:rsidR="00171926" w:rsidRDefault="00171926" w:rsidP="00171926">
            <w:pPr>
              <w:pStyle w:val="Tabletext"/>
              <w:jc w:val="center"/>
            </w:pPr>
            <w:r w:rsidRPr="00171926">
              <w:t>56</w:t>
            </w:r>
          </w:p>
        </w:tc>
        <w:tc>
          <w:tcPr>
            <w:tcW w:w="932" w:type="dxa"/>
            <w:vAlign w:val="center"/>
          </w:tcPr>
          <w:p w14:paraId="24CC193D" w14:textId="4DBE961A" w:rsidR="00171926" w:rsidRDefault="00171926" w:rsidP="00171926">
            <w:pPr>
              <w:pStyle w:val="Tabletext"/>
              <w:jc w:val="center"/>
            </w:pPr>
            <w:r w:rsidRPr="00171926">
              <w:t>740</w:t>
            </w:r>
          </w:p>
        </w:tc>
        <w:tc>
          <w:tcPr>
            <w:tcW w:w="932" w:type="dxa"/>
            <w:vAlign w:val="center"/>
          </w:tcPr>
          <w:p w14:paraId="44F0FE18" w14:textId="17365C31" w:rsidR="00171926" w:rsidRDefault="00171926" w:rsidP="00171926">
            <w:pPr>
              <w:pStyle w:val="Tabletext"/>
              <w:jc w:val="center"/>
            </w:pPr>
            <w:r w:rsidRPr="00171926">
              <w:t>1,813</w:t>
            </w:r>
          </w:p>
        </w:tc>
        <w:tc>
          <w:tcPr>
            <w:tcW w:w="931" w:type="dxa"/>
            <w:vAlign w:val="center"/>
          </w:tcPr>
          <w:p w14:paraId="6C50BCC0" w14:textId="6DA3CD8B" w:rsidR="00171926" w:rsidRDefault="00171926" w:rsidP="00171926">
            <w:pPr>
              <w:pStyle w:val="Tabletext"/>
              <w:jc w:val="center"/>
            </w:pPr>
            <w:r w:rsidRPr="00171926">
              <w:t>334</w:t>
            </w:r>
          </w:p>
        </w:tc>
        <w:tc>
          <w:tcPr>
            <w:tcW w:w="932" w:type="dxa"/>
            <w:vAlign w:val="center"/>
          </w:tcPr>
          <w:p w14:paraId="70661060" w14:textId="72C79ECE" w:rsidR="00171926" w:rsidRDefault="00171926" w:rsidP="00171926">
            <w:pPr>
              <w:pStyle w:val="Tabletext"/>
              <w:jc w:val="center"/>
            </w:pPr>
            <w:r w:rsidRPr="00171926">
              <w:t>322</w:t>
            </w:r>
          </w:p>
        </w:tc>
        <w:tc>
          <w:tcPr>
            <w:tcW w:w="932" w:type="dxa"/>
            <w:vAlign w:val="center"/>
          </w:tcPr>
          <w:p w14:paraId="168F322E" w14:textId="5DA48083" w:rsidR="00171926" w:rsidRDefault="00171926" w:rsidP="00171926">
            <w:pPr>
              <w:pStyle w:val="Tabletext"/>
              <w:jc w:val="center"/>
            </w:pPr>
            <w:r w:rsidRPr="00171926">
              <w:t>87</w:t>
            </w:r>
          </w:p>
        </w:tc>
        <w:tc>
          <w:tcPr>
            <w:tcW w:w="932" w:type="dxa"/>
            <w:vAlign w:val="center"/>
          </w:tcPr>
          <w:p w14:paraId="34557207" w14:textId="4518CB7D" w:rsidR="00171926" w:rsidRDefault="00171926" w:rsidP="00171926">
            <w:pPr>
              <w:pStyle w:val="Tabletext"/>
              <w:jc w:val="center"/>
            </w:pPr>
            <w:r w:rsidRPr="00171926">
              <w:t>86</w:t>
            </w:r>
          </w:p>
        </w:tc>
        <w:tc>
          <w:tcPr>
            <w:tcW w:w="932" w:type="dxa"/>
            <w:vAlign w:val="center"/>
          </w:tcPr>
          <w:p w14:paraId="50856ADF" w14:textId="29FB21CD" w:rsidR="00171926" w:rsidRDefault="00171926" w:rsidP="00171926">
            <w:pPr>
              <w:pStyle w:val="Tabletext"/>
              <w:jc w:val="center"/>
            </w:pPr>
            <w:r w:rsidRPr="00171926">
              <w:t>35</w:t>
            </w:r>
          </w:p>
        </w:tc>
      </w:tr>
      <w:tr w:rsidR="005E79A8" w14:paraId="25647C43" w14:textId="77777777" w:rsidTr="00954FDF">
        <w:tc>
          <w:tcPr>
            <w:tcW w:w="1154" w:type="dxa"/>
          </w:tcPr>
          <w:p w14:paraId="0DB9908F" w14:textId="51B74EE5" w:rsidR="00171926" w:rsidRDefault="00171926" w:rsidP="00171926">
            <w:pPr>
              <w:pStyle w:val="Tabletext"/>
            </w:pPr>
            <w:r>
              <w:t>Other or unknown</w:t>
            </w:r>
          </w:p>
        </w:tc>
        <w:tc>
          <w:tcPr>
            <w:tcW w:w="931" w:type="dxa"/>
            <w:vAlign w:val="center"/>
          </w:tcPr>
          <w:p w14:paraId="22EB7D4E" w14:textId="224C85B9" w:rsidR="00171926" w:rsidRPr="00E50195" w:rsidRDefault="00171926" w:rsidP="00171926">
            <w:pPr>
              <w:pStyle w:val="Tabletext"/>
              <w:jc w:val="center"/>
            </w:pPr>
            <w:r w:rsidRPr="00171926">
              <w:t>0</w:t>
            </w:r>
          </w:p>
        </w:tc>
        <w:tc>
          <w:tcPr>
            <w:tcW w:w="932" w:type="dxa"/>
            <w:vAlign w:val="center"/>
          </w:tcPr>
          <w:p w14:paraId="3F32E6C6" w14:textId="6CB2D249" w:rsidR="00171926" w:rsidRPr="00E50195" w:rsidRDefault="00171926" w:rsidP="00171926">
            <w:pPr>
              <w:pStyle w:val="Tabletext"/>
              <w:jc w:val="center"/>
            </w:pPr>
            <w:r w:rsidRPr="00171926">
              <w:t>93</w:t>
            </w:r>
          </w:p>
        </w:tc>
        <w:tc>
          <w:tcPr>
            <w:tcW w:w="932" w:type="dxa"/>
            <w:vAlign w:val="center"/>
          </w:tcPr>
          <w:p w14:paraId="1ECC1C6D" w14:textId="233A30AF" w:rsidR="00171926" w:rsidRDefault="00171926" w:rsidP="00171926">
            <w:pPr>
              <w:pStyle w:val="Tabletext"/>
              <w:jc w:val="center"/>
            </w:pPr>
            <w:proofErr w:type="spellStart"/>
            <w:r w:rsidRPr="00171926">
              <w:t>n.p.</w:t>
            </w:r>
            <w:proofErr w:type="spellEnd"/>
          </w:p>
        </w:tc>
        <w:tc>
          <w:tcPr>
            <w:tcW w:w="932" w:type="dxa"/>
            <w:vAlign w:val="center"/>
          </w:tcPr>
          <w:p w14:paraId="176B3F57" w14:textId="0A6A6E49" w:rsidR="00171926" w:rsidRDefault="00171926" w:rsidP="00171926">
            <w:pPr>
              <w:pStyle w:val="Tabletext"/>
              <w:jc w:val="center"/>
            </w:pPr>
            <w:r w:rsidRPr="00171926">
              <w:t>0</w:t>
            </w:r>
          </w:p>
        </w:tc>
        <w:tc>
          <w:tcPr>
            <w:tcW w:w="931" w:type="dxa"/>
            <w:vAlign w:val="center"/>
          </w:tcPr>
          <w:p w14:paraId="0869B9DC" w14:textId="3015AFA7" w:rsidR="00171926" w:rsidRPr="00E50195" w:rsidRDefault="00171926" w:rsidP="00171926">
            <w:pPr>
              <w:pStyle w:val="Tabletext"/>
              <w:jc w:val="center"/>
            </w:pPr>
            <w:r w:rsidRPr="00171926">
              <w:t>0</w:t>
            </w:r>
          </w:p>
        </w:tc>
        <w:tc>
          <w:tcPr>
            <w:tcW w:w="932" w:type="dxa"/>
            <w:vAlign w:val="center"/>
          </w:tcPr>
          <w:p w14:paraId="5B0BEAD0" w14:textId="4B0057EF" w:rsidR="00171926" w:rsidRPr="00E50195" w:rsidRDefault="00171926" w:rsidP="00171926">
            <w:pPr>
              <w:pStyle w:val="Tabletext"/>
              <w:jc w:val="center"/>
            </w:pPr>
            <w:r w:rsidRPr="00171926">
              <w:t>0</w:t>
            </w:r>
          </w:p>
        </w:tc>
        <w:tc>
          <w:tcPr>
            <w:tcW w:w="932" w:type="dxa"/>
            <w:vAlign w:val="center"/>
          </w:tcPr>
          <w:p w14:paraId="733C08BF" w14:textId="673A437D" w:rsidR="00171926" w:rsidRPr="00E50195" w:rsidRDefault="00171926" w:rsidP="00171926">
            <w:pPr>
              <w:pStyle w:val="Tabletext"/>
              <w:jc w:val="center"/>
            </w:pPr>
            <w:r w:rsidRPr="00171926">
              <w:t>0</w:t>
            </w:r>
          </w:p>
        </w:tc>
        <w:tc>
          <w:tcPr>
            <w:tcW w:w="932" w:type="dxa"/>
            <w:vAlign w:val="center"/>
          </w:tcPr>
          <w:p w14:paraId="612889C3" w14:textId="413C002E" w:rsidR="00171926" w:rsidRPr="00E50195" w:rsidRDefault="00171926" w:rsidP="00171926">
            <w:pPr>
              <w:pStyle w:val="Tabletext"/>
              <w:jc w:val="center"/>
            </w:pPr>
            <w:r w:rsidRPr="00171926">
              <w:t>0</w:t>
            </w:r>
          </w:p>
        </w:tc>
        <w:tc>
          <w:tcPr>
            <w:tcW w:w="932" w:type="dxa"/>
            <w:vAlign w:val="center"/>
          </w:tcPr>
          <w:p w14:paraId="6B39D9C6" w14:textId="35DFC286" w:rsidR="00171926" w:rsidRPr="00E50195" w:rsidRDefault="00171926" w:rsidP="00171926">
            <w:pPr>
              <w:pStyle w:val="Tabletext"/>
              <w:jc w:val="center"/>
            </w:pPr>
            <w:r w:rsidRPr="00171926">
              <w:t>0</w:t>
            </w:r>
          </w:p>
        </w:tc>
      </w:tr>
    </w:tbl>
    <w:p w14:paraId="1A35FCFF" w14:textId="38930F17" w:rsidR="00381B2F" w:rsidRPr="006837F3" w:rsidRDefault="00381B2F" w:rsidP="00643556">
      <w:pPr>
        <w:pStyle w:val="Tablefigurenote"/>
      </w:pPr>
      <w:r w:rsidRPr="006837F3">
        <w:t>Note: Some age groups have been further aggregated to protect the confidentiality of individuals</w:t>
      </w:r>
      <w:r w:rsidR="002B3FE7">
        <w:t>.</w:t>
      </w:r>
    </w:p>
    <w:p w14:paraId="06BCBCEC" w14:textId="14267744" w:rsidR="00D33CC0" w:rsidRPr="00E46455" w:rsidRDefault="008E5041" w:rsidP="00803996">
      <w:pPr>
        <w:pStyle w:val="Heading4"/>
        <w:rPr>
          <w:b w:val="0"/>
          <w:bCs w:val="0"/>
          <w:sz w:val="24"/>
          <w:szCs w:val="24"/>
        </w:rPr>
      </w:pPr>
      <w:bookmarkStart w:id="36" w:name="_Hlk53059398"/>
      <w:r w:rsidRPr="00E46455">
        <w:rPr>
          <w:b w:val="0"/>
          <w:bCs w:val="0"/>
          <w:sz w:val="24"/>
          <w:szCs w:val="24"/>
        </w:rPr>
        <w:t>Seclusion – acute inpatient units</w:t>
      </w:r>
    </w:p>
    <w:p w14:paraId="7EFD253B" w14:textId="498790EE" w:rsidR="00381B2F" w:rsidRDefault="00381B2F" w:rsidP="00643556">
      <w:pPr>
        <w:pStyle w:val="Bodyaftertable"/>
      </w:pPr>
      <w:r>
        <w:t xml:space="preserve">Table </w:t>
      </w:r>
      <w:r w:rsidR="00D013CA">
        <w:t>9</w:t>
      </w:r>
      <w:r>
        <w:t xml:space="preserve"> lists the numbers of episodes of seclusion </w:t>
      </w:r>
      <w:r w:rsidR="11A93D36">
        <w:t>per</w:t>
      </w:r>
      <w:r>
        <w:t xml:space="preserve"> 1,000 occupied bed days. Rates have fallen in adult </w:t>
      </w:r>
      <w:r w:rsidR="6B350A8C">
        <w:t>wards</w:t>
      </w:r>
      <w:r>
        <w:t xml:space="preserve"> over the past </w:t>
      </w:r>
      <w:r w:rsidR="000E4B8C">
        <w:t>five</w:t>
      </w:r>
      <w:r w:rsidR="0048002F">
        <w:t xml:space="preserve"> </w:t>
      </w:r>
      <w:r>
        <w:t xml:space="preserve">years and remain low in services for older people. </w:t>
      </w:r>
      <w:r w:rsidR="009E6C07">
        <w:t>The rate</w:t>
      </w:r>
      <w:r>
        <w:t xml:space="preserve"> </w:t>
      </w:r>
      <w:r w:rsidR="00576006">
        <w:t xml:space="preserve">in </w:t>
      </w:r>
      <w:r w:rsidR="729BAE84">
        <w:t xml:space="preserve">child </w:t>
      </w:r>
      <w:r w:rsidR="729BAE84">
        <w:lastRenderedPageBreak/>
        <w:t xml:space="preserve">and adolescent units </w:t>
      </w:r>
      <w:r w:rsidR="00012CDB">
        <w:t xml:space="preserve">has </w:t>
      </w:r>
      <w:r w:rsidR="002952C9">
        <w:t>increased</w:t>
      </w:r>
      <w:r w:rsidR="005F684E">
        <w:t xml:space="preserve">, with a </w:t>
      </w:r>
      <w:r w:rsidR="6574131D">
        <w:t>small number of</w:t>
      </w:r>
      <w:r>
        <w:t xml:space="preserve"> </w:t>
      </w:r>
      <w:r w:rsidR="00C84A05">
        <w:t xml:space="preserve">people </w:t>
      </w:r>
      <w:r>
        <w:t>with complex combinations of mental illness and intellectual or developmental disability</w:t>
      </w:r>
      <w:r w:rsidR="00F516AD">
        <w:t xml:space="preserve"> </w:t>
      </w:r>
      <w:r w:rsidR="005F684E">
        <w:t>being</w:t>
      </w:r>
      <w:r w:rsidR="00F516AD">
        <w:t xml:space="preserve"> represented in these figures</w:t>
      </w:r>
      <w:r>
        <w:t xml:space="preserve">. </w:t>
      </w:r>
    </w:p>
    <w:p w14:paraId="41174A13" w14:textId="5F64D566" w:rsidR="00542FDC" w:rsidRDefault="00542FDC" w:rsidP="00643556">
      <w:pPr>
        <w:pStyle w:val="Bodyaftertable"/>
      </w:pPr>
      <w:r>
        <w:t xml:space="preserve">Forensicare has undertaken </w:t>
      </w:r>
      <w:r w:rsidR="00F26F7C">
        <w:t xml:space="preserve">extensive quality improvement activities </w:t>
      </w:r>
      <w:proofErr w:type="gramStart"/>
      <w:r w:rsidR="00F26F7C">
        <w:t>in the area of</w:t>
      </w:r>
      <w:proofErr w:type="gramEnd"/>
      <w:r w:rsidR="00F26F7C">
        <w:t xml:space="preserve"> restrictive </w:t>
      </w:r>
      <w:r w:rsidR="00270126">
        <w:t>practices,</w:t>
      </w:r>
      <w:r w:rsidR="00F26F7C">
        <w:t xml:space="preserve"> and</w:t>
      </w:r>
      <w:r w:rsidR="00900F83">
        <w:t xml:space="preserve"> it is pleasing to </w:t>
      </w:r>
      <w:r w:rsidR="003A0393">
        <w:t>see the</w:t>
      </w:r>
      <w:r w:rsidR="00900F83">
        <w:t xml:space="preserve"> improvement in their figures over the past financial year</w:t>
      </w:r>
      <w:r w:rsidR="008C3E35">
        <w:t xml:space="preserve"> (Table 9)</w:t>
      </w:r>
      <w:r w:rsidR="00900F83">
        <w:t>.</w:t>
      </w:r>
    </w:p>
    <w:bookmarkEnd w:id="36"/>
    <w:p w14:paraId="614B66D4" w14:textId="1C9AA9CB" w:rsidR="00381B2F" w:rsidRPr="004C02F0" w:rsidRDefault="00381B2F" w:rsidP="000D0B9B">
      <w:pPr>
        <w:pStyle w:val="Tablecaption"/>
        <w:rPr>
          <w:rFonts w:eastAsia="Arial"/>
          <w:bCs/>
        </w:rPr>
      </w:pPr>
      <w:r w:rsidRPr="6413A842">
        <w:rPr>
          <w:rFonts w:eastAsia="Arial"/>
        </w:rPr>
        <w:t>Table</w:t>
      </w:r>
      <w:r w:rsidR="772B6F65" w:rsidRPr="6413A842">
        <w:rPr>
          <w:rFonts w:eastAsia="Arial"/>
        </w:rPr>
        <w:t xml:space="preserve"> </w:t>
      </w:r>
      <w:r w:rsidR="00D013CA">
        <w:rPr>
          <w:rFonts w:eastAsia="Arial"/>
          <w:bCs/>
        </w:rPr>
        <w:t>9</w:t>
      </w:r>
      <w:r w:rsidRPr="6413A842">
        <w:rPr>
          <w:rFonts w:eastAsia="Arial"/>
        </w:rPr>
        <w:t xml:space="preserve">: </w:t>
      </w:r>
      <w:r w:rsidR="00F6067B" w:rsidRPr="00F6067B">
        <w:rPr>
          <w:rFonts w:eastAsia="Arial"/>
        </w:rPr>
        <w:t>Rate of ended seclusion episodes per 1,000 occupied bed days, by type of acute inpatient unit</w:t>
      </w:r>
      <w:r w:rsidRPr="6413A842">
        <w:rPr>
          <w:rFonts w:eastAsia="Arial"/>
        </w:rPr>
        <w:t>,</w:t>
      </w:r>
      <w:r w:rsidR="00526AF1">
        <w:rPr>
          <w:rFonts w:eastAsia="Arial"/>
        </w:rPr>
        <w:t xml:space="preserve"> </w:t>
      </w:r>
      <w:r w:rsidRPr="6413A842">
        <w:rPr>
          <w:rFonts w:eastAsia="Arial"/>
        </w:rPr>
        <w:t>201</w:t>
      </w:r>
      <w:r w:rsidR="009A09E5">
        <w:rPr>
          <w:rFonts w:eastAsia="Arial"/>
        </w:rPr>
        <w:t>8</w:t>
      </w:r>
      <w:r w:rsidRPr="6413A842">
        <w:rPr>
          <w:rFonts w:eastAsia="Arial"/>
        </w:rPr>
        <w:t>–1</w:t>
      </w:r>
      <w:r w:rsidR="009A09E5">
        <w:rPr>
          <w:rFonts w:eastAsia="Arial"/>
        </w:rPr>
        <w:t>9</w:t>
      </w:r>
      <w:r w:rsidRPr="6413A842">
        <w:rPr>
          <w:rFonts w:eastAsia="Arial"/>
        </w:rPr>
        <w:t xml:space="preserve"> to </w:t>
      </w:r>
      <w:r w:rsidR="007B2175">
        <w:rPr>
          <w:rFonts w:eastAsia="Arial"/>
        </w:rPr>
        <w:t>202</w:t>
      </w:r>
      <w:r w:rsidR="009A09E5">
        <w:rPr>
          <w:rFonts w:eastAsia="Arial"/>
        </w:rPr>
        <w:t>2</w:t>
      </w:r>
      <w:r w:rsidR="007B2175">
        <w:rPr>
          <w:rFonts w:eastAsia="Arial"/>
        </w:rPr>
        <w:t>–</w:t>
      </w:r>
      <w:r w:rsidR="007B2175" w:rsidRPr="0074722F">
        <w:rPr>
          <w:rFonts w:eastAsia="Arial"/>
        </w:rPr>
        <w:t>2</w:t>
      </w:r>
      <w:r w:rsidR="009A09E5">
        <w:rPr>
          <w:rFonts w:eastAsia="Arial"/>
        </w:rPr>
        <w:t>3</w:t>
      </w:r>
    </w:p>
    <w:tbl>
      <w:tblPr>
        <w:tblW w:w="4957" w:type="pct"/>
        <w:tblLook w:val="04A0" w:firstRow="1" w:lastRow="0" w:firstColumn="1" w:lastColumn="0" w:noHBand="0" w:noVBand="1"/>
      </w:tblPr>
      <w:tblGrid>
        <w:gridCol w:w="2178"/>
        <w:gridCol w:w="1471"/>
        <w:gridCol w:w="1260"/>
        <w:gridCol w:w="1258"/>
        <w:gridCol w:w="1401"/>
        <w:gridCol w:w="1628"/>
      </w:tblGrid>
      <w:tr w:rsidR="00C02E2F" w:rsidRPr="00A91A55" w14:paraId="67F34AD6" w14:textId="6E01619C" w:rsidTr="000E1384">
        <w:trPr>
          <w:trHeight w:val="300"/>
          <w:tblHeader/>
        </w:trPr>
        <w:tc>
          <w:tcPr>
            <w:tcW w:w="1183" w:type="pct"/>
            <w:tcBorders>
              <w:top w:val="single" w:sz="4" w:space="0" w:color="auto"/>
              <w:left w:val="single" w:sz="4" w:space="0" w:color="auto"/>
              <w:bottom w:val="single" w:sz="4" w:space="0" w:color="auto"/>
              <w:right w:val="single" w:sz="4" w:space="0" w:color="auto"/>
            </w:tcBorders>
            <w:shd w:val="clear" w:color="auto" w:fill="auto"/>
            <w:noWrap/>
            <w:hideMark/>
          </w:tcPr>
          <w:p w14:paraId="45579CB3" w14:textId="41F73D0B" w:rsidR="00C02E2F" w:rsidRPr="00A91A55" w:rsidRDefault="00C02E2F" w:rsidP="00C02E2F">
            <w:pPr>
              <w:pStyle w:val="Tablecolhead"/>
              <w:rPr>
                <w:lang w:eastAsia="en-AU"/>
              </w:rPr>
            </w:pPr>
            <w:r w:rsidRPr="6413A842">
              <w:rPr>
                <w:lang w:eastAsia="en-AU"/>
              </w:rPr>
              <w:t>Type of unit</w:t>
            </w:r>
          </w:p>
        </w:tc>
        <w:tc>
          <w:tcPr>
            <w:tcW w:w="800" w:type="pct"/>
            <w:tcBorders>
              <w:top w:val="single" w:sz="4" w:space="0" w:color="auto"/>
              <w:left w:val="nil"/>
              <w:bottom w:val="single" w:sz="4" w:space="0" w:color="auto"/>
              <w:right w:val="single" w:sz="4" w:space="0" w:color="auto"/>
            </w:tcBorders>
            <w:shd w:val="clear" w:color="auto" w:fill="auto"/>
            <w:noWrap/>
            <w:vAlign w:val="center"/>
            <w:hideMark/>
          </w:tcPr>
          <w:p w14:paraId="61D85A04" w14:textId="250EDE67" w:rsidR="00C02E2F" w:rsidRPr="00A91A55" w:rsidRDefault="00C02E2F" w:rsidP="00C02E2F">
            <w:pPr>
              <w:pStyle w:val="Tablecolhead"/>
              <w:jc w:val="center"/>
              <w:rPr>
                <w:lang w:eastAsia="en-AU"/>
              </w:rPr>
            </w:pPr>
            <w:r w:rsidRPr="00A616E6">
              <w:t>2018</w:t>
            </w:r>
            <w:r>
              <w:t>–</w:t>
            </w:r>
            <w:r w:rsidRPr="00A616E6">
              <w:t>19</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44022A03" w14:textId="5AF691F5" w:rsidR="00C02E2F" w:rsidRPr="00A91A55" w:rsidRDefault="00C02E2F" w:rsidP="00C02E2F">
            <w:pPr>
              <w:pStyle w:val="Tablecolhead"/>
              <w:jc w:val="center"/>
              <w:rPr>
                <w:lang w:eastAsia="en-AU"/>
              </w:rPr>
            </w:pPr>
            <w:r w:rsidRPr="00A616E6">
              <w:t>2019</w:t>
            </w:r>
            <w:r>
              <w:t>–</w:t>
            </w:r>
            <w:r w:rsidRPr="00A616E6">
              <w:t>20</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221297C6" w14:textId="7F5AE949" w:rsidR="00C02E2F" w:rsidRPr="00A91A55" w:rsidRDefault="00C02E2F" w:rsidP="00C02E2F">
            <w:pPr>
              <w:pStyle w:val="Tablecolhead"/>
              <w:jc w:val="center"/>
              <w:rPr>
                <w:lang w:eastAsia="en-AU"/>
              </w:rPr>
            </w:pPr>
            <w:r w:rsidRPr="00A616E6">
              <w:t>2020</w:t>
            </w:r>
            <w:r>
              <w:t>–</w:t>
            </w:r>
            <w:r w:rsidRPr="00A616E6">
              <w:t>21</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14:paraId="3E5542DF" w14:textId="75451BEA" w:rsidR="00C02E2F" w:rsidRPr="00A91A55" w:rsidRDefault="00C02E2F" w:rsidP="00C02E2F">
            <w:pPr>
              <w:pStyle w:val="Tablecolhead"/>
              <w:jc w:val="center"/>
              <w:rPr>
                <w:lang w:eastAsia="en-AU"/>
              </w:rPr>
            </w:pPr>
            <w:r w:rsidRPr="00A616E6">
              <w:t>2021</w:t>
            </w:r>
            <w:r>
              <w:t>–</w:t>
            </w:r>
            <w:r w:rsidRPr="00A616E6">
              <w:t>22</w:t>
            </w:r>
          </w:p>
        </w:tc>
        <w:tc>
          <w:tcPr>
            <w:tcW w:w="885" w:type="pct"/>
            <w:tcBorders>
              <w:top w:val="single" w:sz="4" w:space="0" w:color="auto"/>
              <w:left w:val="nil"/>
              <w:bottom w:val="single" w:sz="4" w:space="0" w:color="auto"/>
              <w:right w:val="single" w:sz="4" w:space="0" w:color="auto"/>
            </w:tcBorders>
            <w:vAlign w:val="center"/>
          </w:tcPr>
          <w:p w14:paraId="460A8AD8" w14:textId="1B980F0F" w:rsidR="00C02E2F" w:rsidRPr="00A91A55" w:rsidRDefault="00C02E2F" w:rsidP="00C02E2F">
            <w:pPr>
              <w:pStyle w:val="Tablecolhead"/>
              <w:jc w:val="center"/>
              <w:rPr>
                <w:lang w:eastAsia="en-AU"/>
              </w:rPr>
            </w:pPr>
            <w:r w:rsidRPr="00A616E6">
              <w:t>202</w:t>
            </w:r>
            <w:r>
              <w:t>2–</w:t>
            </w:r>
            <w:r w:rsidRPr="00A616E6">
              <w:t>2</w:t>
            </w:r>
            <w:r>
              <w:t>3</w:t>
            </w:r>
          </w:p>
        </w:tc>
      </w:tr>
      <w:tr w:rsidR="000E1384" w:rsidRPr="00A91A55" w14:paraId="38B68681" w14:textId="47E8275D" w:rsidTr="000E1384">
        <w:trPr>
          <w:trHeight w:val="30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14:paraId="7B8AEE2C" w14:textId="35F338CF" w:rsidR="000E1384" w:rsidRPr="00A91A55" w:rsidRDefault="000E1384" w:rsidP="000E1384">
            <w:pPr>
              <w:pStyle w:val="Tabletext"/>
              <w:rPr>
                <w:lang w:eastAsia="en-AU"/>
              </w:rPr>
            </w:pPr>
            <w:r w:rsidRPr="00C02E2F">
              <w:rPr>
                <w:lang w:eastAsia="en-AU"/>
              </w:rPr>
              <w:t>Adult</w:t>
            </w:r>
          </w:p>
        </w:tc>
        <w:tc>
          <w:tcPr>
            <w:tcW w:w="800" w:type="pct"/>
            <w:tcBorders>
              <w:top w:val="nil"/>
              <w:left w:val="nil"/>
              <w:bottom w:val="single" w:sz="4" w:space="0" w:color="auto"/>
              <w:right w:val="single" w:sz="4" w:space="0" w:color="auto"/>
            </w:tcBorders>
            <w:shd w:val="clear" w:color="auto" w:fill="auto"/>
            <w:noWrap/>
            <w:vAlign w:val="center"/>
            <w:hideMark/>
          </w:tcPr>
          <w:p w14:paraId="7C67E65F" w14:textId="3585FA2E" w:rsidR="000E1384" w:rsidRPr="00A91A55" w:rsidRDefault="000E1384" w:rsidP="00B63E24">
            <w:pPr>
              <w:pStyle w:val="Tabletext"/>
              <w:jc w:val="center"/>
              <w:rPr>
                <w:lang w:eastAsia="en-AU"/>
              </w:rPr>
            </w:pPr>
            <w:r w:rsidRPr="000E1384">
              <w:rPr>
                <w:lang w:eastAsia="en-AU"/>
              </w:rPr>
              <w:t>9.5</w:t>
            </w:r>
          </w:p>
        </w:tc>
        <w:tc>
          <w:tcPr>
            <w:tcW w:w="685" w:type="pct"/>
            <w:tcBorders>
              <w:top w:val="nil"/>
              <w:left w:val="nil"/>
              <w:bottom w:val="single" w:sz="4" w:space="0" w:color="auto"/>
              <w:right w:val="single" w:sz="4" w:space="0" w:color="auto"/>
            </w:tcBorders>
            <w:shd w:val="clear" w:color="auto" w:fill="auto"/>
            <w:noWrap/>
            <w:vAlign w:val="center"/>
            <w:hideMark/>
          </w:tcPr>
          <w:p w14:paraId="38FDCF96" w14:textId="5564E179" w:rsidR="000E1384" w:rsidRPr="00A91A55" w:rsidRDefault="000E1384" w:rsidP="00B63E24">
            <w:pPr>
              <w:pStyle w:val="Tabletext"/>
              <w:jc w:val="center"/>
              <w:rPr>
                <w:lang w:eastAsia="en-AU"/>
              </w:rPr>
            </w:pPr>
            <w:r w:rsidRPr="000E1384">
              <w:rPr>
                <w:lang w:eastAsia="en-AU"/>
              </w:rPr>
              <w:t>10</w:t>
            </w:r>
          </w:p>
        </w:tc>
        <w:tc>
          <w:tcPr>
            <w:tcW w:w="684" w:type="pct"/>
            <w:tcBorders>
              <w:top w:val="nil"/>
              <w:left w:val="nil"/>
              <w:bottom w:val="single" w:sz="4" w:space="0" w:color="auto"/>
              <w:right w:val="single" w:sz="4" w:space="0" w:color="auto"/>
            </w:tcBorders>
            <w:shd w:val="clear" w:color="auto" w:fill="auto"/>
            <w:noWrap/>
            <w:vAlign w:val="center"/>
            <w:hideMark/>
          </w:tcPr>
          <w:p w14:paraId="7C1177BE" w14:textId="72E68874" w:rsidR="000E1384" w:rsidRPr="00A91A55" w:rsidRDefault="000E1384" w:rsidP="00B63E24">
            <w:pPr>
              <w:pStyle w:val="Tabletext"/>
              <w:jc w:val="center"/>
              <w:rPr>
                <w:lang w:eastAsia="en-AU"/>
              </w:rPr>
            </w:pPr>
            <w:r w:rsidRPr="000E1384">
              <w:rPr>
                <w:lang w:eastAsia="en-AU"/>
              </w:rPr>
              <w:t>9.5</w:t>
            </w:r>
          </w:p>
        </w:tc>
        <w:tc>
          <w:tcPr>
            <w:tcW w:w="762" w:type="pct"/>
            <w:tcBorders>
              <w:top w:val="nil"/>
              <w:left w:val="nil"/>
              <w:bottom w:val="single" w:sz="4" w:space="0" w:color="auto"/>
              <w:right w:val="single" w:sz="4" w:space="0" w:color="auto"/>
            </w:tcBorders>
            <w:shd w:val="clear" w:color="auto" w:fill="auto"/>
            <w:noWrap/>
            <w:vAlign w:val="center"/>
            <w:hideMark/>
          </w:tcPr>
          <w:p w14:paraId="452BB473" w14:textId="564F83CA" w:rsidR="000E1384" w:rsidRPr="00A91A55" w:rsidRDefault="000E1384" w:rsidP="00B63E24">
            <w:pPr>
              <w:pStyle w:val="Tabletext"/>
              <w:jc w:val="center"/>
              <w:rPr>
                <w:lang w:eastAsia="en-AU"/>
              </w:rPr>
            </w:pPr>
            <w:r w:rsidRPr="000E1384">
              <w:rPr>
                <w:lang w:eastAsia="en-AU"/>
              </w:rPr>
              <w:t>8.5</w:t>
            </w:r>
          </w:p>
        </w:tc>
        <w:tc>
          <w:tcPr>
            <w:tcW w:w="885" w:type="pct"/>
            <w:tcBorders>
              <w:top w:val="nil"/>
              <w:left w:val="nil"/>
              <w:bottom w:val="single" w:sz="4" w:space="0" w:color="auto"/>
              <w:right w:val="single" w:sz="4" w:space="0" w:color="auto"/>
            </w:tcBorders>
            <w:vAlign w:val="center"/>
          </w:tcPr>
          <w:p w14:paraId="303AF320" w14:textId="1467A6ED" w:rsidR="000E1384" w:rsidRDefault="000E1384" w:rsidP="00B63E24">
            <w:pPr>
              <w:pStyle w:val="Tabletext"/>
              <w:jc w:val="center"/>
              <w:rPr>
                <w:lang w:eastAsia="en-AU"/>
              </w:rPr>
            </w:pPr>
            <w:r w:rsidRPr="000E1384">
              <w:rPr>
                <w:lang w:eastAsia="en-AU"/>
              </w:rPr>
              <w:t>8</w:t>
            </w:r>
          </w:p>
        </w:tc>
      </w:tr>
      <w:tr w:rsidR="000E1384" w:rsidRPr="00A91A55" w14:paraId="5BF81824" w14:textId="345ABEAC" w:rsidTr="000E1384">
        <w:trPr>
          <w:trHeight w:val="30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14:paraId="4D52DDD3" w14:textId="3075D72B" w:rsidR="000E1384" w:rsidRPr="00A91A55" w:rsidRDefault="000E1384" w:rsidP="000E1384">
            <w:pPr>
              <w:pStyle w:val="Tabletext"/>
              <w:rPr>
                <w:lang w:eastAsia="en-AU"/>
              </w:rPr>
            </w:pPr>
            <w:r w:rsidRPr="00C02E2F">
              <w:rPr>
                <w:lang w:eastAsia="en-AU"/>
              </w:rPr>
              <w:t>Older persons</w:t>
            </w:r>
          </w:p>
        </w:tc>
        <w:tc>
          <w:tcPr>
            <w:tcW w:w="800" w:type="pct"/>
            <w:tcBorders>
              <w:top w:val="nil"/>
              <w:left w:val="nil"/>
              <w:bottom w:val="single" w:sz="4" w:space="0" w:color="auto"/>
              <w:right w:val="single" w:sz="4" w:space="0" w:color="auto"/>
            </w:tcBorders>
            <w:shd w:val="clear" w:color="auto" w:fill="auto"/>
            <w:noWrap/>
            <w:vAlign w:val="center"/>
            <w:hideMark/>
          </w:tcPr>
          <w:p w14:paraId="5D40EE8F" w14:textId="0B18EF0C" w:rsidR="000E1384" w:rsidRPr="00A91A55" w:rsidRDefault="000E1384" w:rsidP="00B63E24">
            <w:pPr>
              <w:pStyle w:val="Tabletext"/>
              <w:jc w:val="center"/>
              <w:rPr>
                <w:lang w:eastAsia="en-AU"/>
              </w:rPr>
            </w:pPr>
            <w:r w:rsidRPr="000E1384">
              <w:rPr>
                <w:lang w:eastAsia="en-AU"/>
              </w:rPr>
              <w:t>0.7</w:t>
            </w:r>
          </w:p>
        </w:tc>
        <w:tc>
          <w:tcPr>
            <w:tcW w:w="685" w:type="pct"/>
            <w:tcBorders>
              <w:top w:val="nil"/>
              <w:left w:val="nil"/>
              <w:bottom w:val="single" w:sz="4" w:space="0" w:color="auto"/>
              <w:right w:val="single" w:sz="4" w:space="0" w:color="auto"/>
            </w:tcBorders>
            <w:shd w:val="clear" w:color="auto" w:fill="auto"/>
            <w:noWrap/>
            <w:vAlign w:val="center"/>
            <w:hideMark/>
          </w:tcPr>
          <w:p w14:paraId="1F0CDE29" w14:textId="096829DA" w:rsidR="000E1384" w:rsidRPr="00A91A55" w:rsidRDefault="000E1384" w:rsidP="00B63E24">
            <w:pPr>
              <w:pStyle w:val="Tabletext"/>
              <w:jc w:val="center"/>
              <w:rPr>
                <w:lang w:eastAsia="en-AU"/>
              </w:rPr>
            </w:pPr>
            <w:r w:rsidRPr="000E1384">
              <w:rPr>
                <w:lang w:eastAsia="en-AU"/>
              </w:rPr>
              <w:t>0.6</w:t>
            </w:r>
          </w:p>
        </w:tc>
        <w:tc>
          <w:tcPr>
            <w:tcW w:w="684" w:type="pct"/>
            <w:tcBorders>
              <w:top w:val="nil"/>
              <w:left w:val="nil"/>
              <w:bottom w:val="single" w:sz="4" w:space="0" w:color="auto"/>
              <w:right w:val="single" w:sz="4" w:space="0" w:color="auto"/>
            </w:tcBorders>
            <w:shd w:val="clear" w:color="auto" w:fill="auto"/>
            <w:noWrap/>
            <w:vAlign w:val="center"/>
            <w:hideMark/>
          </w:tcPr>
          <w:p w14:paraId="4BB3882F" w14:textId="1935318B" w:rsidR="000E1384" w:rsidRPr="00A91A55" w:rsidRDefault="000E1384" w:rsidP="00B63E24">
            <w:pPr>
              <w:pStyle w:val="Tabletext"/>
              <w:jc w:val="center"/>
              <w:rPr>
                <w:lang w:eastAsia="en-AU"/>
              </w:rPr>
            </w:pPr>
            <w:r w:rsidRPr="000E1384">
              <w:rPr>
                <w:lang w:eastAsia="en-AU"/>
              </w:rPr>
              <w:t>0.6</w:t>
            </w:r>
          </w:p>
        </w:tc>
        <w:tc>
          <w:tcPr>
            <w:tcW w:w="762" w:type="pct"/>
            <w:tcBorders>
              <w:top w:val="nil"/>
              <w:left w:val="nil"/>
              <w:bottom w:val="single" w:sz="4" w:space="0" w:color="auto"/>
              <w:right w:val="single" w:sz="4" w:space="0" w:color="auto"/>
            </w:tcBorders>
            <w:shd w:val="clear" w:color="auto" w:fill="auto"/>
            <w:noWrap/>
            <w:vAlign w:val="center"/>
            <w:hideMark/>
          </w:tcPr>
          <w:p w14:paraId="417C633E" w14:textId="11998C44" w:rsidR="000E1384" w:rsidRPr="00A91A55" w:rsidRDefault="000E1384" w:rsidP="00B63E24">
            <w:pPr>
              <w:pStyle w:val="Tabletext"/>
              <w:jc w:val="center"/>
              <w:rPr>
                <w:lang w:eastAsia="en-AU"/>
              </w:rPr>
            </w:pPr>
            <w:r w:rsidRPr="000E1384">
              <w:rPr>
                <w:lang w:eastAsia="en-AU"/>
              </w:rPr>
              <w:t>0.2</w:t>
            </w:r>
          </w:p>
        </w:tc>
        <w:tc>
          <w:tcPr>
            <w:tcW w:w="885" w:type="pct"/>
            <w:tcBorders>
              <w:top w:val="nil"/>
              <w:left w:val="nil"/>
              <w:bottom w:val="single" w:sz="4" w:space="0" w:color="auto"/>
              <w:right w:val="single" w:sz="4" w:space="0" w:color="auto"/>
            </w:tcBorders>
            <w:vAlign w:val="center"/>
          </w:tcPr>
          <w:p w14:paraId="185191F2" w14:textId="7D0D1503" w:rsidR="000E1384" w:rsidRDefault="000E1384" w:rsidP="00B63E24">
            <w:pPr>
              <w:pStyle w:val="Tabletext"/>
              <w:jc w:val="center"/>
              <w:rPr>
                <w:lang w:eastAsia="en-AU"/>
              </w:rPr>
            </w:pPr>
            <w:r w:rsidRPr="000E1384">
              <w:rPr>
                <w:lang w:eastAsia="en-AU"/>
              </w:rPr>
              <w:t>0.4</w:t>
            </w:r>
          </w:p>
        </w:tc>
      </w:tr>
      <w:tr w:rsidR="000E1384" w:rsidRPr="00A91A55" w14:paraId="70E6638B" w14:textId="130A1C12" w:rsidTr="000E1384">
        <w:trPr>
          <w:trHeight w:val="30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14:paraId="57C2F604" w14:textId="4394CDC3" w:rsidR="000E1384" w:rsidRPr="00A91A55" w:rsidRDefault="000E1384" w:rsidP="000E1384">
            <w:pPr>
              <w:pStyle w:val="Tabletext"/>
              <w:rPr>
                <w:lang w:eastAsia="en-AU"/>
              </w:rPr>
            </w:pPr>
            <w:r w:rsidRPr="00C02E2F">
              <w:rPr>
                <w:lang w:eastAsia="en-AU"/>
              </w:rPr>
              <w:t>Child and adolescent</w:t>
            </w:r>
          </w:p>
        </w:tc>
        <w:tc>
          <w:tcPr>
            <w:tcW w:w="800" w:type="pct"/>
            <w:tcBorders>
              <w:top w:val="nil"/>
              <w:left w:val="nil"/>
              <w:bottom w:val="single" w:sz="4" w:space="0" w:color="auto"/>
              <w:right w:val="single" w:sz="4" w:space="0" w:color="auto"/>
            </w:tcBorders>
            <w:shd w:val="clear" w:color="auto" w:fill="auto"/>
            <w:noWrap/>
            <w:vAlign w:val="center"/>
            <w:hideMark/>
          </w:tcPr>
          <w:p w14:paraId="533BF3B2" w14:textId="7265C0E2" w:rsidR="000E1384" w:rsidRPr="00A91A55" w:rsidRDefault="000E1384" w:rsidP="00B63E24">
            <w:pPr>
              <w:pStyle w:val="Tabletext"/>
              <w:jc w:val="center"/>
              <w:rPr>
                <w:lang w:eastAsia="en-AU"/>
              </w:rPr>
            </w:pPr>
            <w:r w:rsidRPr="000E1384">
              <w:rPr>
                <w:lang w:eastAsia="en-AU"/>
              </w:rPr>
              <w:t>12.2</w:t>
            </w:r>
          </w:p>
        </w:tc>
        <w:tc>
          <w:tcPr>
            <w:tcW w:w="685" w:type="pct"/>
            <w:tcBorders>
              <w:top w:val="nil"/>
              <w:left w:val="nil"/>
              <w:bottom w:val="single" w:sz="4" w:space="0" w:color="auto"/>
              <w:right w:val="single" w:sz="4" w:space="0" w:color="auto"/>
            </w:tcBorders>
            <w:shd w:val="clear" w:color="auto" w:fill="auto"/>
            <w:noWrap/>
            <w:vAlign w:val="center"/>
            <w:hideMark/>
          </w:tcPr>
          <w:p w14:paraId="3E00E3D5" w14:textId="217A5F4A" w:rsidR="000E1384" w:rsidRPr="00A91A55" w:rsidRDefault="000E1384" w:rsidP="00B63E24">
            <w:pPr>
              <w:pStyle w:val="Tabletext"/>
              <w:jc w:val="center"/>
              <w:rPr>
                <w:lang w:eastAsia="en-AU"/>
              </w:rPr>
            </w:pPr>
            <w:r w:rsidRPr="000E1384">
              <w:rPr>
                <w:lang w:eastAsia="en-AU"/>
              </w:rPr>
              <w:t>14.6</w:t>
            </w:r>
          </w:p>
        </w:tc>
        <w:tc>
          <w:tcPr>
            <w:tcW w:w="684" w:type="pct"/>
            <w:tcBorders>
              <w:top w:val="nil"/>
              <w:left w:val="nil"/>
              <w:bottom w:val="single" w:sz="4" w:space="0" w:color="auto"/>
              <w:right w:val="single" w:sz="4" w:space="0" w:color="auto"/>
            </w:tcBorders>
            <w:shd w:val="clear" w:color="auto" w:fill="auto"/>
            <w:noWrap/>
            <w:vAlign w:val="center"/>
            <w:hideMark/>
          </w:tcPr>
          <w:p w14:paraId="433138FF" w14:textId="01EBFACE" w:rsidR="000E1384" w:rsidRPr="00A91A55" w:rsidRDefault="000E1384" w:rsidP="00B63E24">
            <w:pPr>
              <w:pStyle w:val="Tabletext"/>
              <w:jc w:val="center"/>
              <w:rPr>
                <w:lang w:eastAsia="en-AU"/>
              </w:rPr>
            </w:pPr>
            <w:r w:rsidRPr="000E1384">
              <w:rPr>
                <w:lang w:eastAsia="en-AU"/>
              </w:rPr>
              <w:t>10.7</w:t>
            </w:r>
          </w:p>
        </w:tc>
        <w:tc>
          <w:tcPr>
            <w:tcW w:w="762" w:type="pct"/>
            <w:tcBorders>
              <w:top w:val="nil"/>
              <w:left w:val="nil"/>
              <w:bottom w:val="single" w:sz="4" w:space="0" w:color="auto"/>
              <w:right w:val="single" w:sz="4" w:space="0" w:color="auto"/>
            </w:tcBorders>
            <w:shd w:val="clear" w:color="auto" w:fill="auto"/>
            <w:noWrap/>
            <w:vAlign w:val="center"/>
            <w:hideMark/>
          </w:tcPr>
          <w:p w14:paraId="52646793" w14:textId="33C24819" w:rsidR="000E1384" w:rsidRPr="00A91A55" w:rsidRDefault="000E1384" w:rsidP="00B63E24">
            <w:pPr>
              <w:pStyle w:val="Tabletext"/>
              <w:jc w:val="center"/>
              <w:rPr>
                <w:lang w:eastAsia="en-AU"/>
              </w:rPr>
            </w:pPr>
            <w:r w:rsidRPr="000E1384">
              <w:rPr>
                <w:lang w:eastAsia="en-AU"/>
              </w:rPr>
              <w:t>7.6</w:t>
            </w:r>
          </w:p>
        </w:tc>
        <w:tc>
          <w:tcPr>
            <w:tcW w:w="885" w:type="pct"/>
            <w:tcBorders>
              <w:top w:val="nil"/>
              <w:left w:val="nil"/>
              <w:bottom w:val="single" w:sz="4" w:space="0" w:color="auto"/>
              <w:right w:val="single" w:sz="4" w:space="0" w:color="auto"/>
            </w:tcBorders>
            <w:vAlign w:val="center"/>
          </w:tcPr>
          <w:p w14:paraId="05E3A919" w14:textId="2E5DB33B" w:rsidR="000E1384" w:rsidRDefault="000E1384" w:rsidP="00B63E24">
            <w:pPr>
              <w:pStyle w:val="Tabletext"/>
              <w:jc w:val="center"/>
              <w:rPr>
                <w:lang w:eastAsia="en-AU"/>
              </w:rPr>
            </w:pPr>
            <w:r w:rsidRPr="000E1384">
              <w:rPr>
                <w:lang w:eastAsia="en-AU"/>
              </w:rPr>
              <w:t>20.4</w:t>
            </w:r>
          </w:p>
        </w:tc>
      </w:tr>
      <w:tr w:rsidR="000E1384" w:rsidRPr="00A91A55" w14:paraId="33CCE67C" w14:textId="3ECEB421" w:rsidTr="000E1384">
        <w:trPr>
          <w:trHeight w:val="30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14:paraId="5185AFF9" w14:textId="18434D20" w:rsidR="000E1384" w:rsidRPr="00A91A55" w:rsidRDefault="000E1384" w:rsidP="000E1384">
            <w:pPr>
              <w:pStyle w:val="Tabletext"/>
              <w:rPr>
                <w:lang w:eastAsia="en-AU"/>
              </w:rPr>
            </w:pPr>
            <w:r w:rsidRPr="00C02E2F">
              <w:rPr>
                <w:lang w:eastAsia="en-AU"/>
              </w:rPr>
              <w:t>Forensic</w:t>
            </w:r>
          </w:p>
        </w:tc>
        <w:tc>
          <w:tcPr>
            <w:tcW w:w="800" w:type="pct"/>
            <w:tcBorders>
              <w:top w:val="nil"/>
              <w:left w:val="nil"/>
              <w:bottom w:val="single" w:sz="4" w:space="0" w:color="auto"/>
              <w:right w:val="single" w:sz="4" w:space="0" w:color="auto"/>
            </w:tcBorders>
            <w:shd w:val="clear" w:color="auto" w:fill="auto"/>
            <w:noWrap/>
            <w:vAlign w:val="center"/>
            <w:hideMark/>
          </w:tcPr>
          <w:p w14:paraId="370F77BE" w14:textId="4A7E980B" w:rsidR="000E1384" w:rsidRPr="00A91A55" w:rsidRDefault="000E1384" w:rsidP="00B63E24">
            <w:pPr>
              <w:pStyle w:val="Tabletext"/>
              <w:jc w:val="center"/>
              <w:rPr>
                <w:lang w:eastAsia="en-AU"/>
              </w:rPr>
            </w:pPr>
            <w:r w:rsidRPr="000E1384">
              <w:rPr>
                <w:lang w:eastAsia="en-AU"/>
              </w:rPr>
              <w:t>39.2</w:t>
            </w:r>
          </w:p>
        </w:tc>
        <w:tc>
          <w:tcPr>
            <w:tcW w:w="685" w:type="pct"/>
            <w:tcBorders>
              <w:top w:val="nil"/>
              <w:left w:val="nil"/>
              <w:bottom w:val="single" w:sz="4" w:space="0" w:color="auto"/>
              <w:right w:val="single" w:sz="4" w:space="0" w:color="auto"/>
            </w:tcBorders>
            <w:shd w:val="clear" w:color="auto" w:fill="auto"/>
            <w:noWrap/>
            <w:vAlign w:val="center"/>
            <w:hideMark/>
          </w:tcPr>
          <w:p w14:paraId="67718CF6" w14:textId="72417A67" w:rsidR="000E1384" w:rsidRPr="00A91A55" w:rsidRDefault="000E1384" w:rsidP="00B63E24">
            <w:pPr>
              <w:pStyle w:val="Tabletext"/>
              <w:jc w:val="center"/>
              <w:rPr>
                <w:lang w:eastAsia="en-AU"/>
              </w:rPr>
            </w:pPr>
            <w:r w:rsidRPr="000E1384">
              <w:rPr>
                <w:lang w:eastAsia="en-AU"/>
              </w:rPr>
              <w:t>47.3</w:t>
            </w:r>
          </w:p>
        </w:tc>
        <w:tc>
          <w:tcPr>
            <w:tcW w:w="684" w:type="pct"/>
            <w:tcBorders>
              <w:top w:val="nil"/>
              <w:left w:val="nil"/>
              <w:bottom w:val="single" w:sz="4" w:space="0" w:color="auto"/>
              <w:right w:val="single" w:sz="4" w:space="0" w:color="auto"/>
            </w:tcBorders>
            <w:shd w:val="clear" w:color="auto" w:fill="auto"/>
            <w:noWrap/>
            <w:vAlign w:val="center"/>
            <w:hideMark/>
          </w:tcPr>
          <w:p w14:paraId="0A39AA83" w14:textId="3D799903" w:rsidR="000E1384" w:rsidRPr="00A91A55" w:rsidRDefault="000E1384" w:rsidP="00B63E24">
            <w:pPr>
              <w:pStyle w:val="Tabletext"/>
              <w:jc w:val="center"/>
              <w:rPr>
                <w:lang w:eastAsia="en-AU"/>
              </w:rPr>
            </w:pPr>
            <w:r w:rsidRPr="000E1384">
              <w:rPr>
                <w:lang w:eastAsia="en-AU"/>
              </w:rPr>
              <w:t>58.7</w:t>
            </w:r>
          </w:p>
        </w:tc>
        <w:tc>
          <w:tcPr>
            <w:tcW w:w="762" w:type="pct"/>
            <w:tcBorders>
              <w:top w:val="nil"/>
              <w:left w:val="nil"/>
              <w:bottom w:val="single" w:sz="4" w:space="0" w:color="auto"/>
              <w:right w:val="single" w:sz="4" w:space="0" w:color="auto"/>
            </w:tcBorders>
            <w:shd w:val="clear" w:color="auto" w:fill="auto"/>
            <w:noWrap/>
            <w:vAlign w:val="center"/>
            <w:hideMark/>
          </w:tcPr>
          <w:p w14:paraId="614F21B4" w14:textId="18EF2251" w:rsidR="000E1384" w:rsidRPr="00A91A55" w:rsidRDefault="000E1384" w:rsidP="00B63E24">
            <w:pPr>
              <w:pStyle w:val="Tabletext"/>
              <w:jc w:val="center"/>
              <w:rPr>
                <w:lang w:eastAsia="en-AU"/>
              </w:rPr>
            </w:pPr>
            <w:r w:rsidRPr="000E1384">
              <w:rPr>
                <w:lang w:eastAsia="en-AU"/>
              </w:rPr>
              <w:t>65.8</w:t>
            </w:r>
          </w:p>
        </w:tc>
        <w:tc>
          <w:tcPr>
            <w:tcW w:w="885" w:type="pct"/>
            <w:tcBorders>
              <w:top w:val="nil"/>
              <w:left w:val="nil"/>
              <w:bottom w:val="single" w:sz="4" w:space="0" w:color="auto"/>
              <w:right w:val="single" w:sz="4" w:space="0" w:color="auto"/>
            </w:tcBorders>
            <w:vAlign w:val="center"/>
          </w:tcPr>
          <w:p w14:paraId="1AE13D9E" w14:textId="246136BA" w:rsidR="000E1384" w:rsidRDefault="000E1384" w:rsidP="00B63E24">
            <w:pPr>
              <w:pStyle w:val="Tabletext"/>
              <w:jc w:val="center"/>
              <w:rPr>
                <w:lang w:eastAsia="en-AU"/>
              </w:rPr>
            </w:pPr>
            <w:r w:rsidRPr="000E1384">
              <w:rPr>
                <w:lang w:eastAsia="en-AU"/>
              </w:rPr>
              <w:t>31.8</w:t>
            </w:r>
          </w:p>
        </w:tc>
      </w:tr>
      <w:tr w:rsidR="000E1384" w:rsidRPr="00A91A55" w14:paraId="73AF1568" w14:textId="0486700E" w:rsidTr="000E1384">
        <w:trPr>
          <w:trHeight w:val="30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14:paraId="56B2F2B2" w14:textId="396F09B0" w:rsidR="000E1384" w:rsidRPr="00A91A55" w:rsidRDefault="000E1384" w:rsidP="000E1384">
            <w:pPr>
              <w:pStyle w:val="Tabletext"/>
              <w:rPr>
                <w:lang w:eastAsia="en-AU"/>
              </w:rPr>
            </w:pPr>
            <w:r w:rsidRPr="002E604B">
              <w:rPr>
                <w:lang w:eastAsia="en-AU"/>
              </w:rPr>
              <w:t>Specialist</w:t>
            </w:r>
          </w:p>
        </w:tc>
        <w:tc>
          <w:tcPr>
            <w:tcW w:w="800" w:type="pct"/>
            <w:tcBorders>
              <w:top w:val="nil"/>
              <w:left w:val="nil"/>
              <w:bottom w:val="single" w:sz="4" w:space="0" w:color="auto"/>
              <w:right w:val="single" w:sz="4" w:space="0" w:color="auto"/>
            </w:tcBorders>
            <w:shd w:val="clear" w:color="auto" w:fill="auto"/>
            <w:noWrap/>
            <w:vAlign w:val="center"/>
            <w:hideMark/>
          </w:tcPr>
          <w:p w14:paraId="140570FA" w14:textId="1E0EA830" w:rsidR="000E1384" w:rsidRPr="00A91A55" w:rsidRDefault="000E1384" w:rsidP="00B63E24">
            <w:pPr>
              <w:pStyle w:val="Tabletext"/>
              <w:jc w:val="center"/>
              <w:rPr>
                <w:lang w:eastAsia="en-AU"/>
              </w:rPr>
            </w:pPr>
            <w:r w:rsidRPr="000E1384">
              <w:rPr>
                <w:lang w:eastAsia="en-AU"/>
              </w:rPr>
              <w:t>0.4</w:t>
            </w:r>
          </w:p>
        </w:tc>
        <w:tc>
          <w:tcPr>
            <w:tcW w:w="685" w:type="pct"/>
            <w:tcBorders>
              <w:top w:val="nil"/>
              <w:left w:val="nil"/>
              <w:bottom w:val="single" w:sz="4" w:space="0" w:color="auto"/>
              <w:right w:val="single" w:sz="4" w:space="0" w:color="auto"/>
            </w:tcBorders>
            <w:shd w:val="clear" w:color="auto" w:fill="auto"/>
            <w:noWrap/>
            <w:vAlign w:val="center"/>
            <w:hideMark/>
          </w:tcPr>
          <w:p w14:paraId="2FCBE875" w14:textId="2C63754C" w:rsidR="000E1384" w:rsidRPr="00A91A55" w:rsidRDefault="000E1384" w:rsidP="00B63E24">
            <w:pPr>
              <w:pStyle w:val="Tabletext"/>
              <w:jc w:val="center"/>
              <w:rPr>
                <w:lang w:eastAsia="en-AU"/>
              </w:rPr>
            </w:pPr>
            <w:r w:rsidRPr="000E1384">
              <w:rPr>
                <w:lang w:eastAsia="en-AU"/>
              </w:rPr>
              <w:t>0.5</w:t>
            </w:r>
          </w:p>
        </w:tc>
        <w:tc>
          <w:tcPr>
            <w:tcW w:w="684" w:type="pct"/>
            <w:tcBorders>
              <w:top w:val="nil"/>
              <w:left w:val="nil"/>
              <w:bottom w:val="single" w:sz="4" w:space="0" w:color="auto"/>
              <w:right w:val="single" w:sz="4" w:space="0" w:color="auto"/>
            </w:tcBorders>
            <w:shd w:val="clear" w:color="auto" w:fill="auto"/>
            <w:noWrap/>
            <w:vAlign w:val="center"/>
            <w:hideMark/>
          </w:tcPr>
          <w:p w14:paraId="3CA1AED7" w14:textId="1C38ED0F" w:rsidR="000E1384" w:rsidRPr="00A91A55" w:rsidRDefault="000E1384" w:rsidP="00B63E24">
            <w:pPr>
              <w:pStyle w:val="Tabletext"/>
              <w:jc w:val="center"/>
              <w:rPr>
                <w:lang w:eastAsia="en-AU"/>
              </w:rPr>
            </w:pPr>
            <w:r w:rsidRPr="000E1384">
              <w:rPr>
                <w:lang w:eastAsia="en-AU"/>
              </w:rPr>
              <w:t>3.2</w:t>
            </w:r>
          </w:p>
        </w:tc>
        <w:tc>
          <w:tcPr>
            <w:tcW w:w="762" w:type="pct"/>
            <w:tcBorders>
              <w:top w:val="nil"/>
              <w:left w:val="nil"/>
              <w:bottom w:val="single" w:sz="4" w:space="0" w:color="auto"/>
              <w:right w:val="single" w:sz="4" w:space="0" w:color="auto"/>
            </w:tcBorders>
            <w:shd w:val="clear" w:color="auto" w:fill="auto"/>
            <w:noWrap/>
            <w:vAlign w:val="center"/>
            <w:hideMark/>
          </w:tcPr>
          <w:p w14:paraId="21BD3BE2" w14:textId="2BB0C3B3" w:rsidR="000E1384" w:rsidRPr="00A91A55" w:rsidRDefault="000E1384" w:rsidP="00B63E24">
            <w:pPr>
              <w:pStyle w:val="Tabletext"/>
              <w:jc w:val="center"/>
              <w:rPr>
                <w:lang w:eastAsia="en-AU"/>
              </w:rPr>
            </w:pPr>
            <w:r w:rsidRPr="000E1384">
              <w:rPr>
                <w:lang w:eastAsia="en-AU"/>
              </w:rPr>
              <w:t>10.6</w:t>
            </w:r>
          </w:p>
        </w:tc>
        <w:tc>
          <w:tcPr>
            <w:tcW w:w="885" w:type="pct"/>
            <w:tcBorders>
              <w:top w:val="nil"/>
              <w:left w:val="nil"/>
              <w:bottom w:val="single" w:sz="4" w:space="0" w:color="auto"/>
              <w:right w:val="single" w:sz="4" w:space="0" w:color="auto"/>
            </w:tcBorders>
            <w:vAlign w:val="center"/>
          </w:tcPr>
          <w:p w14:paraId="348572AC" w14:textId="25C5F9FF" w:rsidR="000E1384" w:rsidRDefault="000E1384" w:rsidP="00B63E24">
            <w:pPr>
              <w:pStyle w:val="Tabletext"/>
              <w:jc w:val="center"/>
              <w:rPr>
                <w:lang w:eastAsia="en-AU"/>
              </w:rPr>
            </w:pPr>
            <w:r w:rsidRPr="000E1384">
              <w:rPr>
                <w:lang w:eastAsia="en-AU"/>
              </w:rPr>
              <w:t>11.6</w:t>
            </w:r>
          </w:p>
        </w:tc>
      </w:tr>
      <w:tr w:rsidR="000E1384" w:rsidRPr="00A91A55" w14:paraId="60174E93" w14:textId="5D6FCFB9" w:rsidTr="000E1384">
        <w:trPr>
          <w:trHeight w:val="30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14:paraId="1ED51B7D" w14:textId="10B10CA1" w:rsidR="000E1384" w:rsidRPr="00C02059" w:rsidRDefault="000E1384" w:rsidP="000E1384">
            <w:pPr>
              <w:pStyle w:val="Tabletext"/>
              <w:rPr>
                <w:b/>
                <w:bCs/>
                <w:lang w:eastAsia="en-AU"/>
              </w:rPr>
            </w:pPr>
            <w:r w:rsidRPr="00C02059">
              <w:rPr>
                <w:b/>
                <w:bCs/>
                <w:lang w:eastAsia="en-AU"/>
              </w:rPr>
              <w:t>Total</w:t>
            </w:r>
          </w:p>
        </w:tc>
        <w:tc>
          <w:tcPr>
            <w:tcW w:w="800" w:type="pct"/>
            <w:tcBorders>
              <w:top w:val="nil"/>
              <w:left w:val="nil"/>
              <w:bottom w:val="single" w:sz="4" w:space="0" w:color="auto"/>
              <w:right w:val="single" w:sz="4" w:space="0" w:color="auto"/>
            </w:tcBorders>
            <w:shd w:val="clear" w:color="auto" w:fill="auto"/>
            <w:noWrap/>
            <w:vAlign w:val="center"/>
            <w:hideMark/>
          </w:tcPr>
          <w:p w14:paraId="4FE6F6DC" w14:textId="26888B11" w:rsidR="000E1384" w:rsidRPr="00C02059" w:rsidRDefault="000E1384" w:rsidP="00B63E24">
            <w:pPr>
              <w:pStyle w:val="Tabletext"/>
              <w:jc w:val="center"/>
              <w:rPr>
                <w:b/>
                <w:bCs/>
                <w:lang w:eastAsia="en-AU"/>
              </w:rPr>
            </w:pPr>
            <w:r w:rsidRPr="00C02059">
              <w:rPr>
                <w:b/>
                <w:bCs/>
                <w:lang w:eastAsia="en-AU"/>
              </w:rPr>
              <w:t>8.8</w:t>
            </w:r>
          </w:p>
        </w:tc>
        <w:tc>
          <w:tcPr>
            <w:tcW w:w="685" w:type="pct"/>
            <w:tcBorders>
              <w:top w:val="nil"/>
              <w:left w:val="nil"/>
              <w:bottom w:val="single" w:sz="4" w:space="0" w:color="auto"/>
              <w:right w:val="single" w:sz="4" w:space="0" w:color="auto"/>
            </w:tcBorders>
            <w:shd w:val="clear" w:color="auto" w:fill="auto"/>
            <w:noWrap/>
            <w:vAlign w:val="center"/>
            <w:hideMark/>
          </w:tcPr>
          <w:p w14:paraId="6A993441" w14:textId="7B7B74B2" w:rsidR="000E1384" w:rsidRPr="00C02059" w:rsidRDefault="000E1384" w:rsidP="00B63E24">
            <w:pPr>
              <w:pStyle w:val="Tabletext"/>
              <w:jc w:val="center"/>
              <w:rPr>
                <w:b/>
                <w:bCs/>
                <w:lang w:eastAsia="en-AU"/>
              </w:rPr>
            </w:pPr>
            <w:r w:rsidRPr="00C02059">
              <w:rPr>
                <w:b/>
                <w:bCs/>
                <w:lang w:eastAsia="en-AU"/>
              </w:rPr>
              <w:t>10</w:t>
            </w:r>
          </w:p>
        </w:tc>
        <w:tc>
          <w:tcPr>
            <w:tcW w:w="684" w:type="pct"/>
            <w:tcBorders>
              <w:top w:val="nil"/>
              <w:left w:val="nil"/>
              <w:bottom w:val="single" w:sz="4" w:space="0" w:color="auto"/>
              <w:right w:val="single" w:sz="4" w:space="0" w:color="auto"/>
            </w:tcBorders>
            <w:shd w:val="clear" w:color="auto" w:fill="auto"/>
            <w:noWrap/>
            <w:vAlign w:val="center"/>
            <w:hideMark/>
          </w:tcPr>
          <w:p w14:paraId="127695C1" w14:textId="7D3C4E39" w:rsidR="000E1384" w:rsidRPr="00C02059" w:rsidRDefault="000E1384" w:rsidP="00B63E24">
            <w:pPr>
              <w:pStyle w:val="Tabletext"/>
              <w:jc w:val="center"/>
              <w:rPr>
                <w:b/>
                <w:bCs/>
                <w:lang w:eastAsia="en-AU"/>
              </w:rPr>
            </w:pPr>
            <w:r w:rsidRPr="00C02059">
              <w:rPr>
                <w:b/>
                <w:bCs/>
                <w:lang w:eastAsia="en-AU"/>
              </w:rPr>
              <w:t>10.3</w:t>
            </w:r>
          </w:p>
        </w:tc>
        <w:tc>
          <w:tcPr>
            <w:tcW w:w="762" w:type="pct"/>
            <w:tcBorders>
              <w:top w:val="nil"/>
              <w:left w:val="nil"/>
              <w:bottom w:val="single" w:sz="4" w:space="0" w:color="auto"/>
              <w:right w:val="single" w:sz="4" w:space="0" w:color="auto"/>
            </w:tcBorders>
            <w:shd w:val="clear" w:color="auto" w:fill="auto"/>
            <w:noWrap/>
            <w:vAlign w:val="center"/>
            <w:hideMark/>
          </w:tcPr>
          <w:p w14:paraId="6A5BD56B" w14:textId="31E6AB87" w:rsidR="000E1384" w:rsidRPr="00C02059" w:rsidRDefault="000E1384" w:rsidP="00B63E24">
            <w:pPr>
              <w:pStyle w:val="Tabletext"/>
              <w:jc w:val="center"/>
              <w:rPr>
                <w:b/>
                <w:bCs/>
                <w:lang w:eastAsia="en-AU"/>
              </w:rPr>
            </w:pPr>
            <w:r w:rsidRPr="00C02059">
              <w:rPr>
                <w:b/>
                <w:bCs/>
                <w:lang w:eastAsia="en-AU"/>
              </w:rPr>
              <w:t>9.8</w:t>
            </w:r>
          </w:p>
        </w:tc>
        <w:tc>
          <w:tcPr>
            <w:tcW w:w="885" w:type="pct"/>
            <w:tcBorders>
              <w:top w:val="nil"/>
              <w:left w:val="nil"/>
              <w:bottom w:val="single" w:sz="4" w:space="0" w:color="auto"/>
              <w:right w:val="single" w:sz="4" w:space="0" w:color="auto"/>
            </w:tcBorders>
            <w:vAlign w:val="center"/>
          </w:tcPr>
          <w:p w14:paraId="2580C36E" w14:textId="6A61867E" w:rsidR="000E1384" w:rsidRPr="00C02059" w:rsidRDefault="000E1384" w:rsidP="00B63E24">
            <w:pPr>
              <w:pStyle w:val="Tabletext"/>
              <w:jc w:val="center"/>
              <w:rPr>
                <w:b/>
                <w:bCs/>
                <w:lang w:eastAsia="en-AU"/>
              </w:rPr>
            </w:pPr>
            <w:r w:rsidRPr="00C02059">
              <w:rPr>
                <w:b/>
                <w:bCs/>
                <w:lang w:eastAsia="en-AU"/>
              </w:rPr>
              <w:t>8.3</w:t>
            </w:r>
          </w:p>
        </w:tc>
      </w:tr>
    </w:tbl>
    <w:p w14:paraId="6ACFA96A" w14:textId="536311B1" w:rsidR="00F360D0" w:rsidRPr="00090F34" w:rsidDel="00AF6BE8" w:rsidRDefault="00942F9F" w:rsidP="0080152B">
      <w:pPr>
        <w:pStyle w:val="Bodyaftertable"/>
        <w:spacing w:before="60" w:afterLines="60" w:after="144" w:line="240" w:lineRule="exact"/>
        <w:rPr>
          <w:rFonts w:cs="Arial"/>
          <w:sz w:val="18"/>
          <w:szCs w:val="18"/>
        </w:rPr>
      </w:pPr>
      <w:r w:rsidRPr="00666EA5" w:rsidDel="00AF6BE8">
        <w:rPr>
          <w:rFonts w:cs="Arial"/>
          <w:sz w:val="18"/>
          <w:szCs w:val="18"/>
        </w:rPr>
        <w:t>Note</w:t>
      </w:r>
      <w:r w:rsidR="006430CB" w:rsidRPr="00666EA5" w:rsidDel="00AF6BE8">
        <w:rPr>
          <w:rFonts w:cs="Arial"/>
          <w:sz w:val="18"/>
          <w:szCs w:val="18"/>
        </w:rPr>
        <w:t xml:space="preserve">: </w:t>
      </w:r>
      <w:r w:rsidR="000E1B77" w:rsidRPr="00666EA5" w:rsidDel="00AF6BE8">
        <w:rPr>
          <w:rFonts w:cs="Arial"/>
          <w:sz w:val="18"/>
          <w:szCs w:val="18"/>
        </w:rPr>
        <w:t xml:space="preserve">The Alfred Psychiatry Intensive Care </w:t>
      </w:r>
      <w:proofErr w:type="spellStart"/>
      <w:r w:rsidR="000E1B77" w:rsidRPr="00666EA5" w:rsidDel="00AF6BE8">
        <w:rPr>
          <w:rFonts w:cs="Arial"/>
          <w:sz w:val="18"/>
          <w:szCs w:val="18"/>
        </w:rPr>
        <w:t>Statewide</w:t>
      </w:r>
      <w:proofErr w:type="spellEnd"/>
      <w:r w:rsidR="000E1B77" w:rsidRPr="00666EA5" w:rsidDel="00AF6BE8">
        <w:rPr>
          <w:rFonts w:cs="Arial"/>
          <w:sz w:val="18"/>
          <w:szCs w:val="18"/>
        </w:rPr>
        <w:t xml:space="preserve"> Service data is reflected</w:t>
      </w:r>
      <w:r w:rsidR="00EC7E24" w:rsidRPr="00666EA5" w:rsidDel="00AF6BE8">
        <w:rPr>
          <w:rFonts w:cs="Arial"/>
          <w:sz w:val="18"/>
          <w:szCs w:val="18"/>
        </w:rPr>
        <w:t xml:space="preserve"> in the </w:t>
      </w:r>
      <w:r w:rsidR="00C84A05">
        <w:rPr>
          <w:rFonts w:cs="Arial"/>
          <w:sz w:val="18"/>
          <w:szCs w:val="18"/>
        </w:rPr>
        <w:t>‘s</w:t>
      </w:r>
      <w:r w:rsidR="00EC7E24" w:rsidRPr="00666EA5" w:rsidDel="00AF6BE8">
        <w:rPr>
          <w:rFonts w:cs="Arial"/>
          <w:sz w:val="18"/>
          <w:szCs w:val="18"/>
        </w:rPr>
        <w:t>pecialist</w:t>
      </w:r>
      <w:r w:rsidR="00C84A05">
        <w:rPr>
          <w:rFonts w:cs="Arial"/>
          <w:sz w:val="18"/>
          <w:szCs w:val="18"/>
        </w:rPr>
        <w:t>’</w:t>
      </w:r>
      <w:r w:rsidR="00EC7E24" w:rsidRPr="00666EA5" w:rsidDel="00AF6BE8">
        <w:rPr>
          <w:rFonts w:cs="Arial"/>
          <w:sz w:val="18"/>
          <w:szCs w:val="18"/>
        </w:rPr>
        <w:t xml:space="preserve"> data</w:t>
      </w:r>
      <w:r w:rsidR="00C84A05">
        <w:rPr>
          <w:rFonts w:cs="Arial"/>
          <w:sz w:val="18"/>
          <w:szCs w:val="18"/>
        </w:rPr>
        <w:t>.</w:t>
      </w:r>
    </w:p>
    <w:p w14:paraId="7DC20EEA" w14:textId="5DDD07CA" w:rsidR="00381B2F" w:rsidRDefault="00381B2F" w:rsidP="00643556">
      <w:pPr>
        <w:pStyle w:val="Bodyaftertable"/>
      </w:pPr>
      <w:r>
        <w:t xml:space="preserve">Table </w:t>
      </w:r>
      <w:r w:rsidR="0C3CFD56">
        <w:t>1</w:t>
      </w:r>
      <w:r w:rsidR="00D013CA">
        <w:t>0</w:t>
      </w:r>
      <w:r>
        <w:t xml:space="preserve"> shows that, when seclusion happened, it typically occurred only once within an admission to hospital. Multiple episodes of seclusion were </w:t>
      </w:r>
      <w:r w:rsidR="00B63383">
        <w:t>less common</w:t>
      </w:r>
      <w:r>
        <w:t>. This pattern has remained consistent in recent years.</w:t>
      </w:r>
    </w:p>
    <w:p w14:paraId="2D4412A1" w14:textId="02F04259" w:rsidR="00381B2F" w:rsidRDefault="00381B2F" w:rsidP="000D0B9B">
      <w:pPr>
        <w:pStyle w:val="Tablecaption"/>
      </w:pPr>
      <w:r w:rsidRPr="64F2407C">
        <w:t xml:space="preserve">Table </w:t>
      </w:r>
      <w:r w:rsidR="18E05CAF">
        <w:t>1</w:t>
      </w:r>
      <w:r w:rsidR="00D013CA">
        <w:t>0</w:t>
      </w:r>
      <w:r w:rsidRPr="64F2407C">
        <w:t xml:space="preserve">: </w:t>
      </w:r>
      <w:r w:rsidR="00F6067B" w:rsidRPr="00F6067B">
        <w:t>Frequency of ended seclusion episodes within a single inpatient admission</w:t>
      </w:r>
      <w:r w:rsidRPr="64F2407C">
        <w:t xml:space="preserve">, </w:t>
      </w:r>
      <w:r w:rsidR="00CD2D8E">
        <w:br/>
      </w:r>
      <w:r w:rsidRPr="64F2407C">
        <w:t>20</w:t>
      </w:r>
      <w:r w:rsidR="00E77A16">
        <w:t>18</w:t>
      </w:r>
      <w:r w:rsidRPr="64F2407C">
        <w:t>–1</w:t>
      </w:r>
      <w:r w:rsidR="00E77A16">
        <w:t>9</w:t>
      </w:r>
      <w:r w:rsidRPr="64F2407C">
        <w:t xml:space="preserve"> to </w:t>
      </w:r>
      <w:r w:rsidR="007B2175">
        <w:t>202</w:t>
      </w:r>
      <w:r w:rsidR="00E77A16">
        <w:t>2</w:t>
      </w:r>
      <w:r w:rsidR="007B2175">
        <w:t>–2</w:t>
      </w:r>
      <w:r w:rsidR="00E77A16">
        <w:t>3</w:t>
      </w:r>
    </w:p>
    <w:tbl>
      <w:tblPr>
        <w:tblW w:w="4971" w:type="pct"/>
        <w:tblLook w:val="04A0" w:firstRow="1" w:lastRow="0" w:firstColumn="1" w:lastColumn="0" w:noHBand="0" w:noVBand="1"/>
      </w:tblPr>
      <w:tblGrid>
        <w:gridCol w:w="1948"/>
        <w:gridCol w:w="1457"/>
        <w:gridCol w:w="1457"/>
        <w:gridCol w:w="1455"/>
        <w:gridCol w:w="1455"/>
        <w:gridCol w:w="1450"/>
      </w:tblGrid>
      <w:tr w:rsidR="00CD61DA" w:rsidRPr="00A5007D" w14:paraId="3A224C4A" w14:textId="4ED24D3E" w:rsidTr="000B2220">
        <w:trPr>
          <w:trHeight w:val="205"/>
          <w:tblHeader/>
        </w:trPr>
        <w:tc>
          <w:tcPr>
            <w:tcW w:w="1056" w:type="pct"/>
            <w:tcBorders>
              <w:top w:val="single" w:sz="4" w:space="0" w:color="auto"/>
              <w:left w:val="single" w:sz="4" w:space="0" w:color="auto"/>
              <w:bottom w:val="single" w:sz="4" w:space="0" w:color="auto"/>
              <w:right w:val="single" w:sz="4" w:space="0" w:color="auto"/>
            </w:tcBorders>
            <w:shd w:val="clear" w:color="auto" w:fill="auto"/>
            <w:noWrap/>
            <w:hideMark/>
          </w:tcPr>
          <w:p w14:paraId="2A24ACF2" w14:textId="223BA900" w:rsidR="00CD61DA" w:rsidRPr="00A5007D" w:rsidRDefault="00CD61DA" w:rsidP="00CD61DA">
            <w:pPr>
              <w:pStyle w:val="Tablecolhead"/>
              <w:rPr>
                <w:lang w:eastAsia="en-AU"/>
              </w:rPr>
            </w:pPr>
            <w:r>
              <w:rPr>
                <w:lang w:eastAsia="en-AU"/>
              </w:rPr>
              <w:t>Frequency</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412254CC" w14:textId="49E01937" w:rsidR="00CD61DA" w:rsidRPr="00A5007D" w:rsidRDefault="00CD61DA" w:rsidP="00CD61DA">
            <w:pPr>
              <w:pStyle w:val="Tablecolhead"/>
              <w:jc w:val="center"/>
              <w:rPr>
                <w:lang w:eastAsia="en-AU"/>
              </w:rPr>
            </w:pPr>
            <w:r w:rsidRPr="00DE0E16">
              <w:t>2018</w:t>
            </w:r>
            <w:r>
              <w:t>–</w:t>
            </w:r>
            <w:r w:rsidRPr="00DE0E16">
              <w:t>19</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5D1BF92A" w14:textId="2D2F8B65" w:rsidR="00CD61DA" w:rsidRPr="00A5007D" w:rsidRDefault="00CD61DA" w:rsidP="00CD61DA">
            <w:pPr>
              <w:pStyle w:val="Tablecolhead"/>
              <w:jc w:val="center"/>
              <w:rPr>
                <w:lang w:eastAsia="en-AU"/>
              </w:rPr>
            </w:pPr>
            <w:r w:rsidRPr="00DE0E16">
              <w:t>2019</w:t>
            </w:r>
            <w:r>
              <w:t>–</w:t>
            </w:r>
            <w:r w:rsidRPr="00DE0E16">
              <w:t>20</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15329F0C" w14:textId="61C7032F" w:rsidR="00CD61DA" w:rsidRPr="00A5007D" w:rsidRDefault="00CD61DA" w:rsidP="00CD61DA">
            <w:pPr>
              <w:pStyle w:val="Tablecolhead"/>
              <w:jc w:val="center"/>
              <w:rPr>
                <w:lang w:eastAsia="en-AU"/>
              </w:rPr>
            </w:pPr>
            <w:r w:rsidRPr="00DE0E16">
              <w:t>2020</w:t>
            </w:r>
            <w:r>
              <w:t>–</w:t>
            </w:r>
            <w:r w:rsidRPr="00DE0E16">
              <w:t>21</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520C3A38" w14:textId="5788B159" w:rsidR="00CD61DA" w:rsidRPr="00A5007D" w:rsidRDefault="00CD61DA" w:rsidP="00CD61DA">
            <w:pPr>
              <w:pStyle w:val="Tablecolhead"/>
              <w:jc w:val="center"/>
              <w:rPr>
                <w:lang w:eastAsia="en-AU"/>
              </w:rPr>
            </w:pPr>
            <w:r w:rsidRPr="00DE0E16">
              <w:t>2021</w:t>
            </w:r>
            <w:r>
              <w:t>–</w:t>
            </w:r>
            <w:r w:rsidRPr="00DE0E16">
              <w:t>22</w:t>
            </w:r>
          </w:p>
        </w:tc>
        <w:tc>
          <w:tcPr>
            <w:tcW w:w="786" w:type="pct"/>
            <w:tcBorders>
              <w:top w:val="single" w:sz="4" w:space="0" w:color="auto"/>
              <w:left w:val="nil"/>
              <w:bottom w:val="single" w:sz="4" w:space="0" w:color="auto"/>
              <w:right w:val="single" w:sz="4" w:space="0" w:color="auto"/>
            </w:tcBorders>
            <w:vAlign w:val="center"/>
          </w:tcPr>
          <w:p w14:paraId="74EA3184" w14:textId="00E849CB" w:rsidR="00CD61DA" w:rsidRPr="00A5007D" w:rsidRDefault="00CD61DA" w:rsidP="00CD61DA">
            <w:pPr>
              <w:pStyle w:val="Tablecolhead"/>
              <w:jc w:val="center"/>
              <w:rPr>
                <w:lang w:eastAsia="en-AU"/>
              </w:rPr>
            </w:pPr>
            <w:r w:rsidRPr="00DE0E16">
              <w:t>202</w:t>
            </w:r>
            <w:r>
              <w:t>2–</w:t>
            </w:r>
            <w:r w:rsidRPr="00DE0E16">
              <w:t>2</w:t>
            </w:r>
            <w:r>
              <w:t>3</w:t>
            </w:r>
          </w:p>
        </w:tc>
      </w:tr>
      <w:tr w:rsidR="00CD61DA" w:rsidRPr="00A5007D" w14:paraId="14D02243" w14:textId="0C8A9CD6"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50D57378" w14:textId="4361D300" w:rsidR="00CD61DA" w:rsidRPr="00A5007D" w:rsidRDefault="00CD61DA" w:rsidP="00CD61DA">
            <w:pPr>
              <w:pStyle w:val="Tabletext"/>
              <w:rPr>
                <w:lang w:eastAsia="en-AU"/>
              </w:rPr>
            </w:pPr>
            <w:r w:rsidRPr="00DE0E16">
              <w:t>1</w:t>
            </w:r>
          </w:p>
        </w:tc>
        <w:tc>
          <w:tcPr>
            <w:tcW w:w="790" w:type="pct"/>
            <w:tcBorders>
              <w:top w:val="nil"/>
              <w:left w:val="nil"/>
              <w:bottom w:val="single" w:sz="4" w:space="0" w:color="auto"/>
              <w:right w:val="single" w:sz="4" w:space="0" w:color="auto"/>
            </w:tcBorders>
            <w:shd w:val="clear" w:color="auto" w:fill="auto"/>
            <w:noWrap/>
            <w:vAlign w:val="center"/>
            <w:hideMark/>
          </w:tcPr>
          <w:p w14:paraId="66BA39F9" w14:textId="4E0C01C6" w:rsidR="00CD61DA" w:rsidRPr="00A5007D" w:rsidRDefault="00CD61DA" w:rsidP="00CD61DA">
            <w:pPr>
              <w:pStyle w:val="Tabletext"/>
              <w:jc w:val="center"/>
            </w:pPr>
            <w:r w:rsidRPr="00CD61DA">
              <w:t>868</w:t>
            </w:r>
          </w:p>
        </w:tc>
        <w:tc>
          <w:tcPr>
            <w:tcW w:w="790" w:type="pct"/>
            <w:tcBorders>
              <w:top w:val="nil"/>
              <w:left w:val="nil"/>
              <w:bottom w:val="single" w:sz="4" w:space="0" w:color="auto"/>
              <w:right w:val="single" w:sz="4" w:space="0" w:color="auto"/>
            </w:tcBorders>
            <w:shd w:val="clear" w:color="auto" w:fill="auto"/>
            <w:noWrap/>
            <w:vAlign w:val="center"/>
            <w:hideMark/>
          </w:tcPr>
          <w:p w14:paraId="114EEEE2" w14:textId="2FA94D07" w:rsidR="00CD61DA" w:rsidRPr="00A5007D" w:rsidRDefault="00CD61DA" w:rsidP="00CD61DA">
            <w:pPr>
              <w:pStyle w:val="Tabletext"/>
              <w:jc w:val="center"/>
            </w:pPr>
            <w:r w:rsidRPr="00CD61DA">
              <w:t>796</w:t>
            </w:r>
          </w:p>
        </w:tc>
        <w:tc>
          <w:tcPr>
            <w:tcW w:w="789" w:type="pct"/>
            <w:tcBorders>
              <w:top w:val="nil"/>
              <w:left w:val="nil"/>
              <w:bottom w:val="single" w:sz="4" w:space="0" w:color="auto"/>
              <w:right w:val="single" w:sz="4" w:space="0" w:color="auto"/>
            </w:tcBorders>
            <w:shd w:val="clear" w:color="auto" w:fill="auto"/>
            <w:noWrap/>
            <w:vAlign w:val="center"/>
            <w:hideMark/>
          </w:tcPr>
          <w:p w14:paraId="1C2F1D62" w14:textId="5B8E4A39" w:rsidR="00CD61DA" w:rsidRPr="00A5007D" w:rsidRDefault="00CD61DA" w:rsidP="00CD61DA">
            <w:pPr>
              <w:pStyle w:val="Tabletext"/>
              <w:jc w:val="center"/>
            </w:pPr>
            <w:r w:rsidRPr="00CD61DA">
              <w:t>789</w:t>
            </w:r>
          </w:p>
        </w:tc>
        <w:tc>
          <w:tcPr>
            <w:tcW w:w="789" w:type="pct"/>
            <w:tcBorders>
              <w:top w:val="nil"/>
              <w:left w:val="nil"/>
              <w:bottom w:val="single" w:sz="4" w:space="0" w:color="auto"/>
              <w:right w:val="single" w:sz="4" w:space="0" w:color="auto"/>
            </w:tcBorders>
            <w:shd w:val="clear" w:color="auto" w:fill="auto"/>
            <w:noWrap/>
            <w:vAlign w:val="center"/>
            <w:hideMark/>
          </w:tcPr>
          <w:p w14:paraId="568704CD" w14:textId="43B1BF30" w:rsidR="00CD61DA" w:rsidRPr="00A5007D" w:rsidRDefault="00CD61DA" w:rsidP="00CD61DA">
            <w:pPr>
              <w:pStyle w:val="Tabletext"/>
              <w:jc w:val="center"/>
            </w:pPr>
            <w:r w:rsidRPr="00CD61DA">
              <w:t>637</w:t>
            </w:r>
          </w:p>
        </w:tc>
        <w:tc>
          <w:tcPr>
            <w:tcW w:w="786" w:type="pct"/>
            <w:tcBorders>
              <w:top w:val="nil"/>
              <w:left w:val="nil"/>
              <w:bottom w:val="single" w:sz="4" w:space="0" w:color="auto"/>
              <w:right w:val="single" w:sz="4" w:space="0" w:color="auto"/>
            </w:tcBorders>
            <w:vAlign w:val="center"/>
          </w:tcPr>
          <w:p w14:paraId="3CAF6AC6" w14:textId="4BC474C7" w:rsidR="00CD61DA" w:rsidRDefault="00CD61DA" w:rsidP="00CD61DA">
            <w:pPr>
              <w:pStyle w:val="Tabletext"/>
              <w:jc w:val="center"/>
            </w:pPr>
            <w:r w:rsidRPr="00CD61DA">
              <w:t>599</w:t>
            </w:r>
          </w:p>
        </w:tc>
      </w:tr>
      <w:tr w:rsidR="00CD61DA" w:rsidRPr="00A5007D" w14:paraId="16CD363C" w14:textId="6B934041"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0FBF2C80" w14:textId="68258D7A" w:rsidR="00CD61DA" w:rsidRPr="00A5007D" w:rsidRDefault="00CD61DA" w:rsidP="00CD61DA">
            <w:pPr>
              <w:pStyle w:val="Tabletext"/>
              <w:rPr>
                <w:lang w:eastAsia="en-AU"/>
              </w:rPr>
            </w:pPr>
            <w:r w:rsidRPr="00DE0E16">
              <w:t>2</w:t>
            </w:r>
          </w:p>
        </w:tc>
        <w:tc>
          <w:tcPr>
            <w:tcW w:w="790" w:type="pct"/>
            <w:tcBorders>
              <w:top w:val="nil"/>
              <w:left w:val="nil"/>
              <w:bottom w:val="single" w:sz="4" w:space="0" w:color="auto"/>
              <w:right w:val="single" w:sz="4" w:space="0" w:color="auto"/>
            </w:tcBorders>
            <w:shd w:val="clear" w:color="auto" w:fill="auto"/>
            <w:noWrap/>
            <w:vAlign w:val="center"/>
            <w:hideMark/>
          </w:tcPr>
          <w:p w14:paraId="054CB6CC" w14:textId="60654C63" w:rsidR="00CD61DA" w:rsidRPr="00A5007D" w:rsidRDefault="00CD61DA" w:rsidP="00CD61DA">
            <w:pPr>
              <w:pStyle w:val="Tabletext"/>
              <w:jc w:val="center"/>
            </w:pPr>
            <w:r w:rsidRPr="00CD61DA">
              <w:t>224</w:t>
            </w:r>
          </w:p>
        </w:tc>
        <w:tc>
          <w:tcPr>
            <w:tcW w:w="790" w:type="pct"/>
            <w:tcBorders>
              <w:top w:val="nil"/>
              <w:left w:val="nil"/>
              <w:bottom w:val="single" w:sz="4" w:space="0" w:color="auto"/>
              <w:right w:val="single" w:sz="4" w:space="0" w:color="auto"/>
            </w:tcBorders>
            <w:shd w:val="clear" w:color="auto" w:fill="auto"/>
            <w:noWrap/>
            <w:vAlign w:val="center"/>
            <w:hideMark/>
          </w:tcPr>
          <w:p w14:paraId="6B0D72A5" w14:textId="3E3D5F79" w:rsidR="00CD61DA" w:rsidRPr="00A5007D" w:rsidRDefault="00CD61DA" w:rsidP="00CD61DA">
            <w:pPr>
              <w:pStyle w:val="Tabletext"/>
              <w:jc w:val="center"/>
            </w:pPr>
            <w:r w:rsidRPr="00CD61DA">
              <w:t>212</w:t>
            </w:r>
          </w:p>
        </w:tc>
        <w:tc>
          <w:tcPr>
            <w:tcW w:w="789" w:type="pct"/>
            <w:tcBorders>
              <w:top w:val="nil"/>
              <w:left w:val="nil"/>
              <w:bottom w:val="single" w:sz="4" w:space="0" w:color="auto"/>
              <w:right w:val="single" w:sz="4" w:space="0" w:color="auto"/>
            </w:tcBorders>
            <w:shd w:val="clear" w:color="auto" w:fill="auto"/>
            <w:noWrap/>
            <w:vAlign w:val="center"/>
            <w:hideMark/>
          </w:tcPr>
          <w:p w14:paraId="7DF4092B" w14:textId="1B187FC5" w:rsidR="00CD61DA" w:rsidRPr="00A5007D" w:rsidRDefault="00CD61DA" w:rsidP="00CD61DA">
            <w:pPr>
              <w:pStyle w:val="Tabletext"/>
              <w:jc w:val="center"/>
            </w:pPr>
            <w:r w:rsidRPr="00CD61DA">
              <w:t>205</w:t>
            </w:r>
          </w:p>
        </w:tc>
        <w:tc>
          <w:tcPr>
            <w:tcW w:w="789" w:type="pct"/>
            <w:tcBorders>
              <w:top w:val="nil"/>
              <w:left w:val="nil"/>
              <w:bottom w:val="single" w:sz="4" w:space="0" w:color="auto"/>
              <w:right w:val="single" w:sz="4" w:space="0" w:color="auto"/>
            </w:tcBorders>
            <w:shd w:val="clear" w:color="auto" w:fill="auto"/>
            <w:noWrap/>
            <w:vAlign w:val="center"/>
            <w:hideMark/>
          </w:tcPr>
          <w:p w14:paraId="16109FC0" w14:textId="5C49D31D" w:rsidR="00CD61DA" w:rsidRPr="00A5007D" w:rsidRDefault="00CD61DA" w:rsidP="00CD61DA">
            <w:pPr>
              <w:pStyle w:val="Tabletext"/>
              <w:jc w:val="center"/>
            </w:pPr>
            <w:r w:rsidRPr="00CD61DA">
              <w:t>178</w:t>
            </w:r>
          </w:p>
        </w:tc>
        <w:tc>
          <w:tcPr>
            <w:tcW w:w="786" w:type="pct"/>
            <w:tcBorders>
              <w:top w:val="nil"/>
              <w:left w:val="nil"/>
              <w:bottom w:val="single" w:sz="4" w:space="0" w:color="auto"/>
              <w:right w:val="single" w:sz="4" w:space="0" w:color="auto"/>
            </w:tcBorders>
            <w:vAlign w:val="center"/>
          </w:tcPr>
          <w:p w14:paraId="0B14EBB0" w14:textId="62E2B9C4" w:rsidR="00CD61DA" w:rsidRDefault="00CD61DA" w:rsidP="00CD61DA">
            <w:pPr>
              <w:pStyle w:val="Tabletext"/>
              <w:jc w:val="center"/>
            </w:pPr>
            <w:r w:rsidRPr="00CD61DA">
              <w:t>175</w:t>
            </w:r>
          </w:p>
        </w:tc>
      </w:tr>
      <w:tr w:rsidR="00CD61DA" w:rsidRPr="00A5007D" w14:paraId="6EBC6434" w14:textId="43471181"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59A65916" w14:textId="64D072C2" w:rsidR="00CD61DA" w:rsidRPr="00A5007D" w:rsidRDefault="00CD61DA" w:rsidP="00CD61DA">
            <w:pPr>
              <w:pStyle w:val="Tabletext"/>
              <w:rPr>
                <w:lang w:eastAsia="en-AU"/>
              </w:rPr>
            </w:pPr>
            <w:r w:rsidRPr="00DE0E16">
              <w:t>3</w:t>
            </w:r>
          </w:p>
        </w:tc>
        <w:tc>
          <w:tcPr>
            <w:tcW w:w="790" w:type="pct"/>
            <w:tcBorders>
              <w:top w:val="nil"/>
              <w:left w:val="nil"/>
              <w:bottom w:val="single" w:sz="4" w:space="0" w:color="auto"/>
              <w:right w:val="single" w:sz="4" w:space="0" w:color="auto"/>
            </w:tcBorders>
            <w:shd w:val="clear" w:color="auto" w:fill="auto"/>
            <w:noWrap/>
            <w:vAlign w:val="center"/>
            <w:hideMark/>
          </w:tcPr>
          <w:p w14:paraId="7331A882" w14:textId="5086B336" w:rsidR="00CD61DA" w:rsidRPr="00A5007D" w:rsidRDefault="00CD61DA" w:rsidP="00CD61DA">
            <w:pPr>
              <w:pStyle w:val="Tabletext"/>
              <w:jc w:val="center"/>
            </w:pPr>
            <w:r w:rsidRPr="00CD61DA">
              <w:t>100</w:t>
            </w:r>
          </w:p>
        </w:tc>
        <w:tc>
          <w:tcPr>
            <w:tcW w:w="790" w:type="pct"/>
            <w:tcBorders>
              <w:top w:val="nil"/>
              <w:left w:val="nil"/>
              <w:bottom w:val="single" w:sz="4" w:space="0" w:color="auto"/>
              <w:right w:val="single" w:sz="4" w:space="0" w:color="auto"/>
            </w:tcBorders>
            <w:shd w:val="clear" w:color="auto" w:fill="auto"/>
            <w:noWrap/>
            <w:vAlign w:val="center"/>
            <w:hideMark/>
          </w:tcPr>
          <w:p w14:paraId="531A8287" w14:textId="48E79577" w:rsidR="00CD61DA" w:rsidRPr="00A5007D" w:rsidRDefault="00CD61DA" w:rsidP="00CD61DA">
            <w:pPr>
              <w:pStyle w:val="Tabletext"/>
              <w:jc w:val="center"/>
            </w:pPr>
            <w:r w:rsidRPr="00CD61DA">
              <w:t>103</w:t>
            </w:r>
          </w:p>
        </w:tc>
        <w:tc>
          <w:tcPr>
            <w:tcW w:w="789" w:type="pct"/>
            <w:tcBorders>
              <w:top w:val="nil"/>
              <w:left w:val="nil"/>
              <w:bottom w:val="single" w:sz="4" w:space="0" w:color="auto"/>
              <w:right w:val="single" w:sz="4" w:space="0" w:color="auto"/>
            </w:tcBorders>
            <w:shd w:val="clear" w:color="auto" w:fill="auto"/>
            <w:noWrap/>
            <w:vAlign w:val="center"/>
            <w:hideMark/>
          </w:tcPr>
          <w:p w14:paraId="3B0E6643" w14:textId="65D30AE6" w:rsidR="00CD61DA" w:rsidRPr="00A5007D" w:rsidRDefault="00CD61DA" w:rsidP="00CD61DA">
            <w:pPr>
              <w:pStyle w:val="Tabletext"/>
              <w:jc w:val="center"/>
            </w:pPr>
            <w:r w:rsidRPr="00CD61DA">
              <w:t>100</w:t>
            </w:r>
          </w:p>
        </w:tc>
        <w:tc>
          <w:tcPr>
            <w:tcW w:w="789" w:type="pct"/>
            <w:tcBorders>
              <w:top w:val="nil"/>
              <w:left w:val="nil"/>
              <w:bottom w:val="single" w:sz="4" w:space="0" w:color="auto"/>
              <w:right w:val="single" w:sz="4" w:space="0" w:color="auto"/>
            </w:tcBorders>
            <w:shd w:val="clear" w:color="auto" w:fill="auto"/>
            <w:noWrap/>
            <w:vAlign w:val="center"/>
            <w:hideMark/>
          </w:tcPr>
          <w:p w14:paraId="3275DD6D" w14:textId="39E2AA4B" w:rsidR="00CD61DA" w:rsidRPr="00A5007D" w:rsidRDefault="00CD61DA" w:rsidP="00CD61DA">
            <w:pPr>
              <w:pStyle w:val="Tabletext"/>
              <w:jc w:val="center"/>
            </w:pPr>
            <w:r w:rsidRPr="00CD61DA">
              <w:t>73</w:t>
            </w:r>
          </w:p>
        </w:tc>
        <w:tc>
          <w:tcPr>
            <w:tcW w:w="786" w:type="pct"/>
            <w:tcBorders>
              <w:top w:val="nil"/>
              <w:left w:val="nil"/>
              <w:bottom w:val="single" w:sz="4" w:space="0" w:color="auto"/>
              <w:right w:val="single" w:sz="4" w:space="0" w:color="auto"/>
            </w:tcBorders>
            <w:vAlign w:val="center"/>
          </w:tcPr>
          <w:p w14:paraId="1877563C" w14:textId="259FFF15" w:rsidR="00CD61DA" w:rsidRDefault="00CD61DA" w:rsidP="00CD61DA">
            <w:pPr>
              <w:pStyle w:val="Tabletext"/>
              <w:jc w:val="center"/>
            </w:pPr>
            <w:r w:rsidRPr="00CD61DA">
              <w:t>70</w:t>
            </w:r>
          </w:p>
        </w:tc>
      </w:tr>
      <w:tr w:rsidR="00CD61DA" w:rsidRPr="00A5007D" w14:paraId="16083D5C" w14:textId="2E4CFE2D"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4C5D1547" w14:textId="431AEF82" w:rsidR="00CD61DA" w:rsidRPr="00A5007D" w:rsidRDefault="00CD61DA" w:rsidP="00CD61DA">
            <w:pPr>
              <w:pStyle w:val="Tabletext"/>
              <w:rPr>
                <w:lang w:eastAsia="en-AU"/>
              </w:rPr>
            </w:pPr>
            <w:r w:rsidRPr="00DE0E16">
              <w:t>4</w:t>
            </w:r>
          </w:p>
        </w:tc>
        <w:tc>
          <w:tcPr>
            <w:tcW w:w="790" w:type="pct"/>
            <w:tcBorders>
              <w:top w:val="nil"/>
              <w:left w:val="nil"/>
              <w:bottom w:val="single" w:sz="4" w:space="0" w:color="auto"/>
              <w:right w:val="single" w:sz="4" w:space="0" w:color="auto"/>
            </w:tcBorders>
            <w:shd w:val="clear" w:color="auto" w:fill="auto"/>
            <w:noWrap/>
            <w:vAlign w:val="center"/>
            <w:hideMark/>
          </w:tcPr>
          <w:p w14:paraId="47C67F0A" w14:textId="36A59591" w:rsidR="00CD61DA" w:rsidRPr="00A5007D" w:rsidRDefault="00CD61DA" w:rsidP="00CD61DA">
            <w:pPr>
              <w:pStyle w:val="Tabletext"/>
              <w:jc w:val="center"/>
            </w:pPr>
            <w:r w:rsidRPr="00CD61DA">
              <w:t>53</w:t>
            </w:r>
          </w:p>
        </w:tc>
        <w:tc>
          <w:tcPr>
            <w:tcW w:w="790" w:type="pct"/>
            <w:tcBorders>
              <w:top w:val="nil"/>
              <w:left w:val="nil"/>
              <w:bottom w:val="single" w:sz="4" w:space="0" w:color="auto"/>
              <w:right w:val="single" w:sz="4" w:space="0" w:color="auto"/>
            </w:tcBorders>
            <w:shd w:val="clear" w:color="auto" w:fill="auto"/>
            <w:noWrap/>
            <w:vAlign w:val="center"/>
            <w:hideMark/>
          </w:tcPr>
          <w:p w14:paraId="25048C82" w14:textId="677AFF5A" w:rsidR="00CD61DA" w:rsidRPr="00A5007D" w:rsidRDefault="00CD61DA" w:rsidP="00CD61DA">
            <w:pPr>
              <w:pStyle w:val="Tabletext"/>
              <w:jc w:val="center"/>
            </w:pPr>
            <w:r w:rsidRPr="00CD61DA">
              <w:t>61</w:t>
            </w:r>
          </w:p>
        </w:tc>
        <w:tc>
          <w:tcPr>
            <w:tcW w:w="789" w:type="pct"/>
            <w:tcBorders>
              <w:top w:val="nil"/>
              <w:left w:val="nil"/>
              <w:bottom w:val="single" w:sz="4" w:space="0" w:color="auto"/>
              <w:right w:val="single" w:sz="4" w:space="0" w:color="auto"/>
            </w:tcBorders>
            <w:shd w:val="clear" w:color="auto" w:fill="auto"/>
            <w:noWrap/>
            <w:vAlign w:val="center"/>
            <w:hideMark/>
          </w:tcPr>
          <w:p w14:paraId="3A8F23F4" w14:textId="2E25ED98" w:rsidR="00CD61DA" w:rsidRPr="00A5007D" w:rsidRDefault="00CD61DA" w:rsidP="00CD61DA">
            <w:pPr>
              <w:pStyle w:val="Tabletext"/>
              <w:jc w:val="center"/>
            </w:pPr>
            <w:r w:rsidRPr="00CD61DA">
              <w:t>50</w:t>
            </w:r>
          </w:p>
        </w:tc>
        <w:tc>
          <w:tcPr>
            <w:tcW w:w="789" w:type="pct"/>
            <w:tcBorders>
              <w:top w:val="nil"/>
              <w:left w:val="nil"/>
              <w:bottom w:val="single" w:sz="4" w:space="0" w:color="auto"/>
              <w:right w:val="single" w:sz="4" w:space="0" w:color="auto"/>
            </w:tcBorders>
            <w:shd w:val="clear" w:color="auto" w:fill="auto"/>
            <w:noWrap/>
            <w:vAlign w:val="center"/>
            <w:hideMark/>
          </w:tcPr>
          <w:p w14:paraId="2063217B" w14:textId="4DF1B6C7" w:rsidR="00CD61DA" w:rsidRPr="00A5007D" w:rsidRDefault="00CD61DA" w:rsidP="00CD61DA">
            <w:pPr>
              <w:pStyle w:val="Tabletext"/>
              <w:jc w:val="center"/>
            </w:pPr>
            <w:r w:rsidRPr="00CD61DA">
              <w:t>60</w:t>
            </w:r>
          </w:p>
        </w:tc>
        <w:tc>
          <w:tcPr>
            <w:tcW w:w="786" w:type="pct"/>
            <w:tcBorders>
              <w:top w:val="nil"/>
              <w:left w:val="nil"/>
              <w:bottom w:val="single" w:sz="4" w:space="0" w:color="auto"/>
              <w:right w:val="single" w:sz="4" w:space="0" w:color="auto"/>
            </w:tcBorders>
            <w:vAlign w:val="center"/>
          </w:tcPr>
          <w:p w14:paraId="5ABFD545" w14:textId="411204B6" w:rsidR="00CD61DA" w:rsidRDefault="00CD61DA" w:rsidP="00CD61DA">
            <w:pPr>
              <w:pStyle w:val="Tabletext"/>
              <w:jc w:val="center"/>
            </w:pPr>
            <w:r w:rsidRPr="00CD61DA">
              <w:t>48</w:t>
            </w:r>
          </w:p>
        </w:tc>
      </w:tr>
      <w:tr w:rsidR="00CD61DA" w:rsidRPr="00A5007D" w14:paraId="79659AC7" w14:textId="5A98CA68"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5526A572" w14:textId="48577EBF" w:rsidR="00CD61DA" w:rsidRPr="00A5007D" w:rsidRDefault="00CD61DA" w:rsidP="00CD61DA">
            <w:pPr>
              <w:pStyle w:val="Tabletext"/>
              <w:rPr>
                <w:lang w:eastAsia="en-AU"/>
              </w:rPr>
            </w:pPr>
            <w:r w:rsidRPr="00DE0E16">
              <w:t>5</w:t>
            </w:r>
          </w:p>
        </w:tc>
        <w:tc>
          <w:tcPr>
            <w:tcW w:w="790" w:type="pct"/>
            <w:tcBorders>
              <w:top w:val="nil"/>
              <w:left w:val="nil"/>
              <w:bottom w:val="single" w:sz="4" w:space="0" w:color="auto"/>
              <w:right w:val="single" w:sz="4" w:space="0" w:color="auto"/>
            </w:tcBorders>
            <w:shd w:val="clear" w:color="auto" w:fill="auto"/>
            <w:noWrap/>
            <w:vAlign w:val="center"/>
            <w:hideMark/>
          </w:tcPr>
          <w:p w14:paraId="689B211D" w14:textId="4B6CC736" w:rsidR="00CD61DA" w:rsidRPr="00A5007D" w:rsidRDefault="00CD61DA" w:rsidP="00CD61DA">
            <w:pPr>
              <w:pStyle w:val="Tabletext"/>
              <w:jc w:val="center"/>
            </w:pPr>
            <w:r w:rsidRPr="00CD61DA">
              <w:t>29</w:t>
            </w:r>
          </w:p>
        </w:tc>
        <w:tc>
          <w:tcPr>
            <w:tcW w:w="790" w:type="pct"/>
            <w:tcBorders>
              <w:top w:val="nil"/>
              <w:left w:val="nil"/>
              <w:bottom w:val="single" w:sz="4" w:space="0" w:color="auto"/>
              <w:right w:val="single" w:sz="4" w:space="0" w:color="auto"/>
            </w:tcBorders>
            <w:shd w:val="clear" w:color="auto" w:fill="auto"/>
            <w:noWrap/>
            <w:vAlign w:val="center"/>
            <w:hideMark/>
          </w:tcPr>
          <w:p w14:paraId="225247E1" w14:textId="10EC827C" w:rsidR="00CD61DA" w:rsidRPr="00A5007D" w:rsidRDefault="00CD61DA" w:rsidP="00CD61DA">
            <w:pPr>
              <w:pStyle w:val="Tabletext"/>
              <w:jc w:val="center"/>
            </w:pPr>
            <w:r w:rsidRPr="00CD61DA">
              <w:t>34</w:t>
            </w:r>
          </w:p>
        </w:tc>
        <w:tc>
          <w:tcPr>
            <w:tcW w:w="789" w:type="pct"/>
            <w:tcBorders>
              <w:top w:val="nil"/>
              <w:left w:val="nil"/>
              <w:bottom w:val="single" w:sz="4" w:space="0" w:color="auto"/>
              <w:right w:val="single" w:sz="4" w:space="0" w:color="auto"/>
            </w:tcBorders>
            <w:shd w:val="clear" w:color="auto" w:fill="auto"/>
            <w:noWrap/>
            <w:vAlign w:val="center"/>
            <w:hideMark/>
          </w:tcPr>
          <w:p w14:paraId="499C3D42" w14:textId="7FCE49D8" w:rsidR="00CD61DA" w:rsidRPr="00A5007D" w:rsidRDefault="00CD61DA" w:rsidP="00CD61DA">
            <w:pPr>
              <w:pStyle w:val="Tabletext"/>
              <w:jc w:val="center"/>
            </w:pPr>
            <w:r w:rsidRPr="00CD61DA">
              <w:t>31</w:t>
            </w:r>
          </w:p>
        </w:tc>
        <w:tc>
          <w:tcPr>
            <w:tcW w:w="789" w:type="pct"/>
            <w:tcBorders>
              <w:top w:val="nil"/>
              <w:left w:val="nil"/>
              <w:bottom w:val="single" w:sz="4" w:space="0" w:color="auto"/>
              <w:right w:val="single" w:sz="4" w:space="0" w:color="auto"/>
            </w:tcBorders>
            <w:shd w:val="clear" w:color="auto" w:fill="auto"/>
            <w:noWrap/>
            <w:vAlign w:val="center"/>
            <w:hideMark/>
          </w:tcPr>
          <w:p w14:paraId="09E6E180" w14:textId="5426FB93" w:rsidR="00CD61DA" w:rsidRPr="00A5007D" w:rsidRDefault="00CD61DA" w:rsidP="00CD61DA">
            <w:pPr>
              <w:pStyle w:val="Tabletext"/>
              <w:jc w:val="center"/>
            </w:pPr>
            <w:r w:rsidRPr="00CD61DA">
              <w:t>33</w:t>
            </w:r>
          </w:p>
        </w:tc>
        <w:tc>
          <w:tcPr>
            <w:tcW w:w="786" w:type="pct"/>
            <w:tcBorders>
              <w:top w:val="nil"/>
              <w:left w:val="nil"/>
              <w:bottom w:val="single" w:sz="4" w:space="0" w:color="auto"/>
              <w:right w:val="single" w:sz="4" w:space="0" w:color="auto"/>
            </w:tcBorders>
            <w:vAlign w:val="center"/>
          </w:tcPr>
          <w:p w14:paraId="3299E6FA" w14:textId="422916AC" w:rsidR="00CD61DA" w:rsidRDefault="00CD61DA" w:rsidP="00CD61DA">
            <w:pPr>
              <w:pStyle w:val="Tabletext"/>
              <w:jc w:val="center"/>
            </w:pPr>
            <w:r w:rsidRPr="00CD61DA">
              <w:t>30</w:t>
            </w:r>
          </w:p>
        </w:tc>
      </w:tr>
      <w:tr w:rsidR="00CD61DA" w:rsidRPr="00A5007D" w14:paraId="57B41008" w14:textId="64F4D57E"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49EFB5BC" w14:textId="3F30F207" w:rsidR="00CD61DA" w:rsidRPr="00A5007D" w:rsidRDefault="00CD61DA" w:rsidP="00CD61DA">
            <w:pPr>
              <w:pStyle w:val="Tabletext"/>
              <w:rPr>
                <w:lang w:eastAsia="en-AU"/>
              </w:rPr>
            </w:pPr>
            <w:r w:rsidRPr="00DE0E16">
              <w:t>6</w:t>
            </w:r>
          </w:p>
        </w:tc>
        <w:tc>
          <w:tcPr>
            <w:tcW w:w="790" w:type="pct"/>
            <w:tcBorders>
              <w:top w:val="nil"/>
              <w:left w:val="nil"/>
              <w:bottom w:val="single" w:sz="4" w:space="0" w:color="auto"/>
              <w:right w:val="single" w:sz="4" w:space="0" w:color="auto"/>
            </w:tcBorders>
            <w:shd w:val="clear" w:color="auto" w:fill="auto"/>
            <w:noWrap/>
            <w:vAlign w:val="center"/>
            <w:hideMark/>
          </w:tcPr>
          <w:p w14:paraId="20BEDADF" w14:textId="639B7C41" w:rsidR="00CD61DA" w:rsidRPr="00A5007D" w:rsidRDefault="00CD61DA" w:rsidP="00CD61DA">
            <w:pPr>
              <w:pStyle w:val="Tabletext"/>
              <w:jc w:val="center"/>
            </w:pPr>
            <w:r w:rsidRPr="00CD61DA">
              <w:t>16</w:t>
            </w:r>
          </w:p>
        </w:tc>
        <w:tc>
          <w:tcPr>
            <w:tcW w:w="790" w:type="pct"/>
            <w:tcBorders>
              <w:top w:val="nil"/>
              <w:left w:val="nil"/>
              <w:bottom w:val="single" w:sz="4" w:space="0" w:color="auto"/>
              <w:right w:val="single" w:sz="4" w:space="0" w:color="auto"/>
            </w:tcBorders>
            <w:shd w:val="clear" w:color="auto" w:fill="auto"/>
            <w:noWrap/>
            <w:vAlign w:val="center"/>
            <w:hideMark/>
          </w:tcPr>
          <w:p w14:paraId="54DF65EA" w14:textId="55E3AB2F" w:rsidR="00CD61DA" w:rsidRPr="00A5007D" w:rsidRDefault="00CD61DA" w:rsidP="00CD61DA">
            <w:pPr>
              <w:pStyle w:val="Tabletext"/>
              <w:jc w:val="center"/>
            </w:pPr>
            <w:r w:rsidRPr="00CD61DA">
              <w:t>20</w:t>
            </w:r>
          </w:p>
        </w:tc>
        <w:tc>
          <w:tcPr>
            <w:tcW w:w="789" w:type="pct"/>
            <w:tcBorders>
              <w:top w:val="nil"/>
              <w:left w:val="nil"/>
              <w:bottom w:val="single" w:sz="4" w:space="0" w:color="auto"/>
              <w:right w:val="single" w:sz="4" w:space="0" w:color="auto"/>
            </w:tcBorders>
            <w:shd w:val="clear" w:color="auto" w:fill="auto"/>
            <w:noWrap/>
            <w:vAlign w:val="center"/>
            <w:hideMark/>
          </w:tcPr>
          <w:p w14:paraId="1955B819" w14:textId="000B30A2" w:rsidR="00CD61DA" w:rsidRPr="00A5007D" w:rsidRDefault="00CD61DA" w:rsidP="00CD61DA">
            <w:pPr>
              <w:pStyle w:val="Tabletext"/>
              <w:jc w:val="center"/>
            </w:pPr>
            <w:r w:rsidRPr="00CD61DA">
              <w:t>22</w:t>
            </w:r>
          </w:p>
        </w:tc>
        <w:tc>
          <w:tcPr>
            <w:tcW w:w="789" w:type="pct"/>
            <w:tcBorders>
              <w:top w:val="nil"/>
              <w:left w:val="nil"/>
              <w:bottom w:val="single" w:sz="4" w:space="0" w:color="auto"/>
              <w:right w:val="single" w:sz="4" w:space="0" w:color="auto"/>
            </w:tcBorders>
            <w:shd w:val="clear" w:color="auto" w:fill="auto"/>
            <w:noWrap/>
            <w:vAlign w:val="center"/>
            <w:hideMark/>
          </w:tcPr>
          <w:p w14:paraId="088454C0" w14:textId="0CCF0D5E" w:rsidR="00CD61DA" w:rsidRPr="00A5007D" w:rsidRDefault="00CD61DA" w:rsidP="00CD61DA">
            <w:pPr>
              <w:pStyle w:val="Tabletext"/>
              <w:jc w:val="center"/>
            </w:pPr>
            <w:r w:rsidRPr="00CD61DA">
              <w:t>17</w:t>
            </w:r>
          </w:p>
        </w:tc>
        <w:tc>
          <w:tcPr>
            <w:tcW w:w="786" w:type="pct"/>
            <w:tcBorders>
              <w:top w:val="nil"/>
              <w:left w:val="nil"/>
              <w:bottom w:val="single" w:sz="4" w:space="0" w:color="auto"/>
              <w:right w:val="single" w:sz="4" w:space="0" w:color="auto"/>
            </w:tcBorders>
            <w:vAlign w:val="center"/>
          </w:tcPr>
          <w:p w14:paraId="1FAF2EAC" w14:textId="0F1BE08E" w:rsidR="00CD61DA" w:rsidRDefault="00CD61DA" w:rsidP="00CD61DA">
            <w:pPr>
              <w:pStyle w:val="Tabletext"/>
              <w:jc w:val="center"/>
            </w:pPr>
            <w:r w:rsidRPr="00CD61DA">
              <w:t>19</w:t>
            </w:r>
          </w:p>
        </w:tc>
      </w:tr>
      <w:tr w:rsidR="00CD61DA" w:rsidRPr="00A5007D" w14:paraId="163764DE" w14:textId="4F31F388"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31D7EB48" w14:textId="50C485C5" w:rsidR="00CD61DA" w:rsidRPr="00A5007D" w:rsidRDefault="00CD61DA" w:rsidP="00CD61DA">
            <w:pPr>
              <w:pStyle w:val="Tabletext"/>
              <w:rPr>
                <w:lang w:eastAsia="en-AU"/>
              </w:rPr>
            </w:pPr>
            <w:r w:rsidRPr="00DE0E16">
              <w:t>7+</w:t>
            </w:r>
          </w:p>
        </w:tc>
        <w:tc>
          <w:tcPr>
            <w:tcW w:w="790" w:type="pct"/>
            <w:tcBorders>
              <w:top w:val="nil"/>
              <w:left w:val="nil"/>
              <w:bottom w:val="single" w:sz="4" w:space="0" w:color="auto"/>
              <w:right w:val="single" w:sz="4" w:space="0" w:color="auto"/>
            </w:tcBorders>
            <w:shd w:val="clear" w:color="auto" w:fill="auto"/>
            <w:noWrap/>
            <w:vAlign w:val="center"/>
            <w:hideMark/>
          </w:tcPr>
          <w:p w14:paraId="552720A0" w14:textId="133CC2DE" w:rsidR="00CD61DA" w:rsidRPr="00A5007D" w:rsidRDefault="00CD61DA" w:rsidP="00CD61DA">
            <w:pPr>
              <w:pStyle w:val="Tabletext"/>
              <w:jc w:val="center"/>
            </w:pPr>
            <w:r w:rsidRPr="00CD61DA">
              <w:t>64</w:t>
            </w:r>
          </w:p>
        </w:tc>
        <w:tc>
          <w:tcPr>
            <w:tcW w:w="790" w:type="pct"/>
            <w:tcBorders>
              <w:top w:val="nil"/>
              <w:left w:val="nil"/>
              <w:bottom w:val="single" w:sz="4" w:space="0" w:color="auto"/>
              <w:right w:val="single" w:sz="4" w:space="0" w:color="auto"/>
            </w:tcBorders>
            <w:shd w:val="clear" w:color="auto" w:fill="auto"/>
            <w:noWrap/>
            <w:vAlign w:val="center"/>
            <w:hideMark/>
          </w:tcPr>
          <w:p w14:paraId="591B8AAB" w14:textId="01664898" w:rsidR="00CD61DA" w:rsidRPr="00A5007D" w:rsidRDefault="00CD61DA" w:rsidP="00CD61DA">
            <w:pPr>
              <w:pStyle w:val="Tabletext"/>
              <w:jc w:val="center"/>
            </w:pPr>
            <w:r w:rsidRPr="00CD61DA">
              <w:t>85</w:t>
            </w:r>
          </w:p>
        </w:tc>
        <w:tc>
          <w:tcPr>
            <w:tcW w:w="789" w:type="pct"/>
            <w:tcBorders>
              <w:top w:val="nil"/>
              <w:left w:val="nil"/>
              <w:bottom w:val="single" w:sz="4" w:space="0" w:color="auto"/>
              <w:right w:val="single" w:sz="4" w:space="0" w:color="auto"/>
            </w:tcBorders>
            <w:shd w:val="clear" w:color="auto" w:fill="auto"/>
            <w:noWrap/>
            <w:vAlign w:val="center"/>
            <w:hideMark/>
          </w:tcPr>
          <w:p w14:paraId="10A39538" w14:textId="0FF95434" w:rsidR="00CD61DA" w:rsidRPr="00A5007D" w:rsidRDefault="00CD61DA" w:rsidP="00CD61DA">
            <w:pPr>
              <w:pStyle w:val="Tabletext"/>
              <w:jc w:val="center"/>
            </w:pPr>
            <w:r w:rsidRPr="00CD61DA">
              <w:t>80</w:t>
            </w:r>
          </w:p>
        </w:tc>
        <w:tc>
          <w:tcPr>
            <w:tcW w:w="789" w:type="pct"/>
            <w:tcBorders>
              <w:top w:val="nil"/>
              <w:left w:val="nil"/>
              <w:bottom w:val="single" w:sz="4" w:space="0" w:color="auto"/>
              <w:right w:val="single" w:sz="4" w:space="0" w:color="auto"/>
            </w:tcBorders>
            <w:shd w:val="clear" w:color="auto" w:fill="auto"/>
            <w:noWrap/>
            <w:vAlign w:val="center"/>
            <w:hideMark/>
          </w:tcPr>
          <w:p w14:paraId="6EA049AD" w14:textId="452A4BC7" w:rsidR="00CD61DA" w:rsidRPr="00A5007D" w:rsidRDefault="00CD61DA" w:rsidP="00CD61DA">
            <w:pPr>
              <w:pStyle w:val="Tabletext"/>
              <w:jc w:val="center"/>
            </w:pPr>
            <w:r w:rsidRPr="00CD61DA">
              <w:t>60</w:t>
            </w:r>
          </w:p>
        </w:tc>
        <w:tc>
          <w:tcPr>
            <w:tcW w:w="786" w:type="pct"/>
            <w:tcBorders>
              <w:top w:val="nil"/>
              <w:left w:val="nil"/>
              <w:bottom w:val="single" w:sz="4" w:space="0" w:color="auto"/>
              <w:right w:val="single" w:sz="4" w:space="0" w:color="auto"/>
            </w:tcBorders>
            <w:vAlign w:val="center"/>
          </w:tcPr>
          <w:p w14:paraId="4A5895CD" w14:textId="4D2F77B1" w:rsidR="00CD61DA" w:rsidRDefault="00CD61DA" w:rsidP="00CD61DA">
            <w:pPr>
              <w:pStyle w:val="Tabletext"/>
              <w:jc w:val="center"/>
            </w:pPr>
            <w:r w:rsidRPr="00CD61DA">
              <w:t>63</w:t>
            </w:r>
          </w:p>
        </w:tc>
      </w:tr>
    </w:tbl>
    <w:p w14:paraId="5CE2E40E" w14:textId="04192D6D" w:rsidR="00381B2F" w:rsidRDefault="1F132177" w:rsidP="00643556">
      <w:pPr>
        <w:pStyle w:val="Bodyaftertable"/>
      </w:pPr>
      <w:r>
        <w:t>Table 1</w:t>
      </w:r>
      <w:r w:rsidR="00D013CA">
        <w:t>1</w:t>
      </w:r>
      <w:r>
        <w:t xml:space="preserve"> shows that i</w:t>
      </w:r>
      <w:r w:rsidR="00381B2F">
        <w:t>n 20</w:t>
      </w:r>
      <w:r w:rsidR="00114C81">
        <w:t>2</w:t>
      </w:r>
      <w:r w:rsidR="007E53CA">
        <w:t>2</w:t>
      </w:r>
      <w:r w:rsidR="00920F37">
        <w:t>–</w:t>
      </w:r>
      <w:r w:rsidR="027D03E7">
        <w:t>2</w:t>
      </w:r>
      <w:r w:rsidR="007E53CA">
        <w:t>3</w:t>
      </w:r>
      <w:r w:rsidR="00114C81" w:rsidRPr="00B46B00">
        <w:t xml:space="preserve"> close</w:t>
      </w:r>
      <w:r w:rsidR="00114C81">
        <w:t xml:space="preserve"> to </w:t>
      </w:r>
      <w:r w:rsidR="00381B2F">
        <w:t>half of all episodes of seclusion lasted for four or fewer hours, consistent with most previous years.</w:t>
      </w:r>
      <w:r w:rsidR="00FD45D8">
        <w:t xml:space="preserve"> </w:t>
      </w:r>
      <w:r w:rsidR="62D58BCF">
        <w:t>There was a significant reduction in the numbers of secl</w:t>
      </w:r>
      <w:r w:rsidR="2D5D38DF">
        <w:t>usions that went beyond 12 hours</w:t>
      </w:r>
      <w:r w:rsidR="000F205D">
        <w:t>,</w:t>
      </w:r>
      <w:r w:rsidR="2D5D38DF">
        <w:t xml:space="preserve"> which is </w:t>
      </w:r>
      <w:r w:rsidR="000F205D">
        <w:t xml:space="preserve">a positive </w:t>
      </w:r>
      <w:r w:rsidR="00B36BCB">
        <w:t>development</w:t>
      </w:r>
      <w:r w:rsidR="2D5D38DF">
        <w:t xml:space="preserve">. </w:t>
      </w:r>
      <w:r w:rsidR="00FD45D8">
        <w:t>The occasions of sec</w:t>
      </w:r>
      <w:r w:rsidR="00982BC7">
        <w:t xml:space="preserve">lusion beyond </w:t>
      </w:r>
      <w:r w:rsidR="00795061">
        <w:t xml:space="preserve">12 hours </w:t>
      </w:r>
      <w:r w:rsidR="003C01FD">
        <w:t xml:space="preserve">are </w:t>
      </w:r>
      <w:r w:rsidR="00DC5193">
        <w:t xml:space="preserve">closely </w:t>
      </w:r>
      <w:r w:rsidR="005B40FA">
        <w:t xml:space="preserve">monitored. </w:t>
      </w:r>
    </w:p>
    <w:p w14:paraId="0753E593" w14:textId="41E5D9C2" w:rsidR="00381B2F" w:rsidRDefault="00381B2F" w:rsidP="000D0B9B">
      <w:pPr>
        <w:pStyle w:val="Tablecaption"/>
      </w:pPr>
      <w:r w:rsidRPr="64F2407C">
        <w:t xml:space="preserve">Table </w:t>
      </w:r>
      <w:r w:rsidR="5DB90F76">
        <w:t>1</w:t>
      </w:r>
      <w:r w:rsidR="00261DBF">
        <w:t>1</w:t>
      </w:r>
      <w:r w:rsidRPr="64F2407C">
        <w:t xml:space="preserve">: </w:t>
      </w:r>
      <w:r w:rsidR="00E63D82" w:rsidRPr="00E63D82">
        <w:t>Duration of ended seclusion episodes in acute inpatient units</w:t>
      </w:r>
      <w:r w:rsidRPr="64F2407C">
        <w:t>, 201</w:t>
      </w:r>
      <w:r w:rsidR="00BD613A">
        <w:t>8</w:t>
      </w:r>
      <w:r w:rsidRPr="64F2407C">
        <w:t>–1</w:t>
      </w:r>
      <w:r w:rsidR="00BD613A">
        <w:t>9</w:t>
      </w:r>
      <w:r w:rsidRPr="64F2407C">
        <w:t xml:space="preserve"> to </w:t>
      </w:r>
      <w:r w:rsidR="007B2175">
        <w:t>202</w:t>
      </w:r>
      <w:r w:rsidR="00BD613A">
        <w:t>2</w:t>
      </w:r>
      <w:r w:rsidR="007B2175">
        <w:t>–</w:t>
      </w:r>
      <w:r w:rsidR="007B2175" w:rsidRPr="00403BC0">
        <w:t>2</w:t>
      </w:r>
      <w:r w:rsidR="00BD613A">
        <w:t>3</w:t>
      </w:r>
    </w:p>
    <w:tbl>
      <w:tblPr>
        <w:tblW w:w="4990" w:type="pct"/>
        <w:tblLook w:val="04A0" w:firstRow="1" w:lastRow="0" w:firstColumn="1" w:lastColumn="0" w:noHBand="0" w:noVBand="1"/>
      </w:tblPr>
      <w:tblGrid>
        <w:gridCol w:w="1950"/>
        <w:gridCol w:w="1463"/>
        <w:gridCol w:w="1463"/>
        <w:gridCol w:w="1463"/>
        <w:gridCol w:w="1463"/>
        <w:gridCol w:w="1455"/>
      </w:tblGrid>
      <w:tr w:rsidR="00BD613A" w:rsidRPr="008373BE" w14:paraId="6FA964AD" w14:textId="4D0708D2" w:rsidTr="00BD613A">
        <w:trPr>
          <w:trHeight w:val="310"/>
          <w:tblHeader/>
        </w:trPr>
        <w:tc>
          <w:tcPr>
            <w:tcW w:w="1054" w:type="pct"/>
            <w:tcBorders>
              <w:top w:val="single" w:sz="4" w:space="0" w:color="auto"/>
              <w:left w:val="single" w:sz="4" w:space="0" w:color="auto"/>
              <w:bottom w:val="single" w:sz="4" w:space="0" w:color="auto"/>
              <w:right w:val="single" w:sz="4" w:space="0" w:color="auto"/>
            </w:tcBorders>
            <w:shd w:val="clear" w:color="auto" w:fill="auto"/>
            <w:noWrap/>
            <w:hideMark/>
          </w:tcPr>
          <w:p w14:paraId="2ACAE33D" w14:textId="5EE2741A" w:rsidR="00BD613A" w:rsidRPr="008373BE" w:rsidRDefault="00BD613A" w:rsidP="00BD613A">
            <w:pPr>
              <w:pStyle w:val="Tablecolhead"/>
              <w:rPr>
                <w:lang w:eastAsia="en-AU"/>
              </w:rPr>
            </w:pPr>
            <w:r>
              <w:rPr>
                <w:lang w:eastAsia="en-AU"/>
              </w:rPr>
              <w:t>Period</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73DB271A" w14:textId="201B8DDE" w:rsidR="00BD613A" w:rsidRPr="008373BE" w:rsidRDefault="00BD613A" w:rsidP="00BD613A">
            <w:pPr>
              <w:pStyle w:val="Tablecolhead"/>
              <w:jc w:val="center"/>
              <w:rPr>
                <w:lang w:eastAsia="en-AU"/>
              </w:rPr>
            </w:pPr>
            <w:r w:rsidRPr="006678B4">
              <w:t>2018</w:t>
            </w:r>
            <w:r>
              <w:t>–</w:t>
            </w:r>
            <w:r w:rsidRPr="006678B4">
              <w:t>19</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39780F26" w14:textId="0E801C97" w:rsidR="00BD613A" w:rsidRPr="008373BE" w:rsidRDefault="00BD613A" w:rsidP="00BD613A">
            <w:pPr>
              <w:pStyle w:val="Tablecolhead"/>
              <w:jc w:val="center"/>
              <w:rPr>
                <w:lang w:eastAsia="en-AU"/>
              </w:rPr>
            </w:pPr>
            <w:r w:rsidRPr="006678B4">
              <w:t>2019</w:t>
            </w:r>
            <w:r>
              <w:t>–</w:t>
            </w:r>
            <w:r w:rsidRPr="006678B4">
              <w:t>20</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4DEA04A3" w14:textId="141E66B9" w:rsidR="00BD613A" w:rsidRPr="008373BE" w:rsidRDefault="00BD613A" w:rsidP="00BD613A">
            <w:pPr>
              <w:pStyle w:val="Tablecolhead"/>
              <w:jc w:val="center"/>
              <w:rPr>
                <w:lang w:eastAsia="en-AU"/>
              </w:rPr>
            </w:pPr>
            <w:r w:rsidRPr="006678B4">
              <w:t>2020</w:t>
            </w:r>
            <w:r>
              <w:t>–</w:t>
            </w:r>
            <w:r w:rsidRPr="006678B4">
              <w:t>21</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25C0C745" w14:textId="4F7AA3B6" w:rsidR="00BD613A" w:rsidRPr="008373BE" w:rsidRDefault="00BD613A" w:rsidP="00BD613A">
            <w:pPr>
              <w:pStyle w:val="Tablecolhead"/>
              <w:jc w:val="center"/>
              <w:rPr>
                <w:lang w:eastAsia="en-AU"/>
              </w:rPr>
            </w:pPr>
            <w:r w:rsidRPr="006678B4">
              <w:t>2021</w:t>
            </w:r>
            <w:r>
              <w:t>–</w:t>
            </w:r>
            <w:r w:rsidRPr="006678B4">
              <w:t>22</w:t>
            </w:r>
          </w:p>
        </w:tc>
        <w:tc>
          <w:tcPr>
            <w:tcW w:w="786" w:type="pct"/>
            <w:tcBorders>
              <w:top w:val="single" w:sz="4" w:space="0" w:color="auto"/>
              <w:left w:val="nil"/>
              <w:bottom w:val="single" w:sz="4" w:space="0" w:color="auto"/>
              <w:right w:val="single" w:sz="4" w:space="0" w:color="auto"/>
            </w:tcBorders>
            <w:vAlign w:val="center"/>
          </w:tcPr>
          <w:p w14:paraId="21EA3735" w14:textId="261F06F8" w:rsidR="00BD613A" w:rsidRPr="008373BE" w:rsidRDefault="00BD613A" w:rsidP="00BD613A">
            <w:pPr>
              <w:pStyle w:val="Tablecolhead"/>
              <w:jc w:val="center"/>
              <w:rPr>
                <w:lang w:eastAsia="en-AU"/>
              </w:rPr>
            </w:pPr>
            <w:r w:rsidRPr="006678B4">
              <w:t>202</w:t>
            </w:r>
            <w:r>
              <w:t>2–</w:t>
            </w:r>
            <w:r w:rsidRPr="006678B4">
              <w:t>2</w:t>
            </w:r>
            <w:r>
              <w:t>3</w:t>
            </w:r>
          </w:p>
        </w:tc>
      </w:tr>
      <w:tr w:rsidR="00BD613A" w:rsidRPr="008373BE" w14:paraId="755EF32A" w14:textId="71BCEE56" w:rsidTr="00BD613A">
        <w:trPr>
          <w:trHeight w:val="310"/>
        </w:trPr>
        <w:tc>
          <w:tcPr>
            <w:tcW w:w="1054" w:type="pct"/>
            <w:tcBorders>
              <w:top w:val="nil"/>
              <w:left w:val="single" w:sz="4" w:space="0" w:color="auto"/>
              <w:bottom w:val="single" w:sz="4" w:space="0" w:color="auto"/>
              <w:right w:val="single" w:sz="4" w:space="0" w:color="auto"/>
            </w:tcBorders>
            <w:shd w:val="clear" w:color="auto" w:fill="auto"/>
            <w:noWrap/>
            <w:hideMark/>
          </w:tcPr>
          <w:p w14:paraId="50882D0B" w14:textId="14B5C659" w:rsidR="00BD613A" w:rsidRPr="008373BE" w:rsidRDefault="00BD613A" w:rsidP="00BD613A">
            <w:pPr>
              <w:pStyle w:val="Tabletext"/>
              <w:rPr>
                <w:lang w:eastAsia="en-AU"/>
              </w:rPr>
            </w:pPr>
            <w:r w:rsidRPr="006678B4">
              <w:t>≤ 4 hours</w:t>
            </w:r>
          </w:p>
        </w:tc>
        <w:tc>
          <w:tcPr>
            <w:tcW w:w="790" w:type="pct"/>
            <w:tcBorders>
              <w:top w:val="nil"/>
              <w:left w:val="nil"/>
              <w:bottom w:val="single" w:sz="4" w:space="0" w:color="auto"/>
              <w:right w:val="single" w:sz="4" w:space="0" w:color="auto"/>
            </w:tcBorders>
            <w:shd w:val="clear" w:color="auto" w:fill="auto"/>
            <w:noWrap/>
            <w:vAlign w:val="center"/>
            <w:hideMark/>
          </w:tcPr>
          <w:p w14:paraId="6F18C845" w14:textId="56671874" w:rsidR="00BD613A" w:rsidRPr="008373BE" w:rsidRDefault="00BD613A" w:rsidP="00BD613A">
            <w:pPr>
              <w:pStyle w:val="Tabletext"/>
              <w:jc w:val="center"/>
            </w:pPr>
            <w:r w:rsidRPr="00BD613A">
              <w:t>1,651</w:t>
            </w:r>
          </w:p>
        </w:tc>
        <w:tc>
          <w:tcPr>
            <w:tcW w:w="790" w:type="pct"/>
            <w:tcBorders>
              <w:top w:val="nil"/>
              <w:left w:val="nil"/>
              <w:bottom w:val="single" w:sz="4" w:space="0" w:color="auto"/>
              <w:right w:val="single" w:sz="4" w:space="0" w:color="auto"/>
            </w:tcBorders>
            <w:shd w:val="clear" w:color="auto" w:fill="auto"/>
            <w:noWrap/>
            <w:vAlign w:val="center"/>
            <w:hideMark/>
          </w:tcPr>
          <w:p w14:paraId="24C802B8" w14:textId="4F4EA233" w:rsidR="00BD613A" w:rsidRPr="008373BE" w:rsidRDefault="00BD613A" w:rsidP="00BD613A">
            <w:pPr>
              <w:pStyle w:val="Tabletext"/>
              <w:jc w:val="center"/>
            </w:pPr>
            <w:r w:rsidRPr="00BD613A">
              <w:t>1,852</w:t>
            </w:r>
          </w:p>
        </w:tc>
        <w:tc>
          <w:tcPr>
            <w:tcW w:w="790" w:type="pct"/>
            <w:tcBorders>
              <w:top w:val="nil"/>
              <w:left w:val="nil"/>
              <w:bottom w:val="single" w:sz="4" w:space="0" w:color="auto"/>
              <w:right w:val="single" w:sz="4" w:space="0" w:color="auto"/>
            </w:tcBorders>
            <w:shd w:val="clear" w:color="auto" w:fill="auto"/>
            <w:noWrap/>
            <w:vAlign w:val="center"/>
            <w:hideMark/>
          </w:tcPr>
          <w:p w14:paraId="281D05DE" w14:textId="2AA3B653" w:rsidR="00BD613A" w:rsidRPr="008373BE" w:rsidRDefault="00BD613A" w:rsidP="00BD613A">
            <w:pPr>
              <w:pStyle w:val="Tabletext"/>
              <w:jc w:val="center"/>
            </w:pPr>
            <w:r w:rsidRPr="00BD613A">
              <w:t>1,716</w:t>
            </w:r>
          </w:p>
        </w:tc>
        <w:tc>
          <w:tcPr>
            <w:tcW w:w="790" w:type="pct"/>
            <w:tcBorders>
              <w:top w:val="nil"/>
              <w:left w:val="nil"/>
              <w:bottom w:val="single" w:sz="4" w:space="0" w:color="auto"/>
              <w:right w:val="single" w:sz="4" w:space="0" w:color="auto"/>
            </w:tcBorders>
            <w:shd w:val="clear" w:color="auto" w:fill="auto"/>
            <w:noWrap/>
            <w:vAlign w:val="center"/>
            <w:hideMark/>
          </w:tcPr>
          <w:p w14:paraId="7C76D1E3" w14:textId="5448E227" w:rsidR="00BD613A" w:rsidRPr="008373BE" w:rsidRDefault="00BD613A" w:rsidP="00BD613A">
            <w:pPr>
              <w:pStyle w:val="Tabletext"/>
              <w:jc w:val="center"/>
            </w:pPr>
            <w:r w:rsidRPr="00BD613A">
              <w:t>1,512</w:t>
            </w:r>
          </w:p>
        </w:tc>
        <w:tc>
          <w:tcPr>
            <w:tcW w:w="786" w:type="pct"/>
            <w:tcBorders>
              <w:top w:val="nil"/>
              <w:left w:val="nil"/>
              <w:bottom w:val="single" w:sz="4" w:space="0" w:color="auto"/>
              <w:right w:val="single" w:sz="4" w:space="0" w:color="auto"/>
            </w:tcBorders>
            <w:vAlign w:val="center"/>
          </w:tcPr>
          <w:p w14:paraId="78103B3F" w14:textId="54D2524E" w:rsidR="00BD613A" w:rsidRDefault="00BD613A" w:rsidP="00BD613A">
            <w:pPr>
              <w:pStyle w:val="Tabletext"/>
              <w:jc w:val="center"/>
            </w:pPr>
            <w:r w:rsidRPr="00BD613A">
              <w:t>1,454</w:t>
            </w:r>
          </w:p>
        </w:tc>
      </w:tr>
      <w:tr w:rsidR="00BD613A" w:rsidRPr="008373BE" w14:paraId="20824AF5" w14:textId="5436A8FB" w:rsidTr="00BD613A">
        <w:trPr>
          <w:trHeight w:val="310"/>
        </w:trPr>
        <w:tc>
          <w:tcPr>
            <w:tcW w:w="1054" w:type="pct"/>
            <w:tcBorders>
              <w:top w:val="nil"/>
              <w:left w:val="single" w:sz="4" w:space="0" w:color="auto"/>
              <w:bottom w:val="single" w:sz="4" w:space="0" w:color="auto"/>
              <w:right w:val="single" w:sz="4" w:space="0" w:color="auto"/>
            </w:tcBorders>
            <w:shd w:val="clear" w:color="auto" w:fill="auto"/>
            <w:noWrap/>
            <w:hideMark/>
          </w:tcPr>
          <w:p w14:paraId="56A37C48" w14:textId="5B213218" w:rsidR="00BD613A" w:rsidRPr="008373BE" w:rsidRDefault="00BD613A" w:rsidP="00BD613A">
            <w:pPr>
              <w:pStyle w:val="Tabletext"/>
              <w:rPr>
                <w:lang w:eastAsia="en-AU"/>
              </w:rPr>
            </w:pPr>
            <w:r w:rsidRPr="006678B4">
              <w:t>4–12 hours</w:t>
            </w:r>
          </w:p>
        </w:tc>
        <w:tc>
          <w:tcPr>
            <w:tcW w:w="790" w:type="pct"/>
            <w:tcBorders>
              <w:top w:val="nil"/>
              <w:left w:val="nil"/>
              <w:bottom w:val="single" w:sz="4" w:space="0" w:color="auto"/>
              <w:right w:val="single" w:sz="4" w:space="0" w:color="auto"/>
            </w:tcBorders>
            <w:shd w:val="clear" w:color="auto" w:fill="auto"/>
            <w:noWrap/>
            <w:vAlign w:val="center"/>
            <w:hideMark/>
          </w:tcPr>
          <w:p w14:paraId="320619C2" w14:textId="2919E680" w:rsidR="00BD613A" w:rsidRPr="008373BE" w:rsidRDefault="00BD613A" w:rsidP="00BD613A">
            <w:pPr>
              <w:pStyle w:val="Tabletext"/>
              <w:jc w:val="center"/>
            </w:pPr>
            <w:r w:rsidRPr="00BD613A">
              <w:t>715</w:t>
            </w:r>
          </w:p>
        </w:tc>
        <w:tc>
          <w:tcPr>
            <w:tcW w:w="790" w:type="pct"/>
            <w:tcBorders>
              <w:top w:val="nil"/>
              <w:left w:val="nil"/>
              <w:bottom w:val="single" w:sz="4" w:space="0" w:color="auto"/>
              <w:right w:val="single" w:sz="4" w:space="0" w:color="auto"/>
            </w:tcBorders>
            <w:shd w:val="clear" w:color="auto" w:fill="auto"/>
            <w:noWrap/>
            <w:vAlign w:val="center"/>
            <w:hideMark/>
          </w:tcPr>
          <w:p w14:paraId="2F16F5C7" w14:textId="30534FDB" w:rsidR="00BD613A" w:rsidRPr="008373BE" w:rsidRDefault="00BD613A" w:rsidP="00BD613A">
            <w:pPr>
              <w:pStyle w:val="Tabletext"/>
              <w:jc w:val="center"/>
            </w:pPr>
            <w:r w:rsidRPr="00BD613A">
              <w:t>726</w:t>
            </w:r>
          </w:p>
        </w:tc>
        <w:tc>
          <w:tcPr>
            <w:tcW w:w="790" w:type="pct"/>
            <w:tcBorders>
              <w:top w:val="nil"/>
              <w:left w:val="nil"/>
              <w:bottom w:val="single" w:sz="4" w:space="0" w:color="auto"/>
              <w:right w:val="single" w:sz="4" w:space="0" w:color="auto"/>
            </w:tcBorders>
            <w:shd w:val="clear" w:color="auto" w:fill="auto"/>
            <w:noWrap/>
            <w:vAlign w:val="center"/>
            <w:hideMark/>
          </w:tcPr>
          <w:p w14:paraId="1EDFA604" w14:textId="21E8EDBC" w:rsidR="00BD613A" w:rsidRPr="008373BE" w:rsidRDefault="00BD613A" w:rsidP="00BD613A">
            <w:pPr>
              <w:pStyle w:val="Tabletext"/>
              <w:jc w:val="center"/>
            </w:pPr>
            <w:r w:rsidRPr="00BD613A">
              <w:t>767</w:t>
            </w:r>
          </w:p>
        </w:tc>
        <w:tc>
          <w:tcPr>
            <w:tcW w:w="790" w:type="pct"/>
            <w:tcBorders>
              <w:top w:val="nil"/>
              <w:left w:val="nil"/>
              <w:bottom w:val="single" w:sz="4" w:space="0" w:color="auto"/>
              <w:right w:val="single" w:sz="4" w:space="0" w:color="auto"/>
            </w:tcBorders>
            <w:shd w:val="clear" w:color="auto" w:fill="auto"/>
            <w:noWrap/>
            <w:vAlign w:val="center"/>
            <w:hideMark/>
          </w:tcPr>
          <w:p w14:paraId="04F0AF50" w14:textId="761ABD07" w:rsidR="00BD613A" w:rsidRPr="008373BE" w:rsidRDefault="00BD613A" w:rsidP="00BD613A">
            <w:pPr>
              <w:pStyle w:val="Tabletext"/>
              <w:jc w:val="center"/>
            </w:pPr>
            <w:r w:rsidRPr="00BD613A">
              <w:t>580</w:t>
            </w:r>
          </w:p>
        </w:tc>
        <w:tc>
          <w:tcPr>
            <w:tcW w:w="786" w:type="pct"/>
            <w:tcBorders>
              <w:top w:val="nil"/>
              <w:left w:val="nil"/>
              <w:bottom w:val="single" w:sz="4" w:space="0" w:color="auto"/>
              <w:right w:val="single" w:sz="4" w:space="0" w:color="auto"/>
            </w:tcBorders>
            <w:vAlign w:val="center"/>
          </w:tcPr>
          <w:p w14:paraId="4FFD92F4" w14:textId="7E264E10" w:rsidR="00BD613A" w:rsidRDefault="00BD613A" w:rsidP="00BD613A">
            <w:pPr>
              <w:pStyle w:val="Tabletext"/>
              <w:jc w:val="center"/>
            </w:pPr>
            <w:r w:rsidRPr="00BD613A">
              <w:t>611</w:t>
            </w:r>
          </w:p>
        </w:tc>
      </w:tr>
      <w:tr w:rsidR="00BD613A" w:rsidRPr="008373BE" w14:paraId="1D872D1E" w14:textId="589ABCA7" w:rsidTr="00BD613A">
        <w:trPr>
          <w:trHeight w:val="310"/>
        </w:trPr>
        <w:tc>
          <w:tcPr>
            <w:tcW w:w="1054" w:type="pct"/>
            <w:tcBorders>
              <w:top w:val="nil"/>
              <w:left w:val="single" w:sz="4" w:space="0" w:color="auto"/>
              <w:bottom w:val="single" w:sz="4" w:space="0" w:color="auto"/>
              <w:right w:val="single" w:sz="4" w:space="0" w:color="auto"/>
            </w:tcBorders>
            <w:shd w:val="clear" w:color="auto" w:fill="auto"/>
            <w:noWrap/>
            <w:hideMark/>
          </w:tcPr>
          <w:p w14:paraId="41826A00" w14:textId="730019A2" w:rsidR="00BD613A" w:rsidRPr="008373BE" w:rsidRDefault="00BD613A" w:rsidP="00BD613A">
            <w:pPr>
              <w:pStyle w:val="Tabletext"/>
              <w:rPr>
                <w:lang w:eastAsia="en-AU"/>
              </w:rPr>
            </w:pPr>
            <w:r w:rsidRPr="006678B4">
              <w:t>&gt; 12 hours</w:t>
            </w:r>
          </w:p>
        </w:tc>
        <w:tc>
          <w:tcPr>
            <w:tcW w:w="790" w:type="pct"/>
            <w:tcBorders>
              <w:top w:val="nil"/>
              <w:left w:val="nil"/>
              <w:bottom w:val="single" w:sz="4" w:space="0" w:color="auto"/>
              <w:right w:val="single" w:sz="4" w:space="0" w:color="auto"/>
            </w:tcBorders>
            <w:shd w:val="clear" w:color="auto" w:fill="auto"/>
            <w:noWrap/>
            <w:vAlign w:val="center"/>
            <w:hideMark/>
          </w:tcPr>
          <w:p w14:paraId="26BD615F" w14:textId="409A9E5F" w:rsidR="00BD613A" w:rsidRPr="008373BE" w:rsidRDefault="00BD613A" w:rsidP="00BD613A">
            <w:pPr>
              <w:pStyle w:val="Tabletext"/>
              <w:jc w:val="center"/>
            </w:pPr>
            <w:r w:rsidRPr="00BD613A">
              <w:t>816</w:t>
            </w:r>
          </w:p>
        </w:tc>
        <w:tc>
          <w:tcPr>
            <w:tcW w:w="790" w:type="pct"/>
            <w:tcBorders>
              <w:top w:val="nil"/>
              <w:left w:val="nil"/>
              <w:bottom w:val="single" w:sz="4" w:space="0" w:color="auto"/>
              <w:right w:val="single" w:sz="4" w:space="0" w:color="auto"/>
            </w:tcBorders>
            <w:shd w:val="clear" w:color="auto" w:fill="auto"/>
            <w:noWrap/>
            <w:vAlign w:val="center"/>
            <w:hideMark/>
          </w:tcPr>
          <w:p w14:paraId="4A4D41E4" w14:textId="38A39880" w:rsidR="00BD613A" w:rsidRPr="008373BE" w:rsidRDefault="00BD613A" w:rsidP="00BD613A">
            <w:pPr>
              <w:pStyle w:val="Tabletext"/>
              <w:jc w:val="center"/>
            </w:pPr>
            <w:r w:rsidRPr="00BD613A">
              <w:t>997</w:t>
            </w:r>
          </w:p>
        </w:tc>
        <w:tc>
          <w:tcPr>
            <w:tcW w:w="790" w:type="pct"/>
            <w:tcBorders>
              <w:top w:val="nil"/>
              <w:left w:val="nil"/>
              <w:bottom w:val="single" w:sz="4" w:space="0" w:color="auto"/>
              <w:right w:val="single" w:sz="4" w:space="0" w:color="auto"/>
            </w:tcBorders>
            <w:shd w:val="clear" w:color="auto" w:fill="auto"/>
            <w:noWrap/>
            <w:vAlign w:val="center"/>
            <w:hideMark/>
          </w:tcPr>
          <w:p w14:paraId="10E5B381" w14:textId="5EB0FA1D" w:rsidR="00BD613A" w:rsidRPr="008373BE" w:rsidRDefault="00BD613A" w:rsidP="00BD613A">
            <w:pPr>
              <w:pStyle w:val="Tabletext"/>
              <w:jc w:val="center"/>
            </w:pPr>
            <w:r w:rsidRPr="00BD613A">
              <w:t>1,170</w:t>
            </w:r>
          </w:p>
        </w:tc>
        <w:tc>
          <w:tcPr>
            <w:tcW w:w="790" w:type="pct"/>
            <w:tcBorders>
              <w:top w:val="nil"/>
              <w:left w:val="nil"/>
              <w:bottom w:val="single" w:sz="4" w:space="0" w:color="auto"/>
              <w:right w:val="single" w:sz="4" w:space="0" w:color="auto"/>
            </w:tcBorders>
            <w:shd w:val="clear" w:color="auto" w:fill="auto"/>
            <w:noWrap/>
            <w:vAlign w:val="center"/>
            <w:hideMark/>
          </w:tcPr>
          <w:p w14:paraId="57241003" w14:textId="056F2700" w:rsidR="00BD613A" w:rsidRPr="008373BE" w:rsidRDefault="00BD613A" w:rsidP="00BD613A">
            <w:pPr>
              <w:pStyle w:val="Tabletext"/>
              <w:jc w:val="center"/>
            </w:pPr>
            <w:r w:rsidRPr="00BD613A">
              <w:t>1,224</w:t>
            </w:r>
          </w:p>
        </w:tc>
        <w:tc>
          <w:tcPr>
            <w:tcW w:w="786" w:type="pct"/>
            <w:tcBorders>
              <w:top w:val="nil"/>
              <w:left w:val="nil"/>
              <w:bottom w:val="single" w:sz="4" w:space="0" w:color="auto"/>
              <w:right w:val="single" w:sz="4" w:space="0" w:color="auto"/>
            </w:tcBorders>
            <w:vAlign w:val="center"/>
          </w:tcPr>
          <w:p w14:paraId="434434C0" w14:textId="3CA413E9" w:rsidR="00BD613A" w:rsidRDefault="00BD613A" w:rsidP="00BD613A">
            <w:pPr>
              <w:pStyle w:val="Tabletext"/>
              <w:jc w:val="center"/>
            </w:pPr>
            <w:r w:rsidRPr="00BD613A">
              <w:t>745</w:t>
            </w:r>
          </w:p>
        </w:tc>
      </w:tr>
    </w:tbl>
    <w:p w14:paraId="0C415221" w14:textId="480E896A" w:rsidR="00381B2F" w:rsidRDefault="00381B2F" w:rsidP="00383721">
      <w:pPr>
        <w:pStyle w:val="Heading4"/>
      </w:pPr>
      <w:r w:rsidRPr="00383721">
        <w:rPr>
          <w:b w:val="0"/>
          <w:bCs w:val="0"/>
          <w:sz w:val="24"/>
          <w:szCs w:val="24"/>
        </w:rPr>
        <w:lastRenderedPageBreak/>
        <w:t>Restraint</w:t>
      </w:r>
      <w:r w:rsidR="0099684E" w:rsidRPr="00383721">
        <w:rPr>
          <w:b w:val="0"/>
          <w:bCs w:val="0"/>
          <w:sz w:val="24"/>
          <w:szCs w:val="24"/>
        </w:rPr>
        <w:t xml:space="preserve"> – acute inpatient units</w:t>
      </w:r>
    </w:p>
    <w:p w14:paraId="40F8680C" w14:textId="28E503AF" w:rsidR="00381B2F" w:rsidRPr="00A83DB5" w:rsidRDefault="00381B2F" w:rsidP="00563C62">
      <w:pPr>
        <w:pStyle w:val="Body"/>
      </w:pPr>
      <w:r w:rsidRPr="00A83DB5">
        <w:t>Bodily restraint refers to physical restraint (placing hands on a person to restrict movement) and mechanical restraint (us</w:t>
      </w:r>
      <w:r w:rsidR="004B3E48">
        <w:t>ing</w:t>
      </w:r>
      <w:r w:rsidRPr="00A83DB5">
        <w:t xml:space="preserve"> </w:t>
      </w:r>
      <w:r w:rsidR="35D15A8E">
        <w:t>a device to prevent or restrict a person’s movement</w:t>
      </w:r>
      <w:r>
        <w:t>).</w:t>
      </w:r>
      <w:r w:rsidRPr="00A83DB5">
        <w:t xml:space="preserve"> The </w:t>
      </w:r>
      <w:r w:rsidR="00613A2A">
        <w:t xml:space="preserve">Mental Health </w:t>
      </w:r>
      <w:r w:rsidRPr="00A83DB5">
        <w:t>Act requires mental health services</w:t>
      </w:r>
      <w:r w:rsidR="00874AAA">
        <w:t xml:space="preserve"> to</w:t>
      </w:r>
      <w:r w:rsidRPr="00A83DB5">
        <w:t xml:space="preserve"> inform the Chief Psychiatrist of both types of practice. </w:t>
      </w:r>
    </w:p>
    <w:p w14:paraId="457605FD" w14:textId="31397452" w:rsidR="00381B2F" w:rsidRDefault="00381B2F" w:rsidP="6A77C92E">
      <w:pPr>
        <w:pStyle w:val="Body"/>
        <w:rPr>
          <w:highlight w:val="yellow"/>
        </w:rPr>
      </w:pPr>
      <w:r>
        <w:t xml:space="preserve">Table </w:t>
      </w:r>
      <w:r w:rsidR="75502575">
        <w:t>1</w:t>
      </w:r>
      <w:r w:rsidR="003360B6">
        <w:t>2</w:t>
      </w:r>
      <w:r>
        <w:t xml:space="preserve"> shows that bodily restraint episodes per 1,000 occupied bed </w:t>
      </w:r>
      <w:r w:rsidR="00F26B5E">
        <w:t>days</w:t>
      </w:r>
      <w:r w:rsidR="4A235C07">
        <w:t xml:space="preserve"> has decreased </w:t>
      </w:r>
      <w:r w:rsidR="00914C95">
        <w:t>overall,</w:t>
      </w:r>
      <w:r w:rsidR="4A235C07">
        <w:t xml:space="preserve"> with most types of units trending in this direction. </w:t>
      </w:r>
      <w:r w:rsidR="76E73498">
        <w:t xml:space="preserve">The previous </w:t>
      </w:r>
      <w:r>
        <w:t>rise in rates of restraint</w:t>
      </w:r>
      <w:r w:rsidR="009661A3">
        <w:t xml:space="preserve"> in child and adol</w:t>
      </w:r>
      <w:r w:rsidR="006E0E6A">
        <w:t>escent inpatient units</w:t>
      </w:r>
      <w:r w:rsidR="49EC545D">
        <w:t xml:space="preserve"> appears to have plateaued</w:t>
      </w:r>
      <w:r w:rsidR="00DC5193">
        <w:t>.</w:t>
      </w:r>
      <w:r w:rsidR="007F6132">
        <w:t xml:space="preserve"> </w:t>
      </w:r>
    </w:p>
    <w:p w14:paraId="00E2E7FB" w14:textId="519BB9BC" w:rsidR="00381B2F" w:rsidRPr="00EA5119" w:rsidRDefault="00381B2F" w:rsidP="000D0B9B">
      <w:pPr>
        <w:pStyle w:val="Tablecaption"/>
        <w:rPr>
          <w:rFonts w:eastAsia="Arial"/>
          <w:bCs/>
        </w:rPr>
      </w:pPr>
      <w:r w:rsidRPr="64F2407C">
        <w:t xml:space="preserve">Table </w:t>
      </w:r>
      <w:r w:rsidR="202F44FB">
        <w:t>1</w:t>
      </w:r>
      <w:r w:rsidR="003360B6">
        <w:t>2</w:t>
      </w:r>
      <w:r>
        <w:t>:</w:t>
      </w:r>
      <w:r w:rsidR="00B5548B">
        <w:t xml:space="preserve"> </w:t>
      </w:r>
      <w:r w:rsidR="00E63D82" w:rsidRPr="00E63D82">
        <w:rPr>
          <w:rFonts w:eastAsia="Arial"/>
        </w:rPr>
        <w:t>Rate of ended bodily restraint episodes per 1,000 occupied bed days, by type of acute inpatient unit</w:t>
      </w:r>
      <w:r w:rsidRPr="6413A842">
        <w:rPr>
          <w:rFonts w:eastAsia="Arial"/>
        </w:rPr>
        <w:t>, 201</w:t>
      </w:r>
      <w:r w:rsidR="00726077">
        <w:rPr>
          <w:rFonts w:eastAsia="Arial"/>
        </w:rPr>
        <w:t>8</w:t>
      </w:r>
      <w:r w:rsidR="0012686C" w:rsidRPr="6413A842">
        <w:rPr>
          <w:rFonts w:eastAsia="Arial"/>
        </w:rPr>
        <w:t>–1</w:t>
      </w:r>
      <w:r w:rsidR="00726077">
        <w:rPr>
          <w:rFonts w:eastAsia="Arial"/>
        </w:rPr>
        <w:t>9</w:t>
      </w:r>
      <w:r w:rsidRPr="6413A842">
        <w:rPr>
          <w:rFonts w:eastAsia="Arial"/>
        </w:rPr>
        <w:t xml:space="preserve"> to </w:t>
      </w:r>
      <w:r w:rsidR="007B2175">
        <w:rPr>
          <w:rFonts w:eastAsia="Arial"/>
        </w:rPr>
        <w:t>202</w:t>
      </w:r>
      <w:r w:rsidR="00726077">
        <w:rPr>
          <w:rFonts w:eastAsia="Arial"/>
        </w:rPr>
        <w:t>2</w:t>
      </w:r>
      <w:r w:rsidR="007B2175">
        <w:rPr>
          <w:rFonts w:eastAsia="Arial"/>
        </w:rPr>
        <w:t>–2</w:t>
      </w:r>
      <w:r w:rsidR="005C0692">
        <w:rPr>
          <w:rFonts w:eastAsia="Arial"/>
        </w:rPr>
        <w:t>3</w:t>
      </w:r>
    </w:p>
    <w:tbl>
      <w:tblPr>
        <w:tblW w:w="5000" w:type="pct"/>
        <w:tblLook w:val="0620" w:firstRow="1" w:lastRow="0" w:firstColumn="0" w:lastColumn="0" w:noHBand="1" w:noVBand="1"/>
      </w:tblPr>
      <w:tblGrid>
        <w:gridCol w:w="2457"/>
        <w:gridCol w:w="1364"/>
        <w:gridCol w:w="1364"/>
        <w:gridCol w:w="1364"/>
        <w:gridCol w:w="1365"/>
        <w:gridCol w:w="1362"/>
      </w:tblGrid>
      <w:tr w:rsidR="00767D9A" w:rsidRPr="00EA5119" w14:paraId="1972CD51" w14:textId="73A4565C" w:rsidTr="00F73C05">
        <w:trPr>
          <w:trHeight w:val="314"/>
          <w:tblHeader/>
        </w:trPr>
        <w:tc>
          <w:tcPr>
            <w:tcW w:w="1325" w:type="pct"/>
            <w:tcBorders>
              <w:top w:val="single" w:sz="4" w:space="0" w:color="auto"/>
              <w:left w:val="single" w:sz="4" w:space="0" w:color="auto"/>
              <w:bottom w:val="single" w:sz="4" w:space="0" w:color="auto"/>
              <w:right w:val="single" w:sz="4" w:space="0" w:color="auto"/>
            </w:tcBorders>
            <w:shd w:val="clear" w:color="auto" w:fill="auto"/>
            <w:noWrap/>
            <w:hideMark/>
          </w:tcPr>
          <w:p w14:paraId="6F8CAA6F" w14:textId="71572349" w:rsidR="00767D9A" w:rsidRPr="00A91A55" w:rsidRDefault="00767D9A" w:rsidP="00767D9A">
            <w:pPr>
              <w:pStyle w:val="Tablecolhead"/>
              <w:rPr>
                <w:lang w:eastAsia="en-AU"/>
              </w:rPr>
            </w:pPr>
            <w:r w:rsidRPr="6413A842">
              <w:rPr>
                <w:lang w:eastAsia="en-AU"/>
              </w:rPr>
              <w:t>Type of unit</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1C272BEF" w14:textId="521A6BE8" w:rsidR="00767D9A" w:rsidRPr="00A91A55" w:rsidRDefault="00767D9A" w:rsidP="00767D9A">
            <w:pPr>
              <w:pStyle w:val="Tablecolhead"/>
              <w:jc w:val="center"/>
              <w:rPr>
                <w:lang w:eastAsia="en-AU"/>
              </w:rPr>
            </w:pPr>
            <w:r w:rsidRPr="0040102B">
              <w:t>2018</w:t>
            </w:r>
            <w:r>
              <w:t>–</w:t>
            </w:r>
            <w:r w:rsidRPr="0040102B">
              <w:t>19</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25CD2806" w14:textId="5C661F36" w:rsidR="00767D9A" w:rsidRPr="00A91A55" w:rsidRDefault="00767D9A" w:rsidP="00767D9A">
            <w:pPr>
              <w:pStyle w:val="Tablecolhead"/>
              <w:jc w:val="center"/>
              <w:rPr>
                <w:lang w:eastAsia="en-AU"/>
              </w:rPr>
            </w:pPr>
            <w:r w:rsidRPr="0040102B">
              <w:t>2019</w:t>
            </w:r>
            <w:r>
              <w:t>–</w:t>
            </w:r>
            <w:r w:rsidRPr="0040102B">
              <w:t>20</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4A854180" w14:textId="243A2882" w:rsidR="00767D9A" w:rsidRPr="00A91A55" w:rsidRDefault="00767D9A" w:rsidP="00767D9A">
            <w:pPr>
              <w:pStyle w:val="Tablecolhead"/>
              <w:jc w:val="center"/>
              <w:rPr>
                <w:lang w:eastAsia="en-AU"/>
              </w:rPr>
            </w:pPr>
            <w:r w:rsidRPr="0040102B">
              <w:t>2020</w:t>
            </w:r>
            <w:r>
              <w:t>–</w:t>
            </w:r>
            <w:r w:rsidRPr="0040102B">
              <w:t>21</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14:paraId="752EA4BD" w14:textId="7836AE08" w:rsidR="00767D9A" w:rsidRPr="00A91A55" w:rsidRDefault="00767D9A" w:rsidP="00767D9A">
            <w:pPr>
              <w:pStyle w:val="Tablecolhead"/>
              <w:jc w:val="center"/>
              <w:rPr>
                <w:lang w:eastAsia="en-AU"/>
              </w:rPr>
            </w:pPr>
            <w:r w:rsidRPr="0040102B">
              <w:t>2021</w:t>
            </w:r>
            <w:r>
              <w:t>–</w:t>
            </w:r>
            <w:r w:rsidRPr="0040102B">
              <w:t>22</w:t>
            </w:r>
          </w:p>
        </w:tc>
        <w:tc>
          <w:tcPr>
            <w:tcW w:w="734" w:type="pct"/>
            <w:tcBorders>
              <w:top w:val="single" w:sz="4" w:space="0" w:color="auto"/>
              <w:left w:val="nil"/>
              <w:bottom w:val="single" w:sz="4" w:space="0" w:color="auto"/>
              <w:right w:val="single" w:sz="4" w:space="0" w:color="auto"/>
            </w:tcBorders>
            <w:vAlign w:val="center"/>
          </w:tcPr>
          <w:p w14:paraId="029209BA" w14:textId="7BD8BA22" w:rsidR="00767D9A" w:rsidRPr="00A91A55" w:rsidRDefault="00767D9A" w:rsidP="00767D9A">
            <w:pPr>
              <w:pStyle w:val="Tablecolhead"/>
              <w:jc w:val="center"/>
              <w:rPr>
                <w:lang w:eastAsia="en-AU"/>
              </w:rPr>
            </w:pPr>
            <w:r w:rsidRPr="0040102B">
              <w:t>202</w:t>
            </w:r>
            <w:r>
              <w:t>2–</w:t>
            </w:r>
            <w:r w:rsidRPr="0040102B">
              <w:t>2</w:t>
            </w:r>
            <w:r>
              <w:t>3</w:t>
            </w:r>
          </w:p>
        </w:tc>
      </w:tr>
      <w:tr w:rsidR="00767D9A" w:rsidRPr="00EA5119" w14:paraId="33637A37" w14:textId="0C7BA84D" w:rsidTr="00F73C05">
        <w:trPr>
          <w:trHeight w:val="314"/>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643B4A35" w14:textId="5BB4BD8C" w:rsidR="00767D9A" w:rsidRPr="00A91A55" w:rsidRDefault="00767D9A" w:rsidP="00767D9A">
            <w:pPr>
              <w:pStyle w:val="Tabletext"/>
              <w:rPr>
                <w:lang w:eastAsia="en-AU"/>
              </w:rPr>
            </w:pPr>
            <w:r w:rsidRPr="00616430">
              <w:rPr>
                <w:lang w:eastAsia="en-AU"/>
              </w:rPr>
              <w:t>Adult</w:t>
            </w:r>
          </w:p>
        </w:tc>
        <w:tc>
          <w:tcPr>
            <w:tcW w:w="735" w:type="pct"/>
            <w:tcBorders>
              <w:top w:val="nil"/>
              <w:left w:val="nil"/>
              <w:bottom w:val="single" w:sz="4" w:space="0" w:color="auto"/>
              <w:right w:val="single" w:sz="4" w:space="0" w:color="auto"/>
            </w:tcBorders>
            <w:shd w:val="clear" w:color="auto" w:fill="auto"/>
            <w:noWrap/>
            <w:vAlign w:val="center"/>
            <w:hideMark/>
          </w:tcPr>
          <w:p w14:paraId="35D5648E" w14:textId="48681BA9" w:rsidR="00767D9A" w:rsidRPr="00767D9A" w:rsidRDefault="00767D9A" w:rsidP="00767D9A">
            <w:pPr>
              <w:pStyle w:val="Tabletext"/>
              <w:jc w:val="center"/>
            </w:pPr>
            <w:r w:rsidRPr="00767D9A">
              <w:t>10.7</w:t>
            </w:r>
          </w:p>
        </w:tc>
        <w:tc>
          <w:tcPr>
            <w:tcW w:w="735" w:type="pct"/>
            <w:tcBorders>
              <w:top w:val="nil"/>
              <w:left w:val="nil"/>
              <w:bottom w:val="single" w:sz="4" w:space="0" w:color="auto"/>
              <w:right w:val="single" w:sz="4" w:space="0" w:color="auto"/>
            </w:tcBorders>
            <w:shd w:val="clear" w:color="auto" w:fill="auto"/>
            <w:noWrap/>
            <w:vAlign w:val="center"/>
            <w:hideMark/>
          </w:tcPr>
          <w:p w14:paraId="567F73B3" w14:textId="7B2F13E8" w:rsidR="00767D9A" w:rsidRPr="00767D9A" w:rsidRDefault="00767D9A" w:rsidP="00767D9A">
            <w:pPr>
              <w:pStyle w:val="Tabletext"/>
              <w:jc w:val="center"/>
            </w:pPr>
            <w:r w:rsidRPr="00767D9A">
              <w:t>11.8</w:t>
            </w:r>
          </w:p>
        </w:tc>
        <w:tc>
          <w:tcPr>
            <w:tcW w:w="735" w:type="pct"/>
            <w:tcBorders>
              <w:top w:val="nil"/>
              <w:left w:val="nil"/>
              <w:bottom w:val="single" w:sz="4" w:space="0" w:color="auto"/>
              <w:right w:val="single" w:sz="4" w:space="0" w:color="auto"/>
            </w:tcBorders>
            <w:shd w:val="clear" w:color="auto" w:fill="auto"/>
            <w:noWrap/>
            <w:vAlign w:val="center"/>
            <w:hideMark/>
          </w:tcPr>
          <w:p w14:paraId="72868B3E" w14:textId="3A3AD273" w:rsidR="00767D9A" w:rsidRPr="00767D9A" w:rsidRDefault="00767D9A" w:rsidP="00767D9A">
            <w:pPr>
              <w:pStyle w:val="Tabletext"/>
              <w:jc w:val="center"/>
            </w:pPr>
            <w:r w:rsidRPr="00767D9A">
              <w:t>13.4</w:t>
            </w:r>
          </w:p>
        </w:tc>
        <w:tc>
          <w:tcPr>
            <w:tcW w:w="736" w:type="pct"/>
            <w:tcBorders>
              <w:top w:val="nil"/>
              <w:left w:val="nil"/>
              <w:bottom w:val="single" w:sz="4" w:space="0" w:color="auto"/>
              <w:right w:val="single" w:sz="4" w:space="0" w:color="auto"/>
            </w:tcBorders>
            <w:shd w:val="clear" w:color="auto" w:fill="auto"/>
            <w:noWrap/>
            <w:vAlign w:val="center"/>
            <w:hideMark/>
          </w:tcPr>
          <w:p w14:paraId="2E98B4F9" w14:textId="3F4F233C" w:rsidR="00767D9A" w:rsidRPr="00767D9A" w:rsidRDefault="00767D9A" w:rsidP="00767D9A">
            <w:pPr>
              <w:pStyle w:val="Tabletext"/>
              <w:jc w:val="center"/>
            </w:pPr>
            <w:r w:rsidRPr="00767D9A">
              <w:t>13.7</w:t>
            </w:r>
          </w:p>
        </w:tc>
        <w:tc>
          <w:tcPr>
            <w:tcW w:w="734" w:type="pct"/>
            <w:tcBorders>
              <w:top w:val="nil"/>
              <w:left w:val="nil"/>
              <w:bottom w:val="single" w:sz="4" w:space="0" w:color="auto"/>
              <w:right w:val="single" w:sz="4" w:space="0" w:color="auto"/>
            </w:tcBorders>
            <w:vAlign w:val="center"/>
          </w:tcPr>
          <w:p w14:paraId="7EF43F27" w14:textId="6EB897BB" w:rsidR="00767D9A" w:rsidRDefault="00767D9A" w:rsidP="00767D9A">
            <w:pPr>
              <w:pStyle w:val="Tabletext"/>
              <w:jc w:val="center"/>
            </w:pPr>
            <w:r w:rsidRPr="00767D9A">
              <w:t>12.4</w:t>
            </w:r>
          </w:p>
        </w:tc>
      </w:tr>
      <w:tr w:rsidR="00767D9A" w:rsidRPr="00EA5119" w14:paraId="0B0DBE8D" w14:textId="6302B457" w:rsidTr="00F73C05">
        <w:trPr>
          <w:trHeight w:val="314"/>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0A546DF2" w14:textId="72D345BC" w:rsidR="00767D9A" w:rsidRPr="00A91A55" w:rsidRDefault="00767D9A" w:rsidP="00767D9A">
            <w:pPr>
              <w:pStyle w:val="Tabletext"/>
              <w:rPr>
                <w:lang w:eastAsia="en-AU"/>
              </w:rPr>
            </w:pPr>
            <w:r w:rsidRPr="00616430">
              <w:rPr>
                <w:lang w:eastAsia="en-AU"/>
              </w:rPr>
              <w:t>Older persons</w:t>
            </w:r>
          </w:p>
        </w:tc>
        <w:tc>
          <w:tcPr>
            <w:tcW w:w="735" w:type="pct"/>
            <w:tcBorders>
              <w:top w:val="nil"/>
              <w:left w:val="nil"/>
              <w:bottom w:val="single" w:sz="4" w:space="0" w:color="auto"/>
              <w:right w:val="single" w:sz="4" w:space="0" w:color="auto"/>
            </w:tcBorders>
            <w:shd w:val="clear" w:color="auto" w:fill="auto"/>
            <w:noWrap/>
            <w:vAlign w:val="center"/>
            <w:hideMark/>
          </w:tcPr>
          <w:p w14:paraId="030A6CBF" w14:textId="6B8C7865" w:rsidR="00767D9A" w:rsidRPr="00767D9A" w:rsidRDefault="00767D9A" w:rsidP="00767D9A">
            <w:pPr>
              <w:pStyle w:val="Tabletext"/>
              <w:jc w:val="center"/>
            </w:pPr>
            <w:r w:rsidRPr="00767D9A">
              <w:t>6</w:t>
            </w:r>
          </w:p>
        </w:tc>
        <w:tc>
          <w:tcPr>
            <w:tcW w:w="735" w:type="pct"/>
            <w:tcBorders>
              <w:top w:val="nil"/>
              <w:left w:val="nil"/>
              <w:bottom w:val="single" w:sz="4" w:space="0" w:color="auto"/>
              <w:right w:val="single" w:sz="4" w:space="0" w:color="auto"/>
            </w:tcBorders>
            <w:shd w:val="clear" w:color="auto" w:fill="auto"/>
            <w:noWrap/>
            <w:vAlign w:val="center"/>
            <w:hideMark/>
          </w:tcPr>
          <w:p w14:paraId="41FA97DB" w14:textId="4E616001" w:rsidR="00767D9A" w:rsidRPr="00767D9A" w:rsidRDefault="00767D9A" w:rsidP="00767D9A">
            <w:pPr>
              <w:pStyle w:val="Tabletext"/>
              <w:jc w:val="center"/>
            </w:pPr>
            <w:r w:rsidRPr="00767D9A">
              <w:t>8.9</w:t>
            </w:r>
          </w:p>
        </w:tc>
        <w:tc>
          <w:tcPr>
            <w:tcW w:w="735" w:type="pct"/>
            <w:tcBorders>
              <w:top w:val="nil"/>
              <w:left w:val="nil"/>
              <w:bottom w:val="single" w:sz="4" w:space="0" w:color="auto"/>
              <w:right w:val="single" w:sz="4" w:space="0" w:color="auto"/>
            </w:tcBorders>
            <w:shd w:val="clear" w:color="auto" w:fill="auto"/>
            <w:noWrap/>
            <w:vAlign w:val="center"/>
            <w:hideMark/>
          </w:tcPr>
          <w:p w14:paraId="45A07671" w14:textId="6DE7FC9E" w:rsidR="00767D9A" w:rsidRPr="00767D9A" w:rsidRDefault="00767D9A" w:rsidP="00767D9A">
            <w:pPr>
              <w:pStyle w:val="Tabletext"/>
              <w:jc w:val="center"/>
            </w:pPr>
            <w:r w:rsidRPr="00767D9A">
              <w:t>8.5</w:t>
            </w:r>
          </w:p>
        </w:tc>
        <w:tc>
          <w:tcPr>
            <w:tcW w:w="736" w:type="pct"/>
            <w:tcBorders>
              <w:top w:val="nil"/>
              <w:left w:val="nil"/>
              <w:bottom w:val="single" w:sz="4" w:space="0" w:color="auto"/>
              <w:right w:val="single" w:sz="4" w:space="0" w:color="auto"/>
            </w:tcBorders>
            <w:shd w:val="clear" w:color="auto" w:fill="auto"/>
            <w:noWrap/>
            <w:vAlign w:val="center"/>
            <w:hideMark/>
          </w:tcPr>
          <w:p w14:paraId="37EC9B47" w14:textId="7A339EB2" w:rsidR="00767D9A" w:rsidRPr="00767D9A" w:rsidRDefault="00767D9A" w:rsidP="00767D9A">
            <w:pPr>
              <w:pStyle w:val="Tabletext"/>
              <w:jc w:val="center"/>
            </w:pPr>
            <w:r w:rsidRPr="00767D9A">
              <w:t>6.4</w:t>
            </w:r>
          </w:p>
        </w:tc>
        <w:tc>
          <w:tcPr>
            <w:tcW w:w="734" w:type="pct"/>
            <w:tcBorders>
              <w:top w:val="nil"/>
              <w:left w:val="nil"/>
              <w:bottom w:val="single" w:sz="4" w:space="0" w:color="auto"/>
              <w:right w:val="single" w:sz="4" w:space="0" w:color="auto"/>
            </w:tcBorders>
            <w:vAlign w:val="center"/>
          </w:tcPr>
          <w:p w14:paraId="79CD51C8" w14:textId="4C1322FB" w:rsidR="00767D9A" w:rsidRDefault="00767D9A" w:rsidP="00767D9A">
            <w:pPr>
              <w:pStyle w:val="Tabletext"/>
              <w:jc w:val="center"/>
            </w:pPr>
            <w:r w:rsidRPr="00767D9A">
              <w:t>5.2</w:t>
            </w:r>
          </w:p>
        </w:tc>
      </w:tr>
      <w:tr w:rsidR="00767D9A" w:rsidRPr="00EA5119" w14:paraId="27BAB6E5" w14:textId="1919ECD0" w:rsidTr="00F73C05">
        <w:trPr>
          <w:trHeight w:val="314"/>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2953CCD7" w14:textId="314156E7" w:rsidR="00767D9A" w:rsidRPr="00A91A55" w:rsidRDefault="00767D9A" w:rsidP="00767D9A">
            <w:pPr>
              <w:pStyle w:val="Tabletext"/>
              <w:rPr>
                <w:lang w:eastAsia="en-AU"/>
              </w:rPr>
            </w:pPr>
            <w:r w:rsidRPr="00616430">
              <w:rPr>
                <w:lang w:eastAsia="en-AU"/>
              </w:rPr>
              <w:t>Child and adolescent</w:t>
            </w:r>
          </w:p>
        </w:tc>
        <w:tc>
          <w:tcPr>
            <w:tcW w:w="735" w:type="pct"/>
            <w:tcBorders>
              <w:top w:val="nil"/>
              <w:left w:val="nil"/>
              <w:bottom w:val="single" w:sz="4" w:space="0" w:color="auto"/>
              <w:right w:val="single" w:sz="4" w:space="0" w:color="auto"/>
            </w:tcBorders>
            <w:shd w:val="clear" w:color="auto" w:fill="auto"/>
            <w:noWrap/>
            <w:vAlign w:val="center"/>
            <w:hideMark/>
          </w:tcPr>
          <w:p w14:paraId="2ACBE4A5" w14:textId="35012FC6" w:rsidR="00767D9A" w:rsidRPr="00767D9A" w:rsidRDefault="00767D9A" w:rsidP="00767D9A">
            <w:pPr>
              <w:pStyle w:val="Tabletext"/>
              <w:jc w:val="center"/>
            </w:pPr>
            <w:r w:rsidRPr="00767D9A">
              <w:t>37.2</w:t>
            </w:r>
          </w:p>
        </w:tc>
        <w:tc>
          <w:tcPr>
            <w:tcW w:w="735" w:type="pct"/>
            <w:tcBorders>
              <w:top w:val="nil"/>
              <w:left w:val="nil"/>
              <w:bottom w:val="single" w:sz="4" w:space="0" w:color="auto"/>
              <w:right w:val="single" w:sz="4" w:space="0" w:color="auto"/>
            </w:tcBorders>
            <w:shd w:val="clear" w:color="auto" w:fill="auto"/>
            <w:noWrap/>
            <w:vAlign w:val="center"/>
            <w:hideMark/>
          </w:tcPr>
          <w:p w14:paraId="6B0F6395" w14:textId="54FC11C4" w:rsidR="00767D9A" w:rsidRPr="00767D9A" w:rsidRDefault="00767D9A" w:rsidP="00767D9A">
            <w:pPr>
              <w:pStyle w:val="Tabletext"/>
              <w:jc w:val="center"/>
            </w:pPr>
            <w:r w:rsidRPr="00767D9A">
              <w:t>42.3</w:t>
            </w:r>
          </w:p>
        </w:tc>
        <w:tc>
          <w:tcPr>
            <w:tcW w:w="735" w:type="pct"/>
            <w:tcBorders>
              <w:top w:val="nil"/>
              <w:left w:val="nil"/>
              <w:bottom w:val="single" w:sz="4" w:space="0" w:color="auto"/>
              <w:right w:val="single" w:sz="4" w:space="0" w:color="auto"/>
            </w:tcBorders>
            <w:shd w:val="clear" w:color="auto" w:fill="auto"/>
            <w:noWrap/>
            <w:vAlign w:val="center"/>
            <w:hideMark/>
          </w:tcPr>
          <w:p w14:paraId="486C3C92" w14:textId="432B794F" w:rsidR="00767D9A" w:rsidRPr="00767D9A" w:rsidRDefault="00767D9A" w:rsidP="00767D9A">
            <w:pPr>
              <w:pStyle w:val="Tabletext"/>
              <w:jc w:val="center"/>
            </w:pPr>
            <w:r w:rsidRPr="00767D9A">
              <w:t>50.4</w:t>
            </w:r>
          </w:p>
        </w:tc>
        <w:tc>
          <w:tcPr>
            <w:tcW w:w="736" w:type="pct"/>
            <w:tcBorders>
              <w:top w:val="nil"/>
              <w:left w:val="nil"/>
              <w:bottom w:val="single" w:sz="4" w:space="0" w:color="auto"/>
              <w:right w:val="single" w:sz="4" w:space="0" w:color="auto"/>
            </w:tcBorders>
            <w:shd w:val="clear" w:color="auto" w:fill="auto"/>
            <w:noWrap/>
            <w:vAlign w:val="center"/>
            <w:hideMark/>
          </w:tcPr>
          <w:p w14:paraId="7B5C872D" w14:textId="3A82475D" w:rsidR="00767D9A" w:rsidRPr="00767D9A" w:rsidRDefault="00767D9A" w:rsidP="00767D9A">
            <w:pPr>
              <w:pStyle w:val="Tabletext"/>
              <w:jc w:val="center"/>
            </w:pPr>
            <w:r w:rsidRPr="00767D9A">
              <w:t>66.8</w:t>
            </w:r>
          </w:p>
        </w:tc>
        <w:tc>
          <w:tcPr>
            <w:tcW w:w="734" w:type="pct"/>
            <w:tcBorders>
              <w:top w:val="nil"/>
              <w:left w:val="nil"/>
              <w:bottom w:val="single" w:sz="4" w:space="0" w:color="auto"/>
              <w:right w:val="single" w:sz="4" w:space="0" w:color="auto"/>
            </w:tcBorders>
            <w:vAlign w:val="center"/>
          </w:tcPr>
          <w:p w14:paraId="129E99D8" w14:textId="064505F9" w:rsidR="00767D9A" w:rsidRDefault="00767D9A" w:rsidP="00767D9A">
            <w:pPr>
              <w:pStyle w:val="Tabletext"/>
              <w:jc w:val="center"/>
            </w:pPr>
            <w:r w:rsidRPr="00767D9A">
              <w:t>63.4</w:t>
            </w:r>
          </w:p>
        </w:tc>
      </w:tr>
      <w:tr w:rsidR="00767D9A" w:rsidRPr="00EA5119" w14:paraId="0FE2674D" w14:textId="28DF0F8E" w:rsidTr="00F73C05">
        <w:trPr>
          <w:trHeight w:val="314"/>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4107383F" w14:textId="17BD5D98" w:rsidR="00767D9A" w:rsidRPr="00A91A55" w:rsidRDefault="00767D9A" w:rsidP="00767D9A">
            <w:pPr>
              <w:pStyle w:val="Tabletext"/>
              <w:rPr>
                <w:lang w:eastAsia="en-AU"/>
              </w:rPr>
            </w:pPr>
            <w:r w:rsidRPr="00616430">
              <w:rPr>
                <w:lang w:eastAsia="en-AU"/>
              </w:rPr>
              <w:t>Forensic</w:t>
            </w:r>
          </w:p>
        </w:tc>
        <w:tc>
          <w:tcPr>
            <w:tcW w:w="735" w:type="pct"/>
            <w:tcBorders>
              <w:top w:val="nil"/>
              <w:left w:val="nil"/>
              <w:bottom w:val="single" w:sz="4" w:space="0" w:color="auto"/>
              <w:right w:val="single" w:sz="4" w:space="0" w:color="auto"/>
            </w:tcBorders>
            <w:shd w:val="clear" w:color="auto" w:fill="auto"/>
            <w:noWrap/>
            <w:vAlign w:val="center"/>
            <w:hideMark/>
          </w:tcPr>
          <w:p w14:paraId="6CD324A5" w14:textId="03ACF224" w:rsidR="00767D9A" w:rsidRPr="00767D9A" w:rsidRDefault="00767D9A" w:rsidP="00767D9A">
            <w:pPr>
              <w:pStyle w:val="Tabletext"/>
              <w:jc w:val="center"/>
            </w:pPr>
            <w:r w:rsidRPr="00767D9A">
              <w:t>162.1</w:t>
            </w:r>
          </w:p>
        </w:tc>
        <w:tc>
          <w:tcPr>
            <w:tcW w:w="735" w:type="pct"/>
            <w:tcBorders>
              <w:top w:val="nil"/>
              <w:left w:val="nil"/>
              <w:bottom w:val="single" w:sz="4" w:space="0" w:color="auto"/>
              <w:right w:val="single" w:sz="4" w:space="0" w:color="auto"/>
            </w:tcBorders>
            <w:shd w:val="clear" w:color="auto" w:fill="auto"/>
            <w:noWrap/>
            <w:vAlign w:val="center"/>
            <w:hideMark/>
          </w:tcPr>
          <w:p w14:paraId="7B31BB55" w14:textId="3DBEEA05" w:rsidR="00767D9A" w:rsidRPr="00767D9A" w:rsidRDefault="00767D9A" w:rsidP="00767D9A">
            <w:pPr>
              <w:pStyle w:val="Tabletext"/>
              <w:jc w:val="center"/>
            </w:pPr>
            <w:r w:rsidRPr="00767D9A">
              <w:t>90.3</w:t>
            </w:r>
          </w:p>
        </w:tc>
        <w:tc>
          <w:tcPr>
            <w:tcW w:w="735" w:type="pct"/>
            <w:tcBorders>
              <w:top w:val="nil"/>
              <w:left w:val="nil"/>
              <w:bottom w:val="single" w:sz="4" w:space="0" w:color="auto"/>
              <w:right w:val="single" w:sz="4" w:space="0" w:color="auto"/>
            </w:tcBorders>
            <w:shd w:val="clear" w:color="auto" w:fill="auto"/>
            <w:noWrap/>
            <w:vAlign w:val="center"/>
            <w:hideMark/>
          </w:tcPr>
          <w:p w14:paraId="3DECB393" w14:textId="76D914AF" w:rsidR="00767D9A" w:rsidRPr="00767D9A" w:rsidRDefault="00767D9A" w:rsidP="00767D9A">
            <w:pPr>
              <w:pStyle w:val="Tabletext"/>
              <w:jc w:val="center"/>
            </w:pPr>
            <w:r w:rsidRPr="00767D9A">
              <w:t>76.5</w:t>
            </w:r>
          </w:p>
        </w:tc>
        <w:tc>
          <w:tcPr>
            <w:tcW w:w="736" w:type="pct"/>
            <w:tcBorders>
              <w:top w:val="nil"/>
              <w:left w:val="nil"/>
              <w:bottom w:val="single" w:sz="4" w:space="0" w:color="auto"/>
              <w:right w:val="single" w:sz="4" w:space="0" w:color="auto"/>
            </w:tcBorders>
            <w:shd w:val="clear" w:color="auto" w:fill="auto"/>
            <w:noWrap/>
            <w:vAlign w:val="center"/>
            <w:hideMark/>
          </w:tcPr>
          <w:p w14:paraId="3CB1E672" w14:textId="49DE9B02" w:rsidR="00767D9A" w:rsidRPr="00767D9A" w:rsidRDefault="00767D9A" w:rsidP="00767D9A">
            <w:pPr>
              <w:pStyle w:val="Tabletext"/>
              <w:jc w:val="center"/>
            </w:pPr>
            <w:r w:rsidRPr="00767D9A">
              <w:t>59.7</w:t>
            </w:r>
          </w:p>
        </w:tc>
        <w:tc>
          <w:tcPr>
            <w:tcW w:w="734" w:type="pct"/>
            <w:tcBorders>
              <w:top w:val="nil"/>
              <w:left w:val="nil"/>
              <w:bottom w:val="single" w:sz="4" w:space="0" w:color="auto"/>
              <w:right w:val="single" w:sz="4" w:space="0" w:color="auto"/>
            </w:tcBorders>
            <w:vAlign w:val="center"/>
          </w:tcPr>
          <w:p w14:paraId="106471F6" w14:textId="5E73C7F1" w:rsidR="00767D9A" w:rsidRDefault="00767D9A" w:rsidP="00767D9A">
            <w:pPr>
              <w:pStyle w:val="Tabletext"/>
              <w:jc w:val="center"/>
            </w:pPr>
            <w:r w:rsidRPr="00767D9A">
              <w:t>45.8</w:t>
            </w:r>
          </w:p>
        </w:tc>
      </w:tr>
      <w:tr w:rsidR="00767D9A" w:rsidRPr="00EA5119" w14:paraId="2CBAAF46" w14:textId="40D02C88" w:rsidTr="00F73C05">
        <w:trPr>
          <w:trHeight w:val="314"/>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7BA1BE2D" w14:textId="112A2212" w:rsidR="00767D9A" w:rsidRPr="00A91A55" w:rsidRDefault="00767D9A" w:rsidP="00767D9A">
            <w:pPr>
              <w:pStyle w:val="Tabletext"/>
              <w:rPr>
                <w:lang w:eastAsia="en-AU"/>
              </w:rPr>
            </w:pPr>
            <w:r w:rsidRPr="00616430">
              <w:rPr>
                <w:lang w:eastAsia="en-AU"/>
              </w:rPr>
              <w:t>Specialist</w:t>
            </w:r>
          </w:p>
        </w:tc>
        <w:tc>
          <w:tcPr>
            <w:tcW w:w="735" w:type="pct"/>
            <w:tcBorders>
              <w:top w:val="nil"/>
              <w:left w:val="nil"/>
              <w:bottom w:val="single" w:sz="4" w:space="0" w:color="auto"/>
              <w:right w:val="single" w:sz="4" w:space="0" w:color="auto"/>
            </w:tcBorders>
            <w:shd w:val="clear" w:color="auto" w:fill="auto"/>
            <w:noWrap/>
            <w:vAlign w:val="center"/>
            <w:hideMark/>
          </w:tcPr>
          <w:p w14:paraId="19AFAA76" w14:textId="5E6730B8" w:rsidR="00767D9A" w:rsidRPr="00767D9A" w:rsidRDefault="00767D9A" w:rsidP="00767D9A">
            <w:pPr>
              <w:pStyle w:val="Tabletext"/>
              <w:jc w:val="center"/>
            </w:pPr>
            <w:r w:rsidRPr="00767D9A">
              <w:t>0.5</w:t>
            </w:r>
          </w:p>
        </w:tc>
        <w:tc>
          <w:tcPr>
            <w:tcW w:w="735" w:type="pct"/>
            <w:tcBorders>
              <w:top w:val="nil"/>
              <w:left w:val="nil"/>
              <w:bottom w:val="single" w:sz="4" w:space="0" w:color="auto"/>
              <w:right w:val="single" w:sz="4" w:space="0" w:color="auto"/>
            </w:tcBorders>
            <w:shd w:val="clear" w:color="auto" w:fill="auto"/>
            <w:noWrap/>
            <w:vAlign w:val="center"/>
            <w:hideMark/>
          </w:tcPr>
          <w:p w14:paraId="032B38A7" w14:textId="1A130C0E" w:rsidR="00767D9A" w:rsidRPr="00767D9A" w:rsidRDefault="00767D9A" w:rsidP="00767D9A">
            <w:pPr>
              <w:pStyle w:val="Tabletext"/>
              <w:jc w:val="center"/>
            </w:pPr>
            <w:r w:rsidRPr="00767D9A">
              <w:t>0.8</w:t>
            </w:r>
          </w:p>
        </w:tc>
        <w:tc>
          <w:tcPr>
            <w:tcW w:w="735" w:type="pct"/>
            <w:tcBorders>
              <w:top w:val="nil"/>
              <w:left w:val="nil"/>
              <w:bottom w:val="single" w:sz="4" w:space="0" w:color="auto"/>
              <w:right w:val="single" w:sz="4" w:space="0" w:color="auto"/>
            </w:tcBorders>
            <w:shd w:val="clear" w:color="auto" w:fill="auto"/>
            <w:noWrap/>
            <w:vAlign w:val="center"/>
            <w:hideMark/>
          </w:tcPr>
          <w:p w14:paraId="2C291298" w14:textId="1F3BE6BF" w:rsidR="00767D9A" w:rsidRPr="00767D9A" w:rsidRDefault="00767D9A" w:rsidP="00767D9A">
            <w:pPr>
              <w:pStyle w:val="Tabletext"/>
              <w:jc w:val="center"/>
            </w:pPr>
            <w:r w:rsidRPr="00767D9A">
              <w:t>1.1</w:t>
            </w:r>
          </w:p>
        </w:tc>
        <w:tc>
          <w:tcPr>
            <w:tcW w:w="736" w:type="pct"/>
            <w:tcBorders>
              <w:top w:val="nil"/>
              <w:left w:val="nil"/>
              <w:bottom w:val="single" w:sz="4" w:space="0" w:color="auto"/>
              <w:right w:val="single" w:sz="4" w:space="0" w:color="auto"/>
            </w:tcBorders>
            <w:shd w:val="clear" w:color="auto" w:fill="auto"/>
            <w:noWrap/>
            <w:vAlign w:val="center"/>
            <w:hideMark/>
          </w:tcPr>
          <w:p w14:paraId="3EBB2657" w14:textId="740A11C4" w:rsidR="00767D9A" w:rsidRPr="00767D9A" w:rsidRDefault="00767D9A" w:rsidP="00767D9A">
            <w:pPr>
              <w:pStyle w:val="Tabletext"/>
              <w:jc w:val="center"/>
            </w:pPr>
            <w:r w:rsidRPr="00767D9A">
              <w:t>10.2</w:t>
            </w:r>
          </w:p>
        </w:tc>
        <w:tc>
          <w:tcPr>
            <w:tcW w:w="734" w:type="pct"/>
            <w:tcBorders>
              <w:top w:val="nil"/>
              <w:left w:val="nil"/>
              <w:bottom w:val="single" w:sz="4" w:space="0" w:color="auto"/>
              <w:right w:val="single" w:sz="4" w:space="0" w:color="auto"/>
            </w:tcBorders>
            <w:vAlign w:val="center"/>
          </w:tcPr>
          <w:p w14:paraId="0D4938D2" w14:textId="7A23E526" w:rsidR="00767D9A" w:rsidRDefault="00767D9A" w:rsidP="00767D9A">
            <w:pPr>
              <w:pStyle w:val="Tabletext"/>
              <w:jc w:val="center"/>
            </w:pPr>
            <w:r w:rsidRPr="00767D9A">
              <w:t>15.3</w:t>
            </w:r>
          </w:p>
        </w:tc>
      </w:tr>
      <w:tr w:rsidR="00767D9A" w:rsidRPr="00EA5119" w14:paraId="1C3C52FD" w14:textId="0DF41C18" w:rsidTr="00F73C05">
        <w:trPr>
          <w:trHeight w:val="314"/>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10E2D7D7" w14:textId="687C4EE0" w:rsidR="00767D9A" w:rsidRPr="00DD5972" w:rsidRDefault="00767D9A" w:rsidP="00767D9A">
            <w:pPr>
              <w:pStyle w:val="Tabletext"/>
              <w:rPr>
                <w:b/>
                <w:bCs/>
                <w:lang w:eastAsia="en-AU"/>
              </w:rPr>
            </w:pPr>
            <w:r w:rsidRPr="00DD5972">
              <w:rPr>
                <w:b/>
                <w:bCs/>
                <w:lang w:eastAsia="en-AU"/>
              </w:rPr>
              <w:t>Total</w:t>
            </w:r>
          </w:p>
        </w:tc>
        <w:tc>
          <w:tcPr>
            <w:tcW w:w="735" w:type="pct"/>
            <w:tcBorders>
              <w:top w:val="nil"/>
              <w:left w:val="nil"/>
              <w:bottom w:val="single" w:sz="4" w:space="0" w:color="auto"/>
              <w:right w:val="single" w:sz="4" w:space="0" w:color="auto"/>
            </w:tcBorders>
            <w:shd w:val="clear" w:color="auto" w:fill="auto"/>
            <w:noWrap/>
            <w:vAlign w:val="center"/>
            <w:hideMark/>
          </w:tcPr>
          <w:p w14:paraId="49C4ACF2" w14:textId="79162EF3" w:rsidR="00767D9A" w:rsidRPr="00DD5972" w:rsidRDefault="00767D9A" w:rsidP="00767D9A">
            <w:pPr>
              <w:pStyle w:val="Tabletext"/>
              <w:jc w:val="center"/>
              <w:rPr>
                <w:b/>
                <w:bCs/>
              </w:rPr>
            </w:pPr>
            <w:r w:rsidRPr="00DD5972">
              <w:rPr>
                <w:b/>
                <w:bCs/>
              </w:rPr>
              <w:t>25.8</w:t>
            </w:r>
          </w:p>
        </w:tc>
        <w:tc>
          <w:tcPr>
            <w:tcW w:w="735" w:type="pct"/>
            <w:tcBorders>
              <w:top w:val="nil"/>
              <w:left w:val="nil"/>
              <w:bottom w:val="single" w:sz="4" w:space="0" w:color="auto"/>
              <w:right w:val="single" w:sz="4" w:space="0" w:color="auto"/>
            </w:tcBorders>
            <w:shd w:val="clear" w:color="auto" w:fill="auto"/>
            <w:noWrap/>
            <w:vAlign w:val="center"/>
            <w:hideMark/>
          </w:tcPr>
          <w:p w14:paraId="192BA512" w14:textId="157408EA" w:rsidR="00767D9A" w:rsidRPr="00DD5972" w:rsidRDefault="00767D9A" w:rsidP="00767D9A">
            <w:pPr>
              <w:pStyle w:val="Tabletext"/>
              <w:jc w:val="center"/>
              <w:rPr>
                <w:b/>
                <w:bCs/>
              </w:rPr>
            </w:pPr>
            <w:r w:rsidRPr="00DD5972">
              <w:rPr>
                <w:b/>
                <w:bCs/>
              </w:rPr>
              <w:t>20.7</w:t>
            </w:r>
          </w:p>
        </w:tc>
        <w:tc>
          <w:tcPr>
            <w:tcW w:w="735" w:type="pct"/>
            <w:tcBorders>
              <w:top w:val="nil"/>
              <w:left w:val="nil"/>
              <w:bottom w:val="single" w:sz="4" w:space="0" w:color="auto"/>
              <w:right w:val="single" w:sz="4" w:space="0" w:color="auto"/>
            </w:tcBorders>
            <w:shd w:val="clear" w:color="auto" w:fill="auto"/>
            <w:noWrap/>
            <w:vAlign w:val="center"/>
            <w:hideMark/>
          </w:tcPr>
          <w:p w14:paraId="3A685F42" w14:textId="0E7F6C9B" w:rsidR="00767D9A" w:rsidRPr="00DD5972" w:rsidRDefault="00767D9A" w:rsidP="00767D9A">
            <w:pPr>
              <w:pStyle w:val="Tabletext"/>
              <w:jc w:val="center"/>
              <w:rPr>
                <w:b/>
                <w:bCs/>
              </w:rPr>
            </w:pPr>
            <w:r w:rsidRPr="00DD5972">
              <w:rPr>
                <w:b/>
                <w:bCs/>
              </w:rPr>
              <w:t>20.9</w:t>
            </w:r>
          </w:p>
        </w:tc>
        <w:tc>
          <w:tcPr>
            <w:tcW w:w="736" w:type="pct"/>
            <w:tcBorders>
              <w:top w:val="nil"/>
              <w:left w:val="nil"/>
              <w:bottom w:val="single" w:sz="4" w:space="0" w:color="auto"/>
              <w:right w:val="single" w:sz="4" w:space="0" w:color="auto"/>
            </w:tcBorders>
            <w:shd w:val="clear" w:color="auto" w:fill="auto"/>
            <w:noWrap/>
            <w:vAlign w:val="center"/>
            <w:hideMark/>
          </w:tcPr>
          <w:p w14:paraId="511B37E6" w14:textId="58BD0CB2" w:rsidR="00767D9A" w:rsidRPr="00DD5972" w:rsidRDefault="00767D9A" w:rsidP="00767D9A">
            <w:pPr>
              <w:pStyle w:val="Tabletext"/>
              <w:jc w:val="center"/>
              <w:rPr>
                <w:b/>
                <w:bCs/>
              </w:rPr>
            </w:pPr>
            <w:r w:rsidRPr="00DD5972">
              <w:rPr>
                <w:b/>
                <w:bCs/>
              </w:rPr>
              <w:t>19.8</w:t>
            </w:r>
          </w:p>
        </w:tc>
        <w:tc>
          <w:tcPr>
            <w:tcW w:w="734" w:type="pct"/>
            <w:tcBorders>
              <w:top w:val="nil"/>
              <w:left w:val="nil"/>
              <w:bottom w:val="single" w:sz="4" w:space="0" w:color="auto"/>
              <w:right w:val="single" w:sz="4" w:space="0" w:color="auto"/>
            </w:tcBorders>
            <w:vAlign w:val="center"/>
          </w:tcPr>
          <w:p w14:paraId="68E66CE1" w14:textId="084B64CE" w:rsidR="00767D9A" w:rsidRPr="00DD5972" w:rsidRDefault="00767D9A" w:rsidP="00767D9A">
            <w:pPr>
              <w:pStyle w:val="Tabletext"/>
              <w:jc w:val="center"/>
              <w:rPr>
                <w:b/>
                <w:bCs/>
              </w:rPr>
            </w:pPr>
            <w:r w:rsidRPr="00DD5972">
              <w:rPr>
                <w:b/>
                <w:bCs/>
              </w:rPr>
              <w:t>16.9</w:t>
            </w:r>
          </w:p>
        </w:tc>
      </w:tr>
    </w:tbl>
    <w:p w14:paraId="743AA840" w14:textId="6118F405" w:rsidR="00A011BD" w:rsidDel="00133455" w:rsidRDefault="00A011BD" w:rsidP="00986C95">
      <w:pPr>
        <w:pStyle w:val="Bodyaftertable"/>
        <w:spacing w:before="60" w:afterLines="60" w:after="144" w:line="240" w:lineRule="exact"/>
        <w:rPr>
          <w:sz w:val="18"/>
          <w:szCs w:val="18"/>
        </w:rPr>
      </w:pPr>
      <w:r w:rsidDel="00133455">
        <w:rPr>
          <w:sz w:val="18"/>
          <w:szCs w:val="18"/>
        </w:rPr>
        <w:t xml:space="preserve">Note: The Alfred Psychiatry Intensive Care </w:t>
      </w:r>
      <w:proofErr w:type="spellStart"/>
      <w:r w:rsidDel="00133455">
        <w:rPr>
          <w:sz w:val="18"/>
          <w:szCs w:val="18"/>
        </w:rPr>
        <w:t>Statewide</w:t>
      </w:r>
      <w:proofErr w:type="spellEnd"/>
      <w:r w:rsidDel="00133455">
        <w:rPr>
          <w:sz w:val="18"/>
          <w:szCs w:val="18"/>
        </w:rPr>
        <w:t xml:space="preserve"> Service data is reflected in the </w:t>
      </w:r>
      <w:r w:rsidR="00F04148">
        <w:rPr>
          <w:sz w:val="18"/>
          <w:szCs w:val="18"/>
        </w:rPr>
        <w:t>‘s</w:t>
      </w:r>
      <w:r w:rsidDel="00133455">
        <w:rPr>
          <w:sz w:val="18"/>
          <w:szCs w:val="18"/>
        </w:rPr>
        <w:t>pecialist</w:t>
      </w:r>
      <w:r w:rsidR="00F04148">
        <w:rPr>
          <w:sz w:val="18"/>
          <w:szCs w:val="18"/>
        </w:rPr>
        <w:t>’</w:t>
      </w:r>
      <w:r w:rsidDel="00133455">
        <w:rPr>
          <w:sz w:val="18"/>
          <w:szCs w:val="18"/>
        </w:rPr>
        <w:t xml:space="preserve"> data</w:t>
      </w:r>
      <w:r w:rsidR="00F04148">
        <w:rPr>
          <w:sz w:val="18"/>
          <w:szCs w:val="18"/>
        </w:rPr>
        <w:t>.</w:t>
      </w:r>
    </w:p>
    <w:p w14:paraId="66227F8D" w14:textId="4817FB5E" w:rsidR="00381B2F" w:rsidRPr="00A83DB5" w:rsidRDefault="00011981" w:rsidP="00643556">
      <w:pPr>
        <w:pStyle w:val="Bodyaftertable"/>
      </w:pPr>
      <w:r>
        <w:t>‘</w:t>
      </w:r>
      <w:r w:rsidR="00381B2F">
        <w:t>Physical</w:t>
      </w:r>
      <w:r w:rsidR="00C94702">
        <w:t xml:space="preserve"> only</w:t>
      </w:r>
      <w:r>
        <w:t>’</w:t>
      </w:r>
      <w:r w:rsidR="00C94702">
        <w:t xml:space="preserve"> </w:t>
      </w:r>
      <w:r w:rsidR="00381B2F">
        <w:t xml:space="preserve">restraint accounted for </w:t>
      </w:r>
      <w:proofErr w:type="gramStart"/>
      <w:r w:rsidR="00381B2F">
        <w:t>the vast majority of</w:t>
      </w:r>
      <w:proofErr w:type="gramEnd"/>
      <w:r w:rsidR="00381B2F">
        <w:t xml:space="preserve"> instances</w:t>
      </w:r>
      <w:r w:rsidR="00124885">
        <w:t xml:space="preserve"> </w:t>
      </w:r>
      <w:r w:rsidR="00C94702">
        <w:t>of restraint</w:t>
      </w:r>
      <w:r w:rsidR="00381B2F">
        <w:t xml:space="preserve"> (Table </w:t>
      </w:r>
      <w:r w:rsidR="60058D43">
        <w:t>1</w:t>
      </w:r>
      <w:r w:rsidR="003360B6">
        <w:t>3</w:t>
      </w:r>
      <w:r w:rsidR="00381B2F">
        <w:t xml:space="preserve">). </w:t>
      </w:r>
      <w:r w:rsidR="00A02BC7">
        <w:t>T</w:t>
      </w:r>
      <w:r w:rsidR="00381B2F">
        <w:t xml:space="preserve">he number of episodes of mechanical restraint </w:t>
      </w:r>
      <w:r w:rsidR="1BF7C6B1">
        <w:t xml:space="preserve">has decreased in </w:t>
      </w:r>
      <w:r w:rsidR="00882CBB">
        <w:t>202</w:t>
      </w:r>
      <w:r w:rsidR="736E3EBA">
        <w:t>2</w:t>
      </w:r>
      <w:r w:rsidR="0099684E">
        <w:t>–</w:t>
      </w:r>
      <w:r w:rsidR="00882CBB">
        <w:t>2</w:t>
      </w:r>
      <w:r w:rsidR="4C4DEC67">
        <w:t>3</w:t>
      </w:r>
      <w:r>
        <w:t>,</w:t>
      </w:r>
      <w:r w:rsidR="4C4DEC67">
        <w:t xml:space="preserve"> as has </w:t>
      </w:r>
      <w:r w:rsidR="73880060">
        <w:t xml:space="preserve">physical only type of restraint. The </w:t>
      </w:r>
      <w:r w:rsidR="009455AA">
        <w:t xml:space="preserve">number of </w:t>
      </w:r>
      <w:r w:rsidR="00A55772">
        <w:t xml:space="preserve">episodes </w:t>
      </w:r>
      <w:r w:rsidR="00AB73E3">
        <w:t>where</w:t>
      </w:r>
      <w:r w:rsidR="0284BBB3">
        <w:t xml:space="preserve"> mechanical and physical restraint </w:t>
      </w:r>
      <w:r w:rsidR="00B51DE5">
        <w:t>w</w:t>
      </w:r>
      <w:r w:rsidR="00677A26">
        <w:t>ere</w:t>
      </w:r>
      <w:r w:rsidR="00FE1E56">
        <w:t xml:space="preserve"> used simultaneously</w:t>
      </w:r>
      <w:r w:rsidR="0284BBB3">
        <w:t xml:space="preserve"> </w:t>
      </w:r>
      <w:r w:rsidR="000A6904">
        <w:t>has</w:t>
      </w:r>
      <w:r w:rsidR="0284BBB3">
        <w:t xml:space="preserve"> </w:t>
      </w:r>
      <w:r w:rsidR="00A02BC7">
        <w:t>increased</w:t>
      </w:r>
      <w:r w:rsidR="00E3282A">
        <w:t>,</w:t>
      </w:r>
      <w:r w:rsidR="0284BBB3">
        <w:t xml:space="preserve"> and the Chief Psychiatrist will monitor this. </w:t>
      </w:r>
    </w:p>
    <w:p w14:paraId="5484336A" w14:textId="34AE6350" w:rsidR="00381B2F" w:rsidRDefault="00381B2F" w:rsidP="000D0B9B">
      <w:pPr>
        <w:pStyle w:val="Tablecaption"/>
      </w:pPr>
      <w:r>
        <w:t xml:space="preserve">Table </w:t>
      </w:r>
      <w:r w:rsidR="21B90331">
        <w:t>1</w:t>
      </w:r>
      <w:r w:rsidR="003360B6">
        <w:t>3</w:t>
      </w:r>
      <w:r>
        <w:t xml:space="preserve">: </w:t>
      </w:r>
      <w:r w:rsidR="005C256C" w:rsidRPr="005C256C">
        <w:t>Number of ended bodily restraint episodes in acute inpatient units, by type of bodily restraint</w:t>
      </w:r>
      <w:r>
        <w:t>, 201</w:t>
      </w:r>
      <w:r w:rsidR="00594176">
        <w:t>8</w:t>
      </w:r>
      <w:r>
        <w:t>–1</w:t>
      </w:r>
      <w:r w:rsidR="00594176">
        <w:t>9</w:t>
      </w:r>
      <w:r>
        <w:t xml:space="preserve"> to </w:t>
      </w:r>
      <w:r w:rsidR="007B2175">
        <w:t>202</w:t>
      </w:r>
      <w:r w:rsidR="00594176">
        <w:t>2</w:t>
      </w:r>
      <w:r w:rsidR="007B2175">
        <w:t>–</w:t>
      </w:r>
      <w:proofErr w:type="gramStart"/>
      <w:r w:rsidR="007B2175">
        <w:t>2</w:t>
      </w:r>
      <w:r w:rsidR="00594176">
        <w:t>3</w:t>
      </w:r>
      <w:proofErr w:type="gramEnd"/>
    </w:p>
    <w:tbl>
      <w:tblPr>
        <w:tblW w:w="5000" w:type="pct"/>
        <w:tblLook w:val="04A0" w:firstRow="1" w:lastRow="0" w:firstColumn="1" w:lastColumn="0" w:noHBand="0" w:noVBand="1"/>
      </w:tblPr>
      <w:tblGrid>
        <w:gridCol w:w="3171"/>
        <w:gridCol w:w="1221"/>
        <w:gridCol w:w="1221"/>
        <w:gridCol w:w="1221"/>
        <w:gridCol w:w="1223"/>
        <w:gridCol w:w="1219"/>
      </w:tblGrid>
      <w:tr w:rsidR="000A01B9" w:rsidRPr="00EC75D2" w14:paraId="108DF093" w14:textId="629E28D7" w:rsidTr="000A01B9">
        <w:trPr>
          <w:trHeight w:val="339"/>
          <w:tblHeader/>
        </w:trPr>
        <w:tc>
          <w:tcPr>
            <w:tcW w:w="1710" w:type="pct"/>
            <w:tcBorders>
              <w:top w:val="single" w:sz="4" w:space="0" w:color="auto"/>
              <w:left w:val="single" w:sz="4" w:space="0" w:color="auto"/>
              <w:bottom w:val="single" w:sz="4" w:space="0" w:color="auto"/>
              <w:right w:val="single" w:sz="4" w:space="0" w:color="auto"/>
            </w:tcBorders>
            <w:shd w:val="clear" w:color="auto" w:fill="auto"/>
            <w:noWrap/>
            <w:hideMark/>
          </w:tcPr>
          <w:p w14:paraId="3E15DA47" w14:textId="21769159" w:rsidR="000A01B9" w:rsidRPr="00EC75D2" w:rsidRDefault="000A01B9" w:rsidP="000A01B9">
            <w:pPr>
              <w:pStyle w:val="Tablecolhead"/>
              <w:rPr>
                <w:lang w:eastAsia="en-AU"/>
              </w:rPr>
            </w:pPr>
            <w:r>
              <w:rPr>
                <w:lang w:eastAsia="en-AU"/>
              </w:rPr>
              <w:t>Restraint type</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735ECDAA" w14:textId="5B094513" w:rsidR="000A01B9" w:rsidRPr="00EC75D2" w:rsidRDefault="000A01B9" w:rsidP="000A01B9">
            <w:pPr>
              <w:pStyle w:val="Tablecolhead"/>
              <w:jc w:val="center"/>
              <w:rPr>
                <w:lang w:eastAsia="en-AU"/>
              </w:rPr>
            </w:pPr>
            <w:r w:rsidRPr="00312EE0">
              <w:t>2018</w:t>
            </w:r>
            <w:r>
              <w:t>–</w:t>
            </w:r>
            <w:r w:rsidRPr="00312EE0">
              <w:t>19</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1704D9F0" w14:textId="12CBB2D3" w:rsidR="000A01B9" w:rsidRPr="00EC75D2" w:rsidRDefault="000A01B9" w:rsidP="000A01B9">
            <w:pPr>
              <w:pStyle w:val="Tablecolhead"/>
              <w:jc w:val="center"/>
              <w:rPr>
                <w:lang w:eastAsia="en-AU"/>
              </w:rPr>
            </w:pPr>
            <w:r w:rsidRPr="00312EE0">
              <w:t>2019</w:t>
            </w:r>
            <w:r>
              <w:t>–</w:t>
            </w:r>
            <w:r w:rsidRPr="00312EE0">
              <w:t>20</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3029844F" w14:textId="045685A2" w:rsidR="000A01B9" w:rsidRPr="00EC75D2" w:rsidRDefault="000A01B9" w:rsidP="000A01B9">
            <w:pPr>
              <w:pStyle w:val="Tablecolhead"/>
              <w:jc w:val="center"/>
              <w:rPr>
                <w:lang w:eastAsia="en-AU"/>
              </w:rPr>
            </w:pPr>
            <w:r w:rsidRPr="00312EE0">
              <w:t>2020</w:t>
            </w:r>
            <w:r>
              <w:t>–</w:t>
            </w:r>
            <w:r w:rsidRPr="00312EE0">
              <w:t>21</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43C5A669" w14:textId="7833C224" w:rsidR="000A01B9" w:rsidRPr="00EC75D2" w:rsidRDefault="000A01B9" w:rsidP="000A01B9">
            <w:pPr>
              <w:pStyle w:val="Tablecolhead"/>
              <w:jc w:val="center"/>
              <w:rPr>
                <w:lang w:eastAsia="en-AU"/>
              </w:rPr>
            </w:pPr>
            <w:r w:rsidRPr="00312EE0">
              <w:t>2021</w:t>
            </w:r>
            <w:r>
              <w:t>–</w:t>
            </w:r>
            <w:r w:rsidRPr="00312EE0">
              <w:t>22</w:t>
            </w:r>
          </w:p>
        </w:tc>
        <w:tc>
          <w:tcPr>
            <w:tcW w:w="657" w:type="pct"/>
            <w:tcBorders>
              <w:top w:val="single" w:sz="4" w:space="0" w:color="auto"/>
              <w:left w:val="nil"/>
              <w:bottom w:val="single" w:sz="4" w:space="0" w:color="auto"/>
              <w:right w:val="single" w:sz="4" w:space="0" w:color="auto"/>
            </w:tcBorders>
            <w:vAlign w:val="center"/>
          </w:tcPr>
          <w:p w14:paraId="68919CCA" w14:textId="65450993" w:rsidR="000A01B9" w:rsidRPr="00EC75D2" w:rsidRDefault="000A01B9" w:rsidP="000A01B9">
            <w:pPr>
              <w:pStyle w:val="Tablecolhead"/>
              <w:jc w:val="center"/>
              <w:rPr>
                <w:lang w:eastAsia="en-AU"/>
              </w:rPr>
            </w:pPr>
            <w:r w:rsidRPr="00312EE0">
              <w:t>202</w:t>
            </w:r>
            <w:r>
              <w:t>2–</w:t>
            </w:r>
            <w:r w:rsidRPr="00312EE0">
              <w:t>2</w:t>
            </w:r>
            <w:r>
              <w:t>3</w:t>
            </w:r>
          </w:p>
        </w:tc>
      </w:tr>
      <w:tr w:rsidR="000A01B9" w:rsidRPr="00EC75D2" w14:paraId="1B382029" w14:textId="59143508" w:rsidTr="000A01B9">
        <w:trPr>
          <w:trHeight w:val="339"/>
        </w:trPr>
        <w:tc>
          <w:tcPr>
            <w:tcW w:w="1710" w:type="pct"/>
            <w:tcBorders>
              <w:top w:val="nil"/>
              <w:left w:val="single" w:sz="4" w:space="0" w:color="auto"/>
              <w:bottom w:val="single" w:sz="4" w:space="0" w:color="auto"/>
              <w:right w:val="single" w:sz="4" w:space="0" w:color="auto"/>
            </w:tcBorders>
            <w:shd w:val="clear" w:color="auto" w:fill="auto"/>
            <w:noWrap/>
            <w:hideMark/>
          </w:tcPr>
          <w:p w14:paraId="3052F67E" w14:textId="0C489C74" w:rsidR="000A01B9" w:rsidRPr="00EC75D2" w:rsidRDefault="000A01B9" w:rsidP="000A01B9">
            <w:pPr>
              <w:pStyle w:val="Tabletext"/>
              <w:rPr>
                <w:lang w:eastAsia="en-AU"/>
              </w:rPr>
            </w:pPr>
            <w:r w:rsidRPr="00312EE0">
              <w:t>Mechanical and physical</w:t>
            </w:r>
          </w:p>
        </w:tc>
        <w:tc>
          <w:tcPr>
            <w:tcW w:w="658" w:type="pct"/>
            <w:tcBorders>
              <w:top w:val="nil"/>
              <w:left w:val="nil"/>
              <w:bottom w:val="single" w:sz="4" w:space="0" w:color="auto"/>
              <w:right w:val="single" w:sz="4" w:space="0" w:color="auto"/>
            </w:tcBorders>
            <w:shd w:val="clear" w:color="auto" w:fill="auto"/>
            <w:noWrap/>
            <w:vAlign w:val="center"/>
            <w:hideMark/>
          </w:tcPr>
          <w:p w14:paraId="65D83196" w14:textId="782F329E" w:rsidR="000A01B9" w:rsidRPr="00EC75D2" w:rsidRDefault="000A01B9" w:rsidP="000A01B9">
            <w:pPr>
              <w:pStyle w:val="Tabletext"/>
              <w:jc w:val="center"/>
            </w:pPr>
            <w:r w:rsidRPr="000A01B9">
              <w:t>115</w:t>
            </w:r>
          </w:p>
        </w:tc>
        <w:tc>
          <w:tcPr>
            <w:tcW w:w="658" w:type="pct"/>
            <w:tcBorders>
              <w:top w:val="nil"/>
              <w:left w:val="nil"/>
              <w:bottom w:val="single" w:sz="4" w:space="0" w:color="auto"/>
              <w:right w:val="single" w:sz="4" w:space="0" w:color="auto"/>
            </w:tcBorders>
            <w:shd w:val="clear" w:color="auto" w:fill="auto"/>
            <w:noWrap/>
            <w:vAlign w:val="center"/>
            <w:hideMark/>
          </w:tcPr>
          <w:p w14:paraId="31F3296D" w14:textId="6BAFC59B" w:rsidR="000A01B9" w:rsidRPr="00EC75D2" w:rsidRDefault="000A01B9" w:rsidP="000A01B9">
            <w:pPr>
              <w:pStyle w:val="Tabletext"/>
              <w:jc w:val="center"/>
            </w:pPr>
            <w:r w:rsidRPr="000A01B9">
              <w:t>113</w:t>
            </w:r>
          </w:p>
        </w:tc>
        <w:tc>
          <w:tcPr>
            <w:tcW w:w="658" w:type="pct"/>
            <w:tcBorders>
              <w:top w:val="nil"/>
              <w:left w:val="nil"/>
              <w:bottom w:val="single" w:sz="4" w:space="0" w:color="auto"/>
              <w:right w:val="single" w:sz="4" w:space="0" w:color="auto"/>
            </w:tcBorders>
            <w:shd w:val="clear" w:color="auto" w:fill="auto"/>
            <w:noWrap/>
            <w:vAlign w:val="center"/>
            <w:hideMark/>
          </w:tcPr>
          <w:p w14:paraId="5888FD95" w14:textId="200B43CC" w:rsidR="000A01B9" w:rsidRPr="00EC75D2" w:rsidRDefault="000A01B9" w:rsidP="000A01B9">
            <w:pPr>
              <w:pStyle w:val="Tabletext"/>
              <w:jc w:val="center"/>
            </w:pPr>
            <w:r w:rsidRPr="000A01B9">
              <w:t>102</w:t>
            </w:r>
          </w:p>
        </w:tc>
        <w:tc>
          <w:tcPr>
            <w:tcW w:w="659" w:type="pct"/>
            <w:tcBorders>
              <w:top w:val="nil"/>
              <w:left w:val="nil"/>
              <w:bottom w:val="single" w:sz="4" w:space="0" w:color="auto"/>
              <w:right w:val="single" w:sz="4" w:space="0" w:color="auto"/>
            </w:tcBorders>
            <w:shd w:val="clear" w:color="auto" w:fill="auto"/>
            <w:noWrap/>
            <w:vAlign w:val="center"/>
            <w:hideMark/>
          </w:tcPr>
          <w:p w14:paraId="1A7525CE" w14:textId="5D288F7F" w:rsidR="000A01B9" w:rsidRPr="00EC75D2" w:rsidRDefault="000A01B9" w:rsidP="000A01B9">
            <w:pPr>
              <w:pStyle w:val="Tabletext"/>
              <w:jc w:val="center"/>
            </w:pPr>
            <w:r w:rsidRPr="000A01B9">
              <w:t>79</w:t>
            </w:r>
          </w:p>
        </w:tc>
        <w:tc>
          <w:tcPr>
            <w:tcW w:w="657" w:type="pct"/>
            <w:tcBorders>
              <w:top w:val="nil"/>
              <w:left w:val="nil"/>
              <w:bottom w:val="single" w:sz="4" w:space="0" w:color="auto"/>
              <w:right w:val="single" w:sz="4" w:space="0" w:color="auto"/>
            </w:tcBorders>
            <w:vAlign w:val="center"/>
          </w:tcPr>
          <w:p w14:paraId="77435349" w14:textId="7D2757FC" w:rsidR="000A01B9" w:rsidRDefault="000A01B9" w:rsidP="000A01B9">
            <w:pPr>
              <w:pStyle w:val="Tabletext"/>
              <w:jc w:val="center"/>
            </w:pPr>
            <w:r w:rsidRPr="000A01B9">
              <w:t>149</w:t>
            </w:r>
          </w:p>
        </w:tc>
      </w:tr>
      <w:tr w:rsidR="000A01B9" w:rsidRPr="00EC75D2" w14:paraId="3C6D8291" w14:textId="3BB72769" w:rsidTr="000A01B9">
        <w:trPr>
          <w:trHeight w:val="339"/>
        </w:trPr>
        <w:tc>
          <w:tcPr>
            <w:tcW w:w="1710" w:type="pct"/>
            <w:tcBorders>
              <w:top w:val="nil"/>
              <w:left w:val="single" w:sz="4" w:space="0" w:color="auto"/>
              <w:bottom w:val="single" w:sz="4" w:space="0" w:color="auto"/>
              <w:right w:val="single" w:sz="4" w:space="0" w:color="auto"/>
            </w:tcBorders>
            <w:shd w:val="clear" w:color="auto" w:fill="auto"/>
            <w:noWrap/>
            <w:hideMark/>
          </w:tcPr>
          <w:p w14:paraId="533693F1" w14:textId="2EFCE09B" w:rsidR="000A01B9" w:rsidRPr="00EC75D2" w:rsidRDefault="000A01B9" w:rsidP="000A01B9">
            <w:pPr>
              <w:pStyle w:val="Tabletext"/>
              <w:rPr>
                <w:lang w:eastAsia="en-AU"/>
              </w:rPr>
            </w:pPr>
            <w:r w:rsidRPr="00312EE0">
              <w:t>Mechanical only</w:t>
            </w:r>
          </w:p>
        </w:tc>
        <w:tc>
          <w:tcPr>
            <w:tcW w:w="658" w:type="pct"/>
            <w:tcBorders>
              <w:top w:val="nil"/>
              <w:left w:val="nil"/>
              <w:bottom w:val="single" w:sz="4" w:space="0" w:color="auto"/>
              <w:right w:val="single" w:sz="4" w:space="0" w:color="auto"/>
            </w:tcBorders>
            <w:shd w:val="clear" w:color="auto" w:fill="auto"/>
            <w:noWrap/>
            <w:vAlign w:val="center"/>
            <w:hideMark/>
          </w:tcPr>
          <w:p w14:paraId="11906A3B" w14:textId="3A12E6E2" w:rsidR="000A01B9" w:rsidRPr="00EC75D2" w:rsidRDefault="000A01B9" w:rsidP="000A01B9">
            <w:pPr>
              <w:pStyle w:val="Tabletext"/>
              <w:jc w:val="center"/>
            </w:pPr>
            <w:r w:rsidRPr="000A01B9">
              <w:t>381</w:t>
            </w:r>
          </w:p>
        </w:tc>
        <w:tc>
          <w:tcPr>
            <w:tcW w:w="658" w:type="pct"/>
            <w:tcBorders>
              <w:top w:val="nil"/>
              <w:left w:val="nil"/>
              <w:bottom w:val="single" w:sz="4" w:space="0" w:color="auto"/>
              <w:right w:val="single" w:sz="4" w:space="0" w:color="auto"/>
            </w:tcBorders>
            <w:shd w:val="clear" w:color="auto" w:fill="auto"/>
            <w:noWrap/>
            <w:vAlign w:val="center"/>
            <w:hideMark/>
          </w:tcPr>
          <w:p w14:paraId="6C481825" w14:textId="0E5A3E5C" w:rsidR="000A01B9" w:rsidRPr="00EC75D2" w:rsidRDefault="000A01B9" w:rsidP="000A01B9">
            <w:pPr>
              <w:pStyle w:val="Tabletext"/>
              <w:jc w:val="center"/>
            </w:pPr>
            <w:r w:rsidRPr="000A01B9">
              <w:t>399</w:t>
            </w:r>
          </w:p>
        </w:tc>
        <w:tc>
          <w:tcPr>
            <w:tcW w:w="658" w:type="pct"/>
            <w:tcBorders>
              <w:top w:val="nil"/>
              <w:left w:val="nil"/>
              <w:bottom w:val="single" w:sz="4" w:space="0" w:color="auto"/>
              <w:right w:val="single" w:sz="4" w:space="0" w:color="auto"/>
            </w:tcBorders>
            <w:shd w:val="clear" w:color="auto" w:fill="auto"/>
            <w:noWrap/>
            <w:vAlign w:val="center"/>
            <w:hideMark/>
          </w:tcPr>
          <w:p w14:paraId="24D344EB" w14:textId="08F0F912" w:rsidR="000A01B9" w:rsidRPr="00EC75D2" w:rsidRDefault="000A01B9" w:rsidP="000A01B9">
            <w:pPr>
              <w:pStyle w:val="Tabletext"/>
              <w:jc w:val="center"/>
            </w:pPr>
            <w:r w:rsidRPr="000A01B9">
              <w:t>394</w:t>
            </w:r>
          </w:p>
        </w:tc>
        <w:tc>
          <w:tcPr>
            <w:tcW w:w="659" w:type="pct"/>
            <w:tcBorders>
              <w:top w:val="nil"/>
              <w:left w:val="nil"/>
              <w:bottom w:val="single" w:sz="4" w:space="0" w:color="auto"/>
              <w:right w:val="single" w:sz="4" w:space="0" w:color="auto"/>
            </w:tcBorders>
            <w:shd w:val="clear" w:color="auto" w:fill="auto"/>
            <w:noWrap/>
            <w:vAlign w:val="center"/>
            <w:hideMark/>
          </w:tcPr>
          <w:p w14:paraId="5807C06A" w14:textId="6B95C859" w:rsidR="000A01B9" w:rsidRPr="00EC75D2" w:rsidRDefault="000A01B9" w:rsidP="000A01B9">
            <w:pPr>
              <w:pStyle w:val="Tabletext"/>
              <w:jc w:val="center"/>
            </w:pPr>
            <w:r w:rsidRPr="000A01B9">
              <w:t>561</w:t>
            </w:r>
          </w:p>
        </w:tc>
        <w:tc>
          <w:tcPr>
            <w:tcW w:w="657" w:type="pct"/>
            <w:tcBorders>
              <w:top w:val="nil"/>
              <w:left w:val="nil"/>
              <w:bottom w:val="single" w:sz="4" w:space="0" w:color="auto"/>
              <w:right w:val="single" w:sz="4" w:space="0" w:color="auto"/>
            </w:tcBorders>
            <w:vAlign w:val="center"/>
          </w:tcPr>
          <w:p w14:paraId="7C6FC1CE" w14:textId="20992C73" w:rsidR="000A01B9" w:rsidRDefault="000A01B9" w:rsidP="000A01B9">
            <w:pPr>
              <w:pStyle w:val="Tabletext"/>
              <w:jc w:val="center"/>
            </w:pPr>
            <w:r w:rsidRPr="000A01B9">
              <w:t>337</w:t>
            </w:r>
          </w:p>
        </w:tc>
      </w:tr>
      <w:tr w:rsidR="000A01B9" w:rsidRPr="00EC75D2" w14:paraId="5BDFE853" w14:textId="171F32A0" w:rsidTr="000A01B9">
        <w:trPr>
          <w:trHeight w:val="339"/>
        </w:trPr>
        <w:tc>
          <w:tcPr>
            <w:tcW w:w="1710" w:type="pct"/>
            <w:tcBorders>
              <w:top w:val="nil"/>
              <w:left w:val="single" w:sz="4" w:space="0" w:color="auto"/>
              <w:bottom w:val="single" w:sz="4" w:space="0" w:color="auto"/>
              <w:right w:val="single" w:sz="4" w:space="0" w:color="auto"/>
            </w:tcBorders>
            <w:shd w:val="clear" w:color="auto" w:fill="auto"/>
            <w:noWrap/>
            <w:hideMark/>
          </w:tcPr>
          <w:p w14:paraId="5036C945" w14:textId="57C4EEC0" w:rsidR="000A01B9" w:rsidRPr="00EC75D2" w:rsidRDefault="000A01B9" w:rsidP="000A01B9">
            <w:pPr>
              <w:pStyle w:val="Tabletext"/>
              <w:rPr>
                <w:lang w:eastAsia="en-AU"/>
              </w:rPr>
            </w:pPr>
            <w:r w:rsidRPr="00312EE0">
              <w:t>Physical only</w:t>
            </w:r>
          </w:p>
        </w:tc>
        <w:tc>
          <w:tcPr>
            <w:tcW w:w="658" w:type="pct"/>
            <w:tcBorders>
              <w:top w:val="nil"/>
              <w:left w:val="nil"/>
              <w:bottom w:val="single" w:sz="4" w:space="0" w:color="auto"/>
              <w:right w:val="single" w:sz="4" w:space="0" w:color="auto"/>
            </w:tcBorders>
            <w:shd w:val="clear" w:color="auto" w:fill="auto"/>
            <w:noWrap/>
            <w:vAlign w:val="center"/>
            <w:hideMark/>
          </w:tcPr>
          <w:p w14:paraId="488F322B" w14:textId="6D7131C2" w:rsidR="000A01B9" w:rsidRPr="00EC75D2" w:rsidRDefault="000A01B9" w:rsidP="000A01B9">
            <w:pPr>
              <w:pStyle w:val="Tabletext"/>
              <w:jc w:val="center"/>
            </w:pPr>
            <w:r w:rsidRPr="000A01B9">
              <w:t>9,863</w:t>
            </w:r>
          </w:p>
        </w:tc>
        <w:tc>
          <w:tcPr>
            <w:tcW w:w="658" w:type="pct"/>
            <w:tcBorders>
              <w:top w:val="nil"/>
              <w:left w:val="nil"/>
              <w:bottom w:val="single" w:sz="4" w:space="0" w:color="auto"/>
              <w:right w:val="single" w:sz="4" w:space="0" w:color="auto"/>
            </w:tcBorders>
            <w:shd w:val="clear" w:color="auto" w:fill="auto"/>
            <w:noWrap/>
            <w:vAlign w:val="center"/>
            <w:hideMark/>
          </w:tcPr>
          <w:p w14:paraId="388475FC" w14:textId="44843AD7" w:rsidR="000A01B9" w:rsidRPr="00EC75D2" w:rsidRDefault="000A01B9" w:rsidP="000A01B9">
            <w:pPr>
              <w:pStyle w:val="Tabletext"/>
              <w:jc w:val="center"/>
            </w:pPr>
            <w:r w:rsidRPr="000A01B9">
              <w:t>7,757</w:t>
            </w:r>
          </w:p>
        </w:tc>
        <w:tc>
          <w:tcPr>
            <w:tcW w:w="658" w:type="pct"/>
            <w:tcBorders>
              <w:top w:val="nil"/>
              <w:left w:val="nil"/>
              <w:bottom w:val="single" w:sz="4" w:space="0" w:color="auto"/>
              <w:right w:val="single" w:sz="4" w:space="0" w:color="auto"/>
            </w:tcBorders>
            <w:shd w:val="clear" w:color="auto" w:fill="auto"/>
            <w:noWrap/>
            <w:vAlign w:val="center"/>
            <w:hideMark/>
          </w:tcPr>
          <w:p w14:paraId="4CAF20A2" w14:textId="5AE23649" w:rsidR="000A01B9" w:rsidRPr="00EC75D2" w:rsidRDefault="000A01B9" w:rsidP="000A01B9">
            <w:pPr>
              <w:pStyle w:val="Tabletext"/>
              <w:jc w:val="center"/>
            </w:pPr>
            <w:r w:rsidRPr="000A01B9">
              <w:t>7,833</w:t>
            </w:r>
          </w:p>
        </w:tc>
        <w:tc>
          <w:tcPr>
            <w:tcW w:w="659" w:type="pct"/>
            <w:tcBorders>
              <w:top w:val="nil"/>
              <w:left w:val="nil"/>
              <w:bottom w:val="single" w:sz="4" w:space="0" w:color="auto"/>
              <w:right w:val="single" w:sz="4" w:space="0" w:color="auto"/>
            </w:tcBorders>
            <w:shd w:val="clear" w:color="auto" w:fill="auto"/>
            <w:noWrap/>
            <w:vAlign w:val="center"/>
            <w:hideMark/>
          </w:tcPr>
          <w:p w14:paraId="7583C9C1" w14:textId="2277801F" w:rsidR="000A01B9" w:rsidRPr="00EC75D2" w:rsidRDefault="000A01B9" w:rsidP="000A01B9">
            <w:pPr>
              <w:pStyle w:val="Tabletext"/>
              <w:jc w:val="center"/>
            </w:pPr>
            <w:r w:rsidRPr="000A01B9">
              <w:t>6,917</w:t>
            </w:r>
          </w:p>
        </w:tc>
        <w:tc>
          <w:tcPr>
            <w:tcW w:w="657" w:type="pct"/>
            <w:tcBorders>
              <w:top w:val="nil"/>
              <w:left w:val="nil"/>
              <w:bottom w:val="single" w:sz="4" w:space="0" w:color="auto"/>
              <w:right w:val="single" w:sz="4" w:space="0" w:color="auto"/>
            </w:tcBorders>
            <w:vAlign w:val="center"/>
          </w:tcPr>
          <w:p w14:paraId="22E5EB62" w14:textId="4FD35A0F" w:rsidR="000A01B9" w:rsidRDefault="000A01B9" w:rsidP="000A01B9">
            <w:pPr>
              <w:pStyle w:val="Tabletext"/>
              <w:jc w:val="center"/>
            </w:pPr>
            <w:r w:rsidRPr="000A01B9">
              <w:t>6,054</w:t>
            </w:r>
          </w:p>
        </w:tc>
      </w:tr>
    </w:tbl>
    <w:p w14:paraId="1A55D3FD" w14:textId="070D59C4" w:rsidR="00DD09A5" w:rsidRDefault="00700E3D" w:rsidP="000A4F7D">
      <w:pPr>
        <w:pStyle w:val="Bodyaftertable"/>
        <w:spacing w:before="60" w:after="60" w:line="240" w:lineRule="exact"/>
      </w:pPr>
      <w:r>
        <w:rPr>
          <w:sz w:val="18"/>
          <w:szCs w:val="18"/>
        </w:rPr>
        <w:t xml:space="preserve">Note: </w:t>
      </w:r>
      <w:r w:rsidR="00DC5193">
        <w:rPr>
          <w:sz w:val="18"/>
          <w:szCs w:val="18"/>
        </w:rPr>
        <w:t>‘Mechanical and physical’ r</w:t>
      </w:r>
      <w:r w:rsidR="00811D93">
        <w:rPr>
          <w:sz w:val="18"/>
          <w:szCs w:val="18"/>
        </w:rPr>
        <w:t>efers to mechanical and physical restraint being used at the same time</w:t>
      </w:r>
      <w:r w:rsidR="00FC2DDA" w:rsidRPr="00DD7E01">
        <w:rPr>
          <w:sz w:val="18"/>
          <w:szCs w:val="18"/>
        </w:rPr>
        <w:t>.</w:t>
      </w:r>
    </w:p>
    <w:p w14:paraId="3D420F77" w14:textId="1CD88F97" w:rsidR="00381B2F" w:rsidRDefault="00381B2F" w:rsidP="00643556">
      <w:pPr>
        <w:pStyle w:val="Bodyaftertable"/>
      </w:pPr>
      <w:r>
        <w:t xml:space="preserve">When restraint was applied, it </w:t>
      </w:r>
      <w:r w:rsidR="002E54B7">
        <w:t>was</w:t>
      </w:r>
      <w:r w:rsidR="06BFC5A4">
        <w:t xml:space="preserve"> still most commonly</w:t>
      </w:r>
      <w:r>
        <w:t xml:space="preserve"> a single occurrence within the whole of an admission (Table </w:t>
      </w:r>
      <w:r w:rsidR="62E62BBE">
        <w:t>1</w:t>
      </w:r>
      <w:r w:rsidR="003360B6">
        <w:t>4</w:t>
      </w:r>
      <w:r>
        <w:t xml:space="preserve">). </w:t>
      </w:r>
      <w:r w:rsidR="6012E40D">
        <w:t>However, m</w:t>
      </w:r>
      <w:r>
        <w:t xml:space="preserve">ultiple episodes of restraint </w:t>
      </w:r>
      <w:r w:rsidR="031585CE">
        <w:t>are not</w:t>
      </w:r>
      <w:r>
        <w:t xml:space="preserve"> uncommon</w:t>
      </w:r>
      <w:r w:rsidR="07E5EDA5">
        <w:t>,</w:t>
      </w:r>
      <w:r w:rsidR="74DADE8E">
        <w:t xml:space="preserve"> and this</w:t>
      </w:r>
      <w:r>
        <w:t xml:space="preserve"> pattern has </w:t>
      </w:r>
      <w:r w:rsidR="089672B5">
        <w:t>not significantly changed</w:t>
      </w:r>
      <w:r>
        <w:t xml:space="preserve"> in recent years.</w:t>
      </w:r>
    </w:p>
    <w:p w14:paraId="2A580BBE" w14:textId="58426F17" w:rsidR="00381B2F" w:rsidRDefault="00381B2F" w:rsidP="000D0B9B">
      <w:pPr>
        <w:pStyle w:val="Tablecaption"/>
      </w:pPr>
      <w:r>
        <w:t xml:space="preserve">Table </w:t>
      </w:r>
      <w:r w:rsidR="4EA5F3F4">
        <w:t>1</w:t>
      </w:r>
      <w:r w:rsidR="003360B6">
        <w:t>4</w:t>
      </w:r>
      <w:r>
        <w:t xml:space="preserve">: </w:t>
      </w:r>
      <w:r w:rsidR="005C256C" w:rsidRPr="005C256C">
        <w:t>Frequency of ended bodily restraint episodes within a single inpatient admission</w:t>
      </w:r>
      <w:r>
        <w:t>, 201</w:t>
      </w:r>
      <w:r w:rsidR="00281A7E">
        <w:t>8</w:t>
      </w:r>
      <w:r>
        <w:t>–1</w:t>
      </w:r>
      <w:r w:rsidR="00281A7E">
        <w:t>9</w:t>
      </w:r>
      <w:r>
        <w:t xml:space="preserve"> to</w:t>
      </w:r>
      <w:r w:rsidR="00281A7E">
        <w:t xml:space="preserve"> </w:t>
      </w:r>
      <w:r w:rsidR="007B2175">
        <w:t>202</w:t>
      </w:r>
      <w:r w:rsidR="00281A7E">
        <w:t>2</w:t>
      </w:r>
      <w:r w:rsidR="007B2175">
        <w:t>–2</w:t>
      </w:r>
      <w:r w:rsidR="00281A7E">
        <w:t>3</w:t>
      </w:r>
    </w:p>
    <w:tbl>
      <w:tblPr>
        <w:tblW w:w="5000" w:type="pct"/>
        <w:tblLayout w:type="fixed"/>
        <w:tblLook w:val="04A0" w:firstRow="1" w:lastRow="0" w:firstColumn="1" w:lastColumn="0" w:noHBand="0" w:noVBand="1"/>
      </w:tblPr>
      <w:tblGrid>
        <w:gridCol w:w="2079"/>
        <w:gridCol w:w="1439"/>
        <w:gridCol w:w="1440"/>
        <w:gridCol w:w="1440"/>
        <w:gridCol w:w="1440"/>
        <w:gridCol w:w="1438"/>
      </w:tblGrid>
      <w:tr w:rsidR="001A2A3E" w:rsidRPr="00B171F1" w14:paraId="106F3BCD" w14:textId="778101E6" w:rsidTr="001A2A3E">
        <w:trPr>
          <w:trHeight w:val="301"/>
          <w:tblHeader/>
        </w:trPr>
        <w:tc>
          <w:tcPr>
            <w:tcW w:w="1121" w:type="pct"/>
            <w:tcBorders>
              <w:top w:val="single" w:sz="4" w:space="0" w:color="auto"/>
              <w:left w:val="single" w:sz="4" w:space="0" w:color="auto"/>
              <w:bottom w:val="single" w:sz="4" w:space="0" w:color="auto"/>
              <w:right w:val="single" w:sz="4" w:space="0" w:color="auto"/>
            </w:tcBorders>
            <w:shd w:val="clear" w:color="auto" w:fill="auto"/>
            <w:noWrap/>
            <w:hideMark/>
          </w:tcPr>
          <w:p w14:paraId="0EC744C1" w14:textId="380967CD" w:rsidR="001A2A3E" w:rsidRPr="00B171F1" w:rsidRDefault="001A2A3E" w:rsidP="001A2A3E">
            <w:pPr>
              <w:pStyle w:val="Tablecolhead"/>
              <w:rPr>
                <w:lang w:eastAsia="en-AU"/>
              </w:rPr>
            </w:pPr>
            <w:r w:rsidRPr="6413A842">
              <w:rPr>
                <w:lang w:eastAsia="en-AU"/>
              </w:rPr>
              <w:t>Frequency</w:t>
            </w:r>
            <w:r>
              <w:rPr>
                <w:lang w:eastAsia="en-AU"/>
              </w:rPr>
              <w:t xml:space="preserve"> of episode</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A849988" w14:textId="2716882F" w:rsidR="001A2A3E" w:rsidRPr="00B171F1" w:rsidRDefault="001A2A3E" w:rsidP="001A2A3E">
            <w:pPr>
              <w:pStyle w:val="Tablecolhead"/>
              <w:jc w:val="center"/>
              <w:rPr>
                <w:lang w:eastAsia="en-AU"/>
              </w:rPr>
            </w:pPr>
            <w:r w:rsidRPr="0040102B">
              <w:t>2018</w:t>
            </w:r>
            <w:r>
              <w:t>–</w:t>
            </w:r>
            <w:r w:rsidRPr="0040102B">
              <w:t>19</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C02A96E" w14:textId="2DD0DBE9" w:rsidR="001A2A3E" w:rsidRPr="00B171F1" w:rsidRDefault="001A2A3E" w:rsidP="001A2A3E">
            <w:pPr>
              <w:pStyle w:val="Tablecolhead"/>
              <w:jc w:val="center"/>
              <w:rPr>
                <w:lang w:eastAsia="en-AU"/>
              </w:rPr>
            </w:pPr>
            <w:r w:rsidRPr="0040102B">
              <w:t>2019</w:t>
            </w:r>
            <w:r>
              <w:t>–</w:t>
            </w:r>
            <w:r w:rsidRPr="0040102B">
              <w:t>20</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D2AD58D" w14:textId="1E03BE59" w:rsidR="001A2A3E" w:rsidRPr="00B171F1" w:rsidRDefault="001A2A3E" w:rsidP="001A2A3E">
            <w:pPr>
              <w:pStyle w:val="Tablecolhead"/>
              <w:jc w:val="center"/>
              <w:rPr>
                <w:lang w:eastAsia="en-AU"/>
              </w:rPr>
            </w:pPr>
            <w:r w:rsidRPr="0040102B">
              <w:t>2020</w:t>
            </w:r>
            <w:r>
              <w:t>–</w:t>
            </w:r>
            <w:r w:rsidRPr="0040102B">
              <w:t>21</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F4F4DFA" w14:textId="695AF0C8" w:rsidR="001A2A3E" w:rsidRPr="00B171F1" w:rsidRDefault="001A2A3E" w:rsidP="001A2A3E">
            <w:pPr>
              <w:pStyle w:val="Tablecolhead"/>
              <w:jc w:val="center"/>
              <w:rPr>
                <w:lang w:eastAsia="en-AU"/>
              </w:rPr>
            </w:pPr>
            <w:r w:rsidRPr="0040102B">
              <w:t>2021</w:t>
            </w:r>
            <w:r>
              <w:t>–</w:t>
            </w:r>
            <w:r w:rsidRPr="0040102B">
              <w:t>22</w:t>
            </w:r>
          </w:p>
        </w:tc>
        <w:tc>
          <w:tcPr>
            <w:tcW w:w="775" w:type="pct"/>
            <w:tcBorders>
              <w:top w:val="single" w:sz="4" w:space="0" w:color="auto"/>
              <w:left w:val="nil"/>
              <w:bottom w:val="single" w:sz="4" w:space="0" w:color="auto"/>
              <w:right w:val="single" w:sz="4" w:space="0" w:color="auto"/>
            </w:tcBorders>
            <w:vAlign w:val="center"/>
          </w:tcPr>
          <w:p w14:paraId="2B32D4C2" w14:textId="694CE743" w:rsidR="001A2A3E" w:rsidRPr="00B171F1" w:rsidRDefault="001A2A3E" w:rsidP="001A2A3E">
            <w:pPr>
              <w:pStyle w:val="Tablecolhead"/>
              <w:jc w:val="center"/>
              <w:rPr>
                <w:lang w:eastAsia="en-AU"/>
              </w:rPr>
            </w:pPr>
            <w:r w:rsidRPr="0040102B">
              <w:t>202</w:t>
            </w:r>
            <w:r>
              <w:t>2–</w:t>
            </w:r>
            <w:r w:rsidRPr="0040102B">
              <w:t>2</w:t>
            </w:r>
            <w:r>
              <w:t>3</w:t>
            </w:r>
          </w:p>
        </w:tc>
      </w:tr>
      <w:tr w:rsidR="001A2A3E" w:rsidRPr="00B171F1" w14:paraId="3544B8C6" w14:textId="468F5D48"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1655E1FF" w14:textId="0C04456C" w:rsidR="001A2A3E" w:rsidRPr="00B171F1" w:rsidRDefault="001A2A3E" w:rsidP="001A2A3E">
            <w:pPr>
              <w:pStyle w:val="Tabletext"/>
              <w:rPr>
                <w:lang w:eastAsia="en-AU"/>
              </w:rPr>
            </w:pPr>
            <w:r w:rsidRPr="009C3DA3">
              <w:t>1</w:t>
            </w:r>
          </w:p>
        </w:tc>
        <w:tc>
          <w:tcPr>
            <w:tcW w:w="776" w:type="pct"/>
            <w:tcBorders>
              <w:top w:val="nil"/>
              <w:left w:val="nil"/>
              <w:bottom w:val="single" w:sz="4" w:space="0" w:color="auto"/>
              <w:right w:val="single" w:sz="4" w:space="0" w:color="auto"/>
            </w:tcBorders>
            <w:shd w:val="clear" w:color="auto" w:fill="auto"/>
            <w:noWrap/>
            <w:vAlign w:val="center"/>
            <w:hideMark/>
          </w:tcPr>
          <w:p w14:paraId="5A0ABE63" w14:textId="2F3D5032" w:rsidR="001A2A3E" w:rsidRPr="00B63E24" w:rsidRDefault="001A2A3E" w:rsidP="001A2A3E">
            <w:pPr>
              <w:pStyle w:val="Tabletext"/>
              <w:jc w:val="center"/>
              <w:rPr>
                <w:lang w:eastAsia="en-AU"/>
              </w:rPr>
            </w:pPr>
            <w:r w:rsidRPr="00B63E24">
              <w:rPr>
                <w:rFonts w:eastAsia="Verdana" w:cs="Arial"/>
                <w:color w:val="000000"/>
              </w:rPr>
              <w:t>960</w:t>
            </w:r>
          </w:p>
        </w:tc>
        <w:tc>
          <w:tcPr>
            <w:tcW w:w="776" w:type="pct"/>
            <w:tcBorders>
              <w:top w:val="nil"/>
              <w:left w:val="nil"/>
              <w:bottom w:val="single" w:sz="4" w:space="0" w:color="auto"/>
              <w:right w:val="single" w:sz="4" w:space="0" w:color="auto"/>
            </w:tcBorders>
            <w:shd w:val="clear" w:color="auto" w:fill="auto"/>
            <w:noWrap/>
            <w:vAlign w:val="center"/>
            <w:hideMark/>
          </w:tcPr>
          <w:p w14:paraId="6936CD7B" w14:textId="7D9B8F3C" w:rsidR="001A2A3E" w:rsidRPr="00B63E24" w:rsidRDefault="001A2A3E" w:rsidP="001A2A3E">
            <w:pPr>
              <w:pStyle w:val="Tabletext"/>
              <w:jc w:val="center"/>
              <w:rPr>
                <w:lang w:eastAsia="en-AU"/>
              </w:rPr>
            </w:pPr>
            <w:r w:rsidRPr="00B63E24">
              <w:rPr>
                <w:rFonts w:eastAsia="Verdana" w:cs="Arial"/>
                <w:color w:val="000000"/>
              </w:rPr>
              <w:t>1,008</w:t>
            </w:r>
          </w:p>
        </w:tc>
        <w:tc>
          <w:tcPr>
            <w:tcW w:w="776" w:type="pct"/>
            <w:tcBorders>
              <w:top w:val="nil"/>
              <w:left w:val="nil"/>
              <w:bottom w:val="single" w:sz="4" w:space="0" w:color="auto"/>
              <w:right w:val="single" w:sz="4" w:space="0" w:color="auto"/>
            </w:tcBorders>
            <w:shd w:val="clear" w:color="auto" w:fill="auto"/>
            <w:noWrap/>
            <w:vAlign w:val="center"/>
            <w:hideMark/>
          </w:tcPr>
          <w:p w14:paraId="7675C8A3" w14:textId="5F96B19C" w:rsidR="001A2A3E" w:rsidRPr="00B63E24" w:rsidRDefault="001A2A3E" w:rsidP="001A2A3E">
            <w:pPr>
              <w:pStyle w:val="Tabletext"/>
              <w:jc w:val="center"/>
              <w:rPr>
                <w:lang w:eastAsia="en-AU"/>
              </w:rPr>
            </w:pPr>
            <w:r w:rsidRPr="00B63E24">
              <w:rPr>
                <w:rFonts w:eastAsia="Verdana" w:cs="Arial"/>
                <w:color w:val="000000"/>
              </w:rPr>
              <w:t>1,048</w:t>
            </w:r>
          </w:p>
        </w:tc>
        <w:tc>
          <w:tcPr>
            <w:tcW w:w="776" w:type="pct"/>
            <w:tcBorders>
              <w:top w:val="nil"/>
              <w:left w:val="nil"/>
              <w:bottom w:val="single" w:sz="4" w:space="0" w:color="auto"/>
              <w:right w:val="single" w:sz="4" w:space="0" w:color="auto"/>
            </w:tcBorders>
            <w:shd w:val="clear" w:color="auto" w:fill="auto"/>
            <w:noWrap/>
            <w:vAlign w:val="center"/>
            <w:hideMark/>
          </w:tcPr>
          <w:p w14:paraId="1F9F1711" w14:textId="35AF9515" w:rsidR="001A2A3E" w:rsidRPr="00B63E24" w:rsidRDefault="001A2A3E" w:rsidP="001A2A3E">
            <w:pPr>
              <w:pStyle w:val="Tabletext"/>
              <w:jc w:val="center"/>
              <w:rPr>
                <w:lang w:eastAsia="en-AU"/>
              </w:rPr>
            </w:pPr>
            <w:r w:rsidRPr="00B63E24">
              <w:rPr>
                <w:rFonts w:eastAsia="Verdana" w:cs="Arial"/>
                <w:color w:val="000000"/>
              </w:rPr>
              <w:t>934</w:t>
            </w:r>
          </w:p>
        </w:tc>
        <w:tc>
          <w:tcPr>
            <w:tcW w:w="775" w:type="pct"/>
            <w:tcBorders>
              <w:top w:val="nil"/>
              <w:left w:val="nil"/>
              <w:bottom w:val="single" w:sz="4" w:space="0" w:color="auto"/>
              <w:right w:val="single" w:sz="4" w:space="0" w:color="auto"/>
            </w:tcBorders>
            <w:vAlign w:val="center"/>
          </w:tcPr>
          <w:p w14:paraId="04FA5F4A" w14:textId="3EF9778E" w:rsidR="001A2A3E" w:rsidRPr="00B63E24" w:rsidRDefault="001A2A3E" w:rsidP="001A2A3E">
            <w:pPr>
              <w:pStyle w:val="Tabletext"/>
              <w:jc w:val="center"/>
            </w:pPr>
            <w:r w:rsidRPr="00B63E24">
              <w:rPr>
                <w:rFonts w:eastAsia="Verdana" w:cs="Arial"/>
                <w:color w:val="000000"/>
              </w:rPr>
              <w:t>851</w:t>
            </w:r>
          </w:p>
        </w:tc>
      </w:tr>
      <w:tr w:rsidR="001A2A3E" w:rsidRPr="00B171F1" w14:paraId="43B13AF4" w14:textId="02D83F7A"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2871565A" w14:textId="05DD88EB" w:rsidR="001A2A3E" w:rsidRPr="00B171F1" w:rsidRDefault="001A2A3E" w:rsidP="001A2A3E">
            <w:pPr>
              <w:pStyle w:val="Tabletext"/>
              <w:rPr>
                <w:lang w:eastAsia="en-AU"/>
              </w:rPr>
            </w:pPr>
            <w:r w:rsidRPr="009C3DA3">
              <w:t>2</w:t>
            </w:r>
          </w:p>
        </w:tc>
        <w:tc>
          <w:tcPr>
            <w:tcW w:w="776" w:type="pct"/>
            <w:tcBorders>
              <w:top w:val="nil"/>
              <w:left w:val="nil"/>
              <w:bottom w:val="single" w:sz="4" w:space="0" w:color="auto"/>
              <w:right w:val="single" w:sz="4" w:space="0" w:color="auto"/>
            </w:tcBorders>
            <w:shd w:val="clear" w:color="auto" w:fill="auto"/>
            <w:noWrap/>
            <w:vAlign w:val="center"/>
            <w:hideMark/>
          </w:tcPr>
          <w:p w14:paraId="72D1AA5F" w14:textId="6FCC2BA3" w:rsidR="001A2A3E" w:rsidRPr="00B63E24" w:rsidRDefault="001A2A3E" w:rsidP="001A2A3E">
            <w:pPr>
              <w:pStyle w:val="Tabletext"/>
              <w:jc w:val="center"/>
              <w:rPr>
                <w:lang w:eastAsia="en-AU"/>
              </w:rPr>
            </w:pPr>
            <w:r w:rsidRPr="00B63E24">
              <w:rPr>
                <w:rFonts w:eastAsia="Verdana" w:cs="Arial"/>
                <w:color w:val="000000"/>
              </w:rPr>
              <w:t>274</w:t>
            </w:r>
          </w:p>
        </w:tc>
        <w:tc>
          <w:tcPr>
            <w:tcW w:w="776" w:type="pct"/>
            <w:tcBorders>
              <w:top w:val="nil"/>
              <w:left w:val="nil"/>
              <w:bottom w:val="single" w:sz="4" w:space="0" w:color="auto"/>
              <w:right w:val="single" w:sz="4" w:space="0" w:color="auto"/>
            </w:tcBorders>
            <w:shd w:val="clear" w:color="auto" w:fill="auto"/>
            <w:noWrap/>
            <w:vAlign w:val="center"/>
            <w:hideMark/>
          </w:tcPr>
          <w:p w14:paraId="7081F45F" w14:textId="1BEDADB2" w:rsidR="001A2A3E" w:rsidRPr="00B63E24" w:rsidRDefault="001A2A3E" w:rsidP="001A2A3E">
            <w:pPr>
              <w:pStyle w:val="Tabletext"/>
              <w:jc w:val="center"/>
              <w:rPr>
                <w:lang w:eastAsia="en-AU"/>
              </w:rPr>
            </w:pPr>
            <w:r w:rsidRPr="00B63E24">
              <w:rPr>
                <w:rFonts w:eastAsia="Verdana" w:cs="Arial"/>
                <w:color w:val="000000"/>
              </w:rPr>
              <w:t>321</w:t>
            </w:r>
          </w:p>
        </w:tc>
        <w:tc>
          <w:tcPr>
            <w:tcW w:w="776" w:type="pct"/>
            <w:tcBorders>
              <w:top w:val="nil"/>
              <w:left w:val="nil"/>
              <w:bottom w:val="single" w:sz="4" w:space="0" w:color="auto"/>
              <w:right w:val="single" w:sz="4" w:space="0" w:color="auto"/>
            </w:tcBorders>
            <w:shd w:val="clear" w:color="auto" w:fill="auto"/>
            <w:noWrap/>
            <w:vAlign w:val="center"/>
            <w:hideMark/>
          </w:tcPr>
          <w:p w14:paraId="4488D613" w14:textId="4B34FD65" w:rsidR="001A2A3E" w:rsidRPr="00B63E24" w:rsidRDefault="001A2A3E" w:rsidP="001A2A3E">
            <w:pPr>
              <w:pStyle w:val="Tabletext"/>
              <w:jc w:val="center"/>
              <w:rPr>
                <w:lang w:eastAsia="en-AU"/>
              </w:rPr>
            </w:pPr>
            <w:r w:rsidRPr="00B63E24">
              <w:rPr>
                <w:rFonts w:eastAsia="Verdana" w:cs="Arial"/>
                <w:color w:val="000000"/>
              </w:rPr>
              <w:t>364</w:t>
            </w:r>
          </w:p>
        </w:tc>
        <w:tc>
          <w:tcPr>
            <w:tcW w:w="776" w:type="pct"/>
            <w:tcBorders>
              <w:top w:val="nil"/>
              <w:left w:val="nil"/>
              <w:bottom w:val="single" w:sz="4" w:space="0" w:color="auto"/>
              <w:right w:val="single" w:sz="4" w:space="0" w:color="auto"/>
            </w:tcBorders>
            <w:shd w:val="clear" w:color="auto" w:fill="auto"/>
            <w:noWrap/>
            <w:vAlign w:val="center"/>
            <w:hideMark/>
          </w:tcPr>
          <w:p w14:paraId="50897097" w14:textId="0A763FD0" w:rsidR="001A2A3E" w:rsidRPr="00B63E24" w:rsidRDefault="001A2A3E" w:rsidP="001A2A3E">
            <w:pPr>
              <w:pStyle w:val="Tabletext"/>
              <w:jc w:val="center"/>
              <w:rPr>
                <w:lang w:eastAsia="en-AU"/>
              </w:rPr>
            </w:pPr>
            <w:r w:rsidRPr="00B63E24">
              <w:rPr>
                <w:rFonts w:eastAsia="Verdana" w:cs="Arial"/>
                <w:color w:val="000000"/>
              </w:rPr>
              <w:t>343</w:t>
            </w:r>
          </w:p>
        </w:tc>
        <w:tc>
          <w:tcPr>
            <w:tcW w:w="775" w:type="pct"/>
            <w:tcBorders>
              <w:top w:val="nil"/>
              <w:left w:val="nil"/>
              <w:bottom w:val="single" w:sz="4" w:space="0" w:color="auto"/>
              <w:right w:val="single" w:sz="4" w:space="0" w:color="auto"/>
            </w:tcBorders>
            <w:vAlign w:val="center"/>
          </w:tcPr>
          <w:p w14:paraId="3D07EF5B" w14:textId="03FF4DF4" w:rsidR="001A2A3E" w:rsidRPr="00B63E24" w:rsidRDefault="001A2A3E" w:rsidP="001A2A3E">
            <w:pPr>
              <w:pStyle w:val="Tabletext"/>
              <w:jc w:val="center"/>
            </w:pPr>
            <w:r w:rsidRPr="00B63E24">
              <w:rPr>
                <w:rFonts w:eastAsia="Verdana" w:cs="Arial"/>
                <w:color w:val="000000"/>
              </w:rPr>
              <w:t>306</w:t>
            </w:r>
          </w:p>
        </w:tc>
      </w:tr>
      <w:tr w:rsidR="001A2A3E" w:rsidRPr="00B171F1" w14:paraId="120E1281" w14:textId="3BDBAAC5"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012F8447" w14:textId="229303D8" w:rsidR="001A2A3E" w:rsidRPr="00B171F1" w:rsidRDefault="001A2A3E" w:rsidP="001A2A3E">
            <w:pPr>
              <w:pStyle w:val="Tabletext"/>
              <w:rPr>
                <w:lang w:eastAsia="en-AU"/>
              </w:rPr>
            </w:pPr>
            <w:r w:rsidRPr="009C3DA3">
              <w:t>3</w:t>
            </w:r>
          </w:p>
        </w:tc>
        <w:tc>
          <w:tcPr>
            <w:tcW w:w="776" w:type="pct"/>
            <w:tcBorders>
              <w:top w:val="nil"/>
              <w:left w:val="nil"/>
              <w:bottom w:val="single" w:sz="4" w:space="0" w:color="auto"/>
              <w:right w:val="single" w:sz="4" w:space="0" w:color="auto"/>
            </w:tcBorders>
            <w:shd w:val="clear" w:color="auto" w:fill="auto"/>
            <w:noWrap/>
            <w:vAlign w:val="center"/>
            <w:hideMark/>
          </w:tcPr>
          <w:p w14:paraId="66641D13" w14:textId="5C16D3B1" w:rsidR="001A2A3E" w:rsidRPr="00B63E24" w:rsidRDefault="001A2A3E" w:rsidP="001A2A3E">
            <w:pPr>
              <w:pStyle w:val="Tabletext"/>
              <w:jc w:val="center"/>
              <w:rPr>
                <w:lang w:eastAsia="en-AU"/>
              </w:rPr>
            </w:pPr>
            <w:r w:rsidRPr="00B63E24">
              <w:rPr>
                <w:rFonts w:eastAsia="Verdana" w:cs="Arial"/>
                <w:color w:val="000000"/>
              </w:rPr>
              <w:t>133</w:t>
            </w:r>
          </w:p>
        </w:tc>
        <w:tc>
          <w:tcPr>
            <w:tcW w:w="776" w:type="pct"/>
            <w:tcBorders>
              <w:top w:val="nil"/>
              <w:left w:val="nil"/>
              <w:bottom w:val="single" w:sz="4" w:space="0" w:color="auto"/>
              <w:right w:val="single" w:sz="4" w:space="0" w:color="auto"/>
            </w:tcBorders>
            <w:shd w:val="clear" w:color="auto" w:fill="auto"/>
            <w:noWrap/>
            <w:vAlign w:val="center"/>
            <w:hideMark/>
          </w:tcPr>
          <w:p w14:paraId="29BC6298" w14:textId="6946943A" w:rsidR="001A2A3E" w:rsidRPr="00B63E24" w:rsidRDefault="001A2A3E" w:rsidP="001A2A3E">
            <w:pPr>
              <w:pStyle w:val="Tabletext"/>
              <w:jc w:val="center"/>
              <w:rPr>
                <w:lang w:eastAsia="en-AU"/>
              </w:rPr>
            </w:pPr>
            <w:r w:rsidRPr="00B63E24">
              <w:rPr>
                <w:rFonts w:eastAsia="Verdana" w:cs="Arial"/>
                <w:color w:val="000000"/>
              </w:rPr>
              <w:t>142</w:t>
            </w:r>
          </w:p>
        </w:tc>
        <w:tc>
          <w:tcPr>
            <w:tcW w:w="776" w:type="pct"/>
            <w:tcBorders>
              <w:top w:val="nil"/>
              <w:left w:val="nil"/>
              <w:bottom w:val="single" w:sz="4" w:space="0" w:color="auto"/>
              <w:right w:val="single" w:sz="4" w:space="0" w:color="auto"/>
            </w:tcBorders>
            <w:shd w:val="clear" w:color="auto" w:fill="auto"/>
            <w:noWrap/>
            <w:vAlign w:val="center"/>
            <w:hideMark/>
          </w:tcPr>
          <w:p w14:paraId="3B1F269A" w14:textId="5535866B" w:rsidR="001A2A3E" w:rsidRPr="00B63E24" w:rsidRDefault="001A2A3E" w:rsidP="001A2A3E">
            <w:pPr>
              <w:pStyle w:val="Tabletext"/>
              <w:jc w:val="center"/>
              <w:rPr>
                <w:lang w:eastAsia="en-AU"/>
              </w:rPr>
            </w:pPr>
            <w:r w:rsidRPr="00B63E24">
              <w:rPr>
                <w:rFonts w:eastAsia="Verdana" w:cs="Arial"/>
                <w:color w:val="000000"/>
              </w:rPr>
              <w:t>163</w:t>
            </w:r>
          </w:p>
        </w:tc>
        <w:tc>
          <w:tcPr>
            <w:tcW w:w="776" w:type="pct"/>
            <w:tcBorders>
              <w:top w:val="nil"/>
              <w:left w:val="nil"/>
              <w:bottom w:val="single" w:sz="4" w:space="0" w:color="auto"/>
              <w:right w:val="single" w:sz="4" w:space="0" w:color="auto"/>
            </w:tcBorders>
            <w:shd w:val="clear" w:color="auto" w:fill="auto"/>
            <w:noWrap/>
            <w:vAlign w:val="center"/>
            <w:hideMark/>
          </w:tcPr>
          <w:p w14:paraId="3518C36E" w14:textId="23C1A0CF" w:rsidR="001A2A3E" w:rsidRPr="00B63E24" w:rsidRDefault="001A2A3E" w:rsidP="001A2A3E">
            <w:pPr>
              <w:pStyle w:val="Tabletext"/>
              <w:jc w:val="center"/>
              <w:rPr>
                <w:lang w:eastAsia="en-AU"/>
              </w:rPr>
            </w:pPr>
            <w:r w:rsidRPr="00B63E24">
              <w:rPr>
                <w:rFonts w:eastAsia="Verdana" w:cs="Arial"/>
                <w:color w:val="000000"/>
              </w:rPr>
              <w:t>154</w:t>
            </w:r>
          </w:p>
        </w:tc>
        <w:tc>
          <w:tcPr>
            <w:tcW w:w="775" w:type="pct"/>
            <w:tcBorders>
              <w:top w:val="nil"/>
              <w:left w:val="nil"/>
              <w:bottom w:val="single" w:sz="4" w:space="0" w:color="auto"/>
              <w:right w:val="single" w:sz="4" w:space="0" w:color="auto"/>
            </w:tcBorders>
            <w:vAlign w:val="center"/>
          </w:tcPr>
          <w:p w14:paraId="7533102B" w14:textId="5E93359B" w:rsidR="001A2A3E" w:rsidRPr="00B63E24" w:rsidRDefault="001A2A3E" w:rsidP="001A2A3E">
            <w:pPr>
              <w:pStyle w:val="Tabletext"/>
              <w:jc w:val="center"/>
            </w:pPr>
            <w:r w:rsidRPr="00B63E24">
              <w:rPr>
                <w:rFonts w:eastAsia="Verdana" w:cs="Arial"/>
                <w:color w:val="000000"/>
              </w:rPr>
              <w:t>119</w:t>
            </w:r>
          </w:p>
        </w:tc>
      </w:tr>
      <w:tr w:rsidR="001A2A3E" w:rsidRPr="00B171F1" w14:paraId="05EF0538" w14:textId="046E1400"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40E8938A" w14:textId="0F59DFE6" w:rsidR="001A2A3E" w:rsidRPr="00B171F1" w:rsidRDefault="001A2A3E" w:rsidP="001A2A3E">
            <w:pPr>
              <w:pStyle w:val="Tabletext"/>
              <w:rPr>
                <w:lang w:eastAsia="en-AU"/>
              </w:rPr>
            </w:pPr>
            <w:r w:rsidRPr="009C3DA3">
              <w:t>4</w:t>
            </w:r>
          </w:p>
        </w:tc>
        <w:tc>
          <w:tcPr>
            <w:tcW w:w="776" w:type="pct"/>
            <w:tcBorders>
              <w:top w:val="nil"/>
              <w:left w:val="nil"/>
              <w:bottom w:val="single" w:sz="4" w:space="0" w:color="auto"/>
              <w:right w:val="single" w:sz="4" w:space="0" w:color="auto"/>
            </w:tcBorders>
            <w:shd w:val="clear" w:color="auto" w:fill="auto"/>
            <w:noWrap/>
            <w:vAlign w:val="center"/>
            <w:hideMark/>
          </w:tcPr>
          <w:p w14:paraId="46C94C6F" w14:textId="4D2EC0BA" w:rsidR="001A2A3E" w:rsidRPr="00B63E24" w:rsidRDefault="001A2A3E" w:rsidP="001A2A3E">
            <w:pPr>
              <w:pStyle w:val="Tabletext"/>
              <w:jc w:val="center"/>
              <w:rPr>
                <w:lang w:eastAsia="en-AU"/>
              </w:rPr>
            </w:pPr>
            <w:r w:rsidRPr="00B63E24">
              <w:rPr>
                <w:rFonts w:eastAsia="Verdana" w:cs="Arial"/>
                <w:color w:val="000000"/>
              </w:rPr>
              <w:t>69</w:t>
            </w:r>
          </w:p>
        </w:tc>
        <w:tc>
          <w:tcPr>
            <w:tcW w:w="776" w:type="pct"/>
            <w:tcBorders>
              <w:top w:val="nil"/>
              <w:left w:val="nil"/>
              <w:bottom w:val="single" w:sz="4" w:space="0" w:color="auto"/>
              <w:right w:val="single" w:sz="4" w:space="0" w:color="auto"/>
            </w:tcBorders>
            <w:shd w:val="clear" w:color="auto" w:fill="auto"/>
            <w:noWrap/>
            <w:vAlign w:val="center"/>
            <w:hideMark/>
          </w:tcPr>
          <w:p w14:paraId="3386128B" w14:textId="6117AB39" w:rsidR="001A2A3E" w:rsidRPr="00B63E24" w:rsidRDefault="001A2A3E" w:rsidP="001A2A3E">
            <w:pPr>
              <w:pStyle w:val="Tabletext"/>
              <w:jc w:val="center"/>
              <w:rPr>
                <w:lang w:eastAsia="en-AU"/>
              </w:rPr>
            </w:pPr>
            <w:r w:rsidRPr="00B63E24">
              <w:rPr>
                <w:rFonts w:eastAsia="Verdana" w:cs="Arial"/>
                <w:color w:val="000000"/>
              </w:rPr>
              <w:t>86</w:t>
            </w:r>
          </w:p>
        </w:tc>
        <w:tc>
          <w:tcPr>
            <w:tcW w:w="776" w:type="pct"/>
            <w:tcBorders>
              <w:top w:val="nil"/>
              <w:left w:val="nil"/>
              <w:bottom w:val="single" w:sz="4" w:space="0" w:color="auto"/>
              <w:right w:val="single" w:sz="4" w:space="0" w:color="auto"/>
            </w:tcBorders>
            <w:shd w:val="clear" w:color="auto" w:fill="auto"/>
            <w:noWrap/>
            <w:vAlign w:val="center"/>
            <w:hideMark/>
          </w:tcPr>
          <w:p w14:paraId="39823EA1" w14:textId="68684578" w:rsidR="001A2A3E" w:rsidRPr="00B63E24" w:rsidRDefault="001A2A3E" w:rsidP="001A2A3E">
            <w:pPr>
              <w:pStyle w:val="Tabletext"/>
              <w:jc w:val="center"/>
              <w:rPr>
                <w:lang w:eastAsia="en-AU"/>
              </w:rPr>
            </w:pPr>
            <w:r w:rsidRPr="00B63E24">
              <w:rPr>
                <w:rFonts w:eastAsia="Verdana" w:cs="Arial"/>
                <w:color w:val="000000"/>
              </w:rPr>
              <w:t>101</w:t>
            </w:r>
          </w:p>
        </w:tc>
        <w:tc>
          <w:tcPr>
            <w:tcW w:w="776" w:type="pct"/>
            <w:tcBorders>
              <w:top w:val="nil"/>
              <w:left w:val="nil"/>
              <w:bottom w:val="single" w:sz="4" w:space="0" w:color="auto"/>
              <w:right w:val="single" w:sz="4" w:space="0" w:color="auto"/>
            </w:tcBorders>
            <w:shd w:val="clear" w:color="auto" w:fill="auto"/>
            <w:noWrap/>
            <w:vAlign w:val="center"/>
            <w:hideMark/>
          </w:tcPr>
          <w:p w14:paraId="54A9820D" w14:textId="7C307A4A" w:rsidR="001A2A3E" w:rsidRPr="00B63E24" w:rsidRDefault="001A2A3E" w:rsidP="001A2A3E">
            <w:pPr>
              <w:pStyle w:val="Tabletext"/>
              <w:jc w:val="center"/>
              <w:rPr>
                <w:lang w:eastAsia="en-AU"/>
              </w:rPr>
            </w:pPr>
            <w:r w:rsidRPr="00B63E24">
              <w:rPr>
                <w:rFonts w:eastAsia="Verdana" w:cs="Arial"/>
                <w:color w:val="000000"/>
              </w:rPr>
              <w:t>81</w:t>
            </w:r>
          </w:p>
        </w:tc>
        <w:tc>
          <w:tcPr>
            <w:tcW w:w="775" w:type="pct"/>
            <w:tcBorders>
              <w:top w:val="nil"/>
              <w:left w:val="nil"/>
              <w:bottom w:val="single" w:sz="4" w:space="0" w:color="auto"/>
              <w:right w:val="single" w:sz="4" w:space="0" w:color="auto"/>
            </w:tcBorders>
            <w:vAlign w:val="center"/>
          </w:tcPr>
          <w:p w14:paraId="0E01EDE3" w14:textId="586AB918" w:rsidR="001A2A3E" w:rsidRPr="00B63E24" w:rsidRDefault="001A2A3E" w:rsidP="001A2A3E">
            <w:pPr>
              <w:pStyle w:val="Tabletext"/>
              <w:jc w:val="center"/>
            </w:pPr>
            <w:r w:rsidRPr="00B63E24">
              <w:rPr>
                <w:rFonts w:eastAsia="Verdana" w:cs="Arial"/>
                <w:color w:val="000000"/>
              </w:rPr>
              <w:t>88</w:t>
            </w:r>
          </w:p>
        </w:tc>
      </w:tr>
      <w:tr w:rsidR="001A2A3E" w:rsidRPr="00B171F1" w14:paraId="31109F02" w14:textId="30F4471B"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3DA7D650" w14:textId="64DAA4A6" w:rsidR="001A2A3E" w:rsidRPr="00B171F1" w:rsidRDefault="001A2A3E" w:rsidP="001A2A3E">
            <w:pPr>
              <w:pStyle w:val="Tabletext"/>
              <w:rPr>
                <w:lang w:eastAsia="en-AU"/>
              </w:rPr>
            </w:pPr>
            <w:r w:rsidRPr="009C3DA3">
              <w:lastRenderedPageBreak/>
              <w:t>5</w:t>
            </w:r>
          </w:p>
        </w:tc>
        <w:tc>
          <w:tcPr>
            <w:tcW w:w="776" w:type="pct"/>
            <w:tcBorders>
              <w:top w:val="nil"/>
              <w:left w:val="nil"/>
              <w:bottom w:val="single" w:sz="4" w:space="0" w:color="auto"/>
              <w:right w:val="single" w:sz="4" w:space="0" w:color="auto"/>
            </w:tcBorders>
            <w:shd w:val="clear" w:color="auto" w:fill="auto"/>
            <w:noWrap/>
            <w:vAlign w:val="center"/>
            <w:hideMark/>
          </w:tcPr>
          <w:p w14:paraId="1E4B38C4" w14:textId="20B2503E" w:rsidR="001A2A3E" w:rsidRPr="00B63E24" w:rsidRDefault="001A2A3E" w:rsidP="001A2A3E">
            <w:pPr>
              <w:pStyle w:val="Tabletext"/>
              <w:jc w:val="center"/>
              <w:rPr>
                <w:lang w:eastAsia="en-AU"/>
              </w:rPr>
            </w:pPr>
            <w:r w:rsidRPr="00B63E24">
              <w:rPr>
                <w:rFonts w:eastAsia="Verdana" w:cs="Arial"/>
                <w:color w:val="000000"/>
              </w:rPr>
              <w:t>53</w:t>
            </w:r>
          </w:p>
        </w:tc>
        <w:tc>
          <w:tcPr>
            <w:tcW w:w="776" w:type="pct"/>
            <w:tcBorders>
              <w:top w:val="nil"/>
              <w:left w:val="nil"/>
              <w:bottom w:val="single" w:sz="4" w:space="0" w:color="auto"/>
              <w:right w:val="single" w:sz="4" w:space="0" w:color="auto"/>
            </w:tcBorders>
            <w:shd w:val="clear" w:color="auto" w:fill="auto"/>
            <w:noWrap/>
            <w:vAlign w:val="center"/>
            <w:hideMark/>
          </w:tcPr>
          <w:p w14:paraId="46CD75C5" w14:textId="373C22C2" w:rsidR="001A2A3E" w:rsidRPr="00B63E24" w:rsidRDefault="001A2A3E" w:rsidP="001A2A3E">
            <w:pPr>
              <w:pStyle w:val="Tabletext"/>
              <w:jc w:val="center"/>
              <w:rPr>
                <w:lang w:eastAsia="en-AU"/>
              </w:rPr>
            </w:pPr>
            <w:r w:rsidRPr="00B63E24">
              <w:rPr>
                <w:rFonts w:eastAsia="Verdana" w:cs="Arial"/>
                <w:color w:val="000000"/>
              </w:rPr>
              <w:t>58</w:t>
            </w:r>
          </w:p>
        </w:tc>
        <w:tc>
          <w:tcPr>
            <w:tcW w:w="776" w:type="pct"/>
            <w:tcBorders>
              <w:top w:val="nil"/>
              <w:left w:val="nil"/>
              <w:bottom w:val="single" w:sz="4" w:space="0" w:color="auto"/>
              <w:right w:val="single" w:sz="4" w:space="0" w:color="auto"/>
            </w:tcBorders>
            <w:shd w:val="clear" w:color="auto" w:fill="auto"/>
            <w:noWrap/>
            <w:vAlign w:val="center"/>
            <w:hideMark/>
          </w:tcPr>
          <w:p w14:paraId="532BD3BE" w14:textId="5322694E" w:rsidR="001A2A3E" w:rsidRPr="00B63E24" w:rsidRDefault="001A2A3E" w:rsidP="001A2A3E">
            <w:pPr>
              <w:pStyle w:val="Tabletext"/>
              <w:jc w:val="center"/>
              <w:rPr>
                <w:lang w:eastAsia="en-AU"/>
              </w:rPr>
            </w:pPr>
            <w:r w:rsidRPr="00B63E24">
              <w:rPr>
                <w:rFonts w:eastAsia="Verdana" w:cs="Arial"/>
                <w:color w:val="000000"/>
              </w:rPr>
              <w:t>59</w:t>
            </w:r>
          </w:p>
        </w:tc>
        <w:tc>
          <w:tcPr>
            <w:tcW w:w="776" w:type="pct"/>
            <w:tcBorders>
              <w:top w:val="nil"/>
              <w:left w:val="nil"/>
              <w:bottom w:val="single" w:sz="4" w:space="0" w:color="auto"/>
              <w:right w:val="single" w:sz="4" w:space="0" w:color="auto"/>
            </w:tcBorders>
            <w:shd w:val="clear" w:color="auto" w:fill="auto"/>
            <w:noWrap/>
            <w:vAlign w:val="center"/>
            <w:hideMark/>
          </w:tcPr>
          <w:p w14:paraId="5366FD4F" w14:textId="1CD7D974" w:rsidR="001A2A3E" w:rsidRPr="00B63E24" w:rsidRDefault="001A2A3E" w:rsidP="001A2A3E">
            <w:pPr>
              <w:pStyle w:val="Tabletext"/>
              <w:jc w:val="center"/>
              <w:rPr>
                <w:lang w:eastAsia="en-AU"/>
              </w:rPr>
            </w:pPr>
            <w:r w:rsidRPr="00B63E24">
              <w:rPr>
                <w:rFonts w:eastAsia="Verdana" w:cs="Arial"/>
                <w:color w:val="000000"/>
              </w:rPr>
              <w:t>49</w:t>
            </w:r>
          </w:p>
        </w:tc>
        <w:tc>
          <w:tcPr>
            <w:tcW w:w="775" w:type="pct"/>
            <w:tcBorders>
              <w:top w:val="nil"/>
              <w:left w:val="nil"/>
              <w:bottom w:val="single" w:sz="4" w:space="0" w:color="auto"/>
              <w:right w:val="single" w:sz="4" w:space="0" w:color="auto"/>
            </w:tcBorders>
            <w:vAlign w:val="center"/>
          </w:tcPr>
          <w:p w14:paraId="26589FF1" w14:textId="5417FE7C" w:rsidR="001A2A3E" w:rsidRPr="00B63E24" w:rsidRDefault="001A2A3E" w:rsidP="001A2A3E">
            <w:pPr>
              <w:pStyle w:val="Tabletext"/>
              <w:jc w:val="center"/>
            </w:pPr>
            <w:r w:rsidRPr="00B63E24">
              <w:rPr>
                <w:rFonts w:eastAsia="Verdana" w:cs="Arial"/>
                <w:color w:val="000000"/>
              </w:rPr>
              <w:t>48</w:t>
            </w:r>
          </w:p>
        </w:tc>
      </w:tr>
      <w:tr w:rsidR="001A2A3E" w:rsidRPr="00B171F1" w14:paraId="4626AB1D" w14:textId="614281A0"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65B0EB5D" w14:textId="3DB3256A" w:rsidR="001A2A3E" w:rsidRPr="00B171F1" w:rsidRDefault="001A2A3E" w:rsidP="001A2A3E">
            <w:pPr>
              <w:pStyle w:val="Tabletext"/>
              <w:rPr>
                <w:lang w:eastAsia="en-AU"/>
              </w:rPr>
            </w:pPr>
            <w:r w:rsidRPr="009C3DA3">
              <w:t>6</w:t>
            </w:r>
          </w:p>
        </w:tc>
        <w:tc>
          <w:tcPr>
            <w:tcW w:w="776" w:type="pct"/>
            <w:tcBorders>
              <w:top w:val="nil"/>
              <w:left w:val="nil"/>
              <w:bottom w:val="single" w:sz="4" w:space="0" w:color="auto"/>
              <w:right w:val="single" w:sz="4" w:space="0" w:color="auto"/>
            </w:tcBorders>
            <w:shd w:val="clear" w:color="auto" w:fill="auto"/>
            <w:noWrap/>
            <w:vAlign w:val="center"/>
            <w:hideMark/>
          </w:tcPr>
          <w:p w14:paraId="38F4EA19" w14:textId="5E5E84BD" w:rsidR="001A2A3E" w:rsidRPr="00B63E24" w:rsidRDefault="001A2A3E" w:rsidP="001A2A3E">
            <w:pPr>
              <w:pStyle w:val="Tabletext"/>
              <w:jc w:val="center"/>
              <w:rPr>
                <w:lang w:eastAsia="en-AU"/>
              </w:rPr>
            </w:pPr>
            <w:r w:rsidRPr="00B63E24">
              <w:rPr>
                <w:rFonts w:eastAsia="Verdana" w:cs="Arial"/>
                <w:color w:val="000000"/>
              </w:rPr>
              <w:t>32</w:t>
            </w:r>
          </w:p>
        </w:tc>
        <w:tc>
          <w:tcPr>
            <w:tcW w:w="776" w:type="pct"/>
            <w:tcBorders>
              <w:top w:val="nil"/>
              <w:left w:val="nil"/>
              <w:bottom w:val="single" w:sz="4" w:space="0" w:color="auto"/>
              <w:right w:val="single" w:sz="4" w:space="0" w:color="auto"/>
            </w:tcBorders>
            <w:shd w:val="clear" w:color="auto" w:fill="auto"/>
            <w:noWrap/>
            <w:vAlign w:val="center"/>
            <w:hideMark/>
          </w:tcPr>
          <w:p w14:paraId="26C5984D" w14:textId="75DB6B67" w:rsidR="001A2A3E" w:rsidRPr="00B63E24" w:rsidRDefault="001A2A3E" w:rsidP="001A2A3E">
            <w:pPr>
              <w:pStyle w:val="Tabletext"/>
              <w:jc w:val="center"/>
              <w:rPr>
                <w:lang w:eastAsia="en-AU"/>
              </w:rPr>
            </w:pPr>
            <w:r w:rsidRPr="00B63E24">
              <w:rPr>
                <w:rFonts w:eastAsia="Verdana" w:cs="Arial"/>
                <w:color w:val="000000"/>
              </w:rPr>
              <w:t>33</w:t>
            </w:r>
          </w:p>
        </w:tc>
        <w:tc>
          <w:tcPr>
            <w:tcW w:w="776" w:type="pct"/>
            <w:tcBorders>
              <w:top w:val="nil"/>
              <w:left w:val="nil"/>
              <w:bottom w:val="single" w:sz="4" w:space="0" w:color="auto"/>
              <w:right w:val="single" w:sz="4" w:space="0" w:color="auto"/>
            </w:tcBorders>
            <w:shd w:val="clear" w:color="auto" w:fill="auto"/>
            <w:noWrap/>
            <w:vAlign w:val="center"/>
            <w:hideMark/>
          </w:tcPr>
          <w:p w14:paraId="057085F0" w14:textId="0A2A70A6" w:rsidR="001A2A3E" w:rsidRPr="00B63E24" w:rsidRDefault="001A2A3E" w:rsidP="001A2A3E">
            <w:pPr>
              <w:pStyle w:val="Tabletext"/>
              <w:jc w:val="center"/>
              <w:rPr>
                <w:lang w:eastAsia="en-AU"/>
              </w:rPr>
            </w:pPr>
            <w:r w:rsidRPr="00B63E24">
              <w:rPr>
                <w:rFonts w:eastAsia="Verdana" w:cs="Arial"/>
                <w:color w:val="000000"/>
              </w:rPr>
              <w:t>45</w:t>
            </w:r>
          </w:p>
        </w:tc>
        <w:tc>
          <w:tcPr>
            <w:tcW w:w="776" w:type="pct"/>
            <w:tcBorders>
              <w:top w:val="nil"/>
              <w:left w:val="nil"/>
              <w:bottom w:val="single" w:sz="4" w:space="0" w:color="auto"/>
              <w:right w:val="single" w:sz="4" w:space="0" w:color="auto"/>
            </w:tcBorders>
            <w:shd w:val="clear" w:color="auto" w:fill="auto"/>
            <w:noWrap/>
            <w:vAlign w:val="center"/>
            <w:hideMark/>
          </w:tcPr>
          <w:p w14:paraId="48CEF1FF" w14:textId="6C7F977F" w:rsidR="001A2A3E" w:rsidRPr="00B63E24" w:rsidRDefault="001A2A3E" w:rsidP="001A2A3E">
            <w:pPr>
              <w:pStyle w:val="Tabletext"/>
              <w:jc w:val="center"/>
              <w:rPr>
                <w:lang w:eastAsia="en-AU"/>
              </w:rPr>
            </w:pPr>
            <w:r w:rsidRPr="00B63E24">
              <w:rPr>
                <w:rFonts w:eastAsia="Verdana" w:cs="Arial"/>
                <w:color w:val="000000"/>
              </w:rPr>
              <w:t>41</w:t>
            </w:r>
          </w:p>
        </w:tc>
        <w:tc>
          <w:tcPr>
            <w:tcW w:w="775" w:type="pct"/>
            <w:tcBorders>
              <w:top w:val="nil"/>
              <w:left w:val="nil"/>
              <w:bottom w:val="single" w:sz="4" w:space="0" w:color="auto"/>
              <w:right w:val="single" w:sz="4" w:space="0" w:color="auto"/>
            </w:tcBorders>
            <w:vAlign w:val="center"/>
          </w:tcPr>
          <w:p w14:paraId="4F73B4EF" w14:textId="41929DFE" w:rsidR="001A2A3E" w:rsidRPr="00B63E24" w:rsidRDefault="001A2A3E" w:rsidP="001A2A3E">
            <w:pPr>
              <w:pStyle w:val="Tabletext"/>
              <w:jc w:val="center"/>
            </w:pPr>
            <w:r w:rsidRPr="00B63E24">
              <w:rPr>
                <w:rFonts w:eastAsia="Verdana" w:cs="Arial"/>
                <w:color w:val="000000"/>
              </w:rPr>
              <w:t>44</w:t>
            </w:r>
          </w:p>
        </w:tc>
      </w:tr>
      <w:tr w:rsidR="001A2A3E" w:rsidRPr="00B171F1" w14:paraId="29D8C56C" w14:textId="6412432B" w:rsidTr="001A2A3E">
        <w:trPr>
          <w:trHeight w:val="301"/>
        </w:trPr>
        <w:tc>
          <w:tcPr>
            <w:tcW w:w="1121" w:type="pct"/>
            <w:tcBorders>
              <w:top w:val="nil"/>
              <w:left w:val="single" w:sz="4" w:space="0" w:color="auto"/>
              <w:bottom w:val="single" w:sz="4" w:space="0" w:color="auto"/>
              <w:right w:val="single" w:sz="4" w:space="0" w:color="auto"/>
            </w:tcBorders>
            <w:shd w:val="clear" w:color="auto" w:fill="auto"/>
            <w:noWrap/>
            <w:hideMark/>
          </w:tcPr>
          <w:p w14:paraId="547F4B74" w14:textId="118BDD63" w:rsidR="001A2A3E" w:rsidRPr="00B171F1" w:rsidRDefault="001A2A3E" w:rsidP="001A2A3E">
            <w:pPr>
              <w:pStyle w:val="Tabletext"/>
              <w:rPr>
                <w:lang w:eastAsia="en-AU"/>
              </w:rPr>
            </w:pPr>
            <w:r w:rsidRPr="009C3DA3">
              <w:t>7+</w:t>
            </w:r>
          </w:p>
        </w:tc>
        <w:tc>
          <w:tcPr>
            <w:tcW w:w="776" w:type="pct"/>
            <w:tcBorders>
              <w:top w:val="nil"/>
              <w:left w:val="nil"/>
              <w:bottom w:val="single" w:sz="4" w:space="0" w:color="auto"/>
              <w:right w:val="single" w:sz="4" w:space="0" w:color="auto"/>
            </w:tcBorders>
            <w:shd w:val="clear" w:color="auto" w:fill="auto"/>
            <w:noWrap/>
            <w:vAlign w:val="center"/>
            <w:hideMark/>
          </w:tcPr>
          <w:p w14:paraId="3BC4A3E3" w14:textId="6766BBCF" w:rsidR="001A2A3E" w:rsidRPr="00B63E24" w:rsidRDefault="001A2A3E" w:rsidP="001A2A3E">
            <w:pPr>
              <w:pStyle w:val="Tabletext"/>
              <w:jc w:val="center"/>
              <w:rPr>
                <w:lang w:eastAsia="en-AU"/>
              </w:rPr>
            </w:pPr>
            <w:r w:rsidRPr="00B63E24">
              <w:rPr>
                <w:rFonts w:eastAsia="Verdana" w:cs="Arial"/>
                <w:color w:val="000000"/>
              </w:rPr>
              <w:t>161</w:t>
            </w:r>
          </w:p>
        </w:tc>
        <w:tc>
          <w:tcPr>
            <w:tcW w:w="776" w:type="pct"/>
            <w:tcBorders>
              <w:top w:val="nil"/>
              <w:left w:val="nil"/>
              <w:bottom w:val="single" w:sz="4" w:space="0" w:color="auto"/>
              <w:right w:val="single" w:sz="4" w:space="0" w:color="auto"/>
            </w:tcBorders>
            <w:shd w:val="clear" w:color="auto" w:fill="auto"/>
            <w:noWrap/>
            <w:vAlign w:val="center"/>
            <w:hideMark/>
          </w:tcPr>
          <w:p w14:paraId="01D01276" w14:textId="0E64F28B" w:rsidR="001A2A3E" w:rsidRPr="00B63E24" w:rsidRDefault="001A2A3E" w:rsidP="001A2A3E">
            <w:pPr>
              <w:pStyle w:val="Tabletext"/>
              <w:jc w:val="center"/>
              <w:rPr>
                <w:lang w:eastAsia="en-AU"/>
              </w:rPr>
            </w:pPr>
            <w:r w:rsidRPr="00B63E24">
              <w:rPr>
                <w:rFonts w:eastAsia="Verdana" w:cs="Arial"/>
                <w:color w:val="000000"/>
              </w:rPr>
              <w:t>181</w:t>
            </w:r>
          </w:p>
        </w:tc>
        <w:tc>
          <w:tcPr>
            <w:tcW w:w="776" w:type="pct"/>
            <w:tcBorders>
              <w:top w:val="nil"/>
              <w:left w:val="nil"/>
              <w:bottom w:val="single" w:sz="4" w:space="0" w:color="auto"/>
              <w:right w:val="single" w:sz="4" w:space="0" w:color="auto"/>
            </w:tcBorders>
            <w:shd w:val="clear" w:color="auto" w:fill="auto"/>
            <w:noWrap/>
            <w:vAlign w:val="center"/>
            <w:hideMark/>
          </w:tcPr>
          <w:p w14:paraId="2660E7ED" w14:textId="5347A444" w:rsidR="001A2A3E" w:rsidRPr="00B63E24" w:rsidRDefault="001A2A3E" w:rsidP="001A2A3E">
            <w:pPr>
              <w:pStyle w:val="Tabletext"/>
              <w:jc w:val="center"/>
              <w:rPr>
                <w:lang w:eastAsia="en-AU"/>
              </w:rPr>
            </w:pPr>
            <w:r w:rsidRPr="00B63E24">
              <w:rPr>
                <w:rFonts w:eastAsia="Verdana" w:cs="Arial"/>
                <w:color w:val="000000"/>
              </w:rPr>
              <w:t>167</w:t>
            </w:r>
          </w:p>
        </w:tc>
        <w:tc>
          <w:tcPr>
            <w:tcW w:w="776" w:type="pct"/>
            <w:tcBorders>
              <w:top w:val="nil"/>
              <w:left w:val="nil"/>
              <w:bottom w:val="single" w:sz="4" w:space="0" w:color="auto"/>
              <w:right w:val="single" w:sz="4" w:space="0" w:color="auto"/>
            </w:tcBorders>
            <w:shd w:val="clear" w:color="auto" w:fill="auto"/>
            <w:noWrap/>
            <w:vAlign w:val="center"/>
            <w:hideMark/>
          </w:tcPr>
          <w:p w14:paraId="6EAE2545" w14:textId="011C4E80" w:rsidR="001A2A3E" w:rsidRPr="00B63E24" w:rsidRDefault="001A2A3E" w:rsidP="001A2A3E">
            <w:pPr>
              <w:pStyle w:val="Tabletext"/>
              <w:jc w:val="center"/>
              <w:rPr>
                <w:lang w:eastAsia="en-AU"/>
              </w:rPr>
            </w:pPr>
            <w:r w:rsidRPr="00B63E24">
              <w:rPr>
                <w:rFonts w:eastAsia="Verdana" w:cs="Arial"/>
                <w:color w:val="000000"/>
              </w:rPr>
              <w:t>163</w:t>
            </w:r>
          </w:p>
        </w:tc>
        <w:tc>
          <w:tcPr>
            <w:tcW w:w="775" w:type="pct"/>
            <w:tcBorders>
              <w:top w:val="nil"/>
              <w:left w:val="nil"/>
              <w:bottom w:val="single" w:sz="4" w:space="0" w:color="auto"/>
              <w:right w:val="single" w:sz="4" w:space="0" w:color="auto"/>
            </w:tcBorders>
            <w:vAlign w:val="center"/>
          </w:tcPr>
          <w:p w14:paraId="2BA7BFE9" w14:textId="278948AB" w:rsidR="001A2A3E" w:rsidRPr="00B63E24" w:rsidRDefault="001A2A3E" w:rsidP="001A2A3E">
            <w:pPr>
              <w:pStyle w:val="Tabletext"/>
              <w:jc w:val="center"/>
            </w:pPr>
            <w:r w:rsidRPr="00B63E24">
              <w:rPr>
                <w:rFonts w:eastAsia="Verdana" w:cs="Arial"/>
                <w:color w:val="000000"/>
              </w:rPr>
              <w:t>138</w:t>
            </w:r>
          </w:p>
        </w:tc>
      </w:tr>
    </w:tbl>
    <w:p w14:paraId="22EEE414" w14:textId="6B74AC02" w:rsidR="00381B2F" w:rsidRDefault="00381B2F" w:rsidP="00643556">
      <w:pPr>
        <w:pStyle w:val="Bodyaftertable"/>
      </w:pPr>
      <w:r w:rsidRPr="0059743C">
        <w:t>With respect to duration, the</w:t>
      </w:r>
      <w:r w:rsidR="00B7121F" w:rsidRPr="0059743C">
        <w:t xml:space="preserve">re </w:t>
      </w:r>
      <w:r w:rsidR="43842A00">
        <w:t xml:space="preserve">has been a significant decrease in the number of </w:t>
      </w:r>
      <w:r w:rsidR="00B7121F" w:rsidRPr="0059743C">
        <w:t xml:space="preserve">episodes of </w:t>
      </w:r>
      <w:r w:rsidR="43842A00">
        <w:t>restraints lasting</w:t>
      </w:r>
      <w:r w:rsidR="0059743C">
        <w:t xml:space="preserve"> </w:t>
      </w:r>
      <w:r w:rsidR="00595FD7" w:rsidRPr="0059743C">
        <w:t>less th</w:t>
      </w:r>
      <w:r w:rsidR="00580A4E">
        <w:t>a</w:t>
      </w:r>
      <w:r w:rsidR="00595FD7" w:rsidRPr="0059743C">
        <w:t xml:space="preserve">n </w:t>
      </w:r>
      <w:r w:rsidR="43842A00">
        <w:t xml:space="preserve">15 minutes </w:t>
      </w:r>
      <w:r w:rsidR="00EC0E4E" w:rsidRPr="0059743C">
        <w:t>(Table 1</w:t>
      </w:r>
      <w:r w:rsidR="003360B6">
        <w:t>5</w:t>
      </w:r>
      <w:r w:rsidR="00EC0E4E" w:rsidRPr="0059743C">
        <w:t>)</w:t>
      </w:r>
      <w:r w:rsidR="00BF3B3F" w:rsidRPr="0059743C">
        <w:t xml:space="preserve">. </w:t>
      </w:r>
      <w:r w:rsidR="3E4411B4">
        <w:t>The trend f</w:t>
      </w:r>
      <w:r w:rsidR="1B65E656">
        <w:t>rom 2018</w:t>
      </w:r>
      <w:r w:rsidR="00C50DD5" w:rsidRPr="008D2117">
        <w:rPr>
          <w:rFonts w:eastAsia="Arial"/>
          <w:b/>
          <w:bCs/>
        </w:rPr>
        <w:t>–</w:t>
      </w:r>
      <w:r w:rsidR="1B65E656">
        <w:t xml:space="preserve">19 </w:t>
      </w:r>
      <w:r w:rsidR="00E92E58">
        <w:t>to 2022</w:t>
      </w:r>
      <w:r w:rsidR="00C50DD5" w:rsidRPr="008D2117">
        <w:rPr>
          <w:rFonts w:eastAsia="Arial"/>
          <w:b/>
          <w:bCs/>
        </w:rPr>
        <w:t>–</w:t>
      </w:r>
      <w:r w:rsidR="00E92E58">
        <w:t xml:space="preserve">23 </w:t>
      </w:r>
      <w:r w:rsidR="3E4411B4">
        <w:t xml:space="preserve">shows a </w:t>
      </w:r>
      <w:r w:rsidR="00325F3F" w:rsidRPr="0059743C">
        <w:t xml:space="preserve">reduction </w:t>
      </w:r>
      <w:r w:rsidR="3E4411B4">
        <w:t xml:space="preserve">of </w:t>
      </w:r>
      <w:r w:rsidR="00BB7DAE">
        <w:t xml:space="preserve">approximately </w:t>
      </w:r>
      <w:r w:rsidR="3E4411B4">
        <w:t>40</w:t>
      </w:r>
      <w:r w:rsidR="00F50FEC">
        <w:t xml:space="preserve"> percent</w:t>
      </w:r>
      <w:r w:rsidR="76FCED54">
        <w:t>.</w:t>
      </w:r>
      <w:r w:rsidR="00B5548B" w:rsidRPr="0059743C">
        <w:t xml:space="preserve"> </w:t>
      </w:r>
      <w:r w:rsidR="00C51D57" w:rsidRPr="0059743C">
        <w:t>Most</w:t>
      </w:r>
      <w:r w:rsidR="1FFD5A84" w:rsidRPr="0059743C">
        <w:t xml:space="preserve"> restraints last</w:t>
      </w:r>
      <w:r w:rsidR="1FFD5A84">
        <w:t xml:space="preserve"> less than three minutes and may reflect </w:t>
      </w:r>
      <w:r w:rsidR="0033497B">
        <w:t xml:space="preserve">the use of </w:t>
      </w:r>
      <w:r w:rsidR="1FFD5A84">
        <w:t>restraint to administ</w:t>
      </w:r>
      <w:r w:rsidR="00C51D57">
        <w:t xml:space="preserve">er </w:t>
      </w:r>
      <w:r w:rsidR="1FFD5A84">
        <w:t>medication or to guide a person to</w:t>
      </w:r>
      <w:r w:rsidR="20818CA6">
        <w:t>wards</w:t>
      </w:r>
      <w:r w:rsidR="1FFD5A84">
        <w:t xml:space="preserve"> a different space</w:t>
      </w:r>
      <w:r w:rsidR="348A1212">
        <w:t>.</w:t>
      </w:r>
      <w:r w:rsidR="00F37232">
        <w:t xml:space="preserve"> </w:t>
      </w:r>
    </w:p>
    <w:p w14:paraId="2D6FEA36" w14:textId="22C52998" w:rsidR="00381B2F" w:rsidRPr="003C6E6B" w:rsidRDefault="00381B2F" w:rsidP="000D0B9B">
      <w:pPr>
        <w:pStyle w:val="Tablecaption"/>
      </w:pPr>
      <w:r w:rsidRPr="64F2407C">
        <w:t xml:space="preserve">Table </w:t>
      </w:r>
      <w:r w:rsidR="008E180F">
        <w:t>1</w:t>
      </w:r>
      <w:r w:rsidR="003360B6">
        <w:t>5</w:t>
      </w:r>
      <w:r w:rsidRPr="64F2407C">
        <w:t xml:space="preserve">: </w:t>
      </w:r>
      <w:r w:rsidR="00B47CC3" w:rsidRPr="00B47CC3">
        <w:t>Duration of physical, mechanical and combined bodily restraint episodes</w:t>
      </w:r>
      <w:r w:rsidRPr="64F2407C">
        <w:t>, 201</w:t>
      </w:r>
      <w:r w:rsidR="00B47CC3">
        <w:t>8</w:t>
      </w:r>
      <w:r w:rsidRPr="64F2407C">
        <w:t>–1</w:t>
      </w:r>
      <w:r w:rsidR="00B47CC3">
        <w:t>9</w:t>
      </w:r>
      <w:r w:rsidRPr="64F2407C">
        <w:t xml:space="preserve"> to</w:t>
      </w:r>
      <w:r w:rsidR="00B47CC3">
        <w:t xml:space="preserve"> </w:t>
      </w:r>
      <w:r w:rsidR="007B2175">
        <w:t>202</w:t>
      </w:r>
      <w:r w:rsidR="00B47CC3">
        <w:t>2</w:t>
      </w:r>
      <w:r w:rsidR="007B2175">
        <w:t>–2</w:t>
      </w:r>
      <w:r w:rsidR="00B47CC3">
        <w:t>3</w:t>
      </w:r>
    </w:p>
    <w:tbl>
      <w:tblPr>
        <w:tblW w:w="5000" w:type="pct"/>
        <w:tblLook w:val="04A0" w:firstRow="1" w:lastRow="0" w:firstColumn="1" w:lastColumn="0" w:noHBand="0" w:noVBand="1"/>
      </w:tblPr>
      <w:tblGrid>
        <w:gridCol w:w="2829"/>
        <w:gridCol w:w="1288"/>
        <w:gridCol w:w="1289"/>
        <w:gridCol w:w="1291"/>
        <w:gridCol w:w="1291"/>
        <w:gridCol w:w="1288"/>
      </w:tblGrid>
      <w:tr w:rsidR="00DD76EE" w:rsidRPr="00012445" w14:paraId="35BEAB7A" w14:textId="75C76A8F" w:rsidTr="000F2B85">
        <w:trPr>
          <w:trHeight w:val="308"/>
          <w:tblHeader/>
        </w:trPr>
        <w:tc>
          <w:tcPr>
            <w:tcW w:w="1525" w:type="pct"/>
            <w:tcBorders>
              <w:top w:val="single" w:sz="4" w:space="0" w:color="auto"/>
              <w:left w:val="single" w:sz="4" w:space="0" w:color="auto"/>
              <w:bottom w:val="single" w:sz="4" w:space="0" w:color="auto"/>
              <w:right w:val="single" w:sz="4" w:space="0" w:color="auto"/>
            </w:tcBorders>
            <w:shd w:val="clear" w:color="auto" w:fill="auto"/>
            <w:noWrap/>
            <w:hideMark/>
          </w:tcPr>
          <w:p w14:paraId="3978F1CF" w14:textId="57EF2F6D" w:rsidR="00DD76EE" w:rsidRPr="00012445" w:rsidRDefault="00DD76EE" w:rsidP="00DD76EE">
            <w:pPr>
              <w:pStyle w:val="Tablecolhead"/>
              <w:rPr>
                <w:lang w:eastAsia="en-AU"/>
              </w:rPr>
            </w:pPr>
            <w:r>
              <w:rPr>
                <w:lang w:eastAsia="en-AU"/>
              </w:rPr>
              <w:t>Duration</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14:paraId="34C6FB25" w14:textId="2693DE32" w:rsidR="00DD76EE" w:rsidRPr="00012445" w:rsidRDefault="00DD76EE" w:rsidP="00DD76EE">
            <w:pPr>
              <w:pStyle w:val="Tablecolhead"/>
              <w:jc w:val="center"/>
              <w:rPr>
                <w:lang w:eastAsia="en-AU"/>
              </w:rPr>
            </w:pPr>
            <w:r w:rsidRPr="00F5149D">
              <w:t>2018</w:t>
            </w:r>
            <w:r>
              <w:t>–</w:t>
            </w:r>
            <w:r w:rsidRPr="00F5149D">
              <w:t>19</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509D8080" w14:textId="0C80698C" w:rsidR="00DD76EE" w:rsidRPr="00012445" w:rsidRDefault="00DD76EE" w:rsidP="00DD76EE">
            <w:pPr>
              <w:pStyle w:val="Tablecolhead"/>
              <w:jc w:val="center"/>
              <w:rPr>
                <w:lang w:eastAsia="en-AU"/>
              </w:rPr>
            </w:pPr>
            <w:r w:rsidRPr="00F5149D">
              <w:t>2019</w:t>
            </w:r>
            <w:r>
              <w:t>–</w:t>
            </w:r>
            <w:r w:rsidRPr="00F5149D">
              <w:t>20</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455781F8" w14:textId="6EA91792" w:rsidR="00DD76EE" w:rsidRPr="00012445" w:rsidRDefault="00DD76EE" w:rsidP="00DD76EE">
            <w:pPr>
              <w:pStyle w:val="Tablecolhead"/>
              <w:jc w:val="center"/>
              <w:rPr>
                <w:lang w:eastAsia="en-AU"/>
              </w:rPr>
            </w:pPr>
            <w:r w:rsidRPr="00F5149D">
              <w:t>2020</w:t>
            </w:r>
            <w:r>
              <w:t>–</w:t>
            </w:r>
            <w:r w:rsidRPr="00F5149D">
              <w:t>21</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4921EE45" w14:textId="04C39569" w:rsidR="00DD76EE" w:rsidRPr="00012445" w:rsidRDefault="00DD76EE" w:rsidP="00DD76EE">
            <w:pPr>
              <w:pStyle w:val="Tablecolhead"/>
              <w:jc w:val="center"/>
              <w:rPr>
                <w:lang w:eastAsia="en-AU"/>
              </w:rPr>
            </w:pPr>
            <w:r w:rsidRPr="00F5149D">
              <w:t>2021</w:t>
            </w:r>
            <w:r>
              <w:t>–</w:t>
            </w:r>
            <w:r w:rsidRPr="00F5149D">
              <w:t>22</w:t>
            </w:r>
          </w:p>
        </w:tc>
        <w:tc>
          <w:tcPr>
            <w:tcW w:w="694" w:type="pct"/>
            <w:tcBorders>
              <w:top w:val="single" w:sz="4" w:space="0" w:color="auto"/>
              <w:left w:val="nil"/>
              <w:bottom w:val="single" w:sz="4" w:space="0" w:color="auto"/>
              <w:right w:val="single" w:sz="4" w:space="0" w:color="auto"/>
            </w:tcBorders>
            <w:vAlign w:val="center"/>
          </w:tcPr>
          <w:p w14:paraId="7E4FEA74" w14:textId="59DB5875" w:rsidR="00DD76EE" w:rsidRPr="00012445" w:rsidRDefault="00DD76EE" w:rsidP="00DD76EE">
            <w:pPr>
              <w:pStyle w:val="Tablecolhead"/>
              <w:jc w:val="center"/>
              <w:rPr>
                <w:lang w:eastAsia="en-AU"/>
              </w:rPr>
            </w:pPr>
            <w:r w:rsidRPr="00F5149D">
              <w:t>202</w:t>
            </w:r>
            <w:r>
              <w:t>2–</w:t>
            </w:r>
            <w:r w:rsidRPr="00F5149D">
              <w:t>2</w:t>
            </w:r>
            <w:r>
              <w:t>3</w:t>
            </w:r>
          </w:p>
        </w:tc>
      </w:tr>
      <w:tr w:rsidR="00DD76EE" w:rsidRPr="00012445" w14:paraId="2413597D" w14:textId="7921DEB6"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6EC53C10" w14:textId="165E4C83" w:rsidR="00DD76EE" w:rsidRPr="00012445" w:rsidRDefault="00DD76EE" w:rsidP="00DD76EE">
            <w:pPr>
              <w:pStyle w:val="Tabletext"/>
              <w:rPr>
                <w:lang w:eastAsia="en-AU"/>
              </w:rPr>
            </w:pPr>
            <w:r w:rsidRPr="00F5149D">
              <w:t>Less than 3 minutes</w:t>
            </w:r>
          </w:p>
        </w:tc>
        <w:tc>
          <w:tcPr>
            <w:tcW w:w="694" w:type="pct"/>
            <w:tcBorders>
              <w:top w:val="nil"/>
              <w:left w:val="nil"/>
              <w:bottom w:val="single" w:sz="4" w:space="0" w:color="auto"/>
              <w:right w:val="single" w:sz="4" w:space="0" w:color="auto"/>
            </w:tcBorders>
            <w:shd w:val="clear" w:color="auto" w:fill="auto"/>
            <w:noWrap/>
            <w:vAlign w:val="center"/>
            <w:hideMark/>
          </w:tcPr>
          <w:p w14:paraId="0FB2DAA7" w14:textId="25C76F3B" w:rsidR="00DD76EE" w:rsidRPr="00012445" w:rsidRDefault="00DD76EE" w:rsidP="00DD76EE">
            <w:pPr>
              <w:pStyle w:val="Tabletext"/>
              <w:jc w:val="center"/>
            </w:pPr>
            <w:r w:rsidRPr="00DD76EE">
              <w:t>6,082</w:t>
            </w:r>
          </w:p>
        </w:tc>
        <w:tc>
          <w:tcPr>
            <w:tcW w:w="695" w:type="pct"/>
            <w:tcBorders>
              <w:top w:val="nil"/>
              <w:left w:val="nil"/>
              <w:bottom w:val="single" w:sz="4" w:space="0" w:color="auto"/>
              <w:right w:val="single" w:sz="4" w:space="0" w:color="auto"/>
            </w:tcBorders>
            <w:shd w:val="clear" w:color="auto" w:fill="auto"/>
            <w:noWrap/>
            <w:vAlign w:val="center"/>
            <w:hideMark/>
          </w:tcPr>
          <w:p w14:paraId="5B7AFB5A" w14:textId="61016C06" w:rsidR="00DD76EE" w:rsidRPr="00012445" w:rsidRDefault="00DD76EE" w:rsidP="00DD76EE">
            <w:pPr>
              <w:pStyle w:val="Tabletext"/>
              <w:jc w:val="center"/>
            </w:pPr>
            <w:r w:rsidRPr="00DD76EE">
              <w:t>5,365</w:t>
            </w:r>
          </w:p>
        </w:tc>
        <w:tc>
          <w:tcPr>
            <w:tcW w:w="696" w:type="pct"/>
            <w:tcBorders>
              <w:top w:val="nil"/>
              <w:left w:val="nil"/>
              <w:bottom w:val="single" w:sz="4" w:space="0" w:color="auto"/>
              <w:right w:val="single" w:sz="4" w:space="0" w:color="auto"/>
            </w:tcBorders>
            <w:shd w:val="clear" w:color="auto" w:fill="auto"/>
            <w:noWrap/>
            <w:vAlign w:val="center"/>
            <w:hideMark/>
          </w:tcPr>
          <w:p w14:paraId="18099EDD" w14:textId="46B642D9" w:rsidR="00DD76EE" w:rsidRPr="00012445" w:rsidRDefault="00DD76EE" w:rsidP="00DD76EE">
            <w:pPr>
              <w:pStyle w:val="Tabletext"/>
              <w:jc w:val="center"/>
            </w:pPr>
            <w:r w:rsidRPr="00DD76EE">
              <w:t>5,738</w:t>
            </w:r>
          </w:p>
        </w:tc>
        <w:tc>
          <w:tcPr>
            <w:tcW w:w="696" w:type="pct"/>
            <w:tcBorders>
              <w:top w:val="nil"/>
              <w:left w:val="nil"/>
              <w:bottom w:val="single" w:sz="4" w:space="0" w:color="auto"/>
              <w:right w:val="single" w:sz="4" w:space="0" w:color="auto"/>
            </w:tcBorders>
            <w:shd w:val="clear" w:color="auto" w:fill="auto"/>
            <w:noWrap/>
            <w:vAlign w:val="center"/>
            <w:hideMark/>
          </w:tcPr>
          <w:p w14:paraId="44203EBB" w14:textId="079A9979" w:rsidR="00DD76EE" w:rsidRPr="00012445" w:rsidRDefault="00DD76EE" w:rsidP="00DD76EE">
            <w:pPr>
              <w:pStyle w:val="Tabletext"/>
              <w:jc w:val="center"/>
            </w:pPr>
            <w:r w:rsidRPr="00DD76EE">
              <w:t>4,966</w:t>
            </w:r>
          </w:p>
        </w:tc>
        <w:tc>
          <w:tcPr>
            <w:tcW w:w="694" w:type="pct"/>
            <w:tcBorders>
              <w:top w:val="nil"/>
              <w:left w:val="nil"/>
              <w:bottom w:val="single" w:sz="4" w:space="0" w:color="auto"/>
              <w:right w:val="single" w:sz="4" w:space="0" w:color="auto"/>
            </w:tcBorders>
            <w:vAlign w:val="center"/>
          </w:tcPr>
          <w:p w14:paraId="2369D997" w14:textId="49ADC85C" w:rsidR="00DD76EE" w:rsidRDefault="00DD76EE" w:rsidP="00DD76EE">
            <w:pPr>
              <w:pStyle w:val="Tabletext"/>
              <w:jc w:val="center"/>
            </w:pPr>
            <w:r w:rsidRPr="00DD76EE">
              <w:t>4,381</w:t>
            </w:r>
          </w:p>
        </w:tc>
      </w:tr>
      <w:tr w:rsidR="00DD76EE" w:rsidRPr="00012445" w14:paraId="4EE4D942" w14:textId="1D350067"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155CC3D0" w14:textId="6FC7C048" w:rsidR="00DD76EE" w:rsidRPr="00012445" w:rsidRDefault="00DD76EE" w:rsidP="00DD76EE">
            <w:pPr>
              <w:pStyle w:val="Tabletext"/>
              <w:rPr>
                <w:lang w:eastAsia="en-AU"/>
              </w:rPr>
            </w:pPr>
            <w:r w:rsidRPr="00F5149D">
              <w:t xml:space="preserve">≥ 3 to &lt; </w:t>
            </w:r>
            <w:r>
              <w:t>1</w:t>
            </w:r>
            <w:r w:rsidRPr="00F5149D">
              <w:t>5 minutes</w:t>
            </w:r>
          </w:p>
        </w:tc>
        <w:tc>
          <w:tcPr>
            <w:tcW w:w="694" w:type="pct"/>
            <w:tcBorders>
              <w:top w:val="nil"/>
              <w:left w:val="nil"/>
              <w:bottom w:val="single" w:sz="4" w:space="0" w:color="auto"/>
              <w:right w:val="single" w:sz="4" w:space="0" w:color="auto"/>
            </w:tcBorders>
            <w:shd w:val="clear" w:color="auto" w:fill="auto"/>
            <w:noWrap/>
            <w:vAlign w:val="center"/>
            <w:hideMark/>
          </w:tcPr>
          <w:p w14:paraId="3F5F8737" w14:textId="47748AFA" w:rsidR="00DD76EE" w:rsidRPr="00012445" w:rsidRDefault="00DD76EE" w:rsidP="00DD76EE">
            <w:pPr>
              <w:pStyle w:val="Tabletext"/>
              <w:jc w:val="center"/>
            </w:pPr>
            <w:r w:rsidRPr="00DD76EE">
              <w:t>3,672</w:t>
            </w:r>
          </w:p>
        </w:tc>
        <w:tc>
          <w:tcPr>
            <w:tcW w:w="695" w:type="pct"/>
            <w:tcBorders>
              <w:top w:val="nil"/>
              <w:left w:val="nil"/>
              <w:bottom w:val="single" w:sz="4" w:space="0" w:color="auto"/>
              <w:right w:val="single" w:sz="4" w:space="0" w:color="auto"/>
            </w:tcBorders>
            <w:shd w:val="clear" w:color="auto" w:fill="auto"/>
            <w:noWrap/>
            <w:vAlign w:val="center"/>
            <w:hideMark/>
          </w:tcPr>
          <w:p w14:paraId="4ED316D5" w14:textId="0CC6E50E" w:rsidR="00DD76EE" w:rsidRPr="00012445" w:rsidRDefault="00DD76EE" w:rsidP="00DD76EE">
            <w:pPr>
              <w:pStyle w:val="Tabletext"/>
              <w:jc w:val="center"/>
            </w:pPr>
            <w:r w:rsidRPr="00DD76EE">
              <w:t>2,330</w:t>
            </w:r>
          </w:p>
        </w:tc>
        <w:tc>
          <w:tcPr>
            <w:tcW w:w="696" w:type="pct"/>
            <w:tcBorders>
              <w:top w:val="nil"/>
              <w:left w:val="nil"/>
              <w:bottom w:val="single" w:sz="4" w:space="0" w:color="auto"/>
              <w:right w:val="single" w:sz="4" w:space="0" w:color="auto"/>
            </w:tcBorders>
            <w:shd w:val="clear" w:color="auto" w:fill="auto"/>
            <w:noWrap/>
            <w:vAlign w:val="center"/>
            <w:hideMark/>
          </w:tcPr>
          <w:p w14:paraId="131FB8A8" w14:textId="5D753E6E" w:rsidR="00DD76EE" w:rsidRPr="00012445" w:rsidRDefault="00DD76EE" w:rsidP="00DD76EE">
            <w:pPr>
              <w:pStyle w:val="Tabletext"/>
              <w:jc w:val="center"/>
            </w:pPr>
            <w:r w:rsidRPr="00DD76EE">
              <w:t>2,012</w:t>
            </w:r>
          </w:p>
        </w:tc>
        <w:tc>
          <w:tcPr>
            <w:tcW w:w="696" w:type="pct"/>
            <w:tcBorders>
              <w:top w:val="nil"/>
              <w:left w:val="nil"/>
              <w:bottom w:val="single" w:sz="4" w:space="0" w:color="auto"/>
              <w:right w:val="single" w:sz="4" w:space="0" w:color="auto"/>
            </w:tcBorders>
            <w:shd w:val="clear" w:color="auto" w:fill="auto"/>
            <w:noWrap/>
            <w:vAlign w:val="center"/>
            <w:hideMark/>
          </w:tcPr>
          <w:p w14:paraId="42FBBF40" w14:textId="02A3C95F" w:rsidR="00DD76EE" w:rsidRPr="00012445" w:rsidRDefault="00DD76EE" w:rsidP="00DD76EE">
            <w:pPr>
              <w:pStyle w:val="Tabletext"/>
              <w:jc w:val="center"/>
            </w:pPr>
            <w:r w:rsidRPr="00DD76EE">
              <w:t>1,910</w:t>
            </w:r>
          </w:p>
        </w:tc>
        <w:tc>
          <w:tcPr>
            <w:tcW w:w="694" w:type="pct"/>
            <w:tcBorders>
              <w:top w:val="nil"/>
              <w:left w:val="nil"/>
              <w:bottom w:val="single" w:sz="4" w:space="0" w:color="auto"/>
              <w:right w:val="single" w:sz="4" w:space="0" w:color="auto"/>
            </w:tcBorders>
            <w:vAlign w:val="center"/>
          </w:tcPr>
          <w:p w14:paraId="155D399A" w14:textId="67C6E757" w:rsidR="00DD76EE" w:rsidRDefault="00DD76EE" w:rsidP="00DD76EE">
            <w:pPr>
              <w:pStyle w:val="Tabletext"/>
              <w:jc w:val="center"/>
            </w:pPr>
            <w:r w:rsidRPr="00DD76EE">
              <w:t>1,659</w:t>
            </w:r>
          </w:p>
        </w:tc>
      </w:tr>
      <w:tr w:rsidR="00DD76EE" w:rsidRPr="00012445" w14:paraId="65E24822" w14:textId="6A53BF82"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3C6F9F1B" w14:textId="32859200" w:rsidR="00DD76EE" w:rsidRPr="00012445" w:rsidRDefault="00DD76EE" w:rsidP="00DD76EE">
            <w:pPr>
              <w:pStyle w:val="Tabletext"/>
              <w:rPr>
                <w:lang w:eastAsia="en-AU"/>
              </w:rPr>
            </w:pPr>
            <w:r w:rsidRPr="00F5149D">
              <w:t>≥ 15 to &lt; 30 minutes</w:t>
            </w:r>
          </w:p>
        </w:tc>
        <w:tc>
          <w:tcPr>
            <w:tcW w:w="694" w:type="pct"/>
            <w:tcBorders>
              <w:top w:val="nil"/>
              <w:left w:val="nil"/>
              <w:bottom w:val="single" w:sz="4" w:space="0" w:color="auto"/>
              <w:right w:val="single" w:sz="4" w:space="0" w:color="auto"/>
            </w:tcBorders>
            <w:shd w:val="clear" w:color="auto" w:fill="auto"/>
            <w:noWrap/>
            <w:vAlign w:val="center"/>
            <w:hideMark/>
          </w:tcPr>
          <w:p w14:paraId="6CDDF60A" w14:textId="7DDE58AB" w:rsidR="00DD76EE" w:rsidRPr="00012445" w:rsidRDefault="00DD76EE" w:rsidP="00DD76EE">
            <w:pPr>
              <w:pStyle w:val="Tabletext"/>
              <w:jc w:val="center"/>
            </w:pPr>
            <w:r w:rsidRPr="00DD76EE">
              <w:t>198</w:t>
            </w:r>
          </w:p>
        </w:tc>
        <w:tc>
          <w:tcPr>
            <w:tcW w:w="695" w:type="pct"/>
            <w:tcBorders>
              <w:top w:val="nil"/>
              <w:left w:val="nil"/>
              <w:bottom w:val="single" w:sz="4" w:space="0" w:color="auto"/>
              <w:right w:val="single" w:sz="4" w:space="0" w:color="auto"/>
            </w:tcBorders>
            <w:shd w:val="clear" w:color="auto" w:fill="auto"/>
            <w:noWrap/>
            <w:vAlign w:val="center"/>
            <w:hideMark/>
          </w:tcPr>
          <w:p w14:paraId="1A34C2F0" w14:textId="575B0F3D" w:rsidR="00DD76EE" w:rsidRPr="00012445" w:rsidRDefault="00DD76EE" w:rsidP="00DD76EE">
            <w:pPr>
              <w:pStyle w:val="Tabletext"/>
              <w:jc w:val="center"/>
            </w:pPr>
            <w:r w:rsidRPr="00DD76EE">
              <w:t>165</w:t>
            </w:r>
          </w:p>
        </w:tc>
        <w:tc>
          <w:tcPr>
            <w:tcW w:w="696" w:type="pct"/>
            <w:tcBorders>
              <w:top w:val="nil"/>
              <w:left w:val="nil"/>
              <w:bottom w:val="single" w:sz="4" w:space="0" w:color="auto"/>
              <w:right w:val="single" w:sz="4" w:space="0" w:color="auto"/>
            </w:tcBorders>
            <w:shd w:val="clear" w:color="auto" w:fill="auto"/>
            <w:noWrap/>
            <w:vAlign w:val="center"/>
            <w:hideMark/>
          </w:tcPr>
          <w:p w14:paraId="75273AD7" w14:textId="39D0E1D5" w:rsidR="00DD76EE" w:rsidRPr="00012445" w:rsidRDefault="00DD76EE" w:rsidP="00DD76EE">
            <w:pPr>
              <w:pStyle w:val="Tabletext"/>
              <w:jc w:val="center"/>
            </w:pPr>
            <w:r w:rsidRPr="00DD76EE">
              <w:t>207</w:t>
            </w:r>
          </w:p>
        </w:tc>
        <w:tc>
          <w:tcPr>
            <w:tcW w:w="696" w:type="pct"/>
            <w:tcBorders>
              <w:top w:val="nil"/>
              <w:left w:val="nil"/>
              <w:bottom w:val="single" w:sz="4" w:space="0" w:color="auto"/>
              <w:right w:val="single" w:sz="4" w:space="0" w:color="auto"/>
            </w:tcBorders>
            <w:shd w:val="clear" w:color="auto" w:fill="auto"/>
            <w:noWrap/>
            <w:vAlign w:val="center"/>
            <w:hideMark/>
          </w:tcPr>
          <w:p w14:paraId="7D093925" w14:textId="19E54DD2" w:rsidR="00DD76EE" w:rsidRPr="00012445" w:rsidRDefault="00DD76EE" w:rsidP="00DD76EE">
            <w:pPr>
              <w:pStyle w:val="Tabletext"/>
              <w:jc w:val="center"/>
            </w:pPr>
            <w:r w:rsidRPr="00DD76EE">
              <w:t>193</w:t>
            </w:r>
          </w:p>
        </w:tc>
        <w:tc>
          <w:tcPr>
            <w:tcW w:w="694" w:type="pct"/>
            <w:tcBorders>
              <w:top w:val="nil"/>
              <w:left w:val="nil"/>
              <w:bottom w:val="single" w:sz="4" w:space="0" w:color="auto"/>
              <w:right w:val="single" w:sz="4" w:space="0" w:color="auto"/>
            </w:tcBorders>
            <w:vAlign w:val="center"/>
          </w:tcPr>
          <w:p w14:paraId="29E6D776" w14:textId="1B68DA25" w:rsidR="00DD76EE" w:rsidRDefault="00DD76EE" w:rsidP="00DD76EE">
            <w:pPr>
              <w:pStyle w:val="Tabletext"/>
              <w:jc w:val="center"/>
            </w:pPr>
            <w:r w:rsidRPr="00DD76EE">
              <w:t>189</w:t>
            </w:r>
          </w:p>
        </w:tc>
      </w:tr>
      <w:tr w:rsidR="00DD76EE" w:rsidRPr="00012445" w14:paraId="1426B28F" w14:textId="4F6660E4"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34F63EC2" w14:textId="0EF54AC7" w:rsidR="00DD76EE" w:rsidRPr="00012445" w:rsidRDefault="00DD76EE" w:rsidP="00DD76EE">
            <w:pPr>
              <w:pStyle w:val="Tabletext"/>
              <w:rPr>
                <w:lang w:eastAsia="en-AU"/>
              </w:rPr>
            </w:pPr>
            <w:r w:rsidRPr="00F5149D">
              <w:t>≥ 30 to &lt; 45 minutes</w:t>
            </w:r>
          </w:p>
        </w:tc>
        <w:tc>
          <w:tcPr>
            <w:tcW w:w="694" w:type="pct"/>
            <w:tcBorders>
              <w:top w:val="nil"/>
              <w:left w:val="nil"/>
              <w:bottom w:val="single" w:sz="4" w:space="0" w:color="auto"/>
              <w:right w:val="single" w:sz="4" w:space="0" w:color="auto"/>
            </w:tcBorders>
            <w:shd w:val="clear" w:color="auto" w:fill="auto"/>
            <w:noWrap/>
            <w:vAlign w:val="center"/>
            <w:hideMark/>
          </w:tcPr>
          <w:p w14:paraId="522E24FD" w14:textId="3AB41442" w:rsidR="00DD76EE" w:rsidRPr="00012445" w:rsidRDefault="00DD76EE" w:rsidP="00DD76EE">
            <w:pPr>
              <w:pStyle w:val="Tabletext"/>
              <w:jc w:val="center"/>
            </w:pPr>
            <w:r w:rsidRPr="00DD76EE">
              <w:t>73</w:t>
            </w:r>
          </w:p>
        </w:tc>
        <w:tc>
          <w:tcPr>
            <w:tcW w:w="695" w:type="pct"/>
            <w:tcBorders>
              <w:top w:val="nil"/>
              <w:left w:val="nil"/>
              <w:bottom w:val="single" w:sz="4" w:space="0" w:color="auto"/>
              <w:right w:val="single" w:sz="4" w:space="0" w:color="auto"/>
            </w:tcBorders>
            <w:shd w:val="clear" w:color="auto" w:fill="auto"/>
            <w:noWrap/>
            <w:vAlign w:val="center"/>
            <w:hideMark/>
          </w:tcPr>
          <w:p w14:paraId="4F4DE982" w14:textId="48B89FB1" w:rsidR="00DD76EE" w:rsidRPr="00012445" w:rsidRDefault="00DD76EE" w:rsidP="00DD76EE">
            <w:pPr>
              <w:pStyle w:val="Tabletext"/>
              <w:jc w:val="center"/>
            </w:pPr>
            <w:r w:rsidRPr="00DD76EE">
              <w:t>68</w:t>
            </w:r>
          </w:p>
        </w:tc>
        <w:tc>
          <w:tcPr>
            <w:tcW w:w="696" w:type="pct"/>
            <w:tcBorders>
              <w:top w:val="nil"/>
              <w:left w:val="nil"/>
              <w:bottom w:val="single" w:sz="4" w:space="0" w:color="auto"/>
              <w:right w:val="single" w:sz="4" w:space="0" w:color="auto"/>
            </w:tcBorders>
            <w:shd w:val="clear" w:color="auto" w:fill="auto"/>
            <w:noWrap/>
            <w:vAlign w:val="center"/>
            <w:hideMark/>
          </w:tcPr>
          <w:p w14:paraId="7B03F3C5" w14:textId="5953BE1A" w:rsidR="00DD76EE" w:rsidRPr="00012445" w:rsidRDefault="00DD76EE" w:rsidP="00DD76EE">
            <w:pPr>
              <w:pStyle w:val="Tabletext"/>
              <w:jc w:val="center"/>
            </w:pPr>
            <w:r w:rsidRPr="00DD76EE">
              <w:t>85</w:t>
            </w:r>
          </w:p>
        </w:tc>
        <w:tc>
          <w:tcPr>
            <w:tcW w:w="696" w:type="pct"/>
            <w:tcBorders>
              <w:top w:val="nil"/>
              <w:left w:val="nil"/>
              <w:bottom w:val="single" w:sz="4" w:space="0" w:color="auto"/>
              <w:right w:val="single" w:sz="4" w:space="0" w:color="auto"/>
            </w:tcBorders>
            <w:shd w:val="clear" w:color="auto" w:fill="auto"/>
            <w:noWrap/>
            <w:vAlign w:val="center"/>
            <w:hideMark/>
          </w:tcPr>
          <w:p w14:paraId="61ABBAB6" w14:textId="2481D3B6" w:rsidR="00DD76EE" w:rsidRPr="00012445" w:rsidRDefault="00DD76EE" w:rsidP="00DD76EE">
            <w:pPr>
              <w:pStyle w:val="Tabletext"/>
              <w:jc w:val="center"/>
            </w:pPr>
            <w:r w:rsidRPr="00DD76EE">
              <w:t>82</w:t>
            </w:r>
          </w:p>
        </w:tc>
        <w:tc>
          <w:tcPr>
            <w:tcW w:w="694" w:type="pct"/>
            <w:tcBorders>
              <w:top w:val="nil"/>
              <w:left w:val="nil"/>
              <w:bottom w:val="single" w:sz="4" w:space="0" w:color="auto"/>
              <w:right w:val="single" w:sz="4" w:space="0" w:color="auto"/>
            </w:tcBorders>
            <w:vAlign w:val="center"/>
          </w:tcPr>
          <w:p w14:paraId="259FEB30" w14:textId="59C19CF4" w:rsidR="00DD76EE" w:rsidRDefault="00DD76EE" w:rsidP="00DD76EE">
            <w:pPr>
              <w:pStyle w:val="Tabletext"/>
              <w:jc w:val="center"/>
            </w:pPr>
            <w:r w:rsidRPr="00DD76EE">
              <w:t>72</w:t>
            </w:r>
          </w:p>
        </w:tc>
      </w:tr>
      <w:tr w:rsidR="00DD76EE" w:rsidRPr="00012445" w14:paraId="0204C8E4" w14:textId="18D28C96"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2B9CD4A5" w14:textId="0B0C0623" w:rsidR="00DD76EE" w:rsidRPr="00012445" w:rsidRDefault="00DD76EE" w:rsidP="00DD76EE">
            <w:pPr>
              <w:pStyle w:val="Tabletext"/>
              <w:rPr>
                <w:lang w:eastAsia="en-AU"/>
              </w:rPr>
            </w:pPr>
            <w:r w:rsidRPr="00F5149D">
              <w:t>≥ 45 minutes to &lt; 1 hour</w:t>
            </w:r>
          </w:p>
        </w:tc>
        <w:tc>
          <w:tcPr>
            <w:tcW w:w="694" w:type="pct"/>
            <w:tcBorders>
              <w:top w:val="nil"/>
              <w:left w:val="nil"/>
              <w:bottom w:val="single" w:sz="4" w:space="0" w:color="auto"/>
              <w:right w:val="single" w:sz="4" w:space="0" w:color="auto"/>
            </w:tcBorders>
            <w:shd w:val="clear" w:color="auto" w:fill="auto"/>
            <w:noWrap/>
            <w:vAlign w:val="center"/>
            <w:hideMark/>
          </w:tcPr>
          <w:p w14:paraId="39479F02" w14:textId="2381CA5E" w:rsidR="00DD76EE" w:rsidRPr="00012445" w:rsidRDefault="00DD76EE" w:rsidP="00DD76EE">
            <w:pPr>
              <w:pStyle w:val="Tabletext"/>
              <w:jc w:val="center"/>
            </w:pPr>
            <w:r w:rsidRPr="00DD76EE">
              <w:t>45</w:t>
            </w:r>
          </w:p>
        </w:tc>
        <w:tc>
          <w:tcPr>
            <w:tcW w:w="695" w:type="pct"/>
            <w:tcBorders>
              <w:top w:val="nil"/>
              <w:left w:val="nil"/>
              <w:bottom w:val="single" w:sz="4" w:space="0" w:color="auto"/>
              <w:right w:val="single" w:sz="4" w:space="0" w:color="auto"/>
            </w:tcBorders>
            <w:shd w:val="clear" w:color="auto" w:fill="auto"/>
            <w:noWrap/>
            <w:vAlign w:val="center"/>
            <w:hideMark/>
          </w:tcPr>
          <w:p w14:paraId="0BABE5AC" w14:textId="5B5FB583" w:rsidR="00DD76EE" w:rsidRPr="00012445" w:rsidRDefault="00DD76EE" w:rsidP="00DD76EE">
            <w:pPr>
              <w:pStyle w:val="Tabletext"/>
              <w:jc w:val="center"/>
            </w:pPr>
            <w:r w:rsidRPr="00DD76EE">
              <w:t>49</w:t>
            </w:r>
          </w:p>
        </w:tc>
        <w:tc>
          <w:tcPr>
            <w:tcW w:w="696" w:type="pct"/>
            <w:tcBorders>
              <w:top w:val="nil"/>
              <w:left w:val="nil"/>
              <w:bottom w:val="single" w:sz="4" w:space="0" w:color="auto"/>
              <w:right w:val="single" w:sz="4" w:space="0" w:color="auto"/>
            </w:tcBorders>
            <w:shd w:val="clear" w:color="auto" w:fill="auto"/>
            <w:noWrap/>
            <w:vAlign w:val="center"/>
            <w:hideMark/>
          </w:tcPr>
          <w:p w14:paraId="5C96B812" w14:textId="3E252944" w:rsidR="00DD76EE" w:rsidRPr="00012445" w:rsidRDefault="00DD76EE" w:rsidP="00DD76EE">
            <w:pPr>
              <w:pStyle w:val="Tabletext"/>
              <w:jc w:val="center"/>
            </w:pPr>
            <w:r w:rsidRPr="00DD76EE">
              <w:t>66</w:t>
            </w:r>
          </w:p>
        </w:tc>
        <w:tc>
          <w:tcPr>
            <w:tcW w:w="696" w:type="pct"/>
            <w:tcBorders>
              <w:top w:val="nil"/>
              <w:left w:val="nil"/>
              <w:bottom w:val="single" w:sz="4" w:space="0" w:color="auto"/>
              <w:right w:val="single" w:sz="4" w:space="0" w:color="auto"/>
            </w:tcBorders>
            <w:shd w:val="clear" w:color="auto" w:fill="auto"/>
            <w:noWrap/>
            <w:vAlign w:val="center"/>
            <w:hideMark/>
          </w:tcPr>
          <w:p w14:paraId="1D207A69" w14:textId="2E5A9C96" w:rsidR="00DD76EE" w:rsidRPr="00012445" w:rsidRDefault="00DD76EE" w:rsidP="00DD76EE">
            <w:pPr>
              <w:pStyle w:val="Tabletext"/>
              <w:jc w:val="center"/>
            </w:pPr>
            <w:r w:rsidRPr="00DD76EE">
              <w:t>84</w:t>
            </w:r>
          </w:p>
        </w:tc>
        <w:tc>
          <w:tcPr>
            <w:tcW w:w="694" w:type="pct"/>
            <w:tcBorders>
              <w:top w:val="nil"/>
              <w:left w:val="nil"/>
              <w:bottom w:val="single" w:sz="4" w:space="0" w:color="auto"/>
              <w:right w:val="single" w:sz="4" w:space="0" w:color="auto"/>
            </w:tcBorders>
            <w:vAlign w:val="center"/>
          </w:tcPr>
          <w:p w14:paraId="60681368" w14:textId="64166A48" w:rsidR="00DD76EE" w:rsidRDefault="00DD76EE" w:rsidP="00DD76EE">
            <w:pPr>
              <w:pStyle w:val="Tabletext"/>
              <w:jc w:val="center"/>
            </w:pPr>
            <w:r w:rsidRPr="00DD76EE">
              <w:t>43</w:t>
            </w:r>
          </w:p>
        </w:tc>
      </w:tr>
      <w:tr w:rsidR="00DD76EE" w:rsidRPr="00012445" w14:paraId="54563346" w14:textId="76F6A6FD"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0C9B95E4" w14:textId="4816BE37" w:rsidR="00DD76EE" w:rsidRPr="00012445" w:rsidRDefault="00DD76EE" w:rsidP="00DD76EE">
            <w:pPr>
              <w:pStyle w:val="Tabletext"/>
              <w:rPr>
                <w:lang w:eastAsia="en-AU"/>
              </w:rPr>
            </w:pPr>
            <w:r w:rsidRPr="00F5149D">
              <w:t xml:space="preserve">≥ 1 to &lt; 4 </w:t>
            </w:r>
            <w:proofErr w:type="gramStart"/>
            <w:r w:rsidRPr="00F5149D">
              <w:t>hours</w:t>
            </w:r>
            <w:proofErr w:type="gramEnd"/>
          </w:p>
        </w:tc>
        <w:tc>
          <w:tcPr>
            <w:tcW w:w="694" w:type="pct"/>
            <w:tcBorders>
              <w:top w:val="nil"/>
              <w:left w:val="nil"/>
              <w:bottom w:val="single" w:sz="4" w:space="0" w:color="auto"/>
              <w:right w:val="single" w:sz="4" w:space="0" w:color="auto"/>
            </w:tcBorders>
            <w:shd w:val="clear" w:color="auto" w:fill="auto"/>
            <w:noWrap/>
            <w:vAlign w:val="center"/>
            <w:hideMark/>
          </w:tcPr>
          <w:p w14:paraId="6180B65E" w14:textId="2F62FBF4" w:rsidR="00DD76EE" w:rsidRPr="00012445" w:rsidRDefault="00DD76EE" w:rsidP="00DD76EE">
            <w:pPr>
              <w:pStyle w:val="Tabletext"/>
              <w:jc w:val="center"/>
            </w:pPr>
            <w:r w:rsidRPr="00DD76EE">
              <w:t>217</w:t>
            </w:r>
          </w:p>
        </w:tc>
        <w:tc>
          <w:tcPr>
            <w:tcW w:w="695" w:type="pct"/>
            <w:tcBorders>
              <w:top w:val="nil"/>
              <w:left w:val="nil"/>
              <w:bottom w:val="single" w:sz="4" w:space="0" w:color="auto"/>
              <w:right w:val="single" w:sz="4" w:space="0" w:color="auto"/>
            </w:tcBorders>
            <w:shd w:val="clear" w:color="auto" w:fill="auto"/>
            <w:noWrap/>
            <w:vAlign w:val="center"/>
            <w:hideMark/>
          </w:tcPr>
          <w:p w14:paraId="21E11196" w14:textId="5C8D4F9B" w:rsidR="00DD76EE" w:rsidRPr="00012445" w:rsidRDefault="00DD76EE" w:rsidP="00DD76EE">
            <w:pPr>
              <w:pStyle w:val="Tabletext"/>
              <w:jc w:val="center"/>
            </w:pPr>
            <w:r w:rsidRPr="00DD76EE">
              <w:t>202</w:t>
            </w:r>
          </w:p>
        </w:tc>
        <w:tc>
          <w:tcPr>
            <w:tcW w:w="696" w:type="pct"/>
            <w:tcBorders>
              <w:top w:val="nil"/>
              <w:left w:val="nil"/>
              <w:bottom w:val="single" w:sz="4" w:space="0" w:color="auto"/>
              <w:right w:val="single" w:sz="4" w:space="0" w:color="auto"/>
            </w:tcBorders>
            <w:shd w:val="clear" w:color="auto" w:fill="auto"/>
            <w:noWrap/>
            <w:vAlign w:val="center"/>
            <w:hideMark/>
          </w:tcPr>
          <w:p w14:paraId="526C6E60" w14:textId="45FDB9D7" w:rsidR="00DD76EE" w:rsidRPr="00012445" w:rsidRDefault="00DD76EE" w:rsidP="00DD76EE">
            <w:pPr>
              <w:pStyle w:val="Tabletext"/>
              <w:jc w:val="center"/>
            </w:pPr>
            <w:r w:rsidRPr="00DD76EE">
              <w:t>158</w:t>
            </w:r>
          </w:p>
        </w:tc>
        <w:tc>
          <w:tcPr>
            <w:tcW w:w="696" w:type="pct"/>
            <w:tcBorders>
              <w:top w:val="nil"/>
              <w:left w:val="nil"/>
              <w:bottom w:val="single" w:sz="4" w:space="0" w:color="auto"/>
              <w:right w:val="single" w:sz="4" w:space="0" w:color="auto"/>
            </w:tcBorders>
            <w:shd w:val="clear" w:color="auto" w:fill="auto"/>
            <w:noWrap/>
            <w:vAlign w:val="center"/>
            <w:hideMark/>
          </w:tcPr>
          <w:p w14:paraId="24D32C46" w14:textId="796B51DD" w:rsidR="00DD76EE" w:rsidRPr="00012445" w:rsidRDefault="00DD76EE" w:rsidP="00DD76EE">
            <w:pPr>
              <w:pStyle w:val="Tabletext"/>
              <w:jc w:val="center"/>
            </w:pPr>
            <w:r w:rsidRPr="00DD76EE">
              <w:t>243</w:t>
            </w:r>
          </w:p>
        </w:tc>
        <w:tc>
          <w:tcPr>
            <w:tcW w:w="694" w:type="pct"/>
            <w:tcBorders>
              <w:top w:val="nil"/>
              <w:left w:val="nil"/>
              <w:bottom w:val="single" w:sz="4" w:space="0" w:color="auto"/>
              <w:right w:val="single" w:sz="4" w:space="0" w:color="auto"/>
            </w:tcBorders>
            <w:vAlign w:val="center"/>
          </w:tcPr>
          <w:p w14:paraId="6F713AA8" w14:textId="53F39A41" w:rsidR="00DD76EE" w:rsidRDefault="00DD76EE" w:rsidP="00DD76EE">
            <w:pPr>
              <w:pStyle w:val="Tabletext"/>
              <w:jc w:val="center"/>
            </w:pPr>
            <w:r w:rsidRPr="00DD76EE">
              <w:t>167</w:t>
            </w:r>
          </w:p>
        </w:tc>
      </w:tr>
      <w:tr w:rsidR="00DD76EE" w:rsidRPr="00012445" w14:paraId="6511DEE6" w14:textId="718CECD2"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09F9E6F7" w14:textId="69FD2136" w:rsidR="00DD76EE" w:rsidRPr="00012445" w:rsidRDefault="00DD76EE" w:rsidP="00DD76EE">
            <w:pPr>
              <w:pStyle w:val="Tabletext"/>
              <w:rPr>
                <w:lang w:eastAsia="en-AU"/>
              </w:rPr>
            </w:pPr>
            <w:r w:rsidRPr="00F5149D">
              <w:t>≥ 4 to &lt; 12 hours</w:t>
            </w:r>
          </w:p>
        </w:tc>
        <w:tc>
          <w:tcPr>
            <w:tcW w:w="694" w:type="pct"/>
            <w:tcBorders>
              <w:top w:val="nil"/>
              <w:left w:val="nil"/>
              <w:bottom w:val="single" w:sz="4" w:space="0" w:color="auto"/>
              <w:right w:val="single" w:sz="4" w:space="0" w:color="auto"/>
            </w:tcBorders>
            <w:shd w:val="clear" w:color="auto" w:fill="auto"/>
            <w:noWrap/>
            <w:vAlign w:val="center"/>
            <w:hideMark/>
          </w:tcPr>
          <w:p w14:paraId="4A7FFD5E" w14:textId="781CFD01" w:rsidR="00DD76EE" w:rsidRPr="00012445" w:rsidRDefault="00DD76EE" w:rsidP="00DD76EE">
            <w:pPr>
              <w:pStyle w:val="Tabletext"/>
              <w:jc w:val="center"/>
            </w:pPr>
            <w:r w:rsidRPr="00DD76EE">
              <w:t>46</w:t>
            </w:r>
          </w:p>
        </w:tc>
        <w:tc>
          <w:tcPr>
            <w:tcW w:w="695" w:type="pct"/>
            <w:tcBorders>
              <w:top w:val="nil"/>
              <w:left w:val="nil"/>
              <w:bottom w:val="single" w:sz="4" w:space="0" w:color="auto"/>
              <w:right w:val="single" w:sz="4" w:space="0" w:color="auto"/>
            </w:tcBorders>
            <w:shd w:val="clear" w:color="auto" w:fill="auto"/>
            <w:noWrap/>
            <w:vAlign w:val="center"/>
            <w:hideMark/>
          </w:tcPr>
          <w:p w14:paraId="2B27D278" w14:textId="5A7AE676" w:rsidR="00DD76EE" w:rsidRPr="00012445" w:rsidRDefault="00DD76EE" w:rsidP="00DD76EE">
            <w:pPr>
              <w:pStyle w:val="Tabletext"/>
              <w:jc w:val="center"/>
            </w:pPr>
            <w:r w:rsidRPr="00DD76EE">
              <w:t>55</w:t>
            </w:r>
          </w:p>
        </w:tc>
        <w:tc>
          <w:tcPr>
            <w:tcW w:w="696" w:type="pct"/>
            <w:tcBorders>
              <w:top w:val="nil"/>
              <w:left w:val="nil"/>
              <w:bottom w:val="single" w:sz="4" w:space="0" w:color="auto"/>
              <w:right w:val="single" w:sz="4" w:space="0" w:color="auto"/>
            </w:tcBorders>
            <w:shd w:val="clear" w:color="auto" w:fill="auto"/>
            <w:noWrap/>
            <w:vAlign w:val="center"/>
            <w:hideMark/>
          </w:tcPr>
          <w:p w14:paraId="31C21ED6" w14:textId="5D239647" w:rsidR="00DD76EE" w:rsidRPr="00012445" w:rsidRDefault="00DD76EE" w:rsidP="00DD76EE">
            <w:pPr>
              <w:pStyle w:val="Tabletext"/>
              <w:jc w:val="center"/>
            </w:pPr>
            <w:r w:rsidRPr="00DD76EE">
              <w:t>45</w:t>
            </w:r>
          </w:p>
        </w:tc>
        <w:tc>
          <w:tcPr>
            <w:tcW w:w="696" w:type="pct"/>
            <w:tcBorders>
              <w:top w:val="nil"/>
              <w:left w:val="nil"/>
              <w:bottom w:val="single" w:sz="4" w:space="0" w:color="auto"/>
              <w:right w:val="single" w:sz="4" w:space="0" w:color="auto"/>
            </w:tcBorders>
            <w:shd w:val="clear" w:color="auto" w:fill="auto"/>
            <w:noWrap/>
            <w:vAlign w:val="center"/>
            <w:hideMark/>
          </w:tcPr>
          <w:p w14:paraId="7F25B807" w14:textId="43D57A64" w:rsidR="00DD76EE" w:rsidRPr="00012445" w:rsidRDefault="00DD76EE" w:rsidP="00DD76EE">
            <w:pPr>
              <w:pStyle w:val="Tabletext"/>
              <w:jc w:val="center"/>
            </w:pPr>
            <w:r w:rsidRPr="00DD76EE">
              <w:t>57</w:t>
            </w:r>
          </w:p>
        </w:tc>
        <w:tc>
          <w:tcPr>
            <w:tcW w:w="694" w:type="pct"/>
            <w:tcBorders>
              <w:top w:val="nil"/>
              <w:left w:val="nil"/>
              <w:bottom w:val="single" w:sz="4" w:space="0" w:color="auto"/>
              <w:right w:val="single" w:sz="4" w:space="0" w:color="auto"/>
            </w:tcBorders>
            <w:vAlign w:val="center"/>
          </w:tcPr>
          <w:p w14:paraId="46661E04" w14:textId="76C00C87" w:rsidR="00DD76EE" w:rsidRDefault="00DD76EE" w:rsidP="00DD76EE">
            <w:pPr>
              <w:pStyle w:val="Tabletext"/>
              <w:jc w:val="center"/>
            </w:pPr>
            <w:r w:rsidRPr="00DD76EE">
              <w:t>14</w:t>
            </w:r>
          </w:p>
        </w:tc>
      </w:tr>
      <w:tr w:rsidR="00DD76EE" w:rsidRPr="00012445" w14:paraId="3CCCF23B" w14:textId="00B08A22"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79A10F38" w14:textId="6A81C9C5" w:rsidR="00DD76EE" w:rsidRPr="00012445" w:rsidRDefault="00DD76EE" w:rsidP="00DD76EE">
            <w:pPr>
              <w:pStyle w:val="Tabletext"/>
              <w:rPr>
                <w:lang w:eastAsia="en-AU"/>
              </w:rPr>
            </w:pPr>
            <w:r w:rsidRPr="00F5149D">
              <w:t>≥ 12 hours</w:t>
            </w:r>
          </w:p>
        </w:tc>
        <w:tc>
          <w:tcPr>
            <w:tcW w:w="694" w:type="pct"/>
            <w:tcBorders>
              <w:top w:val="nil"/>
              <w:left w:val="nil"/>
              <w:bottom w:val="single" w:sz="4" w:space="0" w:color="auto"/>
              <w:right w:val="single" w:sz="4" w:space="0" w:color="auto"/>
            </w:tcBorders>
            <w:shd w:val="clear" w:color="auto" w:fill="auto"/>
            <w:noWrap/>
            <w:vAlign w:val="center"/>
            <w:hideMark/>
          </w:tcPr>
          <w:p w14:paraId="34AEE568" w14:textId="5C3FF846" w:rsidR="00DD76EE" w:rsidRPr="00012445" w:rsidRDefault="00DD76EE" w:rsidP="00DD76EE">
            <w:pPr>
              <w:pStyle w:val="Tabletext"/>
              <w:jc w:val="center"/>
            </w:pPr>
            <w:r w:rsidRPr="00DD76EE">
              <w:t>26</w:t>
            </w:r>
          </w:p>
        </w:tc>
        <w:tc>
          <w:tcPr>
            <w:tcW w:w="695" w:type="pct"/>
            <w:tcBorders>
              <w:top w:val="nil"/>
              <w:left w:val="nil"/>
              <w:bottom w:val="single" w:sz="4" w:space="0" w:color="auto"/>
              <w:right w:val="single" w:sz="4" w:space="0" w:color="auto"/>
            </w:tcBorders>
            <w:shd w:val="clear" w:color="auto" w:fill="auto"/>
            <w:noWrap/>
            <w:vAlign w:val="center"/>
            <w:hideMark/>
          </w:tcPr>
          <w:p w14:paraId="34A3990E" w14:textId="1B8547F4" w:rsidR="00DD76EE" w:rsidRPr="00012445" w:rsidRDefault="00DD76EE" w:rsidP="00DD76EE">
            <w:pPr>
              <w:pStyle w:val="Tabletext"/>
              <w:jc w:val="center"/>
            </w:pPr>
            <w:r w:rsidRPr="00DD76EE">
              <w:t>35</w:t>
            </w:r>
          </w:p>
        </w:tc>
        <w:tc>
          <w:tcPr>
            <w:tcW w:w="696" w:type="pct"/>
            <w:tcBorders>
              <w:top w:val="nil"/>
              <w:left w:val="nil"/>
              <w:bottom w:val="single" w:sz="4" w:space="0" w:color="auto"/>
              <w:right w:val="single" w:sz="4" w:space="0" w:color="auto"/>
            </w:tcBorders>
            <w:shd w:val="clear" w:color="auto" w:fill="auto"/>
            <w:noWrap/>
            <w:vAlign w:val="center"/>
            <w:hideMark/>
          </w:tcPr>
          <w:p w14:paraId="03337280" w14:textId="494C3EF9" w:rsidR="00DD76EE" w:rsidRPr="00012445" w:rsidRDefault="00DD76EE" w:rsidP="00DD76EE">
            <w:pPr>
              <w:pStyle w:val="Tabletext"/>
              <w:jc w:val="center"/>
            </w:pPr>
            <w:r w:rsidRPr="00DD76EE">
              <w:t>18</w:t>
            </w:r>
          </w:p>
        </w:tc>
        <w:tc>
          <w:tcPr>
            <w:tcW w:w="696" w:type="pct"/>
            <w:tcBorders>
              <w:top w:val="nil"/>
              <w:left w:val="nil"/>
              <w:bottom w:val="single" w:sz="4" w:space="0" w:color="auto"/>
              <w:right w:val="single" w:sz="4" w:space="0" w:color="auto"/>
            </w:tcBorders>
            <w:shd w:val="clear" w:color="auto" w:fill="auto"/>
            <w:noWrap/>
            <w:vAlign w:val="center"/>
            <w:hideMark/>
          </w:tcPr>
          <w:p w14:paraId="67BC45C1" w14:textId="04D1A093" w:rsidR="00DD76EE" w:rsidRPr="00012445" w:rsidRDefault="00DD76EE" w:rsidP="00DD76EE">
            <w:pPr>
              <w:pStyle w:val="Tabletext"/>
              <w:jc w:val="center"/>
            </w:pPr>
            <w:r w:rsidRPr="00DD76EE">
              <w:t>22</w:t>
            </w:r>
          </w:p>
        </w:tc>
        <w:tc>
          <w:tcPr>
            <w:tcW w:w="694" w:type="pct"/>
            <w:tcBorders>
              <w:top w:val="nil"/>
              <w:left w:val="nil"/>
              <w:bottom w:val="single" w:sz="4" w:space="0" w:color="auto"/>
              <w:right w:val="single" w:sz="4" w:space="0" w:color="auto"/>
            </w:tcBorders>
            <w:vAlign w:val="center"/>
          </w:tcPr>
          <w:p w14:paraId="0FAFF014" w14:textId="0821F24E" w:rsidR="00DD76EE" w:rsidRDefault="00DD76EE" w:rsidP="00DD76EE">
            <w:pPr>
              <w:pStyle w:val="Tabletext"/>
              <w:jc w:val="center"/>
            </w:pPr>
            <w:r w:rsidRPr="00DD76EE">
              <w:t>15</w:t>
            </w:r>
          </w:p>
        </w:tc>
      </w:tr>
    </w:tbl>
    <w:p w14:paraId="40F87EF3" w14:textId="61439D7E" w:rsidR="00381B2F" w:rsidRDefault="00381B2F" w:rsidP="00383721">
      <w:pPr>
        <w:pStyle w:val="Heading3"/>
        <w:rPr>
          <w:sz w:val="22"/>
          <w:szCs w:val="22"/>
          <w:highlight w:val="green"/>
        </w:rPr>
      </w:pPr>
      <w:r>
        <w:t>S</w:t>
      </w:r>
      <w:r w:rsidRPr="00442A45">
        <w:t>ecure extended care units</w:t>
      </w:r>
    </w:p>
    <w:p w14:paraId="67296AAD" w14:textId="5892FAD3" w:rsidR="0084712B" w:rsidRDefault="0084712B" w:rsidP="6A77C92E">
      <w:pPr>
        <w:pStyle w:val="Body"/>
      </w:pPr>
      <w:r>
        <w:t xml:space="preserve">Secure extended care units, or </w:t>
      </w:r>
      <w:r w:rsidR="544EA0D9">
        <w:t>SECUs</w:t>
      </w:r>
      <w:r>
        <w:t>,</w:t>
      </w:r>
      <w:r w:rsidR="29F65525">
        <w:t xml:space="preserve"> </w:t>
      </w:r>
      <w:r w:rsidR="4AA83B1B">
        <w:t xml:space="preserve">are inpatient bed </w:t>
      </w:r>
      <w:r w:rsidR="4A6F1497">
        <w:t xml:space="preserve">units </w:t>
      </w:r>
      <w:r w:rsidR="4AA83B1B">
        <w:t xml:space="preserve">that </w:t>
      </w:r>
      <w:r w:rsidR="79114AA7">
        <w:t xml:space="preserve">cater </w:t>
      </w:r>
      <w:r w:rsidR="29F65525">
        <w:t>to the needs of</w:t>
      </w:r>
      <w:r w:rsidR="79114AA7">
        <w:t xml:space="preserve"> consumers </w:t>
      </w:r>
      <w:r w:rsidR="29F65525">
        <w:t xml:space="preserve">facing complex </w:t>
      </w:r>
      <w:r w:rsidR="0BB605D2">
        <w:t>challenges</w:t>
      </w:r>
      <w:r w:rsidR="07C00866">
        <w:t xml:space="preserve"> </w:t>
      </w:r>
      <w:proofErr w:type="gramStart"/>
      <w:r w:rsidR="07C00866">
        <w:t xml:space="preserve">in </w:t>
      </w:r>
      <w:r w:rsidR="00EE08EB">
        <w:t>light</w:t>
      </w:r>
      <w:r w:rsidR="3BFCACD5">
        <w:t xml:space="preserve"> of</w:t>
      </w:r>
      <w:proofErr w:type="gramEnd"/>
      <w:r w:rsidR="3BFCACD5">
        <w:t xml:space="preserve"> </w:t>
      </w:r>
      <w:r w:rsidR="000D0664">
        <w:t>limited options for</w:t>
      </w:r>
      <w:r w:rsidR="2C7ED2E7">
        <w:t xml:space="preserve"> </w:t>
      </w:r>
      <w:r w:rsidR="6C7B8296">
        <w:t>community care</w:t>
      </w:r>
      <w:r w:rsidR="001F2CAA">
        <w:t>.</w:t>
      </w:r>
      <w:r w:rsidR="00927CD5">
        <w:t xml:space="preserve"> </w:t>
      </w:r>
      <w:r w:rsidR="001F0C67">
        <w:t>SECUs</w:t>
      </w:r>
      <w:r w:rsidR="00DF5389">
        <w:t xml:space="preserve"> </w:t>
      </w:r>
      <w:r w:rsidR="00EE08EB">
        <w:t xml:space="preserve">offer </w:t>
      </w:r>
      <w:r w:rsidR="00DF5389">
        <w:t xml:space="preserve">the means for </w:t>
      </w:r>
      <w:r w:rsidR="0079231E">
        <w:t>consumers facing complex challenges to</w:t>
      </w:r>
      <w:r w:rsidR="38148A91">
        <w:t xml:space="preserve"> benefit from a longer length of stay</w:t>
      </w:r>
      <w:r w:rsidR="45805CE0">
        <w:t xml:space="preserve"> with a rehabilitation focus</w:t>
      </w:r>
      <w:r w:rsidR="6C7B8296">
        <w:t xml:space="preserve">. </w:t>
      </w:r>
    </w:p>
    <w:p w14:paraId="182B149C" w14:textId="0222EED0" w:rsidR="00381B2F" w:rsidRPr="00521581" w:rsidRDefault="1CC23CA0" w:rsidP="00383721">
      <w:pPr>
        <w:pStyle w:val="Heading4"/>
        <w:rPr>
          <w:sz w:val="22"/>
          <w:szCs w:val="22"/>
        </w:rPr>
      </w:pPr>
      <w:r w:rsidRPr="6A77C92E">
        <w:rPr>
          <w:b w:val="0"/>
          <w:bCs w:val="0"/>
          <w:sz w:val="24"/>
          <w:szCs w:val="24"/>
        </w:rPr>
        <w:t>Seclusion</w:t>
      </w:r>
      <w:r w:rsidR="42880F35" w:rsidRPr="6A77C92E">
        <w:rPr>
          <w:b w:val="0"/>
          <w:bCs w:val="0"/>
          <w:sz w:val="24"/>
          <w:szCs w:val="24"/>
        </w:rPr>
        <w:t xml:space="preserve"> – secure extended care units</w:t>
      </w:r>
    </w:p>
    <w:p w14:paraId="47C26077" w14:textId="48754870" w:rsidR="00381B2F" w:rsidRDefault="00381B2F" w:rsidP="008B4B58">
      <w:pPr>
        <w:pStyle w:val="Body"/>
      </w:pPr>
      <w:r>
        <w:t xml:space="preserve">Table </w:t>
      </w:r>
      <w:r w:rsidR="008E180F">
        <w:t>1</w:t>
      </w:r>
      <w:r w:rsidR="003360B6">
        <w:t>6</w:t>
      </w:r>
      <w:r>
        <w:t xml:space="preserve"> shows that seclusion episodes per 1,000 occupied bed days in SECUs </w:t>
      </w:r>
      <w:r w:rsidR="00A3439F">
        <w:t xml:space="preserve">decreased </w:t>
      </w:r>
      <w:r w:rsidR="006F19D1">
        <w:t>in 202</w:t>
      </w:r>
      <w:r w:rsidR="430CF316">
        <w:t>2</w:t>
      </w:r>
      <w:r w:rsidR="00920F37">
        <w:t>–</w:t>
      </w:r>
      <w:r w:rsidR="006F19D1">
        <w:t>2</w:t>
      </w:r>
      <w:r w:rsidR="306F9D3D">
        <w:t>3</w:t>
      </w:r>
      <w:r w:rsidR="006F19D1">
        <w:t xml:space="preserve"> relative to the previous year but </w:t>
      </w:r>
      <w:r w:rsidR="1666AFCD">
        <w:t xml:space="preserve">continues to be </w:t>
      </w:r>
      <w:r w:rsidR="006F19D1">
        <w:t xml:space="preserve">higher </w:t>
      </w:r>
      <w:r w:rsidR="0330E1C2">
        <w:t xml:space="preserve">compared </w:t>
      </w:r>
      <w:r w:rsidR="00011981">
        <w:t xml:space="preserve">with </w:t>
      </w:r>
      <w:r>
        <w:t xml:space="preserve">2018–19. </w:t>
      </w:r>
      <w:r w:rsidR="3BE01813">
        <w:t xml:space="preserve">It </w:t>
      </w:r>
      <w:r w:rsidR="00057470">
        <w:t>is likely</w:t>
      </w:r>
      <w:r w:rsidR="3BE01813">
        <w:t xml:space="preserve"> that the years 2019</w:t>
      </w:r>
      <w:r w:rsidR="00D7458D">
        <w:t xml:space="preserve"> to </w:t>
      </w:r>
      <w:r w:rsidR="3BE01813">
        <w:t>2022 reflect the effects of the pandemi</w:t>
      </w:r>
      <w:r w:rsidR="6E314DE2">
        <w:t>c</w:t>
      </w:r>
      <w:r w:rsidR="00C95E2A">
        <w:t xml:space="preserve"> including </w:t>
      </w:r>
      <w:r w:rsidR="6E314DE2">
        <w:t>limitations on</w:t>
      </w:r>
      <w:r w:rsidR="00C95E2A">
        <w:t xml:space="preserve"> </w:t>
      </w:r>
      <w:r w:rsidR="00756A36">
        <w:t>leave</w:t>
      </w:r>
      <w:r w:rsidR="008C79BC">
        <w:t xml:space="preserve"> and access to visitors</w:t>
      </w:r>
      <w:r w:rsidR="00E86F11">
        <w:t xml:space="preserve"> (including support staff</w:t>
      </w:r>
      <w:proofErr w:type="gramStart"/>
      <w:r w:rsidR="00E86F11">
        <w:t>)</w:t>
      </w:r>
      <w:r w:rsidR="4556FC9C">
        <w:t>, and</w:t>
      </w:r>
      <w:proofErr w:type="gramEnd"/>
      <w:r w:rsidR="4556FC9C">
        <w:t xml:space="preserve"> staffing shortages.</w:t>
      </w:r>
      <w:r w:rsidR="008C79BC">
        <w:t xml:space="preserve"> </w:t>
      </w:r>
      <w:r>
        <w:t xml:space="preserve">The SECU program is included in all the </w:t>
      </w:r>
      <w:r w:rsidRPr="008B4B58">
        <w:t>initiatives</w:t>
      </w:r>
      <w:r>
        <w:t xml:space="preserve"> designed to bring a recovery focus to mental health treatments and to minimise the use of restrictive </w:t>
      </w:r>
      <w:r w:rsidR="535D6066">
        <w:t>practices.</w:t>
      </w:r>
    </w:p>
    <w:p w14:paraId="481B15BE" w14:textId="543F530B" w:rsidR="00A419F2" w:rsidRDefault="00381B2F" w:rsidP="000D0B9B">
      <w:pPr>
        <w:pStyle w:val="Tablecaption"/>
        <w:rPr>
          <w:rFonts w:eastAsia="Arial"/>
          <w:b w:val="0"/>
          <w:highlight w:val="cyan"/>
        </w:rPr>
      </w:pPr>
      <w:r w:rsidRPr="00ED4277">
        <w:t xml:space="preserve">Table </w:t>
      </w:r>
      <w:r w:rsidR="008E180F">
        <w:t>1</w:t>
      </w:r>
      <w:r w:rsidR="003360B6">
        <w:t>6</w:t>
      </w:r>
      <w:r w:rsidRPr="00ED4277">
        <w:t xml:space="preserve">: </w:t>
      </w:r>
      <w:r w:rsidR="004C29CE" w:rsidRPr="004C29CE">
        <w:t>Rate of ended seclusion episodes per 1,000 occupied bed days, secure extended care units</w:t>
      </w:r>
      <w:r w:rsidRPr="00ED4277">
        <w:t>, 201</w:t>
      </w:r>
      <w:r w:rsidR="0089435A">
        <w:t>8</w:t>
      </w:r>
      <w:r w:rsidRPr="00ED4277">
        <w:t>–1</w:t>
      </w:r>
      <w:r w:rsidR="0089435A">
        <w:t>9</w:t>
      </w:r>
      <w:r w:rsidRPr="00ED4277">
        <w:t xml:space="preserve"> to </w:t>
      </w:r>
      <w:r w:rsidR="007B2175">
        <w:t>202</w:t>
      </w:r>
      <w:r w:rsidR="0089435A">
        <w:t>2</w:t>
      </w:r>
      <w:r w:rsidR="007B2175">
        <w:t>–</w:t>
      </w:r>
      <w:r w:rsidR="007B2175" w:rsidRPr="00795152">
        <w:t>2</w:t>
      </w:r>
      <w:r w:rsidR="0089435A">
        <w:t>3</w:t>
      </w:r>
    </w:p>
    <w:tbl>
      <w:tblPr>
        <w:tblStyle w:val="TableGrid"/>
        <w:tblW w:w="0" w:type="auto"/>
        <w:tblLook w:val="04A0" w:firstRow="1" w:lastRow="0" w:firstColumn="1" w:lastColumn="0" w:noHBand="0" w:noVBand="1"/>
      </w:tblPr>
      <w:tblGrid>
        <w:gridCol w:w="1597"/>
        <w:gridCol w:w="1710"/>
      </w:tblGrid>
      <w:tr w:rsidR="00A419F2" w14:paraId="396C7E5B" w14:textId="77777777" w:rsidTr="00312856">
        <w:trPr>
          <w:tblHeader/>
        </w:trPr>
        <w:tc>
          <w:tcPr>
            <w:tcW w:w="1597" w:type="dxa"/>
          </w:tcPr>
          <w:p w14:paraId="3BD06D90" w14:textId="152A241D" w:rsidR="00A419F2" w:rsidRDefault="00A419F2" w:rsidP="000D0B9B">
            <w:pPr>
              <w:pStyle w:val="Tablecolhead"/>
            </w:pPr>
            <w:bookmarkStart w:id="37" w:name="_Hlk147235297"/>
            <w:r>
              <w:t>Year</w:t>
            </w:r>
          </w:p>
        </w:tc>
        <w:tc>
          <w:tcPr>
            <w:tcW w:w="1710" w:type="dxa"/>
            <w:vAlign w:val="center"/>
          </w:tcPr>
          <w:p w14:paraId="4607EF19" w14:textId="6A13A7C0" w:rsidR="00A419F2" w:rsidRDefault="7EDE7C1C" w:rsidP="00312856">
            <w:pPr>
              <w:pStyle w:val="Tablecolhead"/>
              <w:jc w:val="center"/>
            </w:pPr>
            <w:r>
              <w:t>Rate</w:t>
            </w:r>
          </w:p>
        </w:tc>
      </w:tr>
      <w:tr w:rsidR="0089435A" w14:paraId="46A5F84A" w14:textId="77777777" w:rsidTr="00312856">
        <w:tc>
          <w:tcPr>
            <w:tcW w:w="1597" w:type="dxa"/>
          </w:tcPr>
          <w:p w14:paraId="13535325" w14:textId="304643A9" w:rsidR="0089435A" w:rsidRDefault="0089435A" w:rsidP="0089435A">
            <w:pPr>
              <w:pStyle w:val="Tabletext"/>
            </w:pPr>
            <w:r w:rsidRPr="000A70E5">
              <w:t>2018</w:t>
            </w:r>
            <w:r>
              <w:t>–</w:t>
            </w:r>
            <w:r w:rsidRPr="000A70E5">
              <w:t>19</w:t>
            </w:r>
          </w:p>
        </w:tc>
        <w:tc>
          <w:tcPr>
            <w:tcW w:w="1710" w:type="dxa"/>
            <w:vAlign w:val="center"/>
          </w:tcPr>
          <w:p w14:paraId="7EA97978" w14:textId="7BA13A69" w:rsidR="0089435A" w:rsidRDefault="0089435A" w:rsidP="0089435A">
            <w:pPr>
              <w:pStyle w:val="Tabletext"/>
              <w:jc w:val="center"/>
            </w:pPr>
            <w:r w:rsidRPr="000A70E5">
              <w:t>1.8</w:t>
            </w:r>
          </w:p>
        </w:tc>
      </w:tr>
      <w:tr w:rsidR="0089435A" w14:paraId="1BC40DC1" w14:textId="77777777" w:rsidTr="00312856">
        <w:tc>
          <w:tcPr>
            <w:tcW w:w="1597" w:type="dxa"/>
          </w:tcPr>
          <w:p w14:paraId="683306EC" w14:textId="61923986" w:rsidR="0089435A" w:rsidRDefault="0089435A" w:rsidP="0089435A">
            <w:pPr>
              <w:pStyle w:val="Tabletext"/>
            </w:pPr>
            <w:r w:rsidRPr="000A70E5">
              <w:t>2019</w:t>
            </w:r>
            <w:r>
              <w:t>–</w:t>
            </w:r>
            <w:r w:rsidRPr="000A70E5">
              <w:t>20</w:t>
            </w:r>
          </w:p>
        </w:tc>
        <w:tc>
          <w:tcPr>
            <w:tcW w:w="1710" w:type="dxa"/>
            <w:vAlign w:val="center"/>
          </w:tcPr>
          <w:p w14:paraId="089D75FD" w14:textId="1670CE60" w:rsidR="0089435A" w:rsidRDefault="0089435A" w:rsidP="0089435A">
            <w:pPr>
              <w:pStyle w:val="Tabletext"/>
              <w:jc w:val="center"/>
            </w:pPr>
            <w:r w:rsidRPr="000A70E5">
              <w:t>3.7</w:t>
            </w:r>
          </w:p>
        </w:tc>
      </w:tr>
      <w:tr w:rsidR="0089435A" w14:paraId="6C2A9E84" w14:textId="77777777" w:rsidTr="00312856">
        <w:tc>
          <w:tcPr>
            <w:tcW w:w="1597" w:type="dxa"/>
          </w:tcPr>
          <w:p w14:paraId="4B506A59" w14:textId="756DBC03" w:rsidR="0089435A" w:rsidRDefault="0089435A" w:rsidP="0089435A">
            <w:pPr>
              <w:pStyle w:val="Tabletext"/>
            </w:pPr>
            <w:r w:rsidRPr="000A70E5">
              <w:t>2020</w:t>
            </w:r>
            <w:r>
              <w:t>–</w:t>
            </w:r>
            <w:r w:rsidRPr="000A70E5">
              <w:t>21</w:t>
            </w:r>
          </w:p>
        </w:tc>
        <w:tc>
          <w:tcPr>
            <w:tcW w:w="1710" w:type="dxa"/>
            <w:vAlign w:val="center"/>
          </w:tcPr>
          <w:p w14:paraId="670CABE0" w14:textId="15ED9B8E" w:rsidR="0089435A" w:rsidRDefault="0089435A" w:rsidP="0089435A">
            <w:pPr>
              <w:pStyle w:val="Tabletext"/>
              <w:jc w:val="center"/>
            </w:pPr>
            <w:r w:rsidRPr="000A70E5">
              <w:t>4</w:t>
            </w:r>
            <w:r>
              <w:t>.0</w:t>
            </w:r>
          </w:p>
        </w:tc>
      </w:tr>
      <w:tr w:rsidR="0089435A" w14:paraId="2C1DAD7F" w14:textId="77777777" w:rsidTr="00312856">
        <w:tc>
          <w:tcPr>
            <w:tcW w:w="1597" w:type="dxa"/>
          </w:tcPr>
          <w:p w14:paraId="3A102E9B" w14:textId="690731BB" w:rsidR="0089435A" w:rsidRDefault="0089435A" w:rsidP="0089435A">
            <w:pPr>
              <w:pStyle w:val="Tabletext"/>
            </w:pPr>
            <w:r w:rsidRPr="000A70E5">
              <w:t>2021</w:t>
            </w:r>
            <w:r>
              <w:t>–</w:t>
            </w:r>
            <w:r w:rsidRPr="000A70E5">
              <w:t>22</w:t>
            </w:r>
          </w:p>
        </w:tc>
        <w:tc>
          <w:tcPr>
            <w:tcW w:w="1710" w:type="dxa"/>
            <w:vAlign w:val="center"/>
          </w:tcPr>
          <w:p w14:paraId="19D8C581" w14:textId="4A3C9E43" w:rsidR="0089435A" w:rsidRDefault="0089435A" w:rsidP="0089435A">
            <w:pPr>
              <w:pStyle w:val="Tabletext"/>
              <w:jc w:val="center"/>
            </w:pPr>
            <w:r w:rsidRPr="000A70E5">
              <w:t>3.5</w:t>
            </w:r>
          </w:p>
        </w:tc>
      </w:tr>
      <w:tr w:rsidR="00DC0623" w14:paraId="1B7573C8" w14:textId="77777777" w:rsidTr="00312856">
        <w:tc>
          <w:tcPr>
            <w:tcW w:w="1597" w:type="dxa"/>
          </w:tcPr>
          <w:p w14:paraId="4BC269DB" w14:textId="4D87D7BA" w:rsidR="00DC0623" w:rsidRPr="006C4DD1" w:rsidRDefault="00795152" w:rsidP="000D0B9B">
            <w:pPr>
              <w:pStyle w:val="Tabletext"/>
            </w:pPr>
            <w:r w:rsidRPr="000A70E5">
              <w:lastRenderedPageBreak/>
              <w:t>202</w:t>
            </w:r>
            <w:r w:rsidR="00CE18D2">
              <w:t>2</w:t>
            </w:r>
            <w:r w:rsidR="00920F37">
              <w:t>–</w:t>
            </w:r>
            <w:r w:rsidRPr="000A70E5">
              <w:t>2</w:t>
            </w:r>
            <w:r w:rsidR="00CE18D2">
              <w:t>3</w:t>
            </w:r>
          </w:p>
        </w:tc>
        <w:tc>
          <w:tcPr>
            <w:tcW w:w="1710" w:type="dxa"/>
            <w:vAlign w:val="center"/>
          </w:tcPr>
          <w:p w14:paraId="7C63CB26" w14:textId="0F9EE7EE" w:rsidR="00DC0623" w:rsidRDefault="0089435A" w:rsidP="00312856">
            <w:pPr>
              <w:pStyle w:val="Tabletext"/>
              <w:jc w:val="center"/>
            </w:pPr>
            <w:r>
              <w:t>2.2</w:t>
            </w:r>
          </w:p>
        </w:tc>
      </w:tr>
    </w:tbl>
    <w:bookmarkEnd w:id="37"/>
    <w:p w14:paraId="4D763460" w14:textId="0A4662D7" w:rsidR="00381B2F" w:rsidRDefault="1CC23CA0" w:rsidP="00383721">
      <w:pPr>
        <w:pStyle w:val="Heading4"/>
        <w:rPr>
          <w:sz w:val="22"/>
          <w:szCs w:val="22"/>
          <w:highlight w:val="green"/>
        </w:rPr>
      </w:pPr>
      <w:r w:rsidRPr="00383721">
        <w:rPr>
          <w:b w:val="0"/>
          <w:bCs w:val="0"/>
          <w:sz w:val="24"/>
          <w:szCs w:val="24"/>
        </w:rPr>
        <w:t>Restraint</w:t>
      </w:r>
      <w:r w:rsidR="42880F35" w:rsidRPr="00383721">
        <w:rPr>
          <w:b w:val="0"/>
          <w:bCs w:val="0"/>
          <w:sz w:val="24"/>
          <w:szCs w:val="24"/>
        </w:rPr>
        <w:t xml:space="preserve"> – secure extended care units</w:t>
      </w:r>
    </w:p>
    <w:p w14:paraId="669B9958" w14:textId="678C9D20" w:rsidR="00A419F2" w:rsidRPr="000D0B9B" w:rsidRDefault="00614795" w:rsidP="6A77C92E">
      <w:pPr>
        <w:pStyle w:val="Body"/>
      </w:pPr>
      <w:r>
        <w:t>There has been a d</w:t>
      </w:r>
      <w:r w:rsidR="00987673">
        <w:t>ownward trend</w:t>
      </w:r>
      <w:r w:rsidR="00381B2F">
        <w:t xml:space="preserve"> with respect to restraint episodes</w:t>
      </w:r>
      <w:r w:rsidR="001F555B">
        <w:t xml:space="preserve"> </w:t>
      </w:r>
      <w:r w:rsidR="42BB699D">
        <w:t>since a peak in 2019</w:t>
      </w:r>
      <w:r w:rsidR="00320AF2" w:rsidRPr="00320AF2">
        <w:t>–</w:t>
      </w:r>
      <w:r w:rsidR="42BB699D">
        <w:t>20 and</w:t>
      </w:r>
      <w:r w:rsidR="00011981">
        <w:t>,</w:t>
      </w:r>
      <w:r w:rsidR="42BB699D">
        <w:t xml:space="preserve"> as above, </w:t>
      </w:r>
      <w:r w:rsidR="00D437AF">
        <w:t>is</w:t>
      </w:r>
      <w:r w:rsidR="42BB699D">
        <w:t xml:space="preserve"> return</w:t>
      </w:r>
      <w:r w:rsidR="487F786E">
        <w:t xml:space="preserve">ing </w:t>
      </w:r>
      <w:r w:rsidR="42BB699D">
        <w:t xml:space="preserve">to pre-pandemic levels </w:t>
      </w:r>
      <w:r w:rsidR="00F6EDC0">
        <w:t>(</w:t>
      </w:r>
      <w:r w:rsidR="00381B2F">
        <w:t xml:space="preserve">Table </w:t>
      </w:r>
      <w:r w:rsidR="003360B6">
        <w:t>17</w:t>
      </w:r>
      <w:r w:rsidR="00381B2F">
        <w:t>).</w:t>
      </w:r>
      <w:r w:rsidR="0079677B">
        <w:t xml:space="preserve"> </w:t>
      </w:r>
    </w:p>
    <w:p w14:paraId="3BD12BCC" w14:textId="548C4E60" w:rsidR="00A419F2" w:rsidRPr="000D0B9B" w:rsidRDefault="00381B2F" w:rsidP="6A77C92E">
      <w:pPr>
        <w:pStyle w:val="Body"/>
      </w:pPr>
      <w:r w:rsidRPr="003360B6">
        <w:rPr>
          <w:b/>
          <w:bCs/>
        </w:rPr>
        <w:t xml:space="preserve">Table </w:t>
      </w:r>
      <w:r w:rsidR="003360B6" w:rsidRPr="003360B6">
        <w:rPr>
          <w:b/>
          <w:bCs/>
        </w:rPr>
        <w:t>17</w:t>
      </w:r>
      <w:r w:rsidRPr="003360B6">
        <w:rPr>
          <w:b/>
          <w:bCs/>
        </w:rPr>
        <w:t xml:space="preserve">: </w:t>
      </w:r>
      <w:r w:rsidR="000F4CCB" w:rsidRPr="003360B6">
        <w:rPr>
          <w:b/>
          <w:bCs/>
        </w:rPr>
        <w:t>Rate of ended bodily restraint episodes per 1,000 occupied bed days, secure extended care units</w:t>
      </w:r>
      <w:r w:rsidRPr="003360B6">
        <w:rPr>
          <w:b/>
          <w:bCs/>
        </w:rPr>
        <w:t>, 201</w:t>
      </w:r>
      <w:r w:rsidR="000F4CCB" w:rsidRPr="003360B6">
        <w:rPr>
          <w:b/>
          <w:bCs/>
        </w:rPr>
        <w:t>8</w:t>
      </w:r>
      <w:bookmarkStart w:id="38" w:name="_Hlk147235822"/>
      <w:r w:rsidRPr="003360B6">
        <w:rPr>
          <w:b/>
          <w:bCs/>
        </w:rPr>
        <w:t>–</w:t>
      </w:r>
      <w:bookmarkEnd w:id="38"/>
      <w:r w:rsidRPr="003360B6">
        <w:rPr>
          <w:b/>
          <w:bCs/>
        </w:rPr>
        <w:t>1</w:t>
      </w:r>
      <w:r w:rsidR="000F4CCB" w:rsidRPr="003360B6">
        <w:rPr>
          <w:b/>
          <w:bCs/>
        </w:rPr>
        <w:t>9</w:t>
      </w:r>
      <w:r w:rsidRPr="003360B6">
        <w:rPr>
          <w:b/>
          <w:bCs/>
        </w:rPr>
        <w:t xml:space="preserve"> to </w:t>
      </w:r>
      <w:r w:rsidR="007B2175" w:rsidRPr="003360B6">
        <w:rPr>
          <w:b/>
          <w:bCs/>
        </w:rPr>
        <w:t>202</w:t>
      </w:r>
      <w:r w:rsidR="000F4CCB" w:rsidRPr="003360B6">
        <w:rPr>
          <w:b/>
          <w:bCs/>
        </w:rPr>
        <w:t>2</w:t>
      </w:r>
      <w:r w:rsidR="007B2175" w:rsidRPr="003360B6">
        <w:rPr>
          <w:b/>
          <w:bCs/>
        </w:rPr>
        <w:t>–2</w:t>
      </w:r>
      <w:r w:rsidR="000F4CCB" w:rsidRPr="003360B6">
        <w:rPr>
          <w:b/>
          <w:bCs/>
        </w:rPr>
        <w:t>3</w:t>
      </w:r>
    </w:p>
    <w:tbl>
      <w:tblPr>
        <w:tblStyle w:val="TableGrid"/>
        <w:tblW w:w="0" w:type="auto"/>
        <w:tblLook w:val="04A0" w:firstRow="1" w:lastRow="0" w:firstColumn="1" w:lastColumn="0" w:noHBand="0" w:noVBand="1"/>
      </w:tblPr>
      <w:tblGrid>
        <w:gridCol w:w="1597"/>
        <w:gridCol w:w="1710"/>
      </w:tblGrid>
      <w:tr w:rsidR="00A419F2" w14:paraId="6A3E9192" w14:textId="77777777" w:rsidTr="00312856">
        <w:trPr>
          <w:tblHeader/>
        </w:trPr>
        <w:tc>
          <w:tcPr>
            <w:tcW w:w="1597" w:type="dxa"/>
          </w:tcPr>
          <w:p w14:paraId="61AE0229" w14:textId="3C10E6FB" w:rsidR="00A419F2" w:rsidRPr="000D0B9B" w:rsidRDefault="00A419F2" w:rsidP="000D0B9B">
            <w:pPr>
              <w:pStyle w:val="Tablecolhead"/>
            </w:pPr>
            <w:r w:rsidRPr="000D0B9B">
              <w:t>Year</w:t>
            </w:r>
          </w:p>
        </w:tc>
        <w:tc>
          <w:tcPr>
            <w:tcW w:w="1710" w:type="dxa"/>
            <w:vAlign w:val="center"/>
          </w:tcPr>
          <w:p w14:paraId="6B95BB47" w14:textId="4222FF9E" w:rsidR="00A419F2" w:rsidRDefault="5C7293C2" w:rsidP="00312856">
            <w:pPr>
              <w:pStyle w:val="Tablecolhead"/>
              <w:jc w:val="center"/>
            </w:pPr>
            <w:r>
              <w:t>Rate</w:t>
            </w:r>
          </w:p>
        </w:tc>
      </w:tr>
      <w:tr w:rsidR="004C29CE" w14:paraId="482E5A82" w14:textId="77777777" w:rsidTr="00312856">
        <w:tc>
          <w:tcPr>
            <w:tcW w:w="1597" w:type="dxa"/>
          </w:tcPr>
          <w:p w14:paraId="5404ADB0" w14:textId="4CFBC6D9" w:rsidR="004C29CE" w:rsidRDefault="004C29CE" w:rsidP="004C29CE">
            <w:pPr>
              <w:pStyle w:val="Tabletext"/>
            </w:pPr>
            <w:r w:rsidRPr="00C6531D">
              <w:t>2018</w:t>
            </w:r>
            <w:r>
              <w:t>–</w:t>
            </w:r>
            <w:r w:rsidRPr="00C6531D">
              <w:t>19</w:t>
            </w:r>
          </w:p>
        </w:tc>
        <w:tc>
          <w:tcPr>
            <w:tcW w:w="1710" w:type="dxa"/>
            <w:vAlign w:val="center"/>
          </w:tcPr>
          <w:p w14:paraId="52880B82" w14:textId="7EAF58BF" w:rsidR="004C29CE" w:rsidRDefault="004C29CE" w:rsidP="004C29CE">
            <w:pPr>
              <w:pStyle w:val="Tabletext"/>
              <w:jc w:val="center"/>
            </w:pPr>
            <w:r>
              <w:t>2.</w:t>
            </w:r>
            <w:r w:rsidR="0048741E">
              <w:t>8</w:t>
            </w:r>
          </w:p>
        </w:tc>
      </w:tr>
      <w:tr w:rsidR="004C29CE" w14:paraId="2268195F" w14:textId="77777777" w:rsidTr="00312856">
        <w:tc>
          <w:tcPr>
            <w:tcW w:w="1597" w:type="dxa"/>
          </w:tcPr>
          <w:p w14:paraId="355316BA" w14:textId="4546BF13" w:rsidR="004C29CE" w:rsidRDefault="004C29CE" w:rsidP="004C29CE">
            <w:pPr>
              <w:pStyle w:val="Tabletext"/>
            </w:pPr>
            <w:r w:rsidRPr="00C6531D">
              <w:t>2019</w:t>
            </w:r>
            <w:r>
              <w:t>–</w:t>
            </w:r>
            <w:r w:rsidRPr="00C6531D">
              <w:t>20</w:t>
            </w:r>
          </w:p>
        </w:tc>
        <w:tc>
          <w:tcPr>
            <w:tcW w:w="1710" w:type="dxa"/>
            <w:vAlign w:val="center"/>
          </w:tcPr>
          <w:p w14:paraId="4F9BADD1" w14:textId="150572B3" w:rsidR="004C29CE" w:rsidRDefault="0048741E" w:rsidP="004C29CE">
            <w:pPr>
              <w:pStyle w:val="Tabletext"/>
              <w:jc w:val="center"/>
            </w:pPr>
            <w:r>
              <w:t>4</w:t>
            </w:r>
            <w:r w:rsidR="005255F4">
              <w:t>.0</w:t>
            </w:r>
          </w:p>
        </w:tc>
      </w:tr>
      <w:tr w:rsidR="004C29CE" w14:paraId="6E749B30" w14:textId="77777777" w:rsidTr="00312856">
        <w:tc>
          <w:tcPr>
            <w:tcW w:w="1597" w:type="dxa"/>
          </w:tcPr>
          <w:p w14:paraId="0EA22150" w14:textId="679B0BE1" w:rsidR="004C29CE" w:rsidRDefault="004C29CE" w:rsidP="004C29CE">
            <w:pPr>
              <w:pStyle w:val="Tabletext"/>
            </w:pPr>
            <w:r w:rsidRPr="00C6531D">
              <w:t>2020</w:t>
            </w:r>
            <w:r>
              <w:t>–</w:t>
            </w:r>
            <w:r w:rsidRPr="00C6531D">
              <w:t>21</w:t>
            </w:r>
          </w:p>
        </w:tc>
        <w:tc>
          <w:tcPr>
            <w:tcW w:w="1710" w:type="dxa"/>
            <w:vAlign w:val="center"/>
          </w:tcPr>
          <w:p w14:paraId="7CE4BEB2" w14:textId="7C452D54" w:rsidR="004C29CE" w:rsidRDefault="004C29CE" w:rsidP="004C29CE">
            <w:pPr>
              <w:pStyle w:val="Tabletext"/>
              <w:jc w:val="center"/>
            </w:pPr>
            <w:r>
              <w:t>3.</w:t>
            </w:r>
            <w:r w:rsidR="0048741E">
              <w:t>6</w:t>
            </w:r>
          </w:p>
        </w:tc>
      </w:tr>
      <w:tr w:rsidR="004C29CE" w14:paraId="5B42739F" w14:textId="77777777" w:rsidTr="00312856">
        <w:tc>
          <w:tcPr>
            <w:tcW w:w="1597" w:type="dxa"/>
          </w:tcPr>
          <w:p w14:paraId="0A726944" w14:textId="6CAA2A30" w:rsidR="004C29CE" w:rsidRDefault="004C29CE" w:rsidP="004C29CE">
            <w:pPr>
              <w:pStyle w:val="Tabletext"/>
            </w:pPr>
            <w:r w:rsidRPr="00C6531D">
              <w:t>2021</w:t>
            </w:r>
            <w:r>
              <w:t>–</w:t>
            </w:r>
            <w:r w:rsidRPr="00C6531D">
              <w:t>22</w:t>
            </w:r>
          </w:p>
        </w:tc>
        <w:tc>
          <w:tcPr>
            <w:tcW w:w="1710" w:type="dxa"/>
            <w:vAlign w:val="center"/>
          </w:tcPr>
          <w:p w14:paraId="623D0DAC" w14:textId="1F0A4616" w:rsidR="004C29CE" w:rsidRDefault="0048741E" w:rsidP="004C29CE">
            <w:pPr>
              <w:pStyle w:val="Tabletext"/>
              <w:jc w:val="center"/>
            </w:pPr>
            <w:r>
              <w:t>3.2</w:t>
            </w:r>
          </w:p>
        </w:tc>
      </w:tr>
      <w:tr w:rsidR="00724EFE" w14:paraId="058975B9" w14:textId="77777777" w:rsidTr="00312856">
        <w:tc>
          <w:tcPr>
            <w:tcW w:w="1597" w:type="dxa"/>
          </w:tcPr>
          <w:p w14:paraId="5BDFF6E5" w14:textId="75C51096" w:rsidR="00724EFE" w:rsidRPr="006C4DD1" w:rsidRDefault="0057054A" w:rsidP="000D0B9B">
            <w:pPr>
              <w:pStyle w:val="Tabletext"/>
            </w:pPr>
            <w:r w:rsidRPr="00C6531D">
              <w:t>202</w:t>
            </w:r>
            <w:r w:rsidR="004C29CE">
              <w:t>2</w:t>
            </w:r>
            <w:r w:rsidR="00920F37">
              <w:t>–</w:t>
            </w:r>
            <w:r w:rsidRPr="00C6531D">
              <w:t>2</w:t>
            </w:r>
            <w:r w:rsidR="004C29CE">
              <w:t>3</w:t>
            </w:r>
          </w:p>
        </w:tc>
        <w:tc>
          <w:tcPr>
            <w:tcW w:w="1710" w:type="dxa"/>
            <w:vAlign w:val="center"/>
          </w:tcPr>
          <w:p w14:paraId="3A0FA714" w14:textId="7EB28452" w:rsidR="00724EFE" w:rsidRDefault="0057054A" w:rsidP="00312856">
            <w:pPr>
              <w:pStyle w:val="Tabletext"/>
              <w:jc w:val="center"/>
            </w:pPr>
            <w:r w:rsidRPr="00C6531D">
              <w:t>2.</w:t>
            </w:r>
            <w:r w:rsidR="0048741E">
              <w:t>1</w:t>
            </w:r>
          </w:p>
        </w:tc>
      </w:tr>
    </w:tbl>
    <w:p w14:paraId="7E4366A2" w14:textId="72726F3D" w:rsidR="003B1035" w:rsidRDefault="003B1035" w:rsidP="00357FF8">
      <w:pPr>
        <w:pStyle w:val="Body"/>
      </w:pPr>
    </w:p>
    <w:sectPr w:rsidR="003B1035" w:rsidSect="008F3292">
      <w:headerReference w:type="even" r:id="rId18"/>
      <w:headerReference w:type="default" r:id="rId19"/>
      <w:footerReference w:type="even" r:id="rId20"/>
      <w:footerReference w:type="default" r:id="rId21"/>
      <w:footerReference w:type="first" r:id="rId22"/>
      <w:footnotePr>
        <w:numFmt w:val="chicago"/>
      </w:footnotePr>
      <w:type w:val="continuous"/>
      <w:pgSz w:w="11906" w:h="16838"/>
      <w:pgMar w:top="1411" w:right="1310" w:bottom="850" w:left="1310" w:header="461"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D071" w14:textId="77777777" w:rsidR="0081193F" w:rsidRDefault="0081193F">
      <w:r>
        <w:separator/>
      </w:r>
    </w:p>
  </w:endnote>
  <w:endnote w:type="continuationSeparator" w:id="0">
    <w:p w14:paraId="3BC09F8D" w14:textId="77777777" w:rsidR="0081193F" w:rsidRDefault="0081193F">
      <w:r>
        <w:continuationSeparator/>
      </w:r>
    </w:p>
  </w:endnote>
  <w:endnote w:type="continuationNotice" w:id="1">
    <w:p w14:paraId="3FE7D8E7" w14:textId="77777777" w:rsidR="0081193F" w:rsidRDefault="00811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8C16" w14:textId="1DC02189" w:rsidR="00F33284" w:rsidRDefault="00F33284">
    <w:pPr>
      <w:pStyle w:val="Footer"/>
    </w:pPr>
    <w:r>
      <w:rPr>
        <w:noProof/>
      </w:rPr>
      <mc:AlternateContent>
        <mc:Choice Requires="wps">
          <w:drawing>
            <wp:anchor distT="0" distB="0" distL="114300" distR="114300" simplePos="0" relativeHeight="251658241" behindDoc="0" locked="0" layoutInCell="0" allowOverlap="1" wp14:anchorId="6ED338FE" wp14:editId="08A28BB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35C3F" w14:textId="7DA10E6C"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338FE" id="_x0000_t202" coordsize="21600,21600" o:spt="202" path="m,l,21600r21600,l21600,xe">
              <v:stroke joinstyle="miter"/>
              <v:path gradientshapeok="t" o:connecttype="rect"/>
            </v:shapetype>
            <v:shape id="Text Box 4" o:spid="_x0000_s1027" type="#_x0000_t202" alt="{&quot;HashCode&quot;:904758361,&quot;Height&quot;:841.0,&quot;Width&quot;:595.0,&quot;Placement&quot;:&quot;Footer&quot;,&quot;Index&quot;:&quot;OddAndEven&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F35C3F" w14:textId="7DA10E6C"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47E7" w14:textId="14EA5824" w:rsidR="00F33284" w:rsidRDefault="00F33284">
    <w:pPr>
      <w:pStyle w:val="Footer"/>
    </w:pPr>
    <w:r>
      <w:rPr>
        <w:noProof/>
      </w:rPr>
      <mc:AlternateContent>
        <mc:Choice Requires="wps">
          <w:drawing>
            <wp:anchor distT="0" distB="0" distL="114300" distR="114300" simplePos="0" relativeHeight="251658240" behindDoc="0" locked="0" layoutInCell="0" allowOverlap="1" wp14:anchorId="7D442AA0" wp14:editId="76746DD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285477" w14:textId="53AAEA07"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42AA0" id="_x0000_t202" coordsize="21600,21600" o:spt="202" path="m,l,21600r21600,l21600,xe">
              <v:stroke joinstyle="miter"/>
              <v:path gradientshapeok="t" o:connecttype="rect"/>
            </v:shapetype>
            <v:shape id="Text Box 1"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285477" w14:textId="53AAEA07"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EE30" w14:textId="5915CFAA" w:rsidR="00F33284" w:rsidRPr="00D7458D" w:rsidRDefault="00F33284" w:rsidP="00D745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FD76" w14:textId="27E2E431" w:rsidR="00F33284" w:rsidRPr="0031753A" w:rsidRDefault="00F33284" w:rsidP="00E969B1">
    <w:pPr>
      <w:pStyle w:val="DHH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98C0" w14:textId="77777777" w:rsidR="00F33284" w:rsidRPr="001A7E04" w:rsidRDefault="00F33284"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A9CA" w14:textId="77777777" w:rsidR="0081193F" w:rsidRDefault="0081193F">
      <w:r>
        <w:separator/>
      </w:r>
    </w:p>
  </w:footnote>
  <w:footnote w:type="continuationSeparator" w:id="0">
    <w:p w14:paraId="273EB2E5" w14:textId="77777777" w:rsidR="0081193F" w:rsidRDefault="0081193F">
      <w:r>
        <w:continuationSeparator/>
      </w:r>
    </w:p>
  </w:footnote>
  <w:footnote w:type="continuationNotice" w:id="1">
    <w:p w14:paraId="6050C6F1" w14:textId="77777777" w:rsidR="0081193F" w:rsidRDefault="0081193F"/>
  </w:footnote>
  <w:footnote w:id="2">
    <w:p w14:paraId="14ADD397" w14:textId="4648B2C7" w:rsidR="00AC4558" w:rsidRDefault="00AC4558">
      <w:pPr>
        <w:pStyle w:val="FootnoteText"/>
      </w:pPr>
      <w:r>
        <w:rPr>
          <w:rStyle w:val="FootnoteReference"/>
        </w:rPr>
        <w:footnoteRef/>
      </w:r>
      <w:r>
        <w:t xml:space="preserve"> </w:t>
      </w:r>
      <w:r w:rsidRPr="00AC4558">
        <w:t>Th</w:t>
      </w:r>
      <w:r>
        <w:t xml:space="preserve">is report </w:t>
      </w:r>
      <w:r w:rsidRPr="00AC4558">
        <w:t xml:space="preserve">covers the period when the </w:t>
      </w:r>
      <w:r w:rsidRPr="0082171E">
        <w:rPr>
          <w:i/>
          <w:iCs/>
        </w:rPr>
        <w:t>Mental Health Act 2014</w:t>
      </w:r>
      <w:r w:rsidRPr="00AC4558">
        <w:t xml:space="preserve"> was still in force (July 2022 to June 2023). The </w:t>
      </w:r>
      <w:r w:rsidRPr="0082171E">
        <w:rPr>
          <w:i/>
          <w:iCs/>
        </w:rPr>
        <w:t>Mental Health and Wellbeing Act 2022</w:t>
      </w:r>
      <w:r w:rsidRPr="00AC4558">
        <w:t xml:space="preserve"> commenced on 1 September 2023</w:t>
      </w:r>
      <w:r w:rsidR="00F8335D">
        <w:t xml:space="preserve"> and will therefore </w:t>
      </w:r>
      <w:r w:rsidR="00DF33EC">
        <w:t>apply to next year</w:t>
      </w:r>
      <w:r w:rsidR="002821FE">
        <w:t>’s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B9C8" w14:textId="254893D3" w:rsidR="00F33284" w:rsidRPr="00E22F0F" w:rsidRDefault="00D7458D" w:rsidP="00E22F0F">
    <w:pPr>
      <w:pStyle w:val="Header"/>
      <w:rPr>
        <w:b/>
        <w:bCs/>
      </w:rPr>
    </w:pPr>
    <w:r w:rsidRPr="00E22F0F">
      <w:rPr>
        <w:b/>
        <w:bCs/>
      </w:rPr>
      <w:t>Chief Psychiatrist’s annual report 2022–23</w:t>
    </w:r>
    <w:r w:rsidRPr="00E22F0F">
      <w:rPr>
        <w:b/>
        <w:bCs/>
      </w:rPr>
      <w:ptab w:relativeTo="margin" w:alignment="right" w:leader="none"/>
    </w:r>
    <w:r w:rsidR="004B766F" w:rsidRPr="004B766F">
      <w:rPr>
        <w:b/>
        <w:bCs/>
      </w:rPr>
      <w:fldChar w:fldCharType="begin"/>
    </w:r>
    <w:r w:rsidR="004B766F" w:rsidRPr="004B766F">
      <w:rPr>
        <w:b/>
        <w:bCs/>
      </w:rPr>
      <w:instrText xml:space="preserve"> PAGE   \* MERGEFORMAT </w:instrText>
    </w:r>
    <w:r w:rsidR="004B766F" w:rsidRPr="004B766F">
      <w:rPr>
        <w:b/>
        <w:bCs/>
      </w:rPr>
      <w:fldChar w:fldCharType="separate"/>
    </w:r>
    <w:r w:rsidR="004B766F" w:rsidRPr="004B766F">
      <w:rPr>
        <w:b/>
        <w:bCs/>
        <w:noProof/>
      </w:rPr>
      <w:t>1</w:t>
    </w:r>
    <w:r w:rsidR="004B766F" w:rsidRPr="004B766F">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6D24" w14:textId="77777777" w:rsidR="00F33284" w:rsidRDefault="00F33284" w:rsidP="00E969B1">
    <w:pPr>
      <w:pStyle w:val="DHHSheader"/>
    </w:pPr>
  </w:p>
</w:hdr>
</file>

<file path=word/intelligence2.xml><?xml version="1.0" encoding="utf-8"?>
<int2:intelligence xmlns:int2="http://schemas.microsoft.com/office/intelligence/2020/intelligence" xmlns:oel="http://schemas.microsoft.com/office/2019/extlst">
  <int2:observations>
    <int2:textHash int2:hashCode="LmACF79Yfz+fm0" int2:id="WXYAeYXJ">
      <int2:state int2:value="Rejected" int2:type="AugLoop_Text_Critique"/>
    </int2:textHash>
    <int2:textHash int2:hashCode="MqKi+oYQwIA1A3" int2:id="rQF4wLL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D78"/>
    <w:multiLevelType w:val="hybridMultilevel"/>
    <w:tmpl w:val="AADAE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11D5E"/>
    <w:multiLevelType w:val="hybridMultilevel"/>
    <w:tmpl w:val="FFFFFFFF"/>
    <w:lvl w:ilvl="0" w:tplc="C318F398">
      <w:start w:val="1"/>
      <w:numFmt w:val="bullet"/>
      <w:lvlText w:val="•"/>
      <w:lvlJc w:val="left"/>
      <w:pPr>
        <w:ind w:left="1800" w:hanging="360"/>
      </w:pPr>
      <w:rPr>
        <w:rFonts w:ascii="Calibri" w:hAnsi="Calibri" w:hint="default"/>
      </w:rPr>
    </w:lvl>
    <w:lvl w:ilvl="1" w:tplc="D870FCD6">
      <w:start w:val="1"/>
      <w:numFmt w:val="bullet"/>
      <w:lvlText w:val="o"/>
      <w:lvlJc w:val="left"/>
      <w:pPr>
        <w:ind w:left="2520" w:hanging="360"/>
      </w:pPr>
      <w:rPr>
        <w:rFonts w:ascii="&quot;Courier New&quot;" w:hAnsi="&quot;Courier New&quot;" w:hint="default"/>
      </w:rPr>
    </w:lvl>
    <w:lvl w:ilvl="2" w:tplc="6002C90A">
      <w:start w:val="1"/>
      <w:numFmt w:val="bullet"/>
      <w:lvlText w:val=""/>
      <w:lvlJc w:val="left"/>
      <w:pPr>
        <w:ind w:left="2520" w:hanging="360"/>
      </w:pPr>
      <w:rPr>
        <w:rFonts w:ascii="Wingdings" w:hAnsi="Wingdings" w:hint="default"/>
      </w:rPr>
    </w:lvl>
    <w:lvl w:ilvl="3" w:tplc="193C8586">
      <w:start w:val="1"/>
      <w:numFmt w:val="bullet"/>
      <w:lvlText w:val=""/>
      <w:lvlJc w:val="left"/>
      <w:pPr>
        <w:ind w:left="3240" w:hanging="360"/>
      </w:pPr>
      <w:rPr>
        <w:rFonts w:ascii="Symbol" w:hAnsi="Symbol" w:hint="default"/>
      </w:rPr>
    </w:lvl>
    <w:lvl w:ilvl="4" w:tplc="D424E204">
      <w:start w:val="1"/>
      <w:numFmt w:val="bullet"/>
      <w:lvlText w:val="o"/>
      <w:lvlJc w:val="left"/>
      <w:pPr>
        <w:ind w:left="3960" w:hanging="360"/>
      </w:pPr>
      <w:rPr>
        <w:rFonts w:ascii="Courier New" w:hAnsi="Courier New" w:hint="default"/>
      </w:rPr>
    </w:lvl>
    <w:lvl w:ilvl="5" w:tplc="68725622">
      <w:start w:val="1"/>
      <w:numFmt w:val="bullet"/>
      <w:lvlText w:val=""/>
      <w:lvlJc w:val="left"/>
      <w:pPr>
        <w:ind w:left="4680" w:hanging="360"/>
      </w:pPr>
      <w:rPr>
        <w:rFonts w:ascii="Wingdings" w:hAnsi="Wingdings" w:hint="default"/>
      </w:rPr>
    </w:lvl>
    <w:lvl w:ilvl="6" w:tplc="E2AA457A">
      <w:start w:val="1"/>
      <w:numFmt w:val="bullet"/>
      <w:lvlText w:val=""/>
      <w:lvlJc w:val="left"/>
      <w:pPr>
        <w:ind w:left="5400" w:hanging="360"/>
      </w:pPr>
      <w:rPr>
        <w:rFonts w:ascii="Symbol" w:hAnsi="Symbol" w:hint="default"/>
      </w:rPr>
    </w:lvl>
    <w:lvl w:ilvl="7" w:tplc="BD587AF2">
      <w:start w:val="1"/>
      <w:numFmt w:val="bullet"/>
      <w:lvlText w:val="o"/>
      <w:lvlJc w:val="left"/>
      <w:pPr>
        <w:ind w:left="6120" w:hanging="360"/>
      </w:pPr>
      <w:rPr>
        <w:rFonts w:ascii="Courier New" w:hAnsi="Courier New" w:hint="default"/>
      </w:rPr>
    </w:lvl>
    <w:lvl w:ilvl="8" w:tplc="F51A912A">
      <w:start w:val="1"/>
      <w:numFmt w:val="bullet"/>
      <w:lvlText w:val=""/>
      <w:lvlJc w:val="left"/>
      <w:pPr>
        <w:ind w:left="6840" w:hanging="360"/>
      </w:pPr>
      <w:rPr>
        <w:rFonts w:ascii="Wingdings" w:hAnsi="Wingdings" w:hint="default"/>
      </w:rPr>
    </w:lvl>
  </w:abstractNum>
  <w:abstractNum w:abstractNumId="2" w15:restartNumberingAfterBreak="0">
    <w:nsid w:val="138B6A55"/>
    <w:multiLevelType w:val="hybridMultilevel"/>
    <w:tmpl w:val="24FE7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0A4038"/>
    <w:multiLevelType w:val="hybridMultilevel"/>
    <w:tmpl w:val="CCAC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027B1"/>
    <w:multiLevelType w:val="hybridMultilevel"/>
    <w:tmpl w:val="F0827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0704CF"/>
    <w:multiLevelType w:val="hybridMultilevel"/>
    <w:tmpl w:val="3538F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D51B47"/>
    <w:multiLevelType w:val="hybridMultilevel"/>
    <w:tmpl w:val="4B4E7622"/>
    <w:styleLink w:val="ZZNumbers"/>
    <w:lvl w:ilvl="0" w:tplc="F522C1C6">
      <w:start w:val="1"/>
      <w:numFmt w:val="decimal"/>
      <w:lvlText w:val="%1."/>
      <w:lvlJc w:val="left"/>
      <w:pPr>
        <w:tabs>
          <w:tab w:val="num" w:pos="681"/>
        </w:tabs>
        <w:ind w:left="681" w:hanging="397"/>
      </w:pPr>
      <w:rPr>
        <w:rFonts w:hint="default"/>
      </w:rPr>
    </w:lvl>
    <w:lvl w:ilvl="1" w:tplc="858E3FA0">
      <w:start w:val="1"/>
      <w:numFmt w:val="decimal"/>
      <w:lvlRestart w:val="0"/>
      <w:lvlText w:val="%2."/>
      <w:lvlJc w:val="left"/>
      <w:pPr>
        <w:tabs>
          <w:tab w:val="num" w:pos="794"/>
        </w:tabs>
        <w:ind w:left="794" w:hanging="397"/>
      </w:pPr>
      <w:rPr>
        <w:rFonts w:hint="default"/>
      </w:rPr>
    </w:lvl>
    <w:lvl w:ilvl="2" w:tplc="45C62204">
      <w:start w:val="1"/>
      <w:numFmt w:val="lowerLetter"/>
      <w:lvlRestart w:val="0"/>
      <w:lvlText w:val="(%3)"/>
      <w:lvlJc w:val="left"/>
      <w:pPr>
        <w:tabs>
          <w:tab w:val="num" w:pos="397"/>
        </w:tabs>
        <w:ind w:left="397" w:hanging="397"/>
      </w:pPr>
      <w:rPr>
        <w:rFonts w:hint="default"/>
      </w:rPr>
    </w:lvl>
    <w:lvl w:ilvl="3" w:tplc="58D20942">
      <w:start w:val="1"/>
      <w:numFmt w:val="lowerLetter"/>
      <w:lvlRestart w:val="0"/>
      <w:lvlText w:val="(%4)"/>
      <w:lvlJc w:val="left"/>
      <w:pPr>
        <w:tabs>
          <w:tab w:val="num" w:pos="794"/>
        </w:tabs>
        <w:ind w:left="794" w:hanging="397"/>
      </w:pPr>
      <w:rPr>
        <w:rFonts w:hint="default"/>
      </w:rPr>
    </w:lvl>
    <w:lvl w:ilvl="4" w:tplc="68108F40">
      <w:start w:val="1"/>
      <w:numFmt w:val="lowerRoman"/>
      <w:lvlRestart w:val="0"/>
      <w:lvlText w:val="(%5)"/>
      <w:lvlJc w:val="left"/>
      <w:pPr>
        <w:tabs>
          <w:tab w:val="num" w:pos="397"/>
        </w:tabs>
        <w:ind w:left="397" w:hanging="397"/>
      </w:pPr>
      <w:rPr>
        <w:rFonts w:hint="default"/>
      </w:rPr>
    </w:lvl>
    <w:lvl w:ilvl="5" w:tplc="32EA8940">
      <w:start w:val="1"/>
      <w:numFmt w:val="lowerRoman"/>
      <w:lvlRestart w:val="0"/>
      <w:lvlText w:val="(%6)"/>
      <w:lvlJc w:val="left"/>
      <w:pPr>
        <w:tabs>
          <w:tab w:val="num" w:pos="794"/>
        </w:tabs>
        <w:ind w:left="794" w:hanging="397"/>
      </w:pPr>
      <w:rPr>
        <w:rFonts w:hint="default"/>
      </w:rPr>
    </w:lvl>
    <w:lvl w:ilvl="6" w:tplc="BE6A8BA0">
      <w:start w:val="1"/>
      <w:numFmt w:val="none"/>
      <w:lvlRestart w:val="0"/>
      <w:lvlText w:val=""/>
      <w:lvlJc w:val="left"/>
      <w:pPr>
        <w:ind w:left="0" w:firstLine="0"/>
      </w:pPr>
      <w:rPr>
        <w:rFonts w:hint="default"/>
      </w:rPr>
    </w:lvl>
    <w:lvl w:ilvl="7" w:tplc="EC5AE78C">
      <w:start w:val="1"/>
      <w:numFmt w:val="none"/>
      <w:lvlRestart w:val="0"/>
      <w:lvlText w:val=""/>
      <w:lvlJc w:val="left"/>
      <w:pPr>
        <w:ind w:left="0" w:firstLine="0"/>
      </w:pPr>
      <w:rPr>
        <w:rFonts w:hint="default"/>
      </w:rPr>
    </w:lvl>
    <w:lvl w:ilvl="8" w:tplc="9F120FCA">
      <w:start w:val="1"/>
      <w:numFmt w:val="none"/>
      <w:lvlRestart w:val="0"/>
      <w:lvlText w:val=""/>
      <w:lvlJc w:val="right"/>
      <w:pPr>
        <w:ind w:left="0" w:firstLine="0"/>
      </w:pPr>
      <w:rPr>
        <w:rFonts w:hint="default"/>
      </w:rPr>
    </w:lvl>
  </w:abstractNum>
  <w:abstractNum w:abstractNumId="7" w15:restartNumberingAfterBreak="0">
    <w:nsid w:val="3C4303A5"/>
    <w:multiLevelType w:val="hybridMultilevel"/>
    <w:tmpl w:val="4B4E7622"/>
    <w:lvl w:ilvl="0" w:tplc="9C667276">
      <w:start w:val="1"/>
      <w:numFmt w:val="decimal"/>
      <w:pStyle w:val="DHHSnumberdigit"/>
      <w:lvlText w:val="%1."/>
      <w:lvlJc w:val="left"/>
      <w:pPr>
        <w:tabs>
          <w:tab w:val="num" w:pos="681"/>
        </w:tabs>
        <w:ind w:left="681" w:hanging="397"/>
      </w:pPr>
      <w:rPr>
        <w:rFonts w:hint="default"/>
      </w:rPr>
    </w:lvl>
    <w:lvl w:ilvl="1" w:tplc="BD806162">
      <w:start w:val="1"/>
      <w:numFmt w:val="decimal"/>
      <w:lvlRestart w:val="0"/>
      <w:pStyle w:val="DHHSnumberdigitindent"/>
      <w:lvlText w:val="%2."/>
      <w:lvlJc w:val="left"/>
      <w:pPr>
        <w:tabs>
          <w:tab w:val="num" w:pos="794"/>
        </w:tabs>
        <w:ind w:left="794" w:hanging="397"/>
      </w:pPr>
      <w:rPr>
        <w:rFonts w:hint="default"/>
      </w:rPr>
    </w:lvl>
    <w:lvl w:ilvl="2" w:tplc="5074EC1E">
      <w:start w:val="1"/>
      <w:numFmt w:val="lowerLetter"/>
      <w:lvlRestart w:val="0"/>
      <w:pStyle w:val="DHHSnumberloweralpha"/>
      <w:lvlText w:val="(%3)"/>
      <w:lvlJc w:val="left"/>
      <w:pPr>
        <w:tabs>
          <w:tab w:val="num" w:pos="397"/>
        </w:tabs>
        <w:ind w:left="397" w:hanging="397"/>
      </w:pPr>
      <w:rPr>
        <w:rFonts w:hint="default"/>
      </w:rPr>
    </w:lvl>
    <w:lvl w:ilvl="3" w:tplc="F022128E">
      <w:start w:val="1"/>
      <w:numFmt w:val="lowerLetter"/>
      <w:lvlRestart w:val="0"/>
      <w:pStyle w:val="DHHSnumberloweralphaindent"/>
      <w:lvlText w:val="(%4)"/>
      <w:lvlJc w:val="left"/>
      <w:pPr>
        <w:tabs>
          <w:tab w:val="num" w:pos="794"/>
        </w:tabs>
        <w:ind w:left="794" w:hanging="397"/>
      </w:pPr>
      <w:rPr>
        <w:rFonts w:hint="default"/>
      </w:rPr>
    </w:lvl>
    <w:lvl w:ilvl="4" w:tplc="4D7AA572">
      <w:start w:val="1"/>
      <w:numFmt w:val="lowerRoman"/>
      <w:lvlRestart w:val="0"/>
      <w:pStyle w:val="DHHSnumberlowerroman"/>
      <w:lvlText w:val="(%5)"/>
      <w:lvlJc w:val="left"/>
      <w:pPr>
        <w:tabs>
          <w:tab w:val="num" w:pos="397"/>
        </w:tabs>
        <w:ind w:left="397" w:hanging="397"/>
      </w:pPr>
      <w:rPr>
        <w:rFonts w:hint="default"/>
      </w:rPr>
    </w:lvl>
    <w:lvl w:ilvl="5" w:tplc="8A185C8C">
      <w:start w:val="1"/>
      <w:numFmt w:val="lowerRoman"/>
      <w:lvlRestart w:val="0"/>
      <w:pStyle w:val="DHHSnumberlowerromanindent"/>
      <w:lvlText w:val="(%6)"/>
      <w:lvlJc w:val="left"/>
      <w:pPr>
        <w:tabs>
          <w:tab w:val="num" w:pos="794"/>
        </w:tabs>
        <w:ind w:left="794" w:hanging="397"/>
      </w:pPr>
      <w:rPr>
        <w:rFonts w:hint="default"/>
      </w:rPr>
    </w:lvl>
    <w:lvl w:ilvl="6" w:tplc="C79C30B6">
      <w:start w:val="1"/>
      <w:numFmt w:val="none"/>
      <w:lvlRestart w:val="0"/>
      <w:pStyle w:val="DHHStablebullet"/>
      <w:lvlText w:val=""/>
      <w:lvlJc w:val="left"/>
      <w:pPr>
        <w:ind w:left="0" w:firstLine="0"/>
      </w:pPr>
      <w:rPr>
        <w:rFonts w:hint="default"/>
      </w:rPr>
    </w:lvl>
    <w:lvl w:ilvl="7" w:tplc="2FA06AB8">
      <w:start w:val="1"/>
      <w:numFmt w:val="none"/>
      <w:lvlRestart w:val="0"/>
      <w:lvlText w:val=""/>
      <w:lvlJc w:val="left"/>
      <w:pPr>
        <w:ind w:left="0" w:firstLine="0"/>
      </w:pPr>
      <w:rPr>
        <w:rFonts w:hint="default"/>
      </w:rPr>
    </w:lvl>
    <w:lvl w:ilvl="8" w:tplc="8B245E40">
      <w:start w:val="1"/>
      <w:numFmt w:val="none"/>
      <w:lvlRestart w:val="0"/>
      <w:lvlText w:val=""/>
      <w:lvlJc w:val="right"/>
      <w:pPr>
        <w:ind w:left="0" w:firstLine="0"/>
      </w:pPr>
      <w:rPr>
        <w:rFonts w:hint="default"/>
      </w:rPr>
    </w:lvl>
  </w:abstractNum>
  <w:abstractNum w:abstractNumId="8" w15:restartNumberingAfterBreak="0">
    <w:nsid w:val="4A1B24F6"/>
    <w:multiLevelType w:val="hybridMultilevel"/>
    <w:tmpl w:val="45C88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hybridMultilevel"/>
    <w:tmpl w:val="6C6E1E62"/>
    <w:styleLink w:val="ZZBullets"/>
    <w:lvl w:ilvl="0" w:tplc="F90CC8E8">
      <w:start w:val="1"/>
      <w:numFmt w:val="bullet"/>
      <w:pStyle w:val="DHHSbullet1"/>
      <w:lvlText w:val="•"/>
      <w:lvlJc w:val="left"/>
      <w:pPr>
        <w:ind w:left="284" w:hanging="284"/>
      </w:pPr>
      <w:rPr>
        <w:rFonts w:ascii="Calibri" w:hAnsi="Calibri" w:hint="default"/>
      </w:rPr>
    </w:lvl>
    <w:lvl w:ilvl="1" w:tplc="36167C9E">
      <w:start w:val="1"/>
      <w:numFmt w:val="bullet"/>
      <w:lvlRestart w:val="0"/>
      <w:lvlText w:val="•"/>
      <w:lvlJc w:val="left"/>
      <w:pPr>
        <w:ind w:left="284" w:hanging="284"/>
      </w:pPr>
      <w:rPr>
        <w:rFonts w:ascii="Calibri" w:hAnsi="Calibri" w:hint="default"/>
      </w:rPr>
    </w:lvl>
    <w:lvl w:ilvl="2" w:tplc="3848A12C">
      <w:start w:val="1"/>
      <w:numFmt w:val="bullet"/>
      <w:lvlRestart w:val="0"/>
      <w:lvlText w:val="–"/>
      <w:lvlJc w:val="left"/>
      <w:pPr>
        <w:ind w:left="567" w:hanging="283"/>
      </w:pPr>
      <w:rPr>
        <w:rFonts w:ascii="Arial" w:hAnsi="Arial" w:hint="default"/>
      </w:rPr>
    </w:lvl>
    <w:lvl w:ilvl="3" w:tplc="B778FFF4">
      <w:start w:val="1"/>
      <w:numFmt w:val="bullet"/>
      <w:lvlRestart w:val="0"/>
      <w:lvlText w:val="–"/>
      <w:lvlJc w:val="left"/>
      <w:pPr>
        <w:ind w:left="567" w:hanging="283"/>
      </w:pPr>
      <w:rPr>
        <w:rFonts w:ascii="Arial" w:hAnsi="Arial" w:hint="default"/>
      </w:rPr>
    </w:lvl>
    <w:lvl w:ilvl="4" w:tplc="F0847C9A">
      <w:start w:val="1"/>
      <w:numFmt w:val="bullet"/>
      <w:lvlRestart w:val="0"/>
      <w:pStyle w:val="DHHSbulletindent"/>
      <w:lvlText w:val="•"/>
      <w:lvlJc w:val="left"/>
      <w:pPr>
        <w:ind w:left="680" w:hanging="283"/>
      </w:pPr>
      <w:rPr>
        <w:rFonts w:ascii="Calibri" w:hAnsi="Calibri" w:hint="default"/>
      </w:rPr>
    </w:lvl>
    <w:lvl w:ilvl="5" w:tplc="B22CE23C">
      <w:start w:val="1"/>
      <w:numFmt w:val="bullet"/>
      <w:lvlRestart w:val="0"/>
      <w:pStyle w:val="DHHSbulletindentlastline"/>
      <w:lvlText w:val="•"/>
      <w:lvlJc w:val="left"/>
      <w:pPr>
        <w:ind w:left="680" w:hanging="283"/>
      </w:pPr>
      <w:rPr>
        <w:rFonts w:ascii="Calibri" w:hAnsi="Calibri" w:hint="default"/>
      </w:rPr>
    </w:lvl>
    <w:lvl w:ilvl="6" w:tplc="D7127AD4">
      <w:start w:val="1"/>
      <w:numFmt w:val="bullet"/>
      <w:lvlRestart w:val="0"/>
      <w:lvlText w:val="•"/>
      <w:lvlJc w:val="left"/>
      <w:pPr>
        <w:ind w:left="227" w:hanging="227"/>
      </w:pPr>
      <w:rPr>
        <w:rFonts w:ascii="Calibri" w:hAnsi="Calibri" w:hint="default"/>
      </w:rPr>
    </w:lvl>
    <w:lvl w:ilvl="7" w:tplc="A5CE7F6A">
      <w:start w:val="1"/>
      <w:numFmt w:val="none"/>
      <w:lvlRestart w:val="0"/>
      <w:lvlText w:val=""/>
      <w:lvlJc w:val="left"/>
      <w:pPr>
        <w:ind w:left="0" w:firstLine="0"/>
      </w:pPr>
      <w:rPr>
        <w:rFonts w:hint="default"/>
      </w:rPr>
    </w:lvl>
    <w:lvl w:ilvl="8" w:tplc="6C0A3690">
      <w:start w:val="1"/>
      <w:numFmt w:val="none"/>
      <w:lvlRestart w:val="0"/>
      <w:lvlText w:val=""/>
      <w:lvlJc w:val="left"/>
      <w:pPr>
        <w:ind w:left="0" w:firstLine="0"/>
      </w:pPr>
      <w:rPr>
        <w:rFonts w:hint="default"/>
      </w:rPr>
    </w:lvl>
  </w:abstractNum>
  <w:abstractNum w:abstractNumId="10" w15:restartNumberingAfterBreak="0">
    <w:nsid w:val="56082B53"/>
    <w:multiLevelType w:val="hybridMultilevel"/>
    <w:tmpl w:val="8CC87C14"/>
    <w:lvl w:ilvl="0" w:tplc="0C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quot;Courier New&quot;" w:hAnsi="&quot;Courier New&quot;"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5D42688E"/>
    <w:multiLevelType w:val="hybridMultilevel"/>
    <w:tmpl w:val="B024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0FD076"/>
    <w:multiLevelType w:val="hybridMultilevel"/>
    <w:tmpl w:val="50CC1692"/>
    <w:lvl w:ilvl="0" w:tplc="2F44C6F0">
      <w:start w:val="1"/>
      <w:numFmt w:val="bullet"/>
      <w:lvlText w:val="·"/>
      <w:lvlJc w:val="left"/>
      <w:pPr>
        <w:ind w:left="720" w:hanging="360"/>
      </w:pPr>
      <w:rPr>
        <w:rFonts w:ascii="Symbol" w:hAnsi="Symbol" w:hint="default"/>
      </w:rPr>
    </w:lvl>
    <w:lvl w:ilvl="1" w:tplc="7376D286">
      <w:start w:val="1"/>
      <w:numFmt w:val="bullet"/>
      <w:lvlText w:val="o"/>
      <w:lvlJc w:val="left"/>
      <w:pPr>
        <w:ind w:left="1440" w:hanging="360"/>
      </w:pPr>
      <w:rPr>
        <w:rFonts w:ascii="Courier New" w:hAnsi="Courier New" w:hint="default"/>
      </w:rPr>
    </w:lvl>
    <w:lvl w:ilvl="2" w:tplc="DAC44416">
      <w:start w:val="1"/>
      <w:numFmt w:val="bullet"/>
      <w:lvlText w:val=""/>
      <w:lvlJc w:val="left"/>
      <w:pPr>
        <w:ind w:left="2160" w:hanging="360"/>
      </w:pPr>
      <w:rPr>
        <w:rFonts w:ascii="Wingdings" w:hAnsi="Wingdings" w:hint="default"/>
      </w:rPr>
    </w:lvl>
    <w:lvl w:ilvl="3" w:tplc="76841124">
      <w:start w:val="1"/>
      <w:numFmt w:val="bullet"/>
      <w:lvlText w:val=""/>
      <w:lvlJc w:val="left"/>
      <w:pPr>
        <w:ind w:left="2880" w:hanging="360"/>
      </w:pPr>
      <w:rPr>
        <w:rFonts w:ascii="Symbol" w:hAnsi="Symbol" w:hint="default"/>
      </w:rPr>
    </w:lvl>
    <w:lvl w:ilvl="4" w:tplc="0A409E66">
      <w:start w:val="1"/>
      <w:numFmt w:val="bullet"/>
      <w:lvlText w:val="o"/>
      <w:lvlJc w:val="left"/>
      <w:pPr>
        <w:ind w:left="3600" w:hanging="360"/>
      </w:pPr>
      <w:rPr>
        <w:rFonts w:ascii="Courier New" w:hAnsi="Courier New" w:hint="default"/>
      </w:rPr>
    </w:lvl>
    <w:lvl w:ilvl="5" w:tplc="5CFCCD16">
      <w:start w:val="1"/>
      <w:numFmt w:val="bullet"/>
      <w:lvlText w:val=""/>
      <w:lvlJc w:val="left"/>
      <w:pPr>
        <w:ind w:left="4320" w:hanging="360"/>
      </w:pPr>
      <w:rPr>
        <w:rFonts w:ascii="Wingdings" w:hAnsi="Wingdings" w:hint="default"/>
      </w:rPr>
    </w:lvl>
    <w:lvl w:ilvl="6" w:tplc="6BD8C214">
      <w:start w:val="1"/>
      <w:numFmt w:val="bullet"/>
      <w:lvlText w:val=""/>
      <w:lvlJc w:val="left"/>
      <w:pPr>
        <w:ind w:left="5040" w:hanging="360"/>
      </w:pPr>
      <w:rPr>
        <w:rFonts w:ascii="Symbol" w:hAnsi="Symbol" w:hint="default"/>
      </w:rPr>
    </w:lvl>
    <w:lvl w:ilvl="7" w:tplc="24ECC01C">
      <w:start w:val="1"/>
      <w:numFmt w:val="bullet"/>
      <w:lvlText w:val="o"/>
      <w:lvlJc w:val="left"/>
      <w:pPr>
        <w:ind w:left="5760" w:hanging="360"/>
      </w:pPr>
      <w:rPr>
        <w:rFonts w:ascii="Courier New" w:hAnsi="Courier New" w:hint="default"/>
      </w:rPr>
    </w:lvl>
    <w:lvl w:ilvl="8" w:tplc="7628516A">
      <w:start w:val="1"/>
      <w:numFmt w:val="bullet"/>
      <w:lvlText w:val=""/>
      <w:lvlJc w:val="left"/>
      <w:pPr>
        <w:ind w:left="6480" w:hanging="360"/>
      </w:pPr>
      <w:rPr>
        <w:rFonts w:ascii="Wingdings" w:hAnsi="Wingdings" w:hint="default"/>
      </w:rPr>
    </w:lvl>
  </w:abstractNum>
  <w:abstractNum w:abstractNumId="13" w15:restartNumberingAfterBreak="0">
    <w:nsid w:val="6BBD0F83"/>
    <w:multiLevelType w:val="hybridMultilevel"/>
    <w:tmpl w:val="717E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EF0F76"/>
    <w:multiLevelType w:val="hybridMultilevel"/>
    <w:tmpl w:val="9FD8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0D3C32"/>
    <w:multiLevelType w:val="hybridMultilevel"/>
    <w:tmpl w:val="1A78C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87F667B"/>
    <w:multiLevelType w:val="hybridMultilevel"/>
    <w:tmpl w:val="9DE2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8649F3"/>
    <w:multiLevelType w:val="hybridMultilevel"/>
    <w:tmpl w:val="4E1CE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A3F5C59"/>
    <w:multiLevelType w:val="hybridMultilevel"/>
    <w:tmpl w:val="FB00B764"/>
    <w:lvl w:ilvl="0" w:tplc="03A41B60">
      <w:start w:val="1"/>
      <w:numFmt w:val="bullet"/>
      <w:lvlText w:val=""/>
      <w:lvlJc w:val="left"/>
      <w:pPr>
        <w:ind w:left="720" w:hanging="360"/>
      </w:pPr>
      <w:rPr>
        <w:rFonts w:ascii="Symbol" w:hAnsi="Symbol" w:hint="default"/>
      </w:rPr>
    </w:lvl>
    <w:lvl w:ilvl="1" w:tplc="8948F232">
      <w:start w:val="1"/>
      <w:numFmt w:val="bullet"/>
      <w:lvlText w:val="o"/>
      <w:lvlJc w:val="left"/>
      <w:pPr>
        <w:ind w:left="1440" w:hanging="360"/>
      </w:pPr>
      <w:rPr>
        <w:rFonts w:ascii="Courier New" w:hAnsi="Courier New" w:hint="default"/>
      </w:rPr>
    </w:lvl>
    <w:lvl w:ilvl="2" w:tplc="ECCCF13A">
      <w:start w:val="1"/>
      <w:numFmt w:val="bullet"/>
      <w:lvlText w:val=""/>
      <w:lvlJc w:val="left"/>
      <w:pPr>
        <w:ind w:left="2160" w:hanging="360"/>
      </w:pPr>
      <w:rPr>
        <w:rFonts w:ascii="Wingdings" w:hAnsi="Wingdings" w:hint="default"/>
      </w:rPr>
    </w:lvl>
    <w:lvl w:ilvl="3" w:tplc="ED76653A">
      <w:start w:val="1"/>
      <w:numFmt w:val="bullet"/>
      <w:lvlText w:val=""/>
      <w:lvlJc w:val="left"/>
      <w:pPr>
        <w:ind w:left="2880" w:hanging="360"/>
      </w:pPr>
      <w:rPr>
        <w:rFonts w:ascii="Symbol" w:hAnsi="Symbol" w:hint="default"/>
      </w:rPr>
    </w:lvl>
    <w:lvl w:ilvl="4" w:tplc="CEDE95FE">
      <w:start w:val="1"/>
      <w:numFmt w:val="bullet"/>
      <w:lvlText w:val="o"/>
      <w:lvlJc w:val="left"/>
      <w:pPr>
        <w:ind w:left="3600" w:hanging="360"/>
      </w:pPr>
      <w:rPr>
        <w:rFonts w:ascii="Courier New" w:hAnsi="Courier New" w:hint="default"/>
      </w:rPr>
    </w:lvl>
    <w:lvl w:ilvl="5" w:tplc="A980036E">
      <w:start w:val="1"/>
      <w:numFmt w:val="bullet"/>
      <w:lvlText w:val=""/>
      <w:lvlJc w:val="left"/>
      <w:pPr>
        <w:ind w:left="4320" w:hanging="360"/>
      </w:pPr>
      <w:rPr>
        <w:rFonts w:ascii="Wingdings" w:hAnsi="Wingdings" w:hint="default"/>
      </w:rPr>
    </w:lvl>
    <w:lvl w:ilvl="6" w:tplc="01A691E6">
      <w:start w:val="1"/>
      <w:numFmt w:val="bullet"/>
      <w:lvlText w:val=""/>
      <w:lvlJc w:val="left"/>
      <w:pPr>
        <w:ind w:left="5040" w:hanging="360"/>
      </w:pPr>
      <w:rPr>
        <w:rFonts w:ascii="Symbol" w:hAnsi="Symbol" w:hint="default"/>
      </w:rPr>
    </w:lvl>
    <w:lvl w:ilvl="7" w:tplc="D102C4A2">
      <w:start w:val="1"/>
      <w:numFmt w:val="bullet"/>
      <w:lvlText w:val="o"/>
      <w:lvlJc w:val="left"/>
      <w:pPr>
        <w:ind w:left="5760" w:hanging="360"/>
      </w:pPr>
      <w:rPr>
        <w:rFonts w:ascii="Courier New" w:hAnsi="Courier New" w:hint="default"/>
      </w:rPr>
    </w:lvl>
    <w:lvl w:ilvl="8" w:tplc="37668FF6">
      <w:start w:val="1"/>
      <w:numFmt w:val="bullet"/>
      <w:lvlText w:val=""/>
      <w:lvlJc w:val="left"/>
      <w:pPr>
        <w:ind w:left="6480" w:hanging="360"/>
      </w:pPr>
      <w:rPr>
        <w:rFonts w:ascii="Wingdings" w:hAnsi="Wingdings" w:hint="default"/>
      </w:rPr>
    </w:lvl>
  </w:abstractNum>
  <w:num w:numId="1" w16cid:durableId="309410164">
    <w:abstractNumId w:val="9"/>
  </w:num>
  <w:num w:numId="2" w16cid:durableId="1704162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383309">
    <w:abstractNumId w:val="6"/>
  </w:num>
  <w:num w:numId="4" w16cid:durableId="1330791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314893">
    <w:abstractNumId w:val="4"/>
  </w:num>
  <w:num w:numId="6" w16cid:durableId="1369524079">
    <w:abstractNumId w:val="5"/>
  </w:num>
  <w:num w:numId="7" w16cid:durableId="283855052">
    <w:abstractNumId w:val="3"/>
  </w:num>
  <w:num w:numId="8" w16cid:durableId="1587810405">
    <w:abstractNumId w:val="14"/>
  </w:num>
  <w:num w:numId="9" w16cid:durableId="1224677235">
    <w:abstractNumId w:val="1"/>
  </w:num>
  <w:num w:numId="10" w16cid:durableId="2076009369">
    <w:abstractNumId w:val="13"/>
  </w:num>
  <w:num w:numId="11" w16cid:durableId="1496529574">
    <w:abstractNumId w:val="9"/>
  </w:num>
  <w:num w:numId="12" w16cid:durableId="456264499">
    <w:abstractNumId w:val="10"/>
  </w:num>
  <w:num w:numId="13" w16cid:durableId="338315753">
    <w:abstractNumId w:val="7"/>
  </w:num>
  <w:num w:numId="14" w16cid:durableId="486089113">
    <w:abstractNumId w:val="9"/>
  </w:num>
  <w:num w:numId="15" w16cid:durableId="1589772671">
    <w:abstractNumId w:val="9"/>
  </w:num>
  <w:num w:numId="16" w16cid:durableId="2008555808">
    <w:abstractNumId w:val="9"/>
  </w:num>
  <w:num w:numId="17" w16cid:durableId="600798316">
    <w:abstractNumId w:val="18"/>
  </w:num>
  <w:num w:numId="18" w16cid:durableId="853418292">
    <w:abstractNumId w:val="12"/>
  </w:num>
  <w:num w:numId="19" w16cid:durableId="228617870">
    <w:abstractNumId w:val="15"/>
  </w:num>
  <w:num w:numId="20" w16cid:durableId="1218400964">
    <w:abstractNumId w:val="17"/>
  </w:num>
  <w:num w:numId="21" w16cid:durableId="900821968">
    <w:abstractNumId w:val="15"/>
  </w:num>
  <w:num w:numId="22" w16cid:durableId="1129199335">
    <w:abstractNumId w:val="17"/>
  </w:num>
  <w:num w:numId="23" w16cid:durableId="1471290801">
    <w:abstractNumId w:val="16"/>
  </w:num>
  <w:num w:numId="24" w16cid:durableId="1737706217">
    <w:abstractNumId w:val="0"/>
  </w:num>
  <w:num w:numId="25" w16cid:durableId="539588733">
    <w:abstractNumId w:val="2"/>
  </w:num>
  <w:num w:numId="26" w16cid:durableId="22051035">
    <w:abstractNumId w:val="8"/>
  </w:num>
  <w:num w:numId="27" w16cid:durableId="115718419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wtDS0MLC0sLQwtjBR0lEKTi0uzszPAykwrAUA2/74fCwAAAA="/>
  </w:docVars>
  <w:rsids>
    <w:rsidRoot w:val="004417D5"/>
    <w:rsid w:val="0000005D"/>
    <w:rsid w:val="000003A3"/>
    <w:rsid w:val="00000870"/>
    <w:rsid w:val="000009E1"/>
    <w:rsid w:val="00000B72"/>
    <w:rsid w:val="0000116D"/>
    <w:rsid w:val="0000120C"/>
    <w:rsid w:val="000012C6"/>
    <w:rsid w:val="000013F0"/>
    <w:rsid w:val="0000144F"/>
    <w:rsid w:val="0000150D"/>
    <w:rsid w:val="00001553"/>
    <w:rsid w:val="00001681"/>
    <w:rsid w:val="00001900"/>
    <w:rsid w:val="00001912"/>
    <w:rsid w:val="00001913"/>
    <w:rsid w:val="00001F92"/>
    <w:rsid w:val="00002128"/>
    <w:rsid w:val="00002221"/>
    <w:rsid w:val="000024BB"/>
    <w:rsid w:val="0000259A"/>
    <w:rsid w:val="0000274D"/>
    <w:rsid w:val="00002990"/>
    <w:rsid w:val="00002BD8"/>
    <w:rsid w:val="00002CEF"/>
    <w:rsid w:val="00002F86"/>
    <w:rsid w:val="000031DC"/>
    <w:rsid w:val="00003361"/>
    <w:rsid w:val="00003426"/>
    <w:rsid w:val="00003576"/>
    <w:rsid w:val="000035D3"/>
    <w:rsid w:val="000036B0"/>
    <w:rsid w:val="00003829"/>
    <w:rsid w:val="00003844"/>
    <w:rsid w:val="00004348"/>
    <w:rsid w:val="00004711"/>
    <w:rsid w:val="0000474E"/>
    <w:rsid w:val="00004812"/>
    <w:rsid w:val="000048AC"/>
    <w:rsid w:val="00004C7A"/>
    <w:rsid w:val="00004E12"/>
    <w:rsid w:val="00004E44"/>
    <w:rsid w:val="0000510B"/>
    <w:rsid w:val="00005460"/>
    <w:rsid w:val="00005990"/>
    <w:rsid w:val="00005C60"/>
    <w:rsid w:val="00006027"/>
    <w:rsid w:val="0000644C"/>
    <w:rsid w:val="0000658C"/>
    <w:rsid w:val="00006609"/>
    <w:rsid w:val="00006702"/>
    <w:rsid w:val="000069F8"/>
    <w:rsid w:val="00006E83"/>
    <w:rsid w:val="00006F3B"/>
    <w:rsid w:val="00006FBC"/>
    <w:rsid w:val="0000705B"/>
    <w:rsid w:val="00007275"/>
    <w:rsid w:val="00007531"/>
    <w:rsid w:val="00007760"/>
    <w:rsid w:val="00007D52"/>
    <w:rsid w:val="00007E00"/>
    <w:rsid w:val="0001066D"/>
    <w:rsid w:val="00010678"/>
    <w:rsid w:val="00010A54"/>
    <w:rsid w:val="00011115"/>
    <w:rsid w:val="00011204"/>
    <w:rsid w:val="0001157A"/>
    <w:rsid w:val="00011639"/>
    <w:rsid w:val="00011893"/>
    <w:rsid w:val="00011981"/>
    <w:rsid w:val="00011AD1"/>
    <w:rsid w:val="00011CB5"/>
    <w:rsid w:val="00011DF4"/>
    <w:rsid w:val="00011E7F"/>
    <w:rsid w:val="00012140"/>
    <w:rsid w:val="00012425"/>
    <w:rsid w:val="0001280A"/>
    <w:rsid w:val="0001284F"/>
    <w:rsid w:val="00012BCC"/>
    <w:rsid w:val="00012CDB"/>
    <w:rsid w:val="0001303D"/>
    <w:rsid w:val="000131B9"/>
    <w:rsid w:val="00013293"/>
    <w:rsid w:val="00013692"/>
    <w:rsid w:val="00013A8F"/>
    <w:rsid w:val="00013B1C"/>
    <w:rsid w:val="00013ED8"/>
    <w:rsid w:val="00014307"/>
    <w:rsid w:val="00014571"/>
    <w:rsid w:val="00014670"/>
    <w:rsid w:val="00014949"/>
    <w:rsid w:val="00014958"/>
    <w:rsid w:val="00014B10"/>
    <w:rsid w:val="00014FC4"/>
    <w:rsid w:val="00015117"/>
    <w:rsid w:val="0001526E"/>
    <w:rsid w:val="00015428"/>
    <w:rsid w:val="0001587F"/>
    <w:rsid w:val="000158F9"/>
    <w:rsid w:val="000159F9"/>
    <w:rsid w:val="00015D45"/>
    <w:rsid w:val="00016057"/>
    <w:rsid w:val="00016BE0"/>
    <w:rsid w:val="000171FD"/>
    <w:rsid w:val="00017299"/>
    <w:rsid w:val="000174CA"/>
    <w:rsid w:val="00017510"/>
    <w:rsid w:val="000176C1"/>
    <w:rsid w:val="00017AD8"/>
    <w:rsid w:val="00017D0A"/>
    <w:rsid w:val="00020489"/>
    <w:rsid w:val="000208E8"/>
    <w:rsid w:val="00020AAB"/>
    <w:rsid w:val="00020DC6"/>
    <w:rsid w:val="000215FF"/>
    <w:rsid w:val="0002199E"/>
    <w:rsid w:val="00021A39"/>
    <w:rsid w:val="00021A94"/>
    <w:rsid w:val="00021D12"/>
    <w:rsid w:val="00022275"/>
    <w:rsid w:val="000223A4"/>
    <w:rsid w:val="00022ABD"/>
    <w:rsid w:val="00022E60"/>
    <w:rsid w:val="00022F85"/>
    <w:rsid w:val="00022FDB"/>
    <w:rsid w:val="0002333C"/>
    <w:rsid w:val="000233C9"/>
    <w:rsid w:val="0002344C"/>
    <w:rsid w:val="000236D2"/>
    <w:rsid w:val="000238B9"/>
    <w:rsid w:val="00023D8B"/>
    <w:rsid w:val="00023DB1"/>
    <w:rsid w:val="00023F68"/>
    <w:rsid w:val="000244DA"/>
    <w:rsid w:val="00024E63"/>
    <w:rsid w:val="00024E88"/>
    <w:rsid w:val="00024F4B"/>
    <w:rsid w:val="00024FF0"/>
    <w:rsid w:val="000256CB"/>
    <w:rsid w:val="00025900"/>
    <w:rsid w:val="00026AAD"/>
    <w:rsid w:val="00026C19"/>
    <w:rsid w:val="00026C23"/>
    <w:rsid w:val="00026F39"/>
    <w:rsid w:val="00027383"/>
    <w:rsid w:val="000273CF"/>
    <w:rsid w:val="000277EC"/>
    <w:rsid w:val="00027A12"/>
    <w:rsid w:val="00027CDE"/>
    <w:rsid w:val="000300F7"/>
    <w:rsid w:val="000302BB"/>
    <w:rsid w:val="00030317"/>
    <w:rsid w:val="000307FB"/>
    <w:rsid w:val="000309DB"/>
    <w:rsid w:val="00030F96"/>
    <w:rsid w:val="00031263"/>
    <w:rsid w:val="0003136E"/>
    <w:rsid w:val="0003198D"/>
    <w:rsid w:val="00031B51"/>
    <w:rsid w:val="00032041"/>
    <w:rsid w:val="00032210"/>
    <w:rsid w:val="00032728"/>
    <w:rsid w:val="00032756"/>
    <w:rsid w:val="00032AC6"/>
    <w:rsid w:val="00032BA9"/>
    <w:rsid w:val="00033301"/>
    <w:rsid w:val="00033350"/>
    <w:rsid w:val="00033445"/>
    <w:rsid w:val="0003349D"/>
    <w:rsid w:val="0003464B"/>
    <w:rsid w:val="00034965"/>
    <w:rsid w:val="00034A0A"/>
    <w:rsid w:val="00034A9D"/>
    <w:rsid w:val="00034DFD"/>
    <w:rsid w:val="00034F1B"/>
    <w:rsid w:val="0003558F"/>
    <w:rsid w:val="000356C3"/>
    <w:rsid w:val="000356EE"/>
    <w:rsid w:val="00035957"/>
    <w:rsid w:val="00035D89"/>
    <w:rsid w:val="00035FFB"/>
    <w:rsid w:val="0003685A"/>
    <w:rsid w:val="00036A15"/>
    <w:rsid w:val="00036AD0"/>
    <w:rsid w:val="00036DFE"/>
    <w:rsid w:val="00036E72"/>
    <w:rsid w:val="0003709B"/>
    <w:rsid w:val="0003736D"/>
    <w:rsid w:val="000373D1"/>
    <w:rsid w:val="000376F3"/>
    <w:rsid w:val="00037930"/>
    <w:rsid w:val="00037934"/>
    <w:rsid w:val="00037A09"/>
    <w:rsid w:val="00037C4D"/>
    <w:rsid w:val="00037FC0"/>
    <w:rsid w:val="000401D1"/>
    <w:rsid w:val="000402C8"/>
    <w:rsid w:val="0004071A"/>
    <w:rsid w:val="0004071B"/>
    <w:rsid w:val="000407F5"/>
    <w:rsid w:val="00040906"/>
    <w:rsid w:val="00040A1A"/>
    <w:rsid w:val="00040C7C"/>
    <w:rsid w:val="00040CDB"/>
    <w:rsid w:val="00040E69"/>
    <w:rsid w:val="00040F6D"/>
    <w:rsid w:val="0004126D"/>
    <w:rsid w:val="000414D6"/>
    <w:rsid w:val="00041562"/>
    <w:rsid w:val="00041662"/>
    <w:rsid w:val="00041BE2"/>
    <w:rsid w:val="00041CC8"/>
    <w:rsid w:val="00041DA5"/>
    <w:rsid w:val="00041F21"/>
    <w:rsid w:val="00042172"/>
    <w:rsid w:val="00042503"/>
    <w:rsid w:val="000426CD"/>
    <w:rsid w:val="000431E7"/>
    <w:rsid w:val="00043300"/>
    <w:rsid w:val="00043412"/>
    <w:rsid w:val="000436A9"/>
    <w:rsid w:val="000438AC"/>
    <w:rsid w:val="0004391A"/>
    <w:rsid w:val="00043AAF"/>
    <w:rsid w:val="000440AF"/>
    <w:rsid w:val="000444F1"/>
    <w:rsid w:val="000446E6"/>
    <w:rsid w:val="000449BC"/>
    <w:rsid w:val="00044E17"/>
    <w:rsid w:val="000451DC"/>
    <w:rsid w:val="00046050"/>
    <w:rsid w:val="0004605B"/>
    <w:rsid w:val="000462FB"/>
    <w:rsid w:val="00046479"/>
    <w:rsid w:val="00046A4F"/>
    <w:rsid w:val="00046C81"/>
    <w:rsid w:val="000470B7"/>
    <w:rsid w:val="0004728C"/>
    <w:rsid w:val="00047764"/>
    <w:rsid w:val="00047863"/>
    <w:rsid w:val="00047C73"/>
    <w:rsid w:val="00047CFC"/>
    <w:rsid w:val="00047F87"/>
    <w:rsid w:val="0005050E"/>
    <w:rsid w:val="000505B0"/>
    <w:rsid w:val="000515F5"/>
    <w:rsid w:val="00051685"/>
    <w:rsid w:val="0005193F"/>
    <w:rsid w:val="00051AEB"/>
    <w:rsid w:val="0005225B"/>
    <w:rsid w:val="000525EE"/>
    <w:rsid w:val="00052841"/>
    <w:rsid w:val="00052B6A"/>
    <w:rsid w:val="00052C3D"/>
    <w:rsid w:val="00052F88"/>
    <w:rsid w:val="00053056"/>
    <w:rsid w:val="00053231"/>
    <w:rsid w:val="000534F4"/>
    <w:rsid w:val="000535BA"/>
    <w:rsid w:val="000537AD"/>
    <w:rsid w:val="000538C7"/>
    <w:rsid w:val="000538D4"/>
    <w:rsid w:val="000539FC"/>
    <w:rsid w:val="00053C51"/>
    <w:rsid w:val="00053CA4"/>
    <w:rsid w:val="00054008"/>
    <w:rsid w:val="0005451B"/>
    <w:rsid w:val="000547CB"/>
    <w:rsid w:val="0005494B"/>
    <w:rsid w:val="00054A3D"/>
    <w:rsid w:val="00054BD1"/>
    <w:rsid w:val="00054F36"/>
    <w:rsid w:val="000553A7"/>
    <w:rsid w:val="00055449"/>
    <w:rsid w:val="000556B2"/>
    <w:rsid w:val="00055B85"/>
    <w:rsid w:val="00055DB7"/>
    <w:rsid w:val="00055E1D"/>
    <w:rsid w:val="00055E77"/>
    <w:rsid w:val="0005606F"/>
    <w:rsid w:val="00056734"/>
    <w:rsid w:val="0005678F"/>
    <w:rsid w:val="000567D0"/>
    <w:rsid w:val="00056C79"/>
    <w:rsid w:val="0005701B"/>
    <w:rsid w:val="00057365"/>
    <w:rsid w:val="000573AF"/>
    <w:rsid w:val="0005744F"/>
    <w:rsid w:val="00057470"/>
    <w:rsid w:val="000576AD"/>
    <w:rsid w:val="00057B43"/>
    <w:rsid w:val="00057CDF"/>
    <w:rsid w:val="000602F6"/>
    <w:rsid w:val="0006030A"/>
    <w:rsid w:val="0006032F"/>
    <w:rsid w:val="000603DF"/>
    <w:rsid w:val="000605F2"/>
    <w:rsid w:val="00060D95"/>
    <w:rsid w:val="00060E93"/>
    <w:rsid w:val="000613C3"/>
    <w:rsid w:val="00061449"/>
    <w:rsid w:val="000614B9"/>
    <w:rsid w:val="00062670"/>
    <w:rsid w:val="00062817"/>
    <w:rsid w:val="000629BD"/>
    <w:rsid w:val="00062FB9"/>
    <w:rsid w:val="000631A4"/>
    <w:rsid w:val="000632A1"/>
    <w:rsid w:val="0006378B"/>
    <w:rsid w:val="00064122"/>
    <w:rsid w:val="00064272"/>
    <w:rsid w:val="000645E1"/>
    <w:rsid w:val="0006463E"/>
    <w:rsid w:val="0006472E"/>
    <w:rsid w:val="00064936"/>
    <w:rsid w:val="00064BA7"/>
    <w:rsid w:val="00064C3F"/>
    <w:rsid w:val="00064CBB"/>
    <w:rsid w:val="000650A3"/>
    <w:rsid w:val="00065115"/>
    <w:rsid w:val="000652EF"/>
    <w:rsid w:val="000653D5"/>
    <w:rsid w:val="0006599B"/>
    <w:rsid w:val="00065A88"/>
    <w:rsid w:val="00066072"/>
    <w:rsid w:val="000660CA"/>
    <w:rsid w:val="00066268"/>
    <w:rsid w:val="00066869"/>
    <w:rsid w:val="00066CFD"/>
    <w:rsid w:val="000672F8"/>
    <w:rsid w:val="00067306"/>
    <w:rsid w:val="00067CF8"/>
    <w:rsid w:val="00070043"/>
    <w:rsid w:val="00070192"/>
    <w:rsid w:val="000703C2"/>
    <w:rsid w:val="00070653"/>
    <w:rsid w:val="00070CF9"/>
    <w:rsid w:val="00070E66"/>
    <w:rsid w:val="00070ED3"/>
    <w:rsid w:val="00071082"/>
    <w:rsid w:val="00071149"/>
    <w:rsid w:val="0007114A"/>
    <w:rsid w:val="0007181A"/>
    <w:rsid w:val="0007183E"/>
    <w:rsid w:val="00071918"/>
    <w:rsid w:val="00071A1C"/>
    <w:rsid w:val="00071BA4"/>
    <w:rsid w:val="00071E5C"/>
    <w:rsid w:val="00071FB4"/>
    <w:rsid w:val="000720E3"/>
    <w:rsid w:val="00072254"/>
    <w:rsid w:val="00072653"/>
    <w:rsid w:val="0007276C"/>
    <w:rsid w:val="00072DB7"/>
    <w:rsid w:val="00072DF1"/>
    <w:rsid w:val="00072F05"/>
    <w:rsid w:val="000730E8"/>
    <w:rsid w:val="000734F8"/>
    <w:rsid w:val="00073650"/>
    <w:rsid w:val="000736B8"/>
    <w:rsid w:val="000736C6"/>
    <w:rsid w:val="00073854"/>
    <w:rsid w:val="000739B0"/>
    <w:rsid w:val="00073C95"/>
    <w:rsid w:val="00073D54"/>
    <w:rsid w:val="00073DB0"/>
    <w:rsid w:val="00073E5C"/>
    <w:rsid w:val="0007442C"/>
    <w:rsid w:val="00074A8D"/>
    <w:rsid w:val="00074CAB"/>
    <w:rsid w:val="000751E7"/>
    <w:rsid w:val="00075261"/>
    <w:rsid w:val="00075889"/>
    <w:rsid w:val="000759DE"/>
    <w:rsid w:val="00075F09"/>
    <w:rsid w:val="000761ED"/>
    <w:rsid w:val="000764EB"/>
    <w:rsid w:val="00076847"/>
    <w:rsid w:val="000768FE"/>
    <w:rsid w:val="00076CA0"/>
    <w:rsid w:val="00076F75"/>
    <w:rsid w:val="00076FEB"/>
    <w:rsid w:val="0007706A"/>
    <w:rsid w:val="000771ED"/>
    <w:rsid w:val="000779C4"/>
    <w:rsid w:val="00077B3C"/>
    <w:rsid w:val="00077C9D"/>
    <w:rsid w:val="00080021"/>
    <w:rsid w:val="00080B4D"/>
    <w:rsid w:val="000810D7"/>
    <w:rsid w:val="00081178"/>
    <w:rsid w:val="0008142B"/>
    <w:rsid w:val="0008146B"/>
    <w:rsid w:val="000817CB"/>
    <w:rsid w:val="00081FD3"/>
    <w:rsid w:val="0008225A"/>
    <w:rsid w:val="000825BB"/>
    <w:rsid w:val="00082A60"/>
    <w:rsid w:val="00082CE8"/>
    <w:rsid w:val="00082F36"/>
    <w:rsid w:val="00083069"/>
    <w:rsid w:val="000831A2"/>
    <w:rsid w:val="0008330C"/>
    <w:rsid w:val="000834A5"/>
    <w:rsid w:val="000837D9"/>
    <w:rsid w:val="0008389F"/>
    <w:rsid w:val="00083EA3"/>
    <w:rsid w:val="00084238"/>
    <w:rsid w:val="00084275"/>
    <w:rsid w:val="0008448F"/>
    <w:rsid w:val="000846DB"/>
    <w:rsid w:val="000849AA"/>
    <w:rsid w:val="00084E7A"/>
    <w:rsid w:val="000852A2"/>
    <w:rsid w:val="0008580E"/>
    <w:rsid w:val="00085A46"/>
    <w:rsid w:val="00085DC6"/>
    <w:rsid w:val="00086125"/>
    <w:rsid w:val="000862A1"/>
    <w:rsid w:val="00086323"/>
    <w:rsid w:val="0008650C"/>
    <w:rsid w:val="000867A0"/>
    <w:rsid w:val="000867F1"/>
    <w:rsid w:val="00086C68"/>
    <w:rsid w:val="000871B6"/>
    <w:rsid w:val="0008728D"/>
    <w:rsid w:val="00087392"/>
    <w:rsid w:val="000873EF"/>
    <w:rsid w:val="00087863"/>
    <w:rsid w:val="000879D5"/>
    <w:rsid w:val="00087CD5"/>
    <w:rsid w:val="00087E9B"/>
    <w:rsid w:val="00090785"/>
    <w:rsid w:val="0009099B"/>
    <w:rsid w:val="00090F34"/>
    <w:rsid w:val="000910D9"/>
    <w:rsid w:val="000913F9"/>
    <w:rsid w:val="00091C0C"/>
    <w:rsid w:val="00091F0E"/>
    <w:rsid w:val="0009227B"/>
    <w:rsid w:val="000926C8"/>
    <w:rsid w:val="00092D85"/>
    <w:rsid w:val="00092E96"/>
    <w:rsid w:val="00092F13"/>
    <w:rsid w:val="000933D6"/>
    <w:rsid w:val="00093A56"/>
    <w:rsid w:val="00093C30"/>
    <w:rsid w:val="00093D89"/>
    <w:rsid w:val="00093E30"/>
    <w:rsid w:val="00094031"/>
    <w:rsid w:val="000941D3"/>
    <w:rsid w:val="000949E5"/>
    <w:rsid w:val="00094D8F"/>
    <w:rsid w:val="00094EFD"/>
    <w:rsid w:val="00095073"/>
    <w:rsid w:val="0009508E"/>
    <w:rsid w:val="0009517E"/>
    <w:rsid w:val="00095305"/>
    <w:rsid w:val="0009531E"/>
    <w:rsid w:val="00095777"/>
    <w:rsid w:val="000959C3"/>
    <w:rsid w:val="00095B1B"/>
    <w:rsid w:val="00095D3D"/>
    <w:rsid w:val="00095E4A"/>
    <w:rsid w:val="00095E94"/>
    <w:rsid w:val="00095F82"/>
    <w:rsid w:val="00096592"/>
    <w:rsid w:val="000966A7"/>
    <w:rsid w:val="00096850"/>
    <w:rsid w:val="00096C39"/>
    <w:rsid w:val="00096D60"/>
    <w:rsid w:val="00096F8B"/>
    <w:rsid w:val="000970DE"/>
    <w:rsid w:val="00097112"/>
    <w:rsid w:val="00097376"/>
    <w:rsid w:val="0009759C"/>
    <w:rsid w:val="00097A0C"/>
    <w:rsid w:val="00097C03"/>
    <w:rsid w:val="000A01B9"/>
    <w:rsid w:val="000A025F"/>
    <w:rsid w:val="000A049F"/>
    <w:rsid w:val="000A0584"/>
    <w:rsid w:val="000A09A4"/>
    <w:rsid w:val="000A13F6"/>
    <w:rsid w:val="000A146D"/>
    <w:rsid w:val="000A186A"/>
    <w:rsid w:val="000A1A19"/>
    <w:rsid w:val="000A1B97"/>
    <w:rsid w:val="000A1ECE"/>
    <w:rsid w:val="000A1F37"/>
    <w:rsid w:val="000A2115"/>
    <w:rsid w:val="000A2406"/>
    <w:rsid w:val="000A249F"/>
    <w:rsid w:val="000A2601"/>
    <w:rsid w:val="000A2662"/>
    <w:rsid w:val="000A2DF2"/>
    <w:rsid w:val="000A2E07"/>
    <w:rsid w:val="000A32E5"/>
    <w:rsid w:val="000A354C"/>
    <w:rsid w:val="000A35AF"/>
    <w:rsid w:val="000A36C7"/>
    <w:rsid w:val="000A3747"/>
    <w:rsid w:val="000A3890"/>
    <w:rsid w:val="000A38DC"/>
    <w:rsid w:val="000A3920"/>
    <w:rsid w:val="000A3932"/>
    <w:rsid w:val="000A4237"/>
    <w:rsid w:val="000A4A10"/>
    <w:rsid w:val="000A4CD1"/>
    <w:rsid w:val="000A4DBB"/>
    <w:rsid w:val="000A4F7D"/>
    <w:rsid w:val="000A5172"/>
    <w:rsid w:val="000A5343"/>
    <w:rsid w:val="000A542B"/>
    <w:rsid w:val="000A559A"/>
    <w:rsid w:val="000A559C"/>
    <w:rsid w:val="000A5A5E"/>
    <w:rsid w:val="000A5A8F"/>
    <w:rsid w:val="000A5D72"/>
    <w:rsid w:val="000A5DDC"/>
    <w:rsid w:val="000A60B2"/>
    <w:rsid w:val="000A61F1"/>
    <w:rsid w:val="000A62E3"/>
    <w:rsid w:val="000A634F"/>
    <w:rsid w:val="000A63EA"/>
    <w:rsid w:val="000A6412"/>
    <w:rsid w:val="000A668A"/>
    <w:rsid w:val="000A6904"/>
    <w:rsid w:val="000A69BB"/>
    <w:rsid w:val="000A6B18"/>
    <w:rsid w:val="000A6D88"/>
    <w:rsid w:val="000A6DD7"/>
    <w:rsid w:val="000A6E31"/>
    <w:rsid w:val="000A6F9E"/>
    <w:rsid w:val="000A70C3"/>
    <w:rsid w:val="000A72D1"/>
    <w:rsid w:val="000A7385"/>
    <w:rsid w:val="000A7423"/>
    <w:rsid w:val="000A7446"/>
    <w:rsid w:val="000A744C"/>
    <w:rsid w:val="000A78C8"/>
    <w:rsid w:val="000A7B7A"/>
    <w:rsid w:val="000A7F78"/>
    <w:rsid w:val="000B0634"/>
    <w:rsid w:val="000B1075"/>
    <w:rsid w:val="000B113D"/>
    <w:rsid w:val="000B1270"/>
    <w:rsid w:val="000B14F3"/>
    <w:rsid w:val="000B157A"/>
    <w:rsid w:val="000B177D"/>
    <w:rsid w:val="000B1822"/>
    <w:rsid w:val="000B1897"/>
    <w:rsid w:val="000B18DE"/>
    <w:rsid w:val="000B1B79"/>
    <w:rsid w:val="000B1E28"/>
    <w:rsid w:val="000B1ED1"/>
    <w:rsid w:val="000B1F96"/>
    <w:rsid w:val="000B2051"/>
    <w:rsid w:val="000B215E"/>
    <w:rsid w:val="000B2220"/>
    <w:rsid w:val="000B226E"/>
    <w:rsid w:val="000B232C"/>
    <w:rsid w:val="000B29C3"/>
    <w:rsid w:val="000B2C94"/>
    <w:rsid w:val="000B2D8D"/>
    <w:rsid w:val="000B2E59"/>
    <w:rsid w:val="000B311F"/>
    <w:rsid w:val="000B32FC"/>
    <w:rsid w:val="000B3792"/>
    <w:rsid w:val="000B3C02"/>
    <w:rsid w:val="000B3D1E"/>
    <w:rsid w:val="000B40CE"/>
    <w:rsid w:val="000B43EC"/>
    <w:rsid w:val="000B4491"/>
    <w:rsid w:val="000B44DE"/>
    <w:rsid w:val="000B45C6"/>
    <w:rsid w:val="000B4681"/>
    <w:rsid w:val="000B468A"/>
    <w:rsid w:val="000B482C"/>
    <w:rsid w:val="000B486D"/>
    <w:rsid w:val="000B4D72"/>
    <w:rsid w:val="000B4E91"/>
    <w:rsid w:val="000B5770"/>
    <w:rsid w:val="000B5932"/>
    <w:rsid w:val="000B5A43"/>
    <w:rsid w:val="000B5A9B"/>
    <w:rsid w:val="000B5ABA"/>
    <w:rsid w:val="000B5D85"/>
    <w:rsid w:val="000B6105"/>
    <w:rsid w:val="000B624E"/>
    <w:rsid w:val="000B62D6"/>
    <w:rsid w:val="000B659C"/>
    <w:rsid w:val="000B6900"/>
    <w:rsid w:val="000B6BBF"/>
    <w:rsid w:val="000B6C4E"/>
    <w:rsid w:val="000B6CEB"/>
    <w:rsid w:val="000B6E5C"/>
    <w:rsid w:val="000B7175"/>
    <w:rsid w:val="000B750A"/>
    <w:rsid w:val="000B759B"/>
    <w:rsid w:val="000B7940"/>
    <w:rsid w:val="000B7AAF"/>
    <w:rsid w:val="000B7C4B"/>
    <w:rsid w:val="000B7E29"/>
    <w:rsid w:val="000B7E44"/>
    <w:rsid w:val="000C05CC"/>
    <w:rsid w:val="000C076C"/>
    <w:rsid w:val="000C0812"/>
    <w:rsid w:val="000C0A89"/>
    <w:rsid w:val="000C0AB5"/>
    <w:rsid w:val="000C0AE6"/>
    <w:rsid w:val="000C0B11"/>
    <w:rsid w:val="000C0CAE"/>
    <w:rsid w:val="000C1347"/>
    <w:rsid w:val="000C15F2"/>
    <w:rsid w:val="000C1AD7"/>
    <w:rsid w:val="000C1CA6"/>
    <w:rsid w:val="000C1D69"/>
    <w:rsid w:val="000C2356"/>
    <w:rsid w:val="000C271A"/>
    <w:rsid w:val="000C27EC"/>
    <w:rsid w:val="000C28BF"/>
    <w:rsid w:val="000C2B40"/>
    <w:rsid w:val="000C2C2B"/>
    <w:rsid w:val="000C330C"/>
    <w:rsid w:val="000C3372"/>
    <w:rsid w:val="000C33B1"/>
    <w:rsid w:val="000C3422"/>
    <w:rsid w:val="000C3657"/>
    <w:rsid w:val="000C39D8"/>
    <w:rsid w:val="000C4243"/>
    <w:rsid w:val="000C4B29"/>
    <w:rsid w:val="000C4C7A"/>
    <w:rsid w:val="000C5BCA"/>
    <w:rsid w:val="000C5D74"/>
    <w:rsid w:val="000C5D9C"/>
    <w:rsid w:val="000C5E15"/>
    <w:rsid w:val="000C620A"/>
    <w:rsid w:val="000C6242"/>
    <w:rsid w:val="000C64A4"/>
    <w:rsid w:val="000C6789"/>
    <w:rsid w:val="000C68DB"/>
    <w:rsid w:val="000C6987"/>
    <w:rsid w:val="000C6A0B"/>
    <w:rsid w:val="000C6F48"/>
    <w:rsid w:val="000C7015"/>
    <w:rsid w:val="000C7B0B"/>
    <w:rsid w:val="000C7D74"/>
    <w:rsid w:val="000C7E41"/>
    <w:rsid w:val="000C7F1C"/>
    <w:rsid w:val="000C7FBA"/>
    <w:rsid w:val="000D04D6"/>
    <w:rsid w:val="000D0664"/>
    <w:rsid w:val="000D07B5"/>
    <w:rsid w:val="000D0B9B"/>
    <w:rsid w:val="000D0E13"/>
    <w:rsid w:val="000D0F60"/>
    <w:rsid w:val="000D0FE8"/>
    <w:rsid w:val="000D106E"/>
    <w:rsid w:val="000D10A4"/>
    <w:rsid w:val="000D1327"/>
    <w:rsid w:val="000D13AE"/>
    <w:rsid w:val="000D1431"/>
    <w:rsid w:val="000D1445"/>
    <w:rsid w:val="000D1555"/>
    <w:rsid w:val="000D1704"/>
    <w:rsid w:val="000D1991"/>
    <w:rsid w:val="000D1BA5"/>
    <w:rsid w:val="000D1CE6"/>
    <w:rsid w:val="000D1E8F"/>
    <w:rsid w:val="000D23E4"/>
    <w:rsid w:val="000D243B"/>
    <w:rsid w:val="000D24CF"/>
    <w:rsid w:val="000D29A7"/>
    <w:rsid w:val="000D2C32"/>
    <w:rsid w:val="000D2C51"/>
    <w:rsid w:val="000D2D5C"/>
    <w:rsid w:val="000D300F"/>
    <w:rsid w:val="000D30C6"/>
    <w:rsid w:val="000D320D"/>
    <w:rsid w:val="000D3712"/>
    <w:rsid w:val="000D37F9"/>
    <w:rsid w:val="000D3A0D"/>
    <w:rsid w:val="000D3B4E"/>
    <w:rsid w:val="000D3BAA"/>
    <w:rsid w:val="000D3EDE"/>
    <w:rsid w:val="000D3F9E"/>
    <w:rsid w:val="000D4075"/>
    <w:rsid w:val="000D492B"/>
    <w:rsid w:val="000D499E"/>
    <w:rsid w:val="000D4C7D"/>
    <w:rsid w:val="000D4D71"/>
    <w:rsid w:val="000D4F55"/>
    <w:rsid w:val="000D5076"/>
    <w:rsid w:val="000D5181"/>
    <w:rsid w:val="000D5E5E"/>
    <w:rsid w:val="000D61B6"/>
    <w:rsid w:val="000D652C"/>
    <w:rsid w:val="000D69DA"/>
    <w:rsid w:val="000D7148"/>
    <w:rsid w:val="000D7391"/>
    <w:rsid w:val="000D74C1"/>
    <w:rsid w:val="000D765C"/>
    <w:rsid w:val="000D7830"/>
    <w:rsid w:val="000D7AB8"/>
    <w:rsid w:val="000E03F1"/>
    <w:rsid w:val="000E07DE"/>
    <w:rsid w:val="000E082E"/>
    <w:rsid w:val="000E0B71"/>
    <w:rsid w:val="000E0FD7"/>
    <w:rsid w:val="000E1384"/>
    <w:rsid w:val="000E13A6"/>
    <w:rsid w:val="000E147B"/>
    <w:rsid w:val="000E14B3"/>
    <w:rsid w:val="000E1811"/>
    <w:rsid w:val="000E1A7F"/>
    <w:rsid w:val="000E1B77"/>
    <w:rsid w:val="000E1BC9"/>
    <w:rsid w:val="000E1D07"/>
    <w:rsid w:val="000E1DA3"/>
    <w:rsid w:val="000E1DCB"/>
    <w:rsid w:val="000E1F22"/>
    <w:rsid w:val="000E2156"/>
    <w:rsid w:val="000E2536"/>
    <w:rsid w:val="000E2625"/>
    <w:rsid w:val="000E27CE"/>
    <w:rsid w:val="000E28FB"/>
    <w:rsid w:val="000E2922"/>
    <w:rsid w:val="000E2AC7"/>
    <w:rsid w:val="000E2B12"/>
    <w:rsid w:val="000E2F58"/>
    <w:rsid w:val="000E307C"/>
    <w:rsid w:val="000E3124"/>
    <w:rsid w:val="000E3678"/>
    <w:rsid w:val="000E3C66"/>
    <w:rsid w:val="000E3F6E"/>
    <w:rsid w:val="000E3FBE"/>
    <w:rsid w:val="000E47D1"/>
    <w:rsid w:val="000E4B8C"/>
    <w:rsid w:val="000E4BEC"/>
    <w:rsid w:val="000E4C9A"/>
    <w:rsid w:val="000E4CD7"/>
    <w:rsid w:val="000E4E03"/>
    <w:rsid w:val="000E4E66"/>
    <w:rsid w:val="000E5216"/>
    <w:rsid w:val="000E5487"/>
    <w:rsid w:val="000E56B1"/>
    <w:rsid w:val="000E56C9"/>
    <w:rsid w:val="000E595A"/>
    <w:rsid w:val="000E5D24"/>
    <w:rsid w:val="000E5F91"/>
    <w:rsid w:val="000E699F"/>
    <w:rsid w:val="000E6AA9"/>
    <w:rsid w:val="000E6AED"/>
    <w:rsid w:val="000E6F72"/>
    <w:rsid w:val="000E75B8"/>
    <w:rsid w:val="000E7654"/>
    <w:rsid w:val="000E7F00"/>
    <w:rsid w:val="000E7F11"/>
    <w:rsid w:val="000E7FE7"/>
    <w:rsid w:val="000F0180"/>
    <w:rsid w:val="000F02EB"/>
    <w:rsid w:val="000F0343"/>
    <w:rsid w:val="000F0478"/>
    <w:rsid w:val="000F06EB"/>
    <w:rsid w:val="000F0741"/>
    <w:rsid w:val="000F09A7"/>
    <w:rsid w:val="000F0A50"/>
    <w:rsid w:val="000F0E46"/>
    <w:rsid w:val="000F0F1C"/>
    <w:rsid w:val="000F109C"/>
    <w:rsid w:val="000F19C1"/>
    <w:rsid w:val="000F1A6B"/>
    <w:rsid w:val="000F1A8F"/>
    <w:rsid w:val="000F1DB4"/>
    <w:rsid w:val="000F205D"/>
    <w:rsid w:val="000F2224"/>
    <w:rsid w:val="000F23D5"/>
    <w:rsid w:val="000F2493"/>
    <w:rsid w:val="000F27B0"/>
    <w:rsid w:val="000F288F"/>
    <w:rsid w:val="000F2A3D"/>
    <w:rsid w:val="000F2B85"/>
    <w:rsid w:val="000F2DDC"/>
    <w:rsid w:val="000F3228"/>
    <w:rsid w:val="000F3626"/>
    <w:rsid w:val="000F373B"/>
    <w:rsid w:val="000F3772"/>
    <w:rsid w:val="000F3C08"/>
    <w:rsid w:val="000F3E05"/>
    <w:rsid w:val="000F4261"/>
    <w:rsid w:val="000F43EC"/>
    <w:rsid w:val="000F44FE"/>
    <w:rsid w:val="000F4699"/>
    <w:rsid w:val="000F46EC"/>
    <w:rsid w:val="000F4745"/>
    <w:rsid w:val="000F49C3"/>
    <w:rsid w:val="000F4CCB"/>
    <w:rsid w:val="000F4D7B"/>
    <w:rsid w:val="000F55CA"/>
    <w:rsid w:val="000F5618"/>
    <w:rsid w:val="000F57FF"/>
    <w:rsid w:val="000F5A8E"/>
    <w:rsid w:val="000F5C8A"/>
    <w:rsid w:val="000F60BF"/>
    <w:rsid w:val="000F61E2"/>
    <w:rsid w:val="000F636B"/>
    <w:rsid w:val="000F6573"/>
    <w:rsid w:val="000F6792"/>
    <w:rsid w:val="000F68D9"/>
    <w:rsid w:val="000F6AB5"/>
    <w:rsid w:val="000F6DAE"/>
    <w:rsid w:val="000F7345"/>
    <w:rsid w:val="000F735E"/>
    <w:rsid w:val="000F75F9"/>
    <w:rsid w:val="000F785B"/>
    <w:rsid w:val="000F7D0E"/>
    <w:rsid w:val="001002A4"/>
    <w:rsid w:val="001002AE"/>
    <w:rsid w:val="0010063D"/>
    <w:rsid w:val="00100AA4"/>
    <w:rsid w:val="00100DB9"/>
    <w:rsid w:val="00100EFE"/>
    <w:rsid w:val="001016D6"/>
    <w:rsid w:val="00101AE9"/>
    <w:rsid w:val="00101BF9"/>
    <w:rsid w:val="00101FBA"/>
    <w:rsid w:val="001021F5"/>
    <w:rsid w:val="00102318"/>
    <w:rsid w:val="001025E6"/>
    <w:rsid w:val="00102A0A"/>
    <w:rsid w:val="00102C2F"/>
    <w:rsid w:val="00103133"/>
    <w:rsid w:val="0010338F"/>
    <w:rsid w:val="0010344E"/>
    <w:rsid w:val="001038A6"/>
    <w:rsid w:val="00103D5E"/>
    <w:rsid w:val="001044F0"/>
    <w:rsid w:val="00104EA7"/>
    <w:rsid w:val="0010518D"/>
    <w:rsid w:val="001057DA"/>
    <w:rsid w:val="001058AB"/>
    <w:rsid w:val="00105A67"/>
    <w:rsid w:val="00105AE9"/>
    <w:rsid w:val="00105FAD"/>
    <w:rsid w:val="001067A8"/>
    <w:rsid w:val="00106DDF"/>
    <w:rsid w:val="00106F73"/>
    <w:rsid w:val="00106FD2"/>
    <w:rsid w:val="001076EE"/>
    <w:rsid w:val="00107A6C"/>
    <w:rsid w:val="00107CEC"/>
    <w:rsid w:val="00107D3B"/>
    <w:rsid w:val="00110343"/>
    <w:rsid w:val="00110982"/>
    <w:rsid w:val="001109BE"/>
    <w:rsid w:val="00111191"/>
    <w:rsid w:val="0011153B"/>
    <w:rsid w:val="0011155B"/>
    <w:rsid w:val="0011193F"/>
    <w:rsid w:val="00111952"/>
    <w:rsid w:val="001119A6"/>
    <w:rsid w:val="00111A6A"/>
    <w:rsid w:val="00111C39"/>
    <w:rsid w:val="00111D6D"/>
    <w:rsid w:val="00111F1D"/>
    <w:rsid w:val="00111F92"/>
    <w:rsid w:val="00111FEB"/>
    <w:rsid w:val="0011210D"/>
    <w:rsid w:val="00112AD8"/>
    <w:rsid w:val="00112B25"/>
    <w:rsid w:val="00112B32"/>
    <w:rsid w:val="00112F08"/>
    <w:rsid w:val="00113120"/>
    <w:rsid w:val="001133D4"/>
    <w:rsid w:val="001134AF"/>
    <w:rsid w:val="001135A5"/>
    <w:rsid w:val="001135B6"/>
    <w:rsid w:val="00113C61"/>
    <w:rsid w:val="001142C2"/>
    <w:rsid w:val="001143AE"/>
    <w:rsid w:val="00114C56"/>
    <w:rsid w:val="00114C81"/>
    <w:rsid w:val="00114CC3"/>
    <w:rsid w:val="00114D55"/>
    <w:rsid w:val="00114FC4"/>
    <w:rsid w:val="00115378"/>
    <w:rsid w:val="00115457"/>
    <w:rsid w:val="001154EC"/>
    <w:rsid w:val="00115520"/>
    <w:rsid w:val="00115A9D"/>
    <w:rsid w:val="00115B68"/>
    <w:rsid w:val="00115C2C"/>
    <w:rsid w:val="00115CBB"/>
    <w:rsid w:val="00115EA1"/>
    <w:rsid w:val="00115F66"/>
    <w:rsid w:val="001164A7"/>
    <w:rsid w:val="001165B9"/>
    <w:rsid w:val="0011676A"/>
    <w:rsid w:val="00116D19"/>
    <w:rsid w:val="00116E9A"/>
    <w:rsid w:val="001170BD"/>
    <w:rsid w:val="0011763D"/>
    <w:rsid w:val="0011765E"/>
    <w:rsid w:val="0011774A"/>
    <w:rsid w:val="00117761"/>
    <w:rsid w:val="001179A7"/>
    <w:rsid w:val="00117CFD"/>
    <w:rsid w:val="00117F93"/>
    <w:rsid w:val="00120602"/>
    <w:rsid w:val="00120756"/>
    <w:rsid w:val="001209FD"/>
    <w:rsid w:val="00120B0C"/>
    <w:rsid w:val="00120B7C"/>
    <w:rsid w:val="00120D31"/>
    <w:rsid w:val="001216F8"/>
    <w:rsid w:val="001219D8"/>
    <w:rsid w:val="00121BF1"/>
    <w:rsid w:val="00121C01"/>
    <w:rsid w:val="00121D73"/>
    <w:rsid w:val="00122295"/>
    <w:rsid w:val="0012233E"/>
    <w:rsid w:val="0012234B"/>
    <w:rsid w:val="00122416"/>
    <w:rsid w:val="00122A97"/>
    <w:rsid w:val="00122B55"/>
    <w:rsid w:val="00122F30"/>
    <w:rsid w:val="00123091"/>
    <w:rsid w:val="001230AC"/>
    <w:rsid w:val="00123187"/>
    <w:rsid w:val="00123189"/>
    <w:rsid w:val="001233A6"/>
    <w:rsid w:val="00123627"/>
    <w:rsid w:val="001238B9"/>
    <w:rsid w:val="00123AED"/>
    <w:rsid w:val="00123B65"/>
    <w:rsid w:val="00123BD6"/>
    <w:rsid w:val="00123C4A"/>
    <w:rsid w:val="00123D73"/>
    <w:rsid w:val="001242D7"/>
    <w:rsid w:val="001243AA"/>
    <w:rsid w:val="00124885"/>
    <w:rsid w:val="0012516E"/>
    <w:rsid w:val="0012521F"/>
    <w:rsid w:val="00125326"/>
    <w:rsid w:val="00125867"/>
    <w:rsid w:val="00125906"/>
    <w:rsid w:val="00125918"/>
    <w:rsid w:val="00125A99"/>
    <w:rsid w:val="00125CC5"/>
    <w:rsid w:val="0012601E"/>
    <w:rsid w:val="00126114"/>
    <w:rsid w:val="001263E3"/>
    <w:rsid w:val="001267BB"/>
    <w:rsid w:val="0012686C"/>
    <w:rsid w:val="00126A20"/>
    <w:rsid w:val="00126DD9"/>
    <w:rsid w:val="00127016"/>
    <w:rsid w:val="001270DF"/>
    <w:rsid w:val="001272BB"/>
    <w:rsid w:val="00127795"/>
    <w:rsid w:val="001278A9"/>
    <w:rsid w:val="00127991"/>
    <w:rsid w:val="00127A8B"/>
    <w:rsid w:val="00127CAF"/>
    <w:rsid w:val="00127F4D"/>
    <w:rsid w:val="001300E6"/>
    <w:rsid w:val="001302EF"/>
    <w:rsid w:val="00130418"/>
    <w:rsid w:val="0013080B"/>
    <w:rsid w:val="00130D24"/>
    <w:rsid w:val="00130E73"/>
    <w:rsid w:val="00130EAF"/>
    <w:rsid w:val="001312C8"/>
    <w:rsid w:val="001316F4"/>
    <w:rsid w:val="001318F6"/>
    <w:rsid w:val="00131BD6"/>
    <w:rsid w:val="00131C84"/>
    <w:rsid w:val="00131ED3"/>
    <w:rsid w:val="00131F60"/>
    <w:rsid w:val="0013237B"/>
    <w:rsid w:val="001324EC"/>
    <w:rsid w:val="001327D6"/>
    <w:rsid w:val="001327F6"/>
    <w:rsid w:val="00132B10"/>
    <w:rsid w:val="00132BEE"/>
    <w:rsid w:val="00133079"/>
    <w:rsid w:val="001333E7"/>
    <w:rsid w:val="001333F6"/>
    <w:rsid w:val="00133455"/>
    <w:rsid w:val="00133650"/>
    <w:rsid w:val="001338CF"/>
    <w:rsid w:val="00133A53"/>
    <w:rsid w:val="0013460A"/>
    <w:rsid w:val="00134920"/>
    <w:rsid w:val="00134954"/>
    <w:rsid w:val="00134B92"/>
    <w:rsid w:val="00134B94"/>
    <w:rsid w:val="00134BE5"/>
    <w:rsid w:val="00134BFA"/>
    <w:rsid w:val="00134C23"/>
    <w:rsid w:val="001352B6"/>
    <w:rsid w:val="00135362"/>
    <w:rsid w:val="00135422"/>
    <w:rsid w:val="001356ED"/>
    <w:rsid w:val="0013571B"/>
    <w:rsid w:val="00135AE8"/>
    <w:rsid w:val="00135B24"/>
    <w:rsid w:val="00135D41"/>
    <w:rsid w:val="00135D53"/>
    <w:rsid w:val="00135E5A"/>
    <w:rsid w:val="00135E92"/>
    <w:rsid w:val="00135F27"/>
    <w:rsid w:val="0013628D"/>
    <w:rsid w:val="001364DE"/>
    <w:rsid w:val="00136761"/>
    <w:rsid w:val="001367F9"/>
    <w:rsid w:val="0013720F"/>
    <w:rsid w:val="00137279"/>
    <w:rsid w:val="0013763C"/>
    <w:rsid w:val="0013779B"/>
    <w:rsid w:val="00140371"/>
    <w:rsid w:val="00140609"/>
    <w:rsid w:val="00140653"/>
    <w:rsid w:val="001406B5"/>
    <w:rsid w:val="00140968"/>
    <w:rsid w:val="00140E39"/>
    <w:rsid w:val="00141085"/>
    <w:rsid w:val="00141157"/>
    <w:rsid w:val="001412D1"/>
    <w:rsid w:val="00141424"/>
    <w:rsid w:val="001414F2"/>
    <w:rsid w:val="00141641"/>
    <w:rsid w:val="0014178F"/>
    <w:rsid w:val="00141A64"/>
    <w:rsid w:val="00141FF1"/>
    <w:rsid w:val="00142130"/>
    <w:rsid w:val="001422B0"/>
    <w:rsid w:val="001423E3"/>
    <w:rsid w:val="001423EE"/>
    <w:rsid w:val="001425E6"/>
    <w:rsid w:val="00142AA5"/>
    <w:rsid w:val="0014332F"/>
    <w:rsid w:val="0014391E"/>
    <w:rsid w:val="00143FBD"/>
    <w:rsid w:val="00143FDB"/>
    <w:rsid w:val="00144714"/>
    <w:rsid w:val="001448E6"/>
    <w:rsid w:val="00144C19"/>
    <w:rsid w:val="00145377"/>
    <w:rsid w:val="00145401"/>
    <w:rsid w:val="00145938"/>
    <w:rsid w:val="00145A49"/>
    <w:rsid w:val="00145B83"/>
    <w:rsid w:val="00145C61"/>
    <w:rsid w:val="00145CCE"/>
    <w:rsid w:val="00146084"/>
    <w:rsid w:val="00146191"/>
    <w:rsid w:val="0014646A"/>
    <w:rsid w:val="00146694"/>
    <w:rsid w:val="00146E5C"/>
    <w:rsid w:val="00146F48"/>
    <w:rsid w:val="0014733D"/>
    <w:rsid w:val="00147490"/>
    <w:rsid w:val="001475EA"/>
    <w:rsid w:val="00147937"/>
    <w:rsid w:val="00147A1F"/>
    <w:rsid w:val="00147AF1"/>
    <w:rsid w:val="00147B78"/>
    <w:rsid w:val="00147BFC"/>
    <w:rsid w:val="00147C34"/>
    <w:rsid w:val="00147C6E"/>
    <w:rsid w:val="00147E2D"/>
    <w:rsid w:val="00150041"/>
    <w:rsid w:val="001500C9"/>
    <w:rsid w:val="001501ED"/>
    <w:rsid w:val="001504F5"/>
    <w:rsid w:val="00150813"/>
    <w:rsid w:val="00150925"/>
    <w:rsid w:val="00150D8D"/>
    <w:rsid w:val="0015100B"/>
    <w:rsid w:val="00151777"/>
    <w:rsid w:val="001517BD"/>
    <w:rsid w:val="0015191B"/>
    <w:rsid w:val="00151B6F"/>
    <w:rsid w:val="00151FF5"/>
    <w:rsid w:val="001522FA"/>
    <w:rsid w:val="00152A7B"/>
    <w:rsid w:val="00152CB0"/>
    <w:rsid w:val="00152D08"/>
    <w:rsid w:val="00152F7E"/>
    <w:rsid w:val="00152F83"/>
    <w:rsid w:val="0015322E"/>
    <w:rsid w:val="001534C3"/>
    <w:rsid w:val="00153A08"/>
    <w:rsid w:val="00153D43"/>
    <w:rsid w:val="00154492"/>
    <w:rsid w:val="001544D8"/>
    <w:rsid w:val="001545DC"/>
    <w:rsid w:val="0015466C"/>
    <w:rsid w:val="00154B01"/>
    <w:rsid w:val="0015521E"/>
    <w:rsid w:val="001555D7"/>
    <w:rsid w:val="00155658"/>
    <w:rsid w:val="00155927"/>
    <w:rsid w:val="00155A60"/>
    <w:rsid w:val="00155B56"/>
    <w:rsid w:val="00155C48"/>
    <w:rsid w:val="00156123"/>
    <w:rsid w:val="00156306"/>
    <w:rsid w:val="0015630F"/>
    <w:rsid w:val="001564BA"/>
    <w:rsid w:val="00156825"/>
    <w:rsid w:val="001569E4"/>
    <w:rsid w:val="00156C9B"/>
    <w:rsid w:val="001570A4"/>
    <w:rsid w:val="00157187"/>
    <w:rsid w:val="00157194"/>
    <w:rsid w:val="0015730A"/>
    <w:rsid w:val="0015741D"/>
    <w:rsid w:val="00157477"/>
    <w:rsid w:val="0015763B"/>
    <w:rsid w:val="001577FD"/>
    <w:rsid w:val="00157A12"/>
    <w:rsid w:val="001604DC"/>
    <w:rsid w:val="0016097B"/>
    <w:rsid w:val="00160B0B"/>
    <w:rsid w:val="00160D31"/>
    <w:rsid w:val="00161070"/>
    <w:rsid w:val="00161117"/>
    <w:rsid w:val="001614AD"/>
    <w:rsid w:val="0016200A"/>
    <w:rsid w:val="00162689"/>
    <w:rsid w:val="0016283B"/>
    <w:rsid w:val="00163041"/>
    <w:rsid w:val="00163760"/>
    <w:rsid w:val="00163B09"/>
    <w:rsid w:val="00163B66"/>
    <w:rsid w:val="00163BE1"/>
    <w:rsid w:val="00163BEB"/>
    <w:rsid w:val="00164B72"/>
    <w:rsid w:val="00164BBD"/>
    <w:rsid w:val="00164BDC"/>
    <w:rsid w:val="00164C5F"/>
    <w:rsid w:val="00164F05"/>
    <w:rsid w:val="00164F1C"/>
    <w:rsid w:val="00165355"/>
    <w:rsid w:val="0016555A"/>
    <w:rsid w:val="001657C3"/>
    <w:rsid w:val="00165C0C"/>
    <w:rsid w:val="00165C16"/>
    <w:rsid w:val="00165FB6"/>
    <w:rsid w:val="00166208"/>
    <w:rsid w:val="00166746"/>
    <w:rsid w:val="00166797"/>
    <w:rsid w:val="00166813"/>
    <w:rsid w:val="00167049"/>
    <w:rsid w:val="00167730"/>
    <w:rsid w:val="00167AC5"/>
    <w:rsid w:val="00167BEA"/>
    <w:rsid w:val="00167E66"/>
    <w:rsid w:val="00170094"/>
    <w:rsid w:val="001700C1"/>
    <w:rsid w:val="00170309"/>
    <w:rsid w:val="00170BC2"/>
    <w:rsid w:val="00170D4F"/>
    <w:rsid w:val="00170D5A"/>
    <w:rsid w:val="00170DEA"/>
    <w:rsid w:val="00170F3C"/>
    <w:rsid w:val="001710E9"/>
    <w:rsid w:val="001712FC"/>
    <w:rsid w:val="00171502"/>
    <w:rsid w:val="00171566"/>
    <w:rsid w:val="0017163C"/>
    <w:rsid w:val="001717AE"/>
    <w:rsid w:val="001718F4"/>
    <w:rsid w:val="00171912"/>
    <w:rsid w:val="00171926"/>
    <w:rsid w:val="00171DC4"/>
    <w:rsid w:val="00171ED1"/>
    <w:rsid w:val="0017239E"/>
    <w:rsid w:val="0017248D"/>
    <w:rsid w:val="00172ED4"/>
    <w:rsid w:val="00172FC4"/>
    <w:rsid w:val="001731A7"/>
    <w:rsid w:val="00173484"/>
    <w:rsid w:val="00173626"/>
    <w:rsid w:val="00173877"/>
    <w:rsid w:val="00173DD7"/>
    <w:rsid w:val="00173FB2"/>
    <w:rsid w:val="00174217"/>
    <w:rsid w:val="00174273"/>
    <w:rsid w:val="00174297"/>
    <w:rsid w:val="001742D0"/>
    <w:rsid w:val="00174480"/>
    <w:rsid w:val="00174565"/>
    <w:rsid w:val="0017458F"/>
    <w:rsid w:val="001745AE"/>
    <w:rsid w:val="001745D0"/>
    <w:rsid w:val="00174645"/>
    <w:rsid w:val="00174761"/>
    <w:rsid w:val="001748D2"/>
    <w:rsid w:val="00174D55"/>
    <w:rsid w:val="00174DFA"/>
    <w:rsid w:val="00174F7E"/>
    <w:rsid w:val="0017517B"/>
    <w:rsid w:val="00175330"/>
    <w:rsid w:val="001757C1"/>
    <w:rsid w:val="00175FE1"/>
    <w:rsid w:val="001760B8"/>
    <w:rsid w:val="0017614A"/>
    <w:rsid w:val="0017629E"/>
    <w:rsid w:val="00176643"/>
    <w:rsid w:val="0017700B"/>
    <w:rsid w:val="00177327"/>
    <w:rsid w:val="00177364"/>
    <w:rsid w:val="001775F2"/>
    <w:rsid w:val="00177DDC"/>
    <w:rsid w:val="00177E0F"/>
    <w:rsid w:val="00177E30"/>
    <w:rsid w:val="0018024F"/>
    <w:rsid w:val="00180365"/>
    <w:rsid w:val="00180408"/>
    <w:rsid w:val="001807C4"/>
    <w:rsid w:val="00180835"/>
    <w:rsid w:val="00180A81"/>
    <w:rsid w:val="00180AC7"/>
    <w:rsid w:val="00180DE1"/>
    <w:rsid w:val="00180ED3"/>
    <w:rsid w:val="00180FFE"/>
    <w:rsid w:val="00181337"/>
    <w:rsid w:val="001813E8"/>
    <w:rsid w:val="0018144A"/>
    <w:rsid w:val="001815C9"/>
    <w:rsid w:val="001817CD"/>
    <w:rsid w:val="00181C25"/>
    <w:rsid w:val="00181E7D"/>
    <w:rsid w:val="00182070"/>
    <w:rsid w:val="0018235E"/>
    <w:rsid w:val="001823EC"/>
    <w:rsid w:val="001825B0"/>
    <w:rsid w:val="00182636"/>
    <w:rsid w:val="00182788"/>
    <w:rsid w:val="00182BE5"/>
    <w:rsid w:val="00182C31"/>
    <w:rsid w:val="00182EA6"/>
    <w:rsid w:val="00182F49"/>
    <w:rsid w:val="001833B4"/>
    <w:rsid w:val="00183689"/>
    <w:rsid w:val="00183896"/>
    <w:rsid w:val="00183901"/>
    <w:rsid w:val="00183924"/>
    <w:rsid w:val="00183968"/>
    <w:rsid w:val="00183B1A"/>
    <w:rsid w:val="00183BE6"/>
    <w:rsid w:val="00183CD5"/>
    <w:rsid w:val="00183D95"/>
    <w:rsid w:val="00183FA4"/>
    <w:rsid w:val="00184293"/>
    <w:rsid w:val="0018441F"/>
    <w:rsid w:val="00184427"/>
    <w:rsid w:val="00184776"/>
    <w:rsid w:val="001847ED"/>
    <w:rsid w:val="00184843"/>
    <w:rsid w:val="00184B9F"/>
    <w:rsid w:val="00184CF3"/>
    <w:rsid w:val="00184CF8"/>
    <w:rsid w:val="00184DBE"/>
    <w:rsid w:val="0018501F"/>
    <w:rsid w:val="00185151"/>
    <w:rsid w:val="001855E4"/>
    <w:rsid w:val="00185CC8"/>
    <w:rsid w:val="00185F91"/>
    <w:rsid w:val="001865BE"/>
    <w:rsid w:val="00186646"/>
    <w:rsid w:val="001868ED"/>
    <w:rsid w:val="00186A27"/>
    <w:rsid w:val="00186AA3"/>
    <w:rsid w:val="00186C36"/>
    <w:rsid w:val="00187285"/>
    <w:rsid w:val="0018729D"/>
    <w:rsid w:val="001872B3"/>
    <w:rsid w:val="0018768C"/>
    <w:rsid w:val="00187748"/>
    <w:rsid w:val="00187C49"/>
    <w:rsid w:val="00187D22"/>
    <w:rsid w:val="00187DB3"/>
    <w:rsid w:val="00187E64"/>
    <w:rsid w:val="001904F1"/>
    <w:rsid w:val="00190540"/>
    <w:rsid w:val="00190601"/>
    <w:rsid w:val="00190ACF"/>
    <w:rsid w:val="00190E41"/>
    <w:rsid w:val="0019152B"/>
    <w:rsid w:val="001915AA"/>
    <w:rsid w:val="00191A80"/>
    <w:rsid w:val="00191D63"/>
    <w:rsid w:val="00192197"/>
    <w:rsid w:val="00192407"/>
    <w:rsid w:val="001924AE"/>
    <w:rsid w:val="0019255A"/>
    <w:rsid w:val="00192642"/>
    <w:rsid w:val="001928F3"/>
    <w:rsid w:val="00192B9F"/>
    <w:rsid w:val="00192BA0"/>
    <w:rsid w:val="00192CCA"/>
    <w:rsid w:val="001934FD"/>
    <w:rsid w:val="00193936"/>
    <w:rsid w:val="00193CEC"/>
    <w:rsid w:val="00193DAC"/>
    <w:rsid w:val="00193E6A"/>
    <w:rsid w:val="00194007"/>
    <w:rsid w:val="001941C6"/>
    <w:rsid w:val="001941EC"/>
    <w:rsid w:val="00194269"/>
    <w:rsid w:val="001942F2"/>
    <w:rsid w:val="00194493"/>
    <w:rsid w:val="001945E9"/>
    <w:rsid w:val="00194782"/>
    <w:rsid w:val="00194E67"/>
    <w:rsid w:val="00195489"/>
    <w:rsid w:val="00195492"/>
    <w:rsid w:val="00195D52"/>
    <w:rsid w:val="00195E79"/>
    <w:rsid w:val="0019613A"/>
    <w:rsid w:val="00196AF2"/>
    <w:rsid w:val="00196F40"/>
    <w:rsid w:val="00196FBC"/>
    <w:rsid w:val="00197303"/>
    <w:rsid w:val="001973F5"/>
    <w:rsid w:val="00197815"/>
    <w:rsid w:val="001978AA"/>
    <w:rsid w:val="00197B7D"/>
    <w:rsid w:val="00197E04"/>
    <w:rsid w:val="00197EC9"/>
    <w:rsid w:val="00197F3A"/>
    <w:rsid w:val="001A003C"/>
    <w:rsid w:val="001A00D2"/>
    <w:rsid w:val="001A05F1"/>
    <w:rsid w:val="001A061E"/>
    <w:rsid w:val="001A0746"/>
    <w:rsid w:val="001A0E0B"/>
    <w:rsid w:val="001A17EA"/>
    <w:rsid w:val="001A1D17"/>
    <w:rsid w:val="001A1EAF"/>
    <w:rsid w:val="001A1FC7"/>
    <w:rsid w:val="001A220A"/>
    <w:rsid w:val="001A22AA"/>
    <w:rsid w:val="001A241B"/>
    <w:rsid w:val="001A2771"/>
    <w:rsid w:val="001A27D8"/>
    <w:rsid w:val="001A2A3E"/>
    <w:rsid w:val="001A305A"/>
    <w:rsid w:val="001A3412"/>
    <w:rsid w:val="001A380F"/>
    <w:rsid w:val="001A38B2"/>
    <w:rsid w:val="001A3A29"/>
    <w:rsid w:val="001A3C33"/>
    <w:rsid w:val="001A3C90"/>
    <w:rsid w:val="001A4181"/>
    <w:rsid w:val="001A42EF"/>
    <w:rsid w:val="001A47A1"/>
    <w:rsid w:val="001A48B8"/>
    <w:rsid w:val="001A4944"/>
    <w:rsid w:val="001A4B0F"/>
    <w:rsid w:val="001A4BB3"/>
    <w:rsid w:val="001A4BE6"/>
    <w:rsid w:val="001A4E3A"/>
    <w:rsid w:val="001A5008"/>
    <w:rsid w:val="001A52F8"/>
    <w:rsid w:val="001A5626"/>
    <w:rsid w:val="001A564B"/>
    <w:rsid w:val="001A576D"/>
    <w:rsid w:val="001A5D0A"/>
    <w:rsid w:val="001A5F10"/>
    <w:rsid w:val="001A6132"/>
    <w:rsid w:val="001A6223"/>
    <w:rsid w:val="001A62D8"/>
    <w:rsid w:val="001A64D4"/>
    <w:rsid w:val="001A6AF7"/>
    <w:rsid w:val="001A6C78"/>
    <w:rsid w:val="001A6EF9"/>
    <w:rsid w:val="001A7119"/>
    <w:rsid w:val="001A7867"/>
    <w:rsid w:val="001A7A18"/>
    <w:rsid w:val="001B01F3"/>
    <w:rsid w:val="001B070B"/>
    <w:rsid w:val="001B0759"/>
    <w:rsid w:val="001B0934"/>
    <w:rsid w:val="001B094C"/>
    <w:rsid w:val="001B0C17"/>
    <w:rsid w:val="001B0E2F"/>
    <w:rsid w:val="001B0F80"/>
    <w:rsid w:val="001B10ED"/>
    <w:rsid w:val="001B1565"/>
    <w:rsid w:val="001B166D"/>
    <w:rsid w:val="001B171D"/>
    <w:rsid w:val="001B1A21"/>
    <w:rsid w:val="001B1A98"/>
    <w:rsid w:val="001B1CC7"/>
    <w:rsid w:val="001B204D"/>
    <w:rsid w:val="001B20BB"/>
    <w:rsid w:val="001B21B5"/>
    <w:rsid w:val="001B2479"/>
    <w:rsid w:val="001B259F"/>
    <w:rsid w:val="001B2625"/>
    <w:rsid w:val="001B2873"/>
    <w:rsid w:val="001B28B5"/>
    <w:rsid w:val="001B2975"/>
    <w:rsid w:val="001B2C14"/>
    <w:rsid w:val="001B2CB1"/>
    <w:rsid w:val="001B2DF3"/>
    <w:rsid w:val="001B2FA7"/>
    <w:rsid w:val="001B307F"/>
    <w:rsid w:val="001B38D8"/>
    <w:rsid w:val="001B3AC1"/>
    <w:rsid w:val="001B3D1E"/>
    <w:rsid w:val="001B4505"/>
    <w:rsid w:val="001B4589"/>
    <w:rsid w:val="001B47E3"/>
    <w:rsid w:val="001B497E"/>
    <w:rsid w:val="001B4AB5"/>
    <w:rsid w:val="001B4B92"/>
    <w:rsid w:val="001B4E02"/>
    <w:rsid w:val="001B4F31"/>
    <w:rsid w:val="001B5035"/>
    <w:rsid w:val="001B557C"/>
    <w:rsid w:val="001B5784"/>
    <w:rsid w:val="001B58FA"/>
    <w:rsid w:val="001B5EE6"/>
    <w:rsid w:val="001B64E1"/>
    <w:rsid w:val="001B65B9"/>
    <w:rsid w:val="001B6DE3"/>
    <w:rsid w:val="001B6E99"/>
    <w:rsid w:val="001B6FFC"/>
    <w:rsid w:val="001B7533"/>
    <w:rsid w:val="001B76E1"/>
    <w:rsid w:val="001B7923"/>
    <w:rsid w:val="001B7999"/>
    <w:rsid w:val="001B7C0B"/>
    <w:rsid w:val="001B7D78"/>
    <w:rsid w:val="001B7EA2"/>
    <w:rsid w:val="001C0309"/>
    <w:rsid w:val="001C063E"/>
    <w:rsid w:val="001C0782"/>
    <w:rsid w:val="001C0884"/>
    <w:rsid w:val="001C0985"/>
    <w:rsid w:val="001C122D"/>
    <w:rsid w:val="001C12CA"/>
    <w:rsid w:val="001C15E0"/>
    <w:rsid w:val="001C1DF4"/>
    <w:rsid w:val="001C1E2E"/>
    <w:rsid w:val="001C24F5"/>
    <w:rsid w:val="001C25D2"/>
    <w:rsid w:val="001C279E"/>
    <w:rsid w:val="001C2845"/>
    <w:rsid w:val="001C2DF2"/>
    <w:rsid w:val="001C3138"/>
    <w:rsid w:val="001C3678"/>
    <w:rsid w:val="001C3737"/>
    <w:rsid w:val="001C3762"/>
    <w:rsid w:val="001C400D"/>
    <w:rsid w:val="001C4030"/>
    <w:rsid w:val="001C42FF"/>
    <w:rsid w:val="001C440B"/>
    <w:rsid w:val="001C442A"/>
    <w:rsid w:val="001C4B90"/>
    <w:rsid w:val="001C4D7A"/>
    <w:rsid w:val="001C4E7E"/>
    <w:rsid w:val="001C4ECB"/>
    <w:rsid w:val="001C5166"/>
    <w:rsid w:val="001C53F3"/>
    <w:rsid w:val="001C54C3"/>
    <w:rsid w:val="001C5C76"/>
    <w:rsid w:val="001C5CD6"/>
    <w:rsid w:val="001C5D48"/>
    <w:rsid w:val="001C5EAD"/>
    <w:rsid w:val="001C60D5"/>
    <w:rsid w:val="001C65F1"/>
    <w:rsid w:val="001C6809"/>
    <w:rsid w:val="001C683C"/>
    <w:rsid w:val="001C6AE5"/>
    <w:rsid w:val="001C73E9"/>
    <w:rsid w:val="001D03DA"/>
    <w:rsid w:val="001D045D"/>
    <w:rsid w:val="001D0506"/>
    <w:rsid w:val="001D0A44"/>
    <w:rsid w:val="001D154F"/>
    <w:rsid w:val="001D1A50"/>
    <w:rsid w:val="001D1F0F"/>
    <w:rsid w:val="001D27E6"/>
    <w:rsid w:val="001D27F5"/>
    <w:rsid w:val="001D29A7"/>
    <w:rsid w:val="001D2A82"/>
    <w:rsid w:val="001D38E2"/>
    <w:rsid w:val="001D3A39"/>
    <w:rsid w:val="001D3F65"/>
    <w:rsid w:val="001D45C7"/>
    <w:rsid w:val="001D5327"/>
    <w:rsid w:val="001D569B"/>
    <w:rsid w:val="001D56D3"/>
    <w:rsid w:val="001D5884"/>
    <w:rsid w:val="001D5913"/>
    <w:rsid w:val="001D5946"/>
    <w:rsid w:val="001D5AF2"/>
    <w:rsid w:val="001D5F84"/>
    <w:rsid w:val="001D5FE6"/>
    <w:rsid w:val="001D614D"/>
    <w:rsid w:val="001D64F3"/>
    <w:rsid w:val="001D66DA"/>
    <w:rsid w:val="001D6775"/>
    <w:rsid w:val="001D6800"/>
    <w:rsid w:val="001D76A9"/>
    <w:rsid w:val="001D799F"/>
    <w:rsid w:val="001D7CB8"/>
    <w:rsid w:val="001D7D49"/>
    <w:rsid w:val="001E000C"/>
    <w:rsid w:val="001E0468"/>
    <w:rsid w:val="001E05D1"/>
    <w:rsid w:val="001E0806"/>
    <w:rsid w:val="001E0A29"/>
    <w:rsid w:val="001E0ABC"/>
    <w:rsid w:val="001E0D96"/>
    <w:rsid w:val="001E0EA3"/>
    <w:rsid w:val="001E0F70"/>
    <w:rsid w:val="001E1035"/>
    <w:rsid w:val="001E13BE"/>
    <w:rsid w:val="001E14FA"/>
    <w:rsid w:val="001E1AFF"/>
    <w:rsid w:val="001E2103"/>
    <w:rsid w:val="001E277E"/>
    <w:rsid w:val="001E2811"/>
    <w:rsid w:val="001E2972"/>
    <w:rsid w:val="001E2F23"/>
    <w:rsid w:val="001E3501"/>
    <w:rsid w:val="001E376C"/>
    <w:rsid w:val="001E37AE"/>
    <w:rsid w:val="001E3941"/>
    <w:rsid w:val="001E3E2B"/>
    <w:rsid w:val="001E4152"/>
    <w:rsid w:val="001E4356"/>
    <w:rsid w:val="001E4995"/>
    <w:rsid w:val="001E4BA3"/>
    <w:rsid w:val="001E4D33"/>
    <w:rsid w:val="001E4E40"/>
    <w:rsid w:val="001E4E42"/>
    <w:rsid w:val="001E5060"/>
    <w:rsid w:val="001E5259"/>
    <w:rsid w:val="001E5626"/>
    <w:rsid w:val="001E5863"/>
    <w:rsid w:val="001E58F2"/>
    <w:rsid w:val="001E5976"/>
    <w:rsid w:val="001E5B3C"/>
    <w:rsid w:val="001E6443"/>
    <w:rsid w:val="001E648F"/>
    <w:rsid w:val="001E66E2"/>
    <w:rsid w:val="001E67E0"/>
    <w:rsid w:val="001E702D"/>
    <w:rsid w:val="001E7213"/>
    <w:rsid w:val="001E75B8"/>
    <w:rsid w:val="001E78AF"/>
    <w:rsid w:val="001E7A42"/>
    <w:rsid w:val="001E7EE1"/>
    <w:rsid w:val="001F0212"/>
    <w:rsid w:val="001F0535"/>
    <w:rsid w:val="001F09DC"/>
    <w:rsid w:val="001F0AEE"/>
    <w:rsid w:val="001F0C36"/>
    <w:rsid w:val="001F0C59"/>
    <w:rsid w:val="001F0C67"/>
    <w:rsid w:val="001F1454"/>
    <w:rsid w:val="001F1657"/>
    <w:rsid w:val="001F1764"/>
    <w:rsid w:val="001F1788"/>
    <w:rsid w:val="001F1AC1"/>
    <w:rsid w:val="001F1BB6"/>
    <w:rsid w:val="001F1BE1"/>
    <w:rsid w:val="001F2562"/>
    <w:rsid w:val="001F25EB"/>
    <w:rsid w:val="001F2626"/>
    <w:rsid w:val="001F2721"/>
    <w:rsid w:val="001F291C"/>
    <w:rsid w:val="001F2CAA"/>
    <w:rsid w:val="001F2D33"/>
    <w:rsid w:val="001F30A5"/>
    <w:rsid w:val="001F31D4"/>
    <w:rsid w:val="001F323B"/>
    <w:rsid w:val="001F3436"/>
    <w:rsid w:val="001F3469"/>
    <w:rsid w:val="001F348B"/>
    <w:rsid w:val="001F34CB"/>
    <w:rsid w:val="001F35E8"/>
    <w:rsid w:val="001F3A85"/>
    <w:rsid w:val="001F3BD9"/>
    <w:rsid w:val="001F3F7B"/>
    <w:rsid w:val="001F423D"/>
    <w:rsid w:val="001F4293"/>
    <w:rsid w:val="001F43E6"/>
    <w:rsid w:val="001F4412"/>
    <w:rsid w:val="001F4712"/>
    <w:rsid w:val="001F4965"/>
    <w:rsid w:val="001F5458"/>
    <w:rsid w:val="001F555B"/>
    <w:rsid w:val="001F5600"/>
    <w:rsid w:val="001F5885"/>
    <w:rsid w:val="001F593D"/>
    <w:rsid w:val="001F598E"/>
    <w:rsid w:val="001F5CCF"/>
    <w:rsid w:val="001F67D7"/>
    <w:rsid w:val="001F6A46"/>
    <w:rsid w:val="001F7365"/>
    <w:rsid w:val="001F749C"/>
    <w:rsid w:val="001F7590"/>
    <w:rsid w:val="001F75F8"/>
    <w:rsid w:val="001F787E"/>
    <w:rsid w:val="001F7AB8"/>
    <w:rsid w:val="001F7C4F"/>
    <w:rsid w:val="001F7D04"/>
    <w:rsid w:val="001F7EA2"/>
    <w:rsid w:val="001F8896"/>
    <w:rsid w:val="0020033C"/>
    <w:rsid w:val="00200758"/>
    <w:rsid w:val="00200BC4"/>
    <w:rsid w:val="00200C14"/>
    <w:rsid w:val="00200CB7"/>
    <w:rsid w:val="00200F6D"/>
    <w:rsid w:val="002015E9"/>
    <w:rsid w:val="002015F2"/>
    <w:rsid w:val="002017CE"/>
    <w:rsid w:val="002020F9"/>
    <w:rsid w:val="002021D9"/>
    <w:rsid w:val="0020229E"/>
    <w:rsid w:val="002022A1"/>
    <w:rsid w:val="0020243D"/>
    <w:rsid w:val="00202A22"/>
    <w:rsid w:val="00202DAA"/>
    <w:rsid w:val="00203556"/>
    <w:rsid w:val="00203628"/>
    <w:rsid w:val="00203656"/>
    <w:rsid w:val="00203E6C"/>
    <w:rsid w:val="0020404B"/>
    <w:rsid w:val="0020422A"/>
    <w:rsid w:val="00204658"/>
    <w:rsid w:val="00204C4B"/>
    <w:rsid w:val="002051C2"/>
    <w:rsid w:val="00205240"/>
    <w:rsid w:val="0020547D"/>
    <w:rsid w:val="002056CA"/>
    <w:rsid w:val="0020600A"/>
    <w:rsid w:val="002065A8"/>
    <w:rsid w:val="002068AE"/>
    <w:rsid w:val="002068E8"/>
    <w:rsid w:val="00206D01"/>
    <w:rsid w:val="00206DAA"/>
    <w:rsid w:val="002070AD"/>
    <w:rsid w:val="002072E3"/>
    <w:rsid w:val="00207606"/>
    <w:rsid w:val="00207614"/>
    <w:rsid w:val="00207881"/>
    <w:rsid w:val="00207AF9"/>
    <w:rsid w:val="00207D0D"/>
    <w:rsid w:val="00207D96"/>
    <w:rsid w:val="00207F49"/>
    <w:rsid w:val="00207FF6"/>
    <w:rsid w:val="002105AB"/>
    <w:rsid w:val="00210FA2"/>
    <w:rsid w:val="002116DC"/>
    <w:rsid w:val="00211896"/>
    <w:rsid w:val="00211E4B"/>
    <w:rsid w:val="00211EC3"/>
    <w:rsid w:val="00212C9B"/>
    <w:rsid w:val="002134E8"/>
    <w:rsid w:val="00213772"/>
    <w:rsid w:val="00213881"/>
    <w:rsid w:val="00213ADE"/>
    <w:rsid w:val="00213B63"/>
    <w:rsid w:val="00213EA8"/>
    <w:rsid w:val="00214295"/>
    <w:rsid w:val="002143E4"/>
    <w:rsid w:val="00214697"/>
    <w:rsid w:val="002151F1"/>
    <w:rsid w:val="002152FD"/>
    <w:rsid w:val="0021559D"/>
    <w:rsid w:val="00215738"/>
    <w:rsid w:val="00215807"/>
    <w:rsid w:val="00215ABF"/>
    <w:rsid w:val="00215B77"/>
    <w:rsid w:val="00215CC3"/>
    <w:rsid w:val="00215CC5"/>
    <w:rsid w:val="00215CE7"/>
    <w:rsid w:val="00216259"/>
    <w:rsid w:val="002163E6"/>
    <w:rsid w:val="00216476"/>
    <w:rsid w:val="002166BD"/>
    <w:rsid w:val="002167A6"/>
    <w:rsid w:val="00216822"/>
    <w:rsid w:val="00216846"/>
    <w:rsid w:val="00216B46"/>
    <w:rsid w:val="00216CFE"/>
    <w:rsid w:val="00216F49"/>
    <w:rsid w:val="002171FB"/>
    <w:rsid w:val="00217417"/>
    <w:rsid w:val="00217A73"/>
    <w:rsid w:val="00217A9C"/>
    <w:rsid w:val="00217FEA"/>
    <w:rsid w:val="00220112"/>
    <w:rsid w:val="00220113"/>
    <w:rsid w:val="0022058F"/>
    <w:rsid w:val="00220749"/>
    <w:rsid w:val="00220B8D"/>
    <w:rsid w:val="0022136B"/>
    <w:rsid w:val="00221428"/>
    <w:rsid w:val="00221840"/>
    <w:rsid w:val="00221844"/>
    <w:rsid w:val="00221973"/>
    <w:rsid w:val="002219B4"/>
    <w:rsid w:val="00221C07"/>
    <w:rsid w:val="0022261B"/>
    <w:rsid w:val="002227B3"/>
    <w:rsid w:val="00222C08"/>
    <w:rsid w:val="00222E44"/>
    <w:rsid w:val="00222F4B"/>
    <w:rsid w:val="0022302A"/>
    <w:rsid w:val="00223282"/>
    <w:rsid w:val="002233A8"/>
    <w:rsid w:val="0022369E"/>
    <w:rsid w:val="0022386E"/>
    <w:rsid w:val="00223880"/>
    <w:rsid w:val="002239E6"/>
    <w:rsid w:val="00223C12"/>
    <w:rsid w:val="00223EC9"/>
    <w:rsid w:val="00224173"/>
    <w:rsid w:val="0022422C"/>
    <w:rsid w:val="002244E9"/>
    <w:rsid w:val="002247CC"/>
    <w:rsid w:val="0022494A"/>
    <w:rsid w:val="002249F5"/>
    <w:rsid w:val="00224A65"/>
    <w:rsid w:val="00224E7B"/>
    <w:rsid w:val="00224ED8"/>
    <w:rsid w:val="00224F08"/>
    <w:rsid w:val="002250ED"/>
    <w:rsid w:val="00225455"/>
    <w:rsid w:val="00225876"/>
    <w:rsid w:val="0022598E"/>
    <w:rsid w:val="00226174"/>
    <w:rsid w:val="002263F3"/>
    <w:rsid w:val="00226406"/>
    <w:rsid w:val="00226431"/>
    <w:rsid w:val="002264C6"/>
    <w:rsid w:val="002266AB"/>
    <w:rsid w:val="0022699A"/>
    <w:rsid w:val="00226AE6"/>
    <w:rsid w:val="00226B59"/>
    <w:rsid w:val="0022724E"/>
    <w:rsid w:val="00227403"/>
    <w:rsid w:val="002276D0"/>
    <w:rsid w:val="002279BB"/>
    <w:rsid w:val="00227A19"/>
    <w:rsid w:val="00227B2C"/>
    <w:rsid w:val="00227C21"/>
    <w:rsid w:val="0023025D"/>
    <w:rsid w:val="0023028F"/>
    <w:rsid w:val="00230563"/>
    <w:rsid w:val="00230666"/>
    <w:rsid w:val="00230694"/>
    <w:rsid w:val="0023089C"/>
    <w:rsid w:val="00230A4F"/>
    <w:rsid w:val="00230B0B"/>
    <w:rsid w:val="00230B12"/>
    <w:rsid w:val="00230C25"/>
    <w:rsid w:val="00231153"/>
    <w:rsid w:val="002311EC"/>
    <w:rsid w:val="00231547"/>
    <w:rsid w:val="00231DF0"/>
    <w:rsid w:val="00231E8A"/>
    <w:rsid w:val="00232315"/>
    <w:rsid w:val="002324E8"/>
    <w:rsid w:val="0023252E"/>
    <w:rsid w:val="00232556"/>
    <w:rsid w:val="002325FD"/>
    <w:rsid w:val="002326E5"/>
    <w:rsid w:val="00232B80"/>
    <w:rsid w:val="00232C41"/>
    <w:rsid w:val="00232C78"/>
    <w:rsid w:val="00232DFF"/>
    <w:rsid w:val="00232EE1"/>
    <w:rsid w:val="00233032"/>
    <w:rsid w:val="00233D77"/>
    <w:rsid w:val="00233D99"/>
    <w:rsid w:val="00233FD1"/>
    <w:rsid w:val="002340F5"/>
    <w:rsid w:val="00234454"/>
    <w:rsid w:val="002346A2"/>
    <w:rsid w:val="002347BC"/>
    <w:rsid w:val="00234969"/>
    <w:rsid w:val="00234DD3"/>
    <w:rsid w:val="00234DE5"/>
    <w:rsid w:val="00234F0C"/>
    <w:rsid w:val="00235120"/>
    <w:rsid w:val="002354E9"/>
    <w:rsid w:val="002356AF"/>
    <w:rsid w:val="00235853"/>
    <w:rsid w:val="002358DB"/>
    <w:rsid w:val="00235A2D"/>
    <w:rsid w:val="00235B78"/>
    <w:rsid w:val="002360E0"/>
    <w:rsid w:val="00236447"/>
    <w:rsid w:val="0023680A"/>
    <w:rsid w:val="00236A32"/>
    <w:rsid w:val="00236D5B"/>
    <w:rsid w:val="002374B2"/>
    <w:rsid w:val="002376C8"/>
    <w:rsid w:val="00237C87"/>
    <w:rsid w:val="00237D40"/>
    <w:rsid w:val="00237DAB"/>
    <w:rsid w:val="002401A8"/>
    <w:rsid w:val="0024063E"/>
    <w:rsid w:val="00240690"/>
    <w:rsid w:val="002409B9"/>
    <w:rsid w:val="00240A25"/>
    <w:rsid w:val="00240D69"/>
    <w:rsid w:val="00240DD7"/>
    <w:rsid w:val="00240DF4"/>
    <w:rsid w:val="00240E80"/>
    <w:rsid w:val="00240F18"/>
    <w:rsid w:val="00241299"/>
    <w:rsid w:val="002412BE"/>
    <w:rsid w:val="00241316"/>
    <w:rsid w:val="00241418"/>
    <w:rsid w:val="0024146A"/>
    <w:rsid w:val="002414C2"/>
    <w:rsid w:val="002414FC"/>
    <w:rsid w:val="002418B9"/>
    <w:rsid w:val="002419B2"/>
    <w:rsid w:val="00241C31"/>
    <w:rsid w:val="00241D26"/>
    <w:rsid w:val="00241E33"/>
    <w:rsid w:val="00241EB7"/>
    <w:rsid w:val="0024206C"/>
    <w:rsid w:val="002421DB"/>
    <w:rsid w:val="00242504"/>
    <w:rsid w:val="002426A3"/>
    <w:rsid w:val="002426E5"/>
    <w:rsid w:val="00242902"/>
    <w:rsid w:val="00242917"/>
    <w:rsid w:val="00242C69"/>
    <w:rsid w:val="00242F14"/>
    <w:rsid w:val="00242F93"/>
    <w:rsid w:val="002432AA"/>
    <w:rsid w:val="002432C7"/>
    <w:rsid w:val="002438E2"/>
    <w:rsid w:val="0024398B"/>
    <w:rsid w:val="00243AA9"/>
    <w:rsid w:val="00243C2B"/>
    <w:rsid w:val="00245428"/>
    <w:rsid w:val="0024566E"/>
    <w:rsid w:val="00245692"/>
    <w:rsid w:val="00245761"/>
    <w:rsid w:val="002458A6"/>
    <w:rsid w:val="00245AAE"/>
    <w:rsid w:val="00245B21"/>
    <w:rsid w:val="00246230"/>
    <w:rsid w:val="00246343"/>
    <w:rsid w:val="00246574"/>
    <w:rsid w:val="002467C8"/>
    <w:rsid w:val="00246DB5"/>
    <w:rsid w:val="00247166"/>
    <w:rsid w:val="0024775A"/>
    <w:rsid w:val="0025024A"/>
    <w:rsid w:val="002507F9"/>
    <w:rsid w:val="00250ADB"/>
    <w:rsid w:val="00250B7E"/>
    <w:rsid w:val="00250D85"/>
    <w:rsid w:val="00251020"/>
    <w:rsid w:val="002510BD"/>
    <w:rsid w:val="002510D3"/>
    <w:rsid w:val="002510D6"/>
    <w:rsid w:val="002514C8"/>
    <w:rsid w:val="00251628"/>
    <w:rsid w:val="0025172A"/>
    <w:rsid w:val="0025178A"/>
    <w:rsid w:val="0025182F"/>
    <w:rsid w:val="00251BE9"/>
    <w:rsid w:val="00251E68"/>
    <w:rsid w:val="00251EDF"/>
    <w:rsid w:val="002520A9"/>
    <w:rsid w:val="002522BA"/>
    <w:rsid w:val="00252306"/>
    <w:rsid w:val="00252569"/>
    <w:rsid w:val="0025267E"/>
    <w:rsid w:val="0025282C"/>
    <w:rsid w:val="00252841"/>
    <w:rsid w:val="00252E23"/>
    <w:rsid w:val="00252EB3"/>
    <w:rsid w:val="00253042"/>
    <w:rsid w:val="002532E2"/>
    <w:rsid w:val="0025359A"/>
    <w:rsid w:val="00253DD4"/>
    <w:rsid w:val="00254072"/>
    <w:rsid w:val="002540FF"/>
    <w:rsid w:val="0025427C"/>
    <w:rsid w:val="002545F3"/>
    <w:rsid w:val="00254826"/>
    <w:rsid w:val="0025485A"/>
    <w:rsid w:val="00254E00"/>
    <w:rsid w:val="00255042"/>
    <w:rsid w:val="00255BF3"/>
    <w:rsid w:val="00255DC4"/>
    <w:rsid w:val="00255F4F"/>
    <w:rsid w:val="00256235"/>
    <w:rsid w:val="002562D6"/>
    <w:rsid w:val="00256BEB"/>
    <w:rsid w:val="00256DDD"/>
    <w:rsid w:val="00256ED7"/>
    <w:rsid w:val="0025700B"/>
    <w:rsid w:val="00257267"/>
    <w:rsid w:val="00257BEB"/>
    <w:rsid w:val="00260701"/>
    <w:rsid w:val="00260D89"/>
    <w:rsid w:val="00260EA7"/>
    <w:rsid w:val="00261B45"/>
    <w:rsid w:val="00261BDD"/>
    <w:rsid w:val="00261DBF"/>
    <w:rsid w:val="00261E7D"/>
    <w:rsid w:val="00261FFB"/>
    <w:rsid w:val="002621C4"/>
    <w:rsid w:val="002622C1"/>
    <w:rsid w:val="00262BD7"/>
    <w:rsid w:val="00262D47"/>
    <w:rsid w:val="00262D80"/>
    <w:rsid w:val="00262E0B"/>
    <w:rsid w:val="00263712"/>
    <w:rsid w:val="0026395F"/>
    <w:rsid w:val="002639C0"/>
    <w:rsid w:val="00263B11"/>
    <w:rsid w:val="00264145"/>
    <w:rsid w:val="00264390"/>
    <w:rsid w:val="002643C5"/>
    <w:rsid w:val="002649C6"/>
    <w:rsid w:val="00264AFF"/>
    <w:rsid w:val="002650C2"/>
    <w:rsid w:val="002651B2"/>
    <w:rsid w:val="002656B6"/>
    <w:rsid w:val="0026595C"/>
    <w:rsid w:val="0026597A"/>
    <w:rsid w:val="00265B17"/>
    <w:rsid w:val="00265B9D"/>
    <w:rsid w:val="00265C31"/>
    <w:rsid w:val="00265D22"/>
    <w:rsid w:val="00265DDD"/>
    <w:rsid w:val="00265FED"/>
    <w:rsid w:val="00267345"/>
    <w:rsid w:val="00267950"/>
    <w:rsid w:val="0026798B"/>
    <w:rsid w:val="002679D5"/>
    <w:rsid w:val="00267A78"/>
    <w:rsid w:val="00267AD4"/>
    <w:rsid w:val="00267B18"/>
    <w:rsid w:val="00267C3E"/>
    <w:rsid w:val="00270126"/>
    <w:rsid w:val="00270B64"/>
    <w:rsid w:val="00270CB4"/>
    <w:rsid w:val="00270E45"/>
    <w:rsid w:val="00270E86"/>
    <w:rsid w:val="00270EF3"/>
    <w:rsid w:val="00270F3D"/>
    <w:rsid w:val="00270F3F"/>
    <w:rsid w:val="002714B1"/>
    <w:rsid w:val="002714FD"/>
    <w:rsid w:val="00271E90"/>
    <w:rsid w:val="00272290"/>
    <w:rsid w:val="00272423"/>
    <w:rsid w:val="0027283A"/>
    <w:rsid w:val="00272A27"/>
    <w:rsid w:val="00272AC2"/>
    <w:rsid w:val="00272C8C"/>
    <w:rsid w:val="00272DFF"/>
    <w:rsid w:val="00272F9A"/>
    <w:rsid w:val="00273214"/>
    <w:rsid w:val="00273282"/>
    <w:rsid w:val="0027397A"/>
    <w:rsid w:val="00273FD7"/>
    <w:rsid w:val="00274300"/>
    <w:rsid w:val="0027452F"/>
    <w:rsid w:val="0027454E"/>
    <w:rsid w:val="00274618"/>
    <w:rsid w:val="002747C9"/>
    <w:rsid w:val="00274A4E"/>
    <w:rsid w:val="00274ED9"/>
    <w:rsid w:val="00275150"/>
    <w:rsid w:val="0027527A"/>
    <w:rsid w:val="002755CA"/>
    <w:rsid w:val="00275637"/>
    <w:rsid w:val="002757DE"/>
    <w:rsid w:val="00275A0A"/>
    <w:rsid w:val="00275B83"/>
    <w:rsid w:val="00275E64"/>
    <w:rsid w:val="00275F94"/>
    <w:rsid w:val="00276259"/>
    <w:rsid w:val="00276293"/>
    <w:rsid w:val="0027657D"/>
    <w:rsid w:val="00276BB7"/>
    <w:rsid w:val="00276C3D"/>
    <w:rsid w:val="0027728C"/>
    <w:rsid w:val="002775AE"/>
    <w:rsid w:val="00277677"/>
    <w:rsid w:val="0027769B"/>
    <w:rsid w:val="002778A2"/>
    <w:rsid w:val="00277D3A"/>
    <w:rsid w:val="00277EB1"/>
    <w:rsid w:val="00277EE7"/>
    <w:rsid w:val="00277EF8"/>
    <w:rsid w:val="00277F51"/>
    <w:rsid w:val="00280133"/>
    <w:rsid w:val="00280237"/>
    <w:rsid w:val="002806E3"/>
    <w:rsid w:val="0028093F"/>
    <w:rsid w:val="00280A86"/>
    <w:rsid w:val="00280BAE"/>
    <w:rsid w:val="00280C7F"/>
    <w:rsid w:val="00280D16"/>
    <w:rsid w:val="00281026"/>
    <w:rsid w:val="0028126B"/>
    <w:rsid w:val="002814B8"/>
    <w:rsid w:val="00281784"/>
    <w:rsid w:val="00281A7E"/>
    <w:rsid w:val="00281B9C"/>
    <w:rsid w:val="002821FE"/>
    <w:rsid w:val="00282353"/>
    <w:rsid w:val="0028250E"/>
    <w:rsid w:val="00282A2F"/>
    <w:rsid w:val="00283034"/>
    <w:rsid w:val="00283130"/>
    <w:rsid w:val="00283205"/>
    <w:rsid w:val="00283720"/>
    <w:rsid w:val="00283930"/>
    <w:rsid w:val="00283ACB"/>
    <w:rsid w:val="00283BD6"/>
    <w:rsid w:val="00283C5B"/>
    <w:rsid w:val="00284016"/>
    <w:rsid w:val="00284165"/>
    <w:rsid w:val="002841E2"/>
    <w:rsid w:val="0028444C"/>
    <w:rsid w:val="00284476"/>
    <w:rsid w:val="00284849"/>
    <w:rsid w:val="0028493C"/>
    <w:rsid w:val="00284C9B"/>
    <w:rsid w:val="00284EF9"/>
    <w:rsid w:val="00285069"/>
    <w:rsid w:val="002856A4"/>
    <w:rsid w:val="002856DC"/>
    <w:rsid w:val="0028573D"/>
    <w:rsid w:val="00285A3F"/>
    <w:rsid w:val="00285CC6"/>
    <w:rsid w:val="00285F07"/>
    <w:rsid w:val="00285F1F"/>
    <w:rsid w:val="00286073"/>
    <w:rsid w:val="0028619A"/>
    <w:rsid w:val="0028627E"/>
    <w:rsid w:val="0028633E"/>
    <w:rsid w:val="002863AD"/>
    <w:rsid w:val="0028697B"/>
    <w:rsid w:val="00286995"/>
    <w:rsid w:val="00286B78"/>
    <w:rsid w:val="00286D68"/>
    <w:rsid w:val="00286F66"/>
    <w:rsid w:val="00286F8F"/>
    <w:rsid w:val="0028703D"/>
    <w:rsid w:val="00287147"/>
    <w:rsid w:val="002876B5"/>
    <w:rsid w:val="002885E8"/>
    <w:rsid w:val="00290150"/>
    <w:rsid w:val="002908E6"/>
    <w:rsid w:val="00290C40"/>
    <w:rsid w:val="00291056"/>
    <w:rsid w:val="00291064"/>
    <w:rsid w:val="0029116D"/>
    <w:rsid w:val="00291180"/>
    <w:rsid w:val="0029196D"/>
    <w:rsid w:val="00291A41"/>
    <w:rsid w:val="00292660"/>
    <w:rsid w:val="00292A98"/>
    <w:rsid w:val="00292AA5"/>
    <w:rsid w:val="00292B99"/>
    <w:rsid w:val="00292C4B"/>
    <w:rsid w:val="00292D5C"/>
    <w:rsid w:val="00292EEB"/>
    <w:rsid w:val="00293019"/>
    <w:rsid w:val="002930B9"/>
    <w:rsid w:val="00293171"/>
    <w:rsid w:val="00293714"/>
    <w:rsid w:val="002939BE"/>
    <w:rsid w:val="00293A42"/>
    <w:rsid w:val="00293ED6"/>
    <w:rsid w:val="00293FC4"/>
    <w:rsid w:val="00294135"/>
    <w:rsid w:val="0029451B"/>
    <w:rsid w:val="00294DA3"/>
    <w:rsid w:val="00294DEA"/>
    <w:rsid w:val="00295138"/>
    <w:rsid w:val="0029515F"/>
    <w:rsid w:val="002952C9"/>
    <w:rsid w:val="002958AF"/>
    <w:rsid w:val="0029597E"/>
    <w:rsid w:val="00295C0A"/>
    <w:rsid w:val="00295D35"/>
    <w:rsid w:val="00295D4D"/>
    <w:rsid w:val="00295FC1"/>
    <w:rsid w:val="00295FC9"/>
    <w:rsid w:val="00296290"/>
    <w:rsid w:val="00296AEC"/>
    <w:rsid w:val="00296B45"/>
    <w:rsid w:val="00296B63"/>
    <w:rsid w:val="00296D17"/>
    <w:rsid w:val="00296F32"/>
    <w:rsid w:val="00297308"/>
    <w:rsid w:val="002975D7"/>
    <w:rsid w:val="00297662"/>
    <w:rsid w:val="00297AA3"/>
    <w:rsid w:val="002A0069"/>
    <w:rsid w:val="002A02EC"/>
    <w:rsid w:val="002A0317"/>
    <w:rsid w:val="002A03C5"/>
    <w:rsid w:val="002A0CF4"/>
    <w:rsid w:val="002A0DDA"/>
    <w:rsid w:val="002A0FB0"/>
    <w:rsid w:val="002A133B"/>
    <w:rsid w:val="002A13C6"/>
    <w:rsid w:val="002A141B"/>
    <w:rsid w:val="002A1426"/>
    <w:rsid w:val="002A14D4"/>
    <w:rsid w:val="002A170B"/>
    <w:rsid w:val="002A1C2C"/>
    <w:rsid w:val="002A20BC"/>
    <w:rsid w:val="002A2127"/>
    <w:rsid w:val="002A2158"/>
    <w:rsid w:val="002A2198"/>
    <w:rsid w:val="002A2691"/>
    <w:rsid w:val="002A26B6"/>
    <w:rsid w:val="002A2773"/>
    <w:rsid w:val="002A2AD8"/>
    <w:rsid w:val="002A2D8B"/>
    <w:rsid w:val="002A302E"/>
    <w:rsid w:val="002A30D0"/>
    <w:rsid w:val="002A3528"/>
    <w:rsid w:val="002A3DD2"/>
    <w:rsid w:val="002A4123"/>
    <w:rsid w:val="002A4DA5"/>
    <w:rsid w:val="002A50CA"/>
    <w:rsid w:val="002A50F8"/>
    <w:rsid w:val="002A522E"/>
    <w:rsid w:val="002A564C"/>
    <w:rsid w:val="002A591B"/>
    <w:rsid w:val="002A595E"/>
    <w:rsid w:val="002A63FE"/>
    <w:rsid w:val="002A6470"/>
    <w:rsid w:val="002A683F"/>
    <w:rsid w:val="002A6865"/>
    <w:rsid w:val="002A6924"/>
    <w:rsid w:val="002A6A4E"/>
    <w:rsid w:val="002A6DDF"/>
    <w:rsid w:val="002A6F58"/>
    <w:rsid w:val="002A7674"/>
    <w:rsid w:val="002A787E"/>
    <w:rsid w:val="002A7947"/>
    <w:rsid w:val="002A7A5D"/>
    <w:rsid w:val="002A7CE7"/>
    <w:rsid w:val="002A7ED9"/>
    <w:rsid w:val="002B0105"/>
    <w:rsid w:val="002B020F"/>
    <w:rsid w:val="002B0AD5"/>
    <w:rsid w:val="002B0D14"/>
    <w:rsid w:val="002B1129"/>
    <w:rsid w:val="002B14AA"/>
    <w:rsid w:val="002B1772"/>
    <w:rsid w:val="002B1B3D"/>
    <w:rsid w:val="002B1F1C"/>
    <w:rsid w:val="002B2A0B"/>
    <w:rsid w:val="002B34F2"/>
    <w:rsid w:val="002B3689"/>
    <w:rsid w:val="002B384F"/>
    <w:rsid w:val="002B3889"/>
    <w:rsid w:val="002B3A53"/>
    <w:rsid w:val="002B3DBD"/>
    <w:rsid w:val="002B3FB8"/>
    <w:rsid w:val="002B3FE7"/>
    <w:rsid w:val="002B4212"/>
    <w:rsid w:val="002B42CA"/>
    <w:rsid w:val="002B45DA"/>
    <w:rsid w:val="002B4662"/>
    <w:rsid w:val="002B4716"/>
    <w:rsid w:val="002B48A0"/>
    <w:rsid w:val="002B4969"/>
    <w:rsid w:val="002B4F16"/>
    <w:rsid w:val="002B4F3E"/>
    <w:rsid w:val="002B4F59"/>
    <w:rsid w:val="002B585E"/>
    <w:rsid w:val="002B59EF"/>
    <w:rsid w:val="002B5A85"/>
    <w:rsid w:val="002B5CA7"/>
    <w:rsid w:val="002B5FB8"/>
    <w:rsid w:val="002B629D"/>
    <w:rsid w:val="002B6359"/>
    <w:rsid w:val="002B63A7"/>
    <w:rsid w:val="002B6449"/>
    <w:rsid w:val="002B644F"/>
    <w:rsid w:val="002B6688"/>
    <w:rsid w:val="002B67DD"/>
    <w:rsid w:val="002B69F5"/>
    <w:rsid w:val="002B69FA"/>
    <w:rsid w:val="002B6B86"/>
    <w:rsid w:val="002B6D33"/>
    <w:rsid w:val="002B7025"/>
    <w:rsid w:val="002B739A"/>
    <w:rsid w:val="002B740F"/>
    <w:rsid w:val="002B7656"/>
    <w:rsid w:val="002B794B"/>
    <w:rsid w:val="002B7A08"/>
    <w:rsid w:val="002C0314"/>
    <w:rsid w:val="002C0642"/>
    <w:rsid w:val="002C06C1"/>
    <w:rsid w:val="002C07A9"/>
    <w:rsid w:val="002C082D"/>
    <w:rsid w:val="002C0838"/>
    <w:rsid w:val="002C08A5"/>
    <w:rsid w:val="002C0FCA"/>
    <w:rsid w:val="002C0FD1"/>
    <w:rsid w:val="002C1896"/>
    <w:rsid w:val="002C18D3"/>
    <w:rsid w:val="002C19B8"/>
    <w:rsid w:val="002C1A57"/>
    <w:rsid w:val="002C1CB8"/>
    <w:rsid w:val="002C1D09"/>
    <w:rsid w:val="002C1D7F"/>
    <w:rsid w:val="002C1EFB"/>
    <w:rsid w:val="002C209C"/>
    <w:rsid w:val="002C216F"/>
    <w:rsid w:val="002C2B55"/>
    <w:rsid w:val="002C2F75"/>
    <w:rsid w:val="002C2FC6"/>
    <w:rsid w:val="002C30C4"/>
    <w:rsid w:val="002C3143"/>
    <w:rsid w:val="002C31F5"/>
    <w:rsid w:val="002C3534"/>
    <w:rsid w:val="002C362D"/>
    <w:rsid w:val="002C37F3"/>
    <w:rsid w:val="002C3852"/>
    <w:rsid w:val="002C3C30"/>
    <w:rsid w:val="002C3ECC"/>
    <w:rsid w:val="002C42F4"/>
    <w:rsid w:val="002C4326"/>
    <w:rsid w:val="002C4433"/>
    <w:rsid w:val="002C449C"/>
    <w:rsid w:val="002C46F9"/>
    <w:rsid w:val="002C482A"/>
    <w:rsid w:val="002C4B71"/>
    <w:rsid w:val="002C4F2A"/>
    <w:rsid w:val="002C5092"/>
    <w:rsid w:val="002C5352"/>
    <w:rsid w:val="002C5478"/>
    <w:rsid w:val="002C5543"/>
    <w:rsid w:val="002C57D6"/>
    <w:rsid w:val="002C6201"/>
    <w:rsid w:val="002C62D6"/>
    <w:rsid w:val="002C643F"/>
    <w:rsid w:val="002C6A55"/>
    <w:rsid w:val="002C6C58"/>
    <w:rsid w:val="002C72A6"/>
    <w:rsid w:val="002C76B1"/>
    <w:rsid w:val="002C7834"/>
    <w:rsid w:val="002C7844"/>
    <w:rsid w:val="002C7C7A"/>
    <w:rsid w:val="002C7D96"/>
    <w:rsid w:val="002C7FEF"/>
    <w:rsid w:val="002D01E2"/>
    <w:rsid w:val="002D0338"/>
    <w:rsid w:val="002D0632"/>
    <w:rsid w:val="002D08C6"/>
    <w:rsid w:val="002D0E6E"/>
    <w:rsid w:val="002D0F7F"/>
    <w:rsid w:val="002D1381"/>
    <w:rsid w:val="002D150E"/>
    <w:rsid w:val="002D17B9"/>
    <w:rsid w:val="002D1912"/>
    <w:rsid w:val="002D1B4F"/>
    <w:rsid w:val="002D1B65"/>
    <w:rsid w:val="002D1B8D"/>
    <w:rsid w:val="002D1CCD"/>
    <w:rsid w:val="002D25A6"/>
    <w:rsid w:val="002D28A6"/>
    <w:rsid w:val="002D2A12"/>
    <w:rsid w:val="002D31E5"/>
    <w:rsid w:val="002D32D0"/>
    <w:rsid w:val="002D3892"/>
    <w:rsid w:val="002D3BD1"/>
    <w:rsid w:val="002D41B1"/>
    <w:rsid w:val="002D458D"/>
    <w:rsid w:val="002D47FE"/>
    <w:rsid w:val="002D49A8"/>
    <w:rsid w:val="002D4D0E"/>
    <w:rsid w:val="002D4D54"/>
    <w:rsid w:val="002D4D5F"/>
    <w:rsid w:val="002D508E"/>
    <w:rsid w:val="002D55B1"/>
    <w:rsid w:val="002D5688"/>
    <w:rsid w:val="002D56DA"/>
    <w:rsid w:val="002D5B9B"/>
    <w:rsid w:val="002D5BB4"/>
    <w:rsid w:val="002D5D4E"/>
    <w:rsid w:val="002D5E87"/>
    <w:rsid w:val="002D5EDA"/>
    <w:rsid w:val="002D5F5B"/>
    <w:rsid w:val="002D604B"/>
    <w:rsid w:val="002D6A39"/>
    <w:rsid w:val="002D6DDD"/>
    <w:rsid w:val="002D6E2F"/>
    <w:rsid w:val="002D6FC1"/>
    <w:rsid w:val="002D7056"/>
    <w:rsid w:val="002D70BD"/>
    <w:rsid w:val="002D70FB"/>
    <w:rsid w:val="002D7132"/>
    <w:rsid w:val="002D7392"/>
    <w:rsid w:val="002D77C7"/>
    <w:rsid w:val="002D7959"/>
    <w:rsid w:val="002D796E"/>
    <w:rsid w:val="002D79DE"/>
    <w:rsid w:val="002E0198"/>
    <w:rsid w:val="002E038F"/>
    <w:rsid w:val="002E0573"/>
    <w:rsid w:val="002E0697"/>
    <w:rsid w:val="002E09E9"/>
    <w:rsid w:val="002E0A92"/>
    <w:rsid w:val="002E0ACC"/>
    <w:rsid w:val="002E0DBE"/>
    <w:rsid w:val="002E0EE6"/>
    <w:rsid w:val="002E0F05"/>
    <w:rsid w:val="002E0F28"/>
    <w:rsid w:val="002E1016"/>
    <w:rsid w:val="002E12BF"/>
    <w:rsid w:val="002E13A8"/>
    <w:rsid w:val="002E18C4"/>
    <w:rsid w:val="002E1D7C"/>
    <w:rsid w:val="002E2073"/>
    <w:rsid w:val="002E20F8"/>
    <w:rsid w:val="002E2160"/>
    <w:rsid w:val="002E2221"/>
    <w:rsid w:val="002E2344"/>
    <w:rsid w:val="002E25C9"/>
    <w:rsid w:val="002E27E8"/>
    <w:rsid w:val="002E2900"/>
    <w:rsid w:val="002E2ACD"/>
    <w:rsid w:val="002E2E46"/>
    <w:rsid w:val="002E33D0"/>
    <w:rsid w:val="002E3881"/>
    <w:rsid w:val="002E3952"/>
    <w:rsid w:val="002E3B3F"/>
    <w:rsid w:val="002E4039"/>
    <w:rsid w:val="002E4A80"/>
    <w:rsid w:val="002E53A1"/>
    <w:rsid w:val="002E54B7"/>
    <w:rsid w:val="002E5786"/>
    <w:rsid w:val="002E5958"/>
    <w:rsid w:val="002E5C22"/>
    <w:rsid w:val="002E5CEE"/>
    <w:rsid w:val="002E604B"/>
    <w:rsid w:val="002E630D"/>
    <w:rsid w:val="002E63ED"/>
    <w:rsid w:val="002E640B"/>
    <w:rsid w:val="002E6652"/>
    <w:rsid w:val="002E6A6D"/>
    <w:rsid w:val="002E6C81"/>
    <w:rsid w:val="002E6DF1"/>
    <w:rsid w:val="002E6E2C"/>
    <w:rsid w:val="002E6F5E"/>
    <w:rsid w:val="002E712A"/>
    <w:rsid w:val="002E7229"/>
    <w:rsid w:val="002E7712"/>
    <w:rsid w:val="002E7CAF"/>
    <w:rsid w:val="002E7D15"/>
    <w:rsid w:val="002E7FF1"/>
    <w:rsid w:val="002F000B"/>
    <w:rsid w:val="002F0104"/>
    <w:rsid w:val="002F01D3"/>
    <w:rsid w:val="002F031A"/>
    <w:rsid w:val="002F0B29"/>
    <w:rsid w:val="002F0B72"/>
    <w:rsid w:val="002F0E43"/>
    <w:rsid w:val="002F0EE3"/>
    <w:rsid w:val="002F10EA"/>
    <w:rsid w:val="002F127B"/>
    <w:rsid w:val="002F1786"/>
    <w:rsid w:val="002F18DC"/>
    <w:rsid w:val="002F1A31"/>
    <w:rsid w:val="002F1B13"/>
    <w:rsid w:val="002F1E31"/>
    <w:rsid w:val="002F1ED4"/>
    <w:rsid w:val="002F1F53"/>
    <w:rsid w:val="002F20AE"/>
    <w:rsid w:val="002F2249"/>
    <w:rsid w:val="002F2481"/>
    <w:rsid w:val="002F2634"/>
    <w:rsid w:val="002F2702"/>
    <w:rsid w:val="002F2CE7"/>
    <w:rsid w:val="002F2F08"/>
    <w:rsid w:val="002F2F52"/>
    <w:rsid w:val="002F2F65"/>
    <w:rsid w:val="002F361F"/>
    <w:rsid w:val="002F3677"/>
    <w:rsid w:val="002F3991"/>
    <w:rsid w:val="002F3BC3"/>
    <w:rsid w:val="002F3C4A"/>
    <w:rsid w:val="002F3DE3"/>
    <w:rsid w:val="002F3EE2"/>
    <w:rsid w:val="002F449B"/>
    <w:rsid w:val="002F45A7"/>
    <w:rsid w:val="002F45F0"/>
    <w:rsid w:val="002F47C1"/>
    <w:rsid w:val="002F4807"/>
    <w:rsid w:val="002F48C4"/>
    <w:rsid w:val="002F48C9"/>
    <w:rsid w:val="002F492C"/>
    <w:rsid w:val="002F4A3E"/>
    <w:rsid w:val="002F4BD3"/>
    <w:rsid w:val="002F4D86"/>
    <w:rsid w:val="002F4E2E"/>
    <w:rsid w:val="002F4E63"/>
    <w:rsid w:val="002F512A"/>
    <w:rsid w:val="002F5280"/>
    <w:rsid w:val="002F53FF"/>
    <w:rsid w:val="002F5432"/>
    <w:rsid w:val="002F5467"/>
    <w:rsid w:val="002F56FC"/>
    <w:rsid w:val="002F572C"/>
    <w:rsid w:val="002F58CC"/>
    <w:rsid w:val="002F595B"/>
    <w:rsid w:val="002F59B3"/>
    <w:rsid w:val="002F5AB1"/>
    <w:rsid w:val="002F5D69"/>
    <w:rsid w:val="002F6358"/>
    <w:rsid w:val="002F6A91"/>
    <w:rsid w:val="002F6B04"/>
    <w:rsid w:val="002F6B97"/>
    <w:rsid w:val="002F6D1F"/>
    <w:rsid w:val="002F6E65"/>
    <w:rsid w:val="002F73FF"/>
    <w:rsid w:val="002F75BE"/>
    <w:rsid w:val="002F775A"/>
    <w:rsid w:val="002F77D0"/>
    <w:rsid w:val="002F786C"/>
    <w:rsid w:val="002F79BE"/>
    <w:rsid w:val="002F7A29"/>
    <w:rsid w:val="002F7B26"/>
    <w:rsid w:val="002F7BF6"/>
    <w:rsid w:val="002F7BF9"/>
    <w:rsid w:val="002F7C77"/>
    <w:rsid w:val="002F7C92"/>
    <w:rsid w:val="002F7CAC"/>
    <w:rsid w:val="002F7DD2"/>
    <w:rsid w:val="002F7FA3"/>
    <w:rsid w:val="00300128"/>
    <w:rsid w:val="003008DC"/>
    <w:rsid w:val="00300CB3"/>
    <w:rsid w:val="003010FC"/>
    <w:rsid w:val="0030119A"/>
    <w:rsid w:val="003014B2"/>
    <w:rsid w:val="00301D8C"/>
    <w:rsid w:val="00301E45"/>
    <w:rsid w:val="00301E87"/>
    <w:rsid w:val="00301FB8"/>
    <w:rsid w:val="0030214A"/>
    <w:rsid w:val="00302162"/>
    <w:rsid w:val="003025A0"/>
    <w:rsid w:val="003029AA"/>
    <w:rsid w:val="00303095"/>
    <w:rsid w:val="003032F4"/>
    <w:rsid w:val="00303528"/>
    <w:rsid w:val="00303793"/>
    <w:rsid w:val="003038B1"/>
    <w:rsid w:val="00303901"/>
    <w:rsid w:val="0030394B"/>
    <w:rsid w:val="0030421B"/>
    <w:rsid w:val="0030431A"/>
    <w:rsid w:val="003047FC"/>
    <w:rsid w:val="00304B17"/>
    <w:rsid w:val="00304F73"/>
    <w:rsid w:val="0030514B"/>
    <w:rsid w:val="00305281"/>
    <w:rsid w:val="003056DC"/>
    <w:rsid w:val="0030577C"/>
    <w:rsid w:val="00305930"/>
    <w:rsid w:val="00305E0B"/>
    <w:rsid w:val="00306497"/>
    <w:rsid w:val="0030697D"/>
    <w:rsid w:val="00306C72"/>
    <w:rsid w:val="00306D72"/>
    <w:rsid w:val="00307083"/>
    <w:rsid w:val="003072C6"/>
    <w:rsid w:val="003076C8"/>
    <w:rsid w:val="00307A26"/>
    <w:rsid w:val="00310093"/>
    <w:rsid w:val="003103FD"/>
    <w:rsid w:val="00310498"/>
    <w:rsid w:val="00310557"/>
    <w:rsid w:val="0031073D"/>
    <w:rsid w:val="00310D8E"/>
    <w:rsid w:val="003112BE"/>
    <w:rsid w:val="003114CA"/>
    <w:rsid w:val="00311844"/>
    <w:rsid w:val="00311AB8"/>
    <w:rsid w:val="003125B2"/>
    <w:rsid w:val="00312856"/>
    <w:rsid w:val="003128E9"/>
    <w:rsid w:val="003129A1"/>
    <w:rsid w:val="00312AA6"/>
    <w:rsid w:val="00312B7D"/>
    <w:rsid w:val="003131B9"/>
    <w:rsid w:val="003134B6"/>
    <w:rsid w:val="00313666"/>
    <w:rsid w:val="0031393B"/>
    <w:rsid w:val="00313F17"/>
    <w:rsid w:val="00314430"/>
    <w:rsid w:val="003150D2"/>
    <w:rsid w:val="003156BE"/>
    <w:rsid w:val="0031598D"/>
    <w:rsid w:val="00315BBD"/>
    <w:rsid w:val="00315BD4"/>
    <w:rsid w:val="003162AD"/>
    <w:rsid w:val="00316335"/>
    <w:rsid w:val="0031663F"/>
    <w:rsid w:val="00316888"/>
    <w:rsid w:val="003168E1"/>
    <w:rsid w:val="00316A38"/>
    <w:rsid w:val="00316B56"/>
    <w:rsid w:val="00316B99"/>
    <w:rsid w:val="00316CFC"/>
    <w:rsid w:val="0031700E"/>
    <w:rsid w:val="00317090"/>
    <w:rsid w:val="003170F4"/>
    <w:rsid w:val="003171D1"/>
    <w:rsid w:val="003174C6"/>
    <w:rsid w:val="003174CA"/>
    <w:rsid w:val="0031753A"/>
    <w:rsid w:val="00317563"/>
    <w:rsid w:val="00317618"/>
    <w:rsid w:val="00317970"/>
    <w:rsid w:val="00317AE4"/>
    <w:rsid w:val="00317CAF"/>
    <w:rsid w:val="00320075"/>
    <w:rsid w:val="0032015C"/>
    <w:rsid w:val="00320293"/>
    <w:rsid w:val="00320443"/>
    <w:rsid w:val="003204BF"/>
    <w:rsid w:val="00320AF2"/>
    <w:rsid w:val="0032154F"/>
    <w:rsid w:val="00321688"/>
    <w:rsid w:val="00321954"/>
    <w:rsid w:val="00322037"/>
    <w:rsid w:val="00322569"/>
    <w:rsid w:val="00322722"/>
    <w:rsid w:val="00322785"/>
    <w:rsid w:val="00322947"/>
    <w:rsid w:val="00322B4A"/>
    <w:rsid w:val="00322CC2"/>
    <w:rsid w:val="00322D4C"/>
    <w:rsid w:val="00323189"/>
    <w:rsid w:val="003232F6"/>
    <w:rsid w:val="003234E3"/>
    <w:rsid w:val="003236BA"/>
    <w:rsid w:val="00323968"/>
    <w:rsid w:val="00323A82"/>
    <w:rsid w:val="00323B2B"/>
    <w:rsid w:val="00324357"/>
    <w:rsid w:val="0032447F"/>
    <w:rsid w:val="00324537"/>
    <w:rsid w:val="0032459A"/>
    <w:rsid w:val="00324A3D"/>
    <w:rsid w:val="003251F3"/>
    <w:rsid w:val="00325590"/>
    <w:rsid w:val="003259E9"/>
    <w:rsid w:val="00325B86"/>
    <w:rsid w:val="00325DD4"/>
    <w:rsid w:val="00325F3F"/>
    <w:rsid w:val="003260BD"/>
    <w:rsid w:val="0032614F"/>
    <w:rsid w:val="00326857"/>
    <w:rsid w:val="0032690B"/>
    <w:rsid w:val="003271DC"/>
    <w:rsid w:val="00327246"/>
    <w:rsid w:val="0032767C"/>
    <w:rsid w:val="003276CF"/>
    <w:rsid w:val="0032793F"/>
    <w:rsid w:val="00327B9A"/>
    <w:rsid w:val="00327BE9"/>
    <w:rsid w:val="00327C76"/>
    <w:rsid w:val="00327CBB"/>
    <w:rsid w:val="00327D78"/>
    <w:rsid w:val="00330021"/>
    <w:rsid w:val="00330176"/>
    <w:rsid w:val="00330519"/>
    <w:rsid w:val="003307D4"/>
    <w:rsid w:val="00330883"/>
    <w:rsid w:val="00331500"/>
    <w:rsid w:val="00331882"/>
    <w:rsid w:val="00331A33"/>
    <w:rsid w:val="00331A5C"/>
    <w:rsid w:val="00331CB9"/>
    <w:rsid w:val="00331D21"/>
    <w:rsid w:val="00331D2C"/>
    <w:rsid w:val="003320E6"/>
    <w:rsid w:val="00332141"/>
    <w:rsid w:val="00332201"/>
    <w:rsid w:val="003323AD"/>
    <w:rsid w:val="003324FE"/>
    <w:rsid w:val="00332A0C"/>
    <w:rsid w:val="00332AD5"/>
    <w:rsid w:val="003335C7"/>
    <w:rsid w:val="0033368B"/>
    <w:rsid w:val="0033372F"/>
    <w:rsid w:val="00333B31"/>
    <w:rsid w:val="00333CA2"/>
    <w:rsid w:val="00333D4C"/>
    <w:rsid w:val="00333E8B"/>
    <w:rsid w:val="00334696"/>
    <w:rsid w:val="0033473B"/>
    <w:rsid w:val="003347B8"/>
    <w:rsid w:val="0033497B"/>
    <w:rsid w:val="00334B54"/>
    <w:rsid w:val="00334CAE"/>
    <w:rsid w:val="00334D67"/>
    <w:rsid w:val="00334D99"/>
    <w:rsid w:val="003352BE"/>
    <w:rsid w:val="003360B6"/>
    <w:rsid w:val="0033616F"/>
    <w:rsid w:val="003361D0"/>
    <w:rsid w:val="0033620B"/>
    <w:rsid w:val="0033628D"/>
    <w:rsid w:val="00336537"/>
    <w:rsid w:val="00336631"/>
    <w:rsid w:val="003368A2"/>
    <w:rsid w:val="00336950"/>
    <w:rsid w:val="00336F2E"/>
    <w:rsid w:val="0033739E"/>
    <w:rsid w:val="00337473"/>
    <w:rsid w:val="00337734"/>
    <w:rsid w:val="0034033A"/>
    <w:rsid w:val="0034035B"/>
    <w:rsid w:val="0034094A"/>
    <w:rsid w:val="003412BC"/>
    <w:rsid w:val="00341351"/>
    <w:rsid w:val="003415F6"/>
    <w:rsid w:val="00342088"/>
    <w:rsid w:val="0034210F"/>
    <w:rsid w:val="00342239"/>
    <w:rsid w:val="003427CB"/>
    <w:rsid w:val="003429FE"/>
    <w:rsid w:val="00342EA4"/>
    <w:rsid w:val="0034300B"/>
    <w:rsid w:val="0034363E"/>
    <w:rsid w:val="00343733"/>
    <w:rsid w:val="003437D1"/>
    <w:rsid w:val="00343DC2"/>
    <w:rsid w:val="00344170"/>
    <w:rsid w:val="003441BE"/>
    <w:rsid w:val="00344AD7"/>
    <w:rsid w:val="00344D86"/>
    <w:rsid w:val="00344E29"/>
    <w:rsid w:val="00344F08"/>
    <w:rsid w:val="003450CF"/>
    <w:rsid w:val="003454BA"/>
    <w:rsid w:val="0034596C"/>
    <w:rsid w:val="003467E9"/>
    <w:rsid w:val="00346E61"/>
    <w:rsid w:val="003471B7"/>
    <w:rsid w:val="00347439"/>
    <w:rsid w:val="00347653"/>
    <w:rsid w:val="0034769E"/>
    <w:rsid w:val="00347A10"/>
    <w:rsid w:val="00347FF3"/>
    <w:rsid w:val="00350213"/>
    <w:rsid w:val="00350478"/>
    <w:rsid w:val="0035062D"/>
    <w:rsid w:val="003516FB"/>
    <w:rsid w:val="00351974"/>
    <w:rsid w:val="003519A3"/>
    <w:rsid w:val="00351A6F"/>
    <w:rsid w:val="00351B16"/>
    <w:rsid w:val="00351D36"/>
    <w:rsid w:val="00351EFC"/>
    <w:rsid w:val="0035229F"/>
    <w:rsid w:val="00352895"/>
    <w:rsid w:val="00352E3C"/>
    <w:rsid w:val="00352E48"/>
    <w:rsid w:val="0035385B"/>
    <w:rsid w:val="00353865"/>
    <w:rsid w:val="003539A3"/>
    <w:rsid w:val="00353A3F"/>
    <w:rsid w:val="00353DF0"/>
    <w:rsid w:val="003546AA"/>
    <w:rsid w:val="0035544F"/>
    <w:rsid w:val="003555BE"/>
    <w:rsid w:val="003557FE"/>
    <w:rsid w:val="00355886"/>
    <w:rsid w:val="00355A31"/>
    <w:rsid w:val="00355DF9"/>
    <w:rsid w:val="00355F45"/>
    <w:rsid w:val="00355F84"/>
    <w:rsid w:val="0035602E"/>
    <w:rsid w:val="00356097"/>
    <w:rsid w:val="003562C4"/>
    <w:rsid w:val="00356455"/>
    <w:rsid w:val="00356798"/>
    <w:rsid w:val="00356814"/>
    <w:rsid w:val="00356F34"/>
    <w:rsid w:val="00357234"/>
    <w:rsid w:val="00357FB9"/>
    <w:rsid w:val="00357FF8"/>
    <w:rsid w:val="00360139"/>
    <w:rsid w:val="00360184"/>
    <w:rsid w:val="00360443"/>
    <w:rsid w:val="0036050B"/>
    <w:rsid w:val="003605F4"/>
    <w:rsid w:val="0036081D"/>
    <w:rsid w:val="003609C1"/>
    <w:rsid w:val="00360A41"/>
    <w:rsid w:val="00360E45"/>
    <w:rsid w:val="003613AA"/>
    <w:rsid w:val="0036188F"/>
    <w:rsid w:val="00361CF7"/>
    <w:rsid w:val="00361DD6"/>
    <w:rsid w:val="00361F2B"/>
    <w:rsid w:val="00361F2E"/>
    <w:rsid w:val="00361FD4"/>
    <w:rsid w:val="00362672"/>
    <w:rsid w:val="00362810"/>
    <w:rsid w:val="0036282D"/>
    <w:rsid w:val="003629FF"/>
    <w:rsid w:val="00362D2B"/>
    <w:rsid w:val="00362F1B"/>
    <w:rsid w:val="00363B05"/>
    <w:rsid w:val="00363B9E"/>
    <w:rsid w:val="00363E7C"/>
    <w:rsid w:val="00363FAB"/>
    <w:rsid w:val="0036401A"/>
    <w:rsid w:val="003640C3"/>
    <w:rsid w:val="003642D6"/>
    <w:rsid w:val="00364331"/>
    <w:rsid w:val="003643AC"/>
    <w:rsid w:val="00364426"/>
    <w:rsid w:val="00364428"/>
    <w:rsid w:val="0036465A"/>
    <w:rsid w:val="003646A7"/>
    <w:rsid w:val="00364786"/>
    <w:rsid w:val="003648D3"/>
    <w:rsid w:val="0036494C"/>
    <w:rsid w:val="00364A09"/>
    <w:rsid w:val="00364AEF"/>
    <w:rsid w:val="00364D9E"/>
    <w:rsid w:val="00364E84"/>
    <w:rsid w:val="00365166"/>
    <w:rsid w:val="00365730"/>
    <w:rsid w:val="0036594E"/>
    <w:rsid w:val="003659B5"/>
    <w:rsid w:val="00365B82"/>
    <w:rsid w:val="00365C33"/>
    <w:rsid w:val="00365D53"/>
    <w:rsid w:val="0036603C"/>
    <w:rsid w:val="003660B7"/>
    <w:rsid w:val="0036629D"/>
    <w:rsid w:val="003663D5"/>
    <w:rsid w:val="0036677D"/>
    <w:rsid w:val="00366BA0"/>
    <w:rsid w:val="00366D91"/>
    <w:rsid w:val="00366EEC"/>
    <w:rsid w:val="00366FC5"/>
    <w:rsid w:val="00367360"/>
    <w:rsid w:val="00367668"/>
    <w:rsid w:val="0036779F"/>
    <w:rsid w:val="003677C5"/>
    <w:rsid w:val="00367CF7"/>
    <w:rsid w:val="0037046E"/>
    <w:rsid w:val="003705FA"/>
    <w:rsid w:val="00370CFB"/>
    <w:rsid w:val="00370D2B"/>
    <w:rsid w:val="00370D67"/>
    <w:rsid w:val="00371081"/>
    <w:rsid w:val="0037109E"/>
    <w:rsid w:val="0037139D"/>
    <w:rsid w:val="0037167C"/>
    <w:rsid w:val="003717E5"/>
    <w:rsid w:val="00371C0A"/>
    <w:rsid w:val="00371FE6"/>
    <w:rsid w:val="00372078"/>
    <w:rsid w:val="00372115"/>
    <w:rsid w:val="00372137"/>
    <w:rsid w:val="00372246"/>
    <w:rsid w:val="003722FB"/>
    <w:rsid w:val="003724EE"/>
    <w:rsid w:val="003727EC"/>
    <w:rsid w:val="00372B97"/>
    <w:rsid w:val="00372DE5"/>
    <w:rsid w:val="00372F10"/>
    <w:rsid w:val="0037341B"/>
    <w:rsid w:val="00373757"/>
    <w:rsid w:val="00373D12"/>
    <w:rsid w:val="00373E81"/>
    <w:rsid w:val="00373EB8"/>
    <w:rsid w:val="00374144"/>
    <w:rsid w:val="003741E7"/>
    <w:rsid w:val="00374A67"/>
    <w:rsid w:val="00374E25"/>
    <w:rsid w:val="00374F82"/>
    <w:rsid w:val="003750F6"/>
    <w:rsid w:val="003752EB"/>
    <w:rsid w:val="0037538F"/>
    <w:rsid w:val="0037594C"/>
    <w:rsid w:val="00375A48"/>
    <w:rsid w:val="00375CF9"/>
    <w:rsid w:val="00375F47"/>
    <w:rsid w:val="00376070"/>
    <w:rsid w:val="003763DE"/>
    <w:rsid w:val="00376802"/>
    <w:rsid w:val="00376875"/>
    <w:rsid w:val="00376B72"/>
    <w:rsid w:val="00376D50"/>
    <w:rsid w:val="00376D62"/>
    <w:rsid w:val="00377433"/>
    <w:rsid w:val="00377C29"/>
    <w:rsid w:val="00377DE9"/>
    <w:rsid w:val="00377FD4"/>
    <w:rsid w:val="00380156"/>
    <w:rsid w:val="0038019F"/>
    <w:rsid w:val="00380270"/>
    <w:rsid w:val="003806C8"/>
    <w:rsid w:val="003808BE"/>
    <w:rsid w:val="00380ADD"/>
    <w:rsid w:val="00380FB3"/>
    <w:rsid w:val="00381229"/>
    <w:rsid w:val="003814B0"/>
    <w:rsid w:val="003817BA"/>
    <w:rsid w:val="003819A6"/>
    <w:rsid w:val="00381B2F"/>
    <w:rsid w:val="00381E8E"/>
    <w:rsid w:val="00382071"/>
    <w:rsid w:val="00382213"/>
    <w:rsid w:val="0038280D"/>
    <w:rsid w:val="0038311C"/>
    <w:rsid w:val="00383721"/>
    <w:rsid w:val="00383814"/>
    <w:rsid w:val="0038394C"/>
    <w:rsid w:val="00383E7C"/>
    <w:rsid w:val="0038434A"/>
    <w:rsid w:val="003846A6"/>
    <w:rsid w:val="003849ED"/>
    <w:rsid w:val="00384BA4"/>
    <w:rsid w:val="00384CE7"/>
    <w:rsid w:val="00385023"/>
    <w:rsid w:val="003851E6"/>
    <w:rsid w:val="003857C4"/>
    <w:rsid w:val="00385A95"/>
    <w:rsid w:val="00385AB1"/>
    <w:rsid w:val="00385FBA"/>
    <w:rsid w:val="003860F8"/>
    <w:rsid w:val="0038630F"/>
    <w:rsid w:val="00386719"/>
    <w:rsid w:val="0038677C"/>
    <w:rsid w:val="00386C6E"/>
    <w:rsid w:val="00387398"/>
    <w:rsid w:val="00387511"/>
    <w:rsid w:val="00387540"/>
    <w:rsid w:val="003878BE"/>
    <w:rsid w:val="00387A7B"/>
    <w:rsid w:val="00387D5C"/>
    <w:rsid w:val="00387FBE"/>
    <w:rsid w:val="00387FDB"/>
    <w:rsid w:val="0038BAE9"/>
    <w:rsid w:val="00390013"/>
    <w:rsid w:val="003902D1"/>
    <w:rsid w:val="00390382"/>
    <w:rsid w:val="00390440"/>
    <w:rsid w:val="003904B9"/>
    <w:rsid w:val="003904D5"/>
    <w:rsid w:val="00390761"/>
    <w:rsid w:val="00390928"/>
    <w:rsid w:val="00390A2F"/>
    <w:rsid w:val="00390B53"/>
    <w:rsid w:val="00390D2C"/>
    <w:rsid w:val="00390EF2"/>
    <w:rsid w:val="00390FD0"/>
    <w:rsid w:val="00391316"/>
    <w:rsid w:val="003917EB"/>
    <w:rsid w:val="00391B40"/>
    <w:rsid w:val="0039202F"/>
    <w:rsid w:val="003922EB"/>
    <w:rsid w:val="00392395"/>
    <w:rsid w:val="0039240C"/>
    <w:rsid w:val="003924C9"/>
    <w:rsid w:val="003926F6"/>
    <w:rsid w:val="00392B65"/>
    <w:rsid w:val="00392C8A"/>
    <w:rsid w:val="0039339C"/>
    <w:rsid w:val="003941C7"/>
    <w:rsid w:val="003944DD"/>
    <w:rsid w:val="00394504"/>
    <w:rsid w:val="003945C1"/>
    <w:rsid w:val="003945C9"/>
    <w:rsid w:val="003947DB"/>
    <w:rsid w:val="003948B2"/>
    <w:rsid w:val="00394900"/>
    <w:rsid w:val="00394AC7"/>
    <w:rsid w:val="0039519F"/>
    <w:rsid w:val="003951B2"/>
    <w:rsid w:val="00395349"/>
    <w:rsid w:val="00395884"/>
    <w:rsid w:val="0039592B"/>
    <w:rsid w:val="003962C7"/>
    <w:rsid w:val="00396965"/>
    <w:rsid w:val="00396F6C"/>
    <w:rsid w:val="00397272"/>
    <w:rsid w:val="003972B2"/>
    <w:rsid w:val="00397999"/>
    <w:rsid w:val="00397C34"/>
    <w:rsid w:val="00397DA6"/>
    <w:rsid w:val="00397F52"/>
    <w:rsid w:val="00397F78"/>
    <w:rsid w:val="003A0393"/>
    <w:rsid w:val="003A0461"/>
    <w:rsid w:val="003A05EF"/>
    <w:rsid w:val="003A0997"/>
    <w:rsid w:val="003A0BD6"/>
    <w:rsid w:val="003A0D5A"/>
    <w:rsid w:val="003A0DD0"/>
    <w:rsid w:val="003A1068"/>
    <w:rsid w:val="003A13FA"/>
    <w:rsid w:val="003A1469"/>
    <w:rsid w:val="003A18B7"/>
    <w:rsid w:val="003A18BC"/>
    <w:rsid w:val="003A19CC"/>
    <w:rsid w:val="003A214C"/>
    <w:rsid w:val="003A21C3"/>
    <w:rsid w:val="003A2541"/>
    <w:rsid w:val="003A25B4"/>
    <w:rsid w:val="003A2F25"/>
    <w:rsid w:val="003A3089"/>
    <w:rsid w:val="003A391C"/>
    <w:rsid w:val="003A3944"/>
    <w:rsid w:val="003A3954"/>
    <w:rsid w:val="003A3A5E"/>
    <w:rsid w:val="003A3BF8"/>
    <w:rsid w:val="003A3C07"/>
    <w:rsid w:val="003A3C74"/>
    <w:rsid w:val="003A4571"/>
    <w:rsid w:val="003A485B"/>
    <w:rsid w:val="003A4A73"/>
    <w:rsid w:val="003A4AFA"/>
    <w:rsid w:val="003A4C68"/>
    <w:rsid w:val="003A4FE7"/>
    <w:rsid w:val="003A5308"/>
    <w:rsid w:val="003A567C"/>
    <w:rsid w:val="003A5B3A"/>
    <w:rsid w:val="003A6322"/>
    <w:rsid w:val="003A65FA"/>
    <w:rsid w:val="003A6809"/>
    <w:rsid w:val="003A6966"/>
    <w:rsid w:val="003A6A68"/>
    <w:rsid w:val="003A6C3E"/>
    <w:rsid w:val="003A735B"/>
    <w:rsid w:val="003A74A3"/>
    <w:rsid w:val="003A75DC"/>
    <w:rsid w:val="003A76B4"/>
    <w:rsid w:val="003A7702"/>
    <w:rsid w:val="003A7BD5"/>
    <w:rsid w:val="003A7D04"/>
    <w:rsid w:val="003B01F6"/>
    <w:rsid w:val="003B0616"/>
    <w:rsid w:val="003B0684"/>
    <w:rsid w:val="003B06D0"/>
    <w:rsid w:val="003B0872"/>
    <w:rsid w:val="003B08F1"/>
    <w:rsid w:val="003B0B25"/>
    <w:rsid w:val="003B0D9D"/>
    <w:rsid w:val="003B1035"/>
    <w:rsid w:val="003B11CE"/>
    <w:rsid w:val="003B1605"/>
    <w:rsid w:val="003B18C5"/>
    <w:rsid w:val="003B18F8"/>
    <w:rsid w:val="003B198C"/>
    <w:rsid w:val="003B1C98"/>
    <w:rsid w:val="003B1D8B"/>
    <w:rsid w:val="003B1EC2"/>
    <w:rsid w:val="003B217E"/>
    <w:rsid w:val="003B2195"/>
    <w:rsid w:val="003B24E3"/>
    <w:rsid w:val="003B25CD"/>
    <w:rsid w:val="003B2807"/>
    <w:rsid w:val="003B2968"/>
    <w:rsid w:val="003B29DA"/>
    <w:rsid w:val="003B2C8C"/>
    <w:rsid w:val="003B32F0"/>
    <w:rsid w:val="003B3358"/>
    <w:rsid w:val="003B3450"/>
    <w:rsid w:val="003B34FB"/>
    <w:rsid w:val="003B3733"/>
    <w:rsid w:val="003B43AF"/>
    <w:rsid w:val="003B43B6"/>
    <w:rsid w:val="003B4428"/>
    <w:rsid w:val="003B4561"/>
    <w:rsid w:val="003B48E0"/>
    <w:rsid w:val="003B4CD4"/>
    <w:rsid w:val="003B4E04"/>
    <w:rsid w:val="003B4FD1"/>
    <w:rsid w:val="003B5126"/>
    <w:rsid w:val="003B521C"/>
    <w:rsid w:val="003B5313"/>
    <w:rsid w:val="003B54E5"/>
    <w:rsid w:val="003B550F"/>
    <w:rsid w:val="003B5A06"/>
    <w:rsid w:val="003B5B35"/>
    <w:rsid w:val="003B5CA7"/>
    <w:rsid w:val="003B5E26"/>
    <w:rsid w:val="003B6464"/>
    <w:rsid w:val="003B67E7"/>
    <w:rsid w:val="003B6D26"/>
    <w:rsid w:val="003B6D6D"/>
    <w:rsid w:val="003B6E54"/>
    <w:rsid w:val="003B6E8E"/>
    <w:rsid w:val="003B6E9B"/>
    <w:rsid w:val="003B6F20"/>
    <w:rsid w:val="003B6FBF"/>
    <w:rsid w:val="003B74BA"/>
    <w:rsid w:val="003B7620"/>
    <w:rsid w:val="003B7704"/>
    <w:rsid w:val="003B7887"/>
    <w:rsid w:val="003B793E"/>
    <w:rsid w:val="003C004E"/>
    <w:rsid w:val="003C01FD"/>
    <w:rsid w:val="003C0473"/>
    <w:rsid w:val="003C0533"/>
    <w:rsid w:val="003C09DF"/>
    <w:rsid w:val="003C0CC3"/>
    <w:rsid w:val="003C10E3"/>
    <w:rsid w:val="003C11C8"/>
    <w:rsid w:val="003C120A"/>
    <w:rsid w:val="003C135E"/>
    <w:rsid w:val="003C17FF"/>
    <w:rsid w:val="003C19DF"/>
    <w:rsid w:val="003C1A33"/>
    <w:rsid w:val="003C1C00"/>
    <w:rsid w:val="003C1D3F"/>
    <w:rsid w:val="003C1E9A"/>
    <w:rsid w:val="003C1EA1"/>
    <w:rsid w:val="003C1FE1"/>
    <w:rsid w:val="003C2177"/>
    <w:rsid w:val="003C2195"/>
    <w:rsid w:val="003C2219"/>
    <w:rsid w:val="003C27C2"/>
    <w:rsid w:val="003C2EFF"/>
    <w:rsid w:val="003C3004"/>
    <w:rsid w:val="003C3148"/>
    <w:rsid w:val="003C3183"/>
    <w:rsid w:val="003C31AF"/>
    <w:rsid w:val="003C3342"/>
    <w:rsid w:val="003C3A4C"/>
    <w:rsid w:val="003C3DA0"/>
    <w:rsid w:val="003C3DAE"/>
    <w:rsid w:val="003C3DD1"/>
    <w:rsid w:val="003C45F9"/>
    <w:rsid w:val="003C4715"/>
    <w:rsid w:val="003C4A6A"/>
    <w:rsid w:val="003C4C56"/>
    <w:rsid w:val="003C4D4A"/>
    <w:rsid w:val="003C5014"/>
    <w:rsid w:val="003C5220"/>
    <w:rsid w:val="003C5480"/>
    <w:rsid w:val="003C55A4"/>
    <w:rsid w:val="003C5FC0"/>
    <w:rsid w:val="003C6205"/>
    <w:rsid w:val="003C65E7"/>
    <w:rsid w:val="003C65F1"/>
    <w:rsid w:val="003C6687"/>
    <w:rsid w:val="003C66D5"/>
    <w:rsid w:val="003C67B7"/>
    <w:rsid w:val="003C68F2"/>
    <w:rsid w:val="003C6980"/>
    <w:rsid w:val="003C70BB"/>
    <w:rsid w:val="003C71A7"/>
    <w:rsid w:val="003C76A3"/>
    <w:rsid w:val="003C7AB5"/>
    <w:rsid w:val="003C7D2D"/>
    <w:rsid w:val="003C7E2C"/>
    <w:rsid w:val="003D029C"/>
    <w:rsid w:val="003D0375"/>
    <w:rsid w:val="003D04D5"/>
    <w:rsid w:val="003D0554"/>
    <w:rsid w:val="003D0768"/>
    <w:rsid w:val="003D07D2"/>
    <w:rsid w:val="003D087E"/>
    <w:rsid w:val="003D0E25"/>
    <w:rsid w:val="003D101C"/>
    <w:rsid w:val="003D1043"/>
    <w:rsid w:val="003D1065"/>
    <w:rsid w:val="003D11B3"/>
    <w:rsid w:val="003D15CD"/>
    <w:rsid w:val="003D16EC"/>
    <w:rsid w:val="003D176C"/>
    <w:rsid w:val="003D17B6"/>
    <w:rsid w:val="003D1902"/>
    <w:rsid w:val="003D19EE"/>
    <w:rsid w:val="003D1A4F"/>
    <w:rsid w:val="003D1BD7"/>
    <w:rsid w:val="003D1C76"/>
    <w:rsid w:val="003D1EA3"/>
    <w:rsid w:val="003D23C9"/>
    <w:rsid w:val="003D246A"/>
    <w:rsid w:val="003D28AA"/>
    <w:rsid w:val="003D28F4"/>
    <w:rsid w:val="003D2926"/>
    <w:rsid w:val="003D2A1F"/>
    <w:rsid w:val="003D2BB7"/>
    <w:rsid w:val="003D2CAB"/>
    <w:rsid w:val="003D2D31"/>
    <w:rsid w:val="003D2D76"/>
    <w:rsid w:val="003D2E54"/>
    <w:rsid w:val="003D3096"/>
    <w:rsid w:val="003D321F"/>
    <w:rsid w:val="003D35C7"/>
    <w:rsid w:val="003D3680"/>
    <w:rsid w:val="003D37B6"/>
    <w:rsid w:val="003D38F8"/>
    <w:rsid w:val="003D3C05"/>
    <w:rsid w:val="003D41A9"/>
    <w:rsid w:val="003D4308"/>
    <w:rsid w:val="003D48D3"/>
    <w:rsid w:val="003D4AE0"/>
    <w:rsid w:val="003D5146"/>
    <w:rsid w:val="003D5323"/>
    <w:rsid w:val="003D55BB"/>
    <w:rsid w:val="003D58B8"/>
    <w:rsid w:val="003D5BFD"/>
    <w:rsid w:val="003D5CFB"/>
    <w:rsid w:val="003D5DD3"/>
    <w:rsid w:val="003D60F2"/>
    <w:rsid w:val="003D627B"/>
    <w:rsid w:val="003D6907"/>
    <w:rsid w:val="003D6D83"/>
    <w:rsid w:val="003D701C"/>
    <w:rsid w:val="003D7277"/>
    <w:rsid w:val="003D7BD0"/>
    <w:rsid w:val="003E0899"/>
    <w:rsid w:val="003E0D59"/>
    <w:rsid w:val="003E0ECE"/>
    <w:rsid w:val="003E11A8"/>
    <w:rsid w:val="003E1481"/>
    <w:rsid w:val="003E1509"/>
    <w:rsid w:val="003E178C"/>
    <w:rsid w:val="003E180B"/>
    <w:rsid w:val="003E1FDA"/>
    <w:rsid w:val="003E2078"/>
    <w:rsid w:val="003E23E6"/>
    <w:rsid w:val="003E2425"/>
    <w:rsid w:val="003E2431"/>
    <w:rsid w:val="003E2636"/>
    <w:rsid w:val="003E276E"/>
    <w:rsid w:val="003E290B"/>
    <w:rsid w:val="003E2D82"/>
    <w:rsid w:val="003E2E12"/>
    <w:rsid w:val="003E3097"/>
    <w:rsid w:val="003E3280"/>
    <w:rsid w:val="003E3796"/>
    <w:rsid w:val="003E3832"/>
    <w:rsid w:val="003E3952"/>
    <w:rsid w:val="003E3B66"/>
    <w:rsid w:val="003E3C59"/>
    <w:rsid w:val="003E3D45"/>
    <w:rsid w:val="003E41F9"/>
    <w:rsid w:val="003E42BC"/>
    <w:rsid w:val="003E42D4"/>
    <w:rsid w:val="003E4850"/>
    <w:rsid w:val="003E4B21"/>
    <w:rsid w:val="003E4D1D"/>
    <w:rsid w:val="003E4D88"/>
    <w:rsid w:val="003E4F71"/>
    <w:rsid w:val="003E58F2"/>
    <w:rsid w:val="003E5E00"/>
    <w:rsid w:val="003E6611"/>
    <w:rsid w:val="003E6902"/>
    <w:rsid w:val="003E6CA1"/>
    <w:rsid w:val="003E6EBD"/>
    <w:rsid w:val="003E6F0A"/>
    <w:rsid w:val="003E70DB"/>
    <w:rsid w:val="003E7159"/>
    <w:rsid w:val="003E7459"/>
    <w:rsid w:val="003E75B4"/>
    <w:rsid w:val="003E7612"/>
    <w:rsid w:val="003E76B7"/>
    <w:rsid w:val="003E7B47"/>
    <w:rsid w:val="003F0034"/>
    <w:rsid w:val="003F0132"/>
    <w:rsid w:val="003F03A6"/>
    <w:rsid w:val="003F0B6D"/>
    <w:rsid w:val="003F0E09"/>
    <w:rsid w:val="003F0E68"/>
    <w:rsid w:val="003F1160"/>
    <w:rsid w:val="003F16F0"/>
    <w:rsid w:val="003F2361"/>
    <w:rsid w:val="003F2382"/>
    <w:rsid w:val="003F2BF1"/>
    <w:rsid w:val="003F2CD2"/>
    <w:rsid w:val="003F302F"/>
    <w:rsid w:val="003F3220"/>
    <w:rsid w:val="003F357C"/>
    <w:rsid w:val="003F39CE"/>
    <w:rsid w:val="003F39DB"/>
    <w:rsid w:val="003F3AA4"/>
    <w:rsid w:val="003F3D6D"/>
    <w:rsid w:val="003F3D8E"/>
    <w:rsid w:val="003F3E6C"/>
    <w:rsid w:val="003F4194"/>
    <w:rsid w:val="003F42EB"/>
    <w:rsid w:val="003F467B"/>
    <w:rsid w:val="003F4712"/>
    <w:rsid w:val="003F4992"/>
    <w:rsid w:val="003F49C3"/>
    <w:rsid w:val="003F5099"/>
    <w:rsid w:val="003F5191"/>
    <w:rsid w:val="003F5554"/>
    <w:rsid w:val="003F56D0"/>
    <w:rsid w:val="003F5847"/>
    <w:rsid w:val="003F60AA"/>
    <w:rsid w:val="003F6494"/>
    <w:rsid w:val="003F676C"/>
    <w:rsid w:val="003F6C30"/>
    <w:rsid w:val="003F706A"/>
    <w:rsid w:val="003F7373"/>
    <w:rsid w:val="003F73B8"/>
    <w:rsid w:val="003F76FA"/>
    <w:rsid w:val="003F774A"/>
    <w:rsid w:val="003F77F1"/>
    <w:rsid w:val="003F799C"/>
    <w:rsid w:val="003F7E45"/>
    <w:rsid w:val="003F8BE4"/>
    <w:rsid w:val="0040018D"/>
    <w:rsid w:val="00400673"/>
    <w:rsid w:val="00400996"/>
    <w:rsid w:val="00400B16"/>
    <w:rsid w:val="00400E87"/>
    <w:rsid w:val="00400EC4"/>
    <w:rsid w:val="004010B3"/>
    <w:rsid w:val="00401108"/>
    <w:rsid w:val="0040158E"/>
    <w:rsid w:val="00401920"/>
    <w:rsid w:val="00401F70"/>
    <w:rsid w:val="00402239"/>
    <w:rsid w:val="00402772"/>
    <w:rsid w:val="00402927"/>
    <w:rsid w:val="00402944"/>
    <w:rsid w:val="00402CAE"/>
    <w:rsid w:val="00403258"/>
    <w:rsid w:val="00403390"/>
    <w:rsid w:val="0040382E"/>
    <w:rsid w:val="00403992"/>
    <w:rsid w:val="004039D3"/>
    <w:rsid w:val="00403B80"/>
    <w:rsid w:val="00403BC0"/>
    <w:rsid w:val="00403EA8"/>
    <w:rsid w:val="00403FC5"/>
    <w:rsid w:val="0040411A"/>
    <w:rsid w:val="004045B3"/>
    <w:rsid w:val="00404861"/>
    <w:rsid w:val="00404BD0"/>
    <w:rsid w:val="00404C4A"/>
    <w:rsid w:val="00404FA4"/>
    <w:rsid w:val="004050C9"/>
    <w:rsid w:val="004051BB"/>
    <w:rsid w:val="00405275"/>
    <w:rsid w:val="004052B1"/>
    <w:rsid w:val="00405C07"/>
    <w:rsid w:val="00405E95"/>
    <w:rsid w:val="00405F0B"/>
    <w:rsid w:val="00406110"/>
    <w:rsid w:val="004064AD"/>
    <w:rsid w:val="0040653C"/>
    <w:rsid w:val="004065AD"/>
    <w:rsid w:val="004066C3"/>
    <w:rsid w:val="004069A3"/>
    <w:rsid w:val="0040700D"/>
    <w:rsid w:val="004070CE"/>
    <w:rsid w:val="004072DE"/>
    <w:rsid w:val="004073A4"/>
    <w:rsid w:val="00407993"/>
    <w:rsid w:val="00407E00"/>
    <w:rsid w:val="00407FD1"/>
    <w:rsid w:val="004103E0"/>
    <w:rsid w:val="004104B7"/>
    <w:rsid w:val="00410622"/>
    <w:rsid w:val="00410EBB"/>
    <w:rsid w:val="004110B4"/>
    <w:rsid w:val="004110BB"/>
    <w:rsid w:val="00411457"/>
    <w:rsid w:val="00411608"/>
    <w:rsid w:val="004116BC"/>
    <w:rsid w:val="00411833"/>
    <w:rsid w:val="004119CF"/>
    <w:rsid w:val="00411E5B"/>
    <w:rsid w:val="0041213C"/>
    <w:rsid w:val="00412A0D"/>
    <w:rsid w:val="00412B73"/>
    <w:rsid w:val="00412BB3"/>
    <w:rsid w:val="00412EEA"/>
    <w:rsid w:val="00412F64"/>
    <w:rsid w:val="00412FC7"/>
    <w:rsid w:val="00412FD7"/>
    <w:rsid w:val="0041304D"/>
    <w:rsid w:val="00413237"/>
    <w:rsid w:val="0041336A"/>
    <w:rsid w:val="00413593"/>
    <w:rsid w:val="00413848"/>
    <w:rsid w:val="00413A67"/>
    <w:rsid w:val="00413B18"/>
    <w:rsid w:val="00413CEC"/>
    <w:rsid w:val="00413F85"/>
    <w:rsid w:val="00413FF9"/>
    <w:rsid w:val="004144CE"/>
    <w:rsid w:val="00414873"/>
    <w:rsid w:val="00414AC9"/>
    <w:rsid w:val="00414EA5"/>
    <w:rsid w:val="00415DB0"/>
    <w:rsid w:val="00415E68"/>
    <w:rsid w:val="00415F5E"/>
    <w:rsid w:val="00416565"/>
    <w:rsid w:val="0041675C"/>
    <w:rsid w:val="004168EE"/>
    <w:rsid w:val="004169C8"/>
    <w:rsid w:val="004169FA"/>
    <w:rsid w:val="00416CF5"/>
    <w:rsid w:val="0041707B"/>
    <w:rsid w:val="0041720C"/>
    <w:rsid w:val="00417290"/>
    <w:rsid w:val="004174E6"/>
    <w:rsid w:val="004175F4"/>
    <w:rsid w:val="0041760E"/>
    <w:rsid w:val="004178F2"/>
    <w:rsid w:val="0041790D"/>
    <w:rsid w:val="004179E0"/>
    <w:rsid w:val="00417BEB"/>
    <w:rsid w:val="00417F7D"/>
    <w:rsid w:val="004201A6"/>
    <w:rsid w:val="0042085B"/>
    <w:rsid w:val="00420B4C"/>
    <w:rsid w:val="00420F2E"/>
    <w:rsid w:val="004210C2"/>
    <w:rsid w:val="004210E6"/>
    <w:rsid w:val="00421400"/>
    <w:rsid w:val="00421406"/>
    <w:rsid w:val="0042145A"/>
    <w:rsid w:val="00421484"/>
    <w:rsid w:val="004214DD"/>
    <w:rsid w:val="00421627"/>
    <w:rsid w:val="00421751"/>
    <w:rsid w:val="00421A70"/>
    <w:rsid w:val="00421C8C"/>
    <w:rsid w:val="00421CDD"/>
    <w:rsid w:val="00421EED"/>
    <w:rsid w:val="004221B2"/>
    <w:rsid w:val="00422336"/>
    <w:rsid w:val="00422351"/>
    <w:rsid w:val="0042254A"/>
    <w:rsid w:val="0042362B"/>
    <w:rsid w:val="00423727"/>
    <w:rsid w:val="004237A0"/>
    <w:rsid w:val="00423AE8"/>
    <w:rsid w:val="00423BF0"/>
    <w:rsid w:val="00423F7F"/>
    <w:rsid w:val="00424109"/>
    <w:rsid w:val="004242F5"/>
    <w:rsid w:val="004246B3"/>
    <w:rsid w:val="00424C24"/>
    <w:rsid w:val="00424C2D"/>
    <w:rsid w:val="00424EFA"/>
    <w:rsid w:val="00425049"/>
    <w:rsid w:val="00425061"/>
    <w:rsid w:val="004250D4"/>
    <w:rsid w:val="00425316"/>
    <w:rsid w:val="0042538B"/>
    <w:rsid w:val="004255F1"/>
    <w:rsid w:val="00425A11"/>
    <w:rsid w:val="00425ECB"/>
    <w:rsid w:val="00425F79"/>
    <w:rsid w:val="0042619C"/>
    <w:rsid w:val="004263C1"/>
    <w:rsid w:val="00426411"/>
    <w:rsid w:val="00426703"/>
    <w:rsid w:val="00426DB6"/>
    <w:rsid w:val="00426FF6"/>
    <w:rsid w:val="00427155"/>
    <w:rsid w:val="004278F2"/>
    <w:rsid w:val="0042798C"/>
    <w:rsid w:val="00427BA0"/>
    <w:rsid w:val="00427BA8"/>
    <w:rsid w:val="00427C2E"/>
    <w:rsid w:val="00427F47"/>
    <w:rsid w:val="0043047F"/>
    <w:rsid w:val="00430CDA"/>
    <w:rsid w:val="00430E5B"/>
    <w:rsid w:val="004310A9"/>
    <w:rsid w:val="004317EB"/>
    <w:rsid w:val="00431A1B"/>
    <w:rsid w:val="00431AB9"/>
    <w:rsid w:val="00431AC5"/>
    <w:rsid w:val="00431B57"/>
    <w:rsid w:val="00431CD8"/>
    <w:rsid w:val="00431D47"/>
    <w:rsid w:val="00431DB9"/>
    <w:rsid w:val="004324FF"/>
    <w:rsid w:val="00432A55"/>
    <w:rsid w:val="00432FB5"/>
    <w:rsid w:val="004331C5"/>
    <w:rsid w:val="00433334"/>
    <w:rsid w:val="00433366"/>
    <w:rsid w:val="004333A2"/>
    <w:rsid w:val="0043362A"/>
    <w:rsid w:val="00433881"/>
    <w:rsid w:val="00433BB5"/>
    <w:rsid w:val="00433CB1"/>
    <w:rsid w:val="00433F44"/>
    <w:rsid w:val="004343D8"/>
    <w:rsid w:val="00434862"/>
    <w:rsid w:val="00434BFE"/>
    <w:rsid w:val="0043540E"/>
    <w:rsid w:val="00435458"/>
    <w:rsid w:val="004354A4"/>
    <w:rsid w:val="00435B20"/>
    <w:rsid w:val="00435C1D"/>
    <w:rsid w:val="00436099"/>
    <w:rsid w:val="00436104"/>
    <w:rsid w:val="0043635A"/>
    <w:rsid w:val="004365C9"/>
    <w:rsid w:val="00436843"/>
    <w:rsid w:val="0043707C"/>
    <w:rsid w:val="00437880"/>
    <w:rsid w:val="004379BF"/>
    <w:rsid w:val="004400A2"/>
    <w:rsid w:val="00440289"/>
    <w:rsid w:val="0044059F"/>
    <w:rsid w:val="00440617"/>
    <w:rsid w:val="004407FD"/>
    <w:rsid w:val="00440E0B"/>
    <w:rsid w:val="00440FAE"/>
    <w:rsid w:val="0044148C"/>
    <w:rsid w:val="004415C5"/>
    <w:rsid w:val="00441627"/>
    <w:rsid w:val="00441674"/>
    <w:rsid w:val="004417D5"/>
    <w:rsid w:val="00441995"/>
    <w:rsid w:val="00441ACC"/>
    <w:rsid w:val="00441E7E"/>
    <w:rsid w:val="004421C1"/>
    <w:rsid w:val="00442211"/>
    <w:rsid w:val="0044232A"/>
    <w:rsid w:val="0044260A"/>
    <w:rsid w:val="004428D5"/>
    <w:rsid w:val="00442937"/>
    <w:rsid w:val="0044298D"/>
    <w:rsid w:val="00442E50"/>
    <w:rsid w:val="00443105"/>
    <w:rsid w:val="00443192"/>
    <w:rsid w:val="00443196"/>
    <w:rsid w:val="0044325C"/>
    <w:rsid w:val="0044351C"/>
    <w:rsid w:val="00443A51"/>
    <w:rsid w:val="00443C4A"/>
    <w:rsid w:val="00443CC5"/>
    <w:rsid w:val="00443EAA"/>
    <w:rsid w:val="00443F1B"/>
    <w:rsid w:val="00444D82"/>
    <w:rsid w:val="00444EF4"/>
    <w:rsid w:val="004451DB"/>
    <w:rsid w:val="0044563F"/>
    <w:rsid w:val="00445BED"/>
    <w:rsid w:val="00445D29"/>
    <w:rsid w:val="00446111"/>
    <w:rsid w:val="0044664D"/>
    <w:rsid w:val="00446C56"/>
    <w:rsid w:val="00446CB8"/>
    <w:rsid w:val="00446CE4"/>
    <w:rsid w:val="00447632"/>
    <w:rsid w:val="004476A0"/>
    <w:rsid w:val="00447C46"/>
    <w:rsid w:val="00447D8D"/>
    <w:rsid w:val="00450119"/>
    <w:rsid w:val="00450755"/>
    <w:rsid w:val="00450AEA"/>
    <w:rsid w:val="00450C5D"/>
    <w:rsid w:val="00450DBD"/>
    <w:rsid w:val="00450E00"/>
    <w:rsid w:val="0045113F"/>
    <w:rsid w:val="00451167"/>
    <w:rsid w:val="00451428"/>
    <w:rsid w:val="004514A6"/>
    <w:rsid w:val="004518FD"/>
    <w:rsid w:val="00451BEE"/>
    <w:rsid w:val="00451DE4"/>
    <w:rsid w:val="00451F4A"/>
    <w:rsid w:val="004521C0"/>
    <w:rsid w:val="0045280C"/>
    <w:rsid w:val="00452BAC"/>
    <w:rsid w:val="00452DC9"/>
    <w:rsid w:val="00452EE3"/>
    <w:rsid w:val="00452F19"/>
    <w:rsid w:val="00453340"/>
    <w:rsid w:val="0045397B"/>
    <w:rsid w:val="00453A73"/>
    <w:rsid w:val="00453ADE"/>
    <w:rsid w:val="00453D69"/>
    <w:rsid w:val="00454C1C"/>
    <w:rsid w:val="00454E21"/>
    <w:rsid w:val="00454FCA"/>
    <w:rsid w:val="0045569E"/>
    <w:rsid w:val="00455764"/>
    <w:rsid w:val="0045578C"/>
    <w:rsid w:val="00455D9D"/>
    <w:rsid w:val="00455E32"/>
    <w:rsid w:val="00456111"/>
    <w:rsid w:val="0045619A"/>
    <w:rsid w:val="00456200"/>
    <w:rsid w:val="004564C6"/>
    <w:rsid w:val="00456511"/>
    <w:rsid w:val="00456770"/>
    <w:rsid w:val="00456865"/>
    <w:rsid w:val="00456C9E"/>
    <w:rsid w:val="00456E13"/>
    <w:rsid w:val="00456F0C"/>
    <w:rsid w:val="00456F44"/>
    <w:rsid w:val="004571F9"/>
    <w:rsid w:val="0045751D"/>
    <w:rsid w:val="004577E8"/>
    <w:rsid w:val="00457D3F"/>
    <w:rsid w:val="00457E9C"/>
    <w:rsid w:val="00457EBB"/>
    <w:rsid w:val="004600C0"/>
    <w:rsid w:val="0046063C"/>
    <w:rsid w:val="004608C3"/>
    <w:rsid w:val="0046098E"/>
    <w:rsid w:val="004609A8"/>
    <w:rsid w:val="004610CC"/>
    <w:rsid w:val="004611B5"/>
    <w:rsid w:val="00461416"/>
    <w:rsid w:val="004614AB"/>
    <w:rsid w:val="00461B61"/>
    <w:rsid w:val="00461D78"/>
    <w:rsid w:val="00462084"/>
    <w:rsid w:val="004627FC"/>
    <w:rsid w:val="0046302B"/>
    <w:rsid w:val="00463124"/>
    <w:rsid w:val="004631E7"/>
    <w:rsid w:val="0046351B"/>
    <w:rsid w:val="0046368D"/>
    <w:rsid w:val="00463861"/>
    <w:rsid w:val="00463925"/>
    <w:rsid w:val="00463EAD"/>
    <w:rsid w:val="00464026"/>
    <w:rsid w:val="00464106"/>
    <w:rsid w:val="0046485C"/>
    <w:rsid w:val="00464B53"/>
    <w:rsid w:val="00464EA7"/>
    <w:rsid w:val="00465298"/>
    <w:rsid w:val="00465464"/>
    <w:rsid w:val="00465626"/>
    <w:rsid w:val="004657A1"/>
    <w:rsid w:val="00465C54"/>
    <w:rsid w:val="00465E87"/>
    <w:rsid w:val="0046658C"/>
    <w:rsid w:val="004669B0"/>
    <w:rsid w:val="00466B84"/>
    <w:rsid w:val="00466D0D"/>
    <w:rsid w:val="00466D19"/>
    <w:rsid w:val="004671A9"/>
    <w:rsid w:val="004671D4"/>
    <w:rsid w:val="0046720C"/>
    <w:rsid w:val="00467256"/>
    <w:rsid w:val="0046749B"/>
    <w:rsid w:val="004674CA"/>
    <w:rsid w:val="00467577"/>
    <w:rsid w:val="00470138"/>
    <w:rsid w:val="004701D7"/>
    <w:rsid w:val="004706BF"/>
    <w:rsid w:val="004709D8"/>
    <w:rsid w:val="00470B67"/>
    <w:rsid w:val="00470D4A"/>
    <w:rsid w:val="00470D6F"/>
    <w:rsid w:val="00470E8C"/>
    <w:rsid w:val="00470FD8"/>
    <w:rsid w:val="00471022"/>
    <w:rsid w:val="0047121A"/>
    <w:rsid w:val="004712D4"/>
    <w:rsid w:val="00471A03"/>
    <w:rsid w:val="00471EAF"/>
    <w:rsid w:val="00471FA1"/>
    <w:rsid w:val="00472324"/>
    <w:rsid w:val="00472B5C"/>
    <w:rsid w:val="00473335"/>
    <w:rsid w:val="0047345A"/>
    <w:rsid w:val="00473A9A"/>
    <w:rsid w:val="00473C7D"/>
    <w:rsid w:val="00474272"/>
    <w:rsid w:val="00474397"/>
    <w:rsid w:val="0047441F"/>
    <w:rsid w:val="004746C4"/>
    <w:rsid w:val="0047477C"/>
    <w:rsid w:val="00474AFA"/>
    <w:rsid w:val="00474BC2"/>
    <w:rsid w:val="00474DA4"/>
    <w:rsid w:val="004756B4"/>
    <w:rsid w:val="0047585F"/>
    <w:rsid w:val="004758AF"/>
    <w:rsid w:val="00475D27"/>
    <w:rsid w:val="0047609E"/>
    <w:rsid w:val="004766D1"/>
    <w:rsid w:val="00476C27"/>
    <w:rsid w:val="00476E5F"/>
    <w:rsid w:val="00477178"/>
    <w:rsid w:val="00477380"/>
    <w:rsid w:val="00477392"/>
    <w:rsid w:val="004775B4"/>
    <w:rsid w:val="0047786A"/>
    <w:rsid w:val="00477A65"/>
    <w:rsid w:val="00477AFB"/>
    <w:rsid w:val="00477ED3"/>
    <w:rsid w:val="00477F5E"/>
    <w:rsid w:val="0048002F"/>
    <w:rsid w:val="0048095A"/>
    <w:rsid w:val="00480C65"/>
    <w:rsid w:val="00481009"/>
    <w:rsid w:val="004813DB"/>
    <w:rsid w:val="004816FB"/>
    <w:rsid w:val="004817D1"/>
    <w:rsid w:val="004819E3"/>
    <w:rsid w:val="00481A0C"/>
    <w:rsid w:val="00481BDE"/>
    <w:rsid w:val="00481C06"/>
    <w:rsid w:val="00481D22"/>
    <w:rsid w:val="00481D36"/>
    <w:rsid w:val="00481DCE"/>
    <w:rsid w:val="00482003"/>
    <w:rsid w:val="004822E9"/>
    <w:rsid w:val="00482611"/>
    <w:rsid w:val="00482C05"/>
    <w:rsid w:val="00482C5B"/>
    <w:rsid w:val="00482DB3"/>
    <w:rsid w:val="00483171"/>
    <w:rsid w:val="0048320F"/>
    <w:rsid w:val="00483594"/>
    <w:rsid w:val="0048378B"/>
    <w:rsid w:val="00483D7A"/>
    <w:rsid w:val="0048423C"/>
    <w:rsid w:val="00484659"/>
    <w:rsid w:val="0048468A"/>
    <w:rsid w:val="004846CB"/>
    <w:rsid w:val="00484D63"/>
    <w:rsid w:val="004850BC"/>
    <w:rsid w:val="00485176"/>
    <w:rsid w:val="00485642"/>
    <w:rsid w:val="00485B99"/>
    <w:rsid w:val="00485BDE"/>
    <w:rsid w:val="00485F57"/>
    <w:rsid w:val="00486083"/>
    <w:rsid w:val="00486089"/>
    <w:rsid w:val="004866A8"/>
    <w:rsid w:val="00486774"/>
    <w:rsid w:val="00486A32"/>
    <w:rsid w:val="00486C17"/>
    <w:rsid w:val="004870AC"/>
    <w:rsid w:val="00487121"/>
    <w:rsid w:val="004871F0"/>
    <w:rsid w:val="00487260"/>
    <w:rsid w:val="004872CF"/>
    <w:rsid w:val="0048741E"/>
    <w:rsid w:val="00487426"/>
    <w:rsid w:val="004875D8"/>
    <w:rsid w:val="0048766A"/>
    <w:rsid w:val="00487A29"/>
    <w:rsid w:val="00487ABD"/>
    <w:rsid w:val="00487D44"/>
    <w:rsid w:val="00487E2B"/>
    <w:rsid w:val="00487FF3"/>
    <w:rsid w:val="00490207"/>
    <w:rsid w:val="004905EE"/>
    <w:rsid w:val="00490C17"/>
    <w:rsid w:val="00490EF3"/>
    <w:rsid w:val="00490F60"/>
    <w:rsid w:val="00490FD1"/>
    <w:rsid w:val="00491121"/>
    <w:rsid w:val="004911F7"/>
    <w:rsid w:val="00491335"/>
    <w:rsid w:val="0049196B"/>
    <w:rsid w:val="004919B2"/>
    <w:rsid w:val="00491A0A"/>
    <w:rsid w:val="00491C10"/>
    <w:rsid w:val="00491D25"/>
    <w:rsid w:val="00491EF1"/>
    <w:rsid w:val="00491FB9"/>
    <w:rsid w:val="00492447"/>
    <w:rsid w:val="00492638"/>
    <w:rsid w:val="0049278C"/>
    <w:rsid w:val="004928BC"/>
    <w:rsid w:val="004928DB"/>
    <w:rsid w:val="00492B6D"/>
    <w:rsid w:val="00493126"/>
    <w:rsid w:val="004931AF"/>
    <w:rsid w:val="0049382A"/>
    <w:rsid w:val="004939FC"/>
    <w:rsid w:val="00493CAA"/>
    <w:rsid w:val="00493E25"/>
    <w:rsid w:val="0049402E"/>
    <w:rsid w:val="00494774"/>
    <w:rsid w:val="004948A2"/>
    <w:rsid w:val="00494900"/>
    <w:rsid w:val="00494A8A"/>
    <w:rsid w:val="00494C4E"/>
    <w:rsid w:val="00494C59"/>
    <w:rsid w:val="00494C9F"/>
    <w:rsid w:val="004950B7"/>
    <w:rsid w:val="0049515A"/>
    <w:rsid w:val="004952F2"/>
    <w:rsid w:val="00495626"/>
    <w:rsid w:val="004957D6"/>
    <w:rsid w:val="0049581B"/>
    <w:rsid w:val="00495884"/>
    <w:rsid w:val="00495900"/>
    <w:rsid w:val="00495EE5"/>
    <w:rsid w:val="00495FA0"/>
    <w:rsid w:val="0049615B"/>
    <w:rsid w:val="00496292"/>
    <w:rsid w:val="00496323"/>
    <w:rsid w:val="00496BC9"/>
    <w:rsid w:val="00496C7B"/>
    <w:rsid w:val="00496F16"/>
    <w:rsid w:val="004975C6"/>
    <w:rsid w:val="004979A7"/>
    <w:rsid w:val="00497BAB"/>
    <w:rsid w:val="00497F04"/>
    <w:rsid w:val="004A00BB"/>
    <w:rsid w:val="004A022A"/>
    <w:rsid w:val="004A0236"/>
    <w:rsid w:val="004A068A"/>
    <w:rsid w:val="004A0835"/>
    <w:rsid w:val="004A0C48"/>
    <w:rsid w:val="004A0CAE"/>
    <w:rsid w:val="004A0D29"/>
    <w:rsid w:val="004A0FC3"/>
    <w:rsid w:val="004A0FEB"/>
    <w:rsid w:val="004A1104"/>
    <w:rsid w:val="004A116A"/>
    <w:rsid w:val="004A1529"/>
    <w:rsid w:val="004A1871"/>
    <w:rsid w:val="004A195A"/>
    <w:rsid w:val="004A1E22"/>
    <w:rsid w:val="004A1F9F"/>
    <w:rsid w:val="004A2485"/>
    <w:rsid w:val="004A2661"/>
    <w:rsid w:val="004A271B"/>
    <w:rsid w:val="004A29BD"/>
    <w:rsid w:val="004A2DB4"/>
    <w:rsid w:val="004A30B5"/>
    <w:rsid w:val="004A3160"/>
    <w:rsid w:val="004A31A1"/>
    <w:rsid w:val="004A34B4"/>
    <w:rsid w:val="004A369A"/>
    <w:rsid w:val="004A382A"/>
    <w:rsid w:val="004A3B3E"/>
    <w:rsid w:val="004A3BA2"/>
    <w:rsid w:val="004A3FEF"/>
    <w:rsid w:val="004A4094"/>
    <w:rsid w:val="004A4116"/>
    <w:rsid w:val="004A4159"/>
    <w:rsid w:val="004A473C"/>
    <w:rsid w:val="004A4762"/>
    <w:rsid w:val="004A4823"/>
    <w:rsid w:val="004A4ADC"/>
    <w:rsid w:val="004A4CAE"/>
    <w:rsid w:val="004A5450"/>
    <w:rsid w:val="004A54D5"/>
    <w:rsid w:val="004A55F7"/>
    <w:rsid w:val="004A5DB4"/>
    <w:rsid w:val="004A5F05"/>
    <w:rsid w:val="004A6063"/>
    <w:rsid w:val="004A60D9"/>
    <w:rsid w:val="004A60DC"/>
    <w:rsid w:val="004A618B"/>
    <w:rsid w:val="004A6232"/>
    <w:rsid w:val="004A638B"/>
    <w:rsid w:val="004A6C3F"/>
    <w:rsid w:val="004A6C91"/>
    <w:rsid w:val="004A6CFE"/>
    <w:rsid w:val="004A6E8E"/>
    <w:rsid w:val="004A6FDE"/>
    <w:rsid w:val="004A78ED"/>
    <w:rsid w:val="004A792F"/>
    <w:rsid w:val="004B0EC1"/>
    <w:rsid w:val="004B0EF2"/>
    <w:rsid w:val="004B1018"/>
    <w:rsid w:val="004B1276"/>
    <w:rsid w:val="004B14B0"/>
    <w:rsid w:val="004B14E8"/>
    <w:rsid w:val="004B15D5"/>
    <w:rsid w:val="004B1D7C"/>
    <w:rsid w:val="004B2719"/>
    <w:rsid w:val="004B2970"/>
    <w:rsid w:val="004B2C9A"/>
    <w:rsid w:val="004B305D"/>
    <w:rsid w:val="004B3062"/>
    <w:rsid w:val="004B398B"/>
    <w:rsid w:val="004B3B9E"/>
    <w:rsid w:val="004B3E48"/>
    <w:rsid w:val="004B4361"/>
    <w:rsid w:val="004B453C"/>
    <w:rsid w:val="004B4D31"/>
    <w:rsid w:val="004B4FD0"/>
    <w:rsid w:val="004B5653"/>
    <w:rsid w:val="004B5C52"/>
    <w:rsid w:val="004B5FB7"/>
    <w:rsid w:val="004B634C"/>
    <w:rsid w:val="004B661D"/>
    <w:rsid w:val="004B6824"/>
    <w:rsid w:val="004B6AA6"/>
    <w:rsid w:val="004B6AFB"/>
    <w:rsid w:val="004B75B2"/>
    <w:rsid w:val="004B766F"/>
    <w:rsid w:val="004B7CB1"/>
    <w:rsid w:val="004B7E61"/>
    <w:rsid w:val="004B7FAC"/>
    <w:rsid w:val="004C00F2"/>
    <w:rsid w:val="004C02AF"/>
    <w:rsid w:val="004C02F0"/>
    <w:rsid w:val="004C0371"/>
    <w:rsid w:val="004C0449"/>
    <w:rsid w:val="004C0485"/>
    <w:rsid w:val="004C0714"/>
    <w:rsid w:val="004C0951"/>
    <w:rsid w:val="004C0B04"/>
    <w:rsid w:val="004C0E9C"/>
    <w:rsid w:val="004C104B"/>
    <w:rsid w:val="004C10ED"/>
    <w:rsid w:val="004C1302"/>
    <w:rsid w:val="004C15F1"/>
    <w:rsid w:val="004C1918"/>
    <w:rsid w:val="004C1ACA"/>
    <w:rsid w:val="004C1C74"/>
    <w:rsid w:val="004C1D95"/>
    <w:rsid w:val="004C2587"/>
    <w:rsid w:val="004C2726"/>
    <w:rsid w:val="004C2773"/>
    <w:rsid w:val="004C2870"/>
    <w:rsid w:val="004C29CE"/>
    <w:rsid w:val="004C2A03"/>
    <w:rsid w:val="004C2B9B"/>
    <w:rsid w:val="004C2E25"/>
    <w:rsid w:val="004C2FF1"/>
    <w:rsid w:val="004C3223"/>
    <w:rsid w:val="004C33B9"/>
    <w:rsid w:val="004C3B39"/>
    <w:rsid w:val="004C3CB9"/>
    <w:rsid w:val="004C3D3B"/>
    <w:rsid w:val="004C3F29"/>
    <w:rsid w:val="004C4284"/>
    <w:rsid w:val="004C4583"/>
    <w:rsid w:val="004C4A4D"/>
    <w:rsid w:val="004C4D7B"/>
    <w:rsid w:val="004C4ECD"/>
    <w:rsid w:val="004C4F5E"/>
    <w:rsid w:val="004C5036"/>
    <w:rsid w:val="004C50C3"/>
    <w:rsid w:val="004C5221"/>
    <w:rsid w:val="004C5228"/>
    <w:rsid w:val="004C5304"/>
    <w:rsid w:val="004C53D5"/>
    <w:rsid w:val="004C5530"/>
    <w:rsid w:val="004C55A8"/>
    <w:rsid w:val="004C56B8"/>
    <w:rsid w:val="004C5777"/>
    <w:rsid w:val="004C59D0"/>
    <w:rsid w:val="004C5A82"/>
    <w:rsid w:val="004C5CFF"/>
    <w:rsid w:val="004C5DBB"/>
    <w:rsid w:val="004C5E13"/>
    <w:rsid w:val="004C5E67"/>
    <w:rsid w:val="004C5FC3"/>
    <w:rsid w:val="004C61A5"/>
    <w:rsid w:val="004C62FC"/>
    <w:rsid w:val="004C6338"/>
    <w:rsid w:val="004C64FC"/>
    <w:rsid w:val="004C670B"/>
    <w:rsid w:val="004C67CE"/>
    <w:rsid w:val="004C6DE1"/>
    <w:rsid w:val="004C6E88"/>
    <w:rsid w:val="004C6FB8"/>
    <w:rsid w:val="004C6FDA"/>
    <w:rsid w:val="004C7285"/>
    <w:rsid w:val="004C739A"/>
    <w:rsid w:val="004C77DA"/>
    <w:rsid w:val="004D0173"/>
    <w:rsid w:val="004D01F1"/>
    <w:rsid w:val="004D0309"/>
    <w:rsid w:val="004D0422"/>
    <w:rsid w:val="004D0540"/>
    <w:rsid w:val="004D066B"/>
    <w:rsid w:val="004D1056"/>
    <w:rsid w:val="004D13CD"/>
    <w:rsid w:val="004D2206"/>
    <w:rsid w:val="004D229F"/>
    <w:rsid w:val="004D272A"/>
    <w:rsid w:val="004D273F"/>
    <w:rsid w:val="004D297A"/>
    <w:rsid w:val="004D29B1"/>
    <w:rsid w:val="004D2FA6"/>
    <w:rsid w:val="004D3029"/>
    <w:rsid w:val="004D30E7"/>
    <w:rsid w:val="004D33A9"/>
    <w:rsid w:val="004D3543"/>
    <w:rsid w:val="004D357F"/>
    <w:rsid w:val="004D36DD"/>
    <w:rsid w:val="004D3789"/>
    <w:rsid w:val="004D3908"/>
    <w:rsid w:val="004D396B"/>
    <w:rsid w:val="004D39F5"/>
    <w:rsid w:val="004D3BD3"/>
    <w:rsid w:val="004D3BD8"/>
    <w:rsid w:val="004D3E5B"/>
    <w:rsid w:val="004D4154"/>
    <w:rsid w:val="004D4BF4"/>
    <w:rsid w:val="004D4CF1"/>
    <w:rsid w:val="004D4DFA"/>
    <w:rsid w:val="004D50BA"/>
    <w:rsid w:val="004D5BA7"/>
    <w:rsid w:val="004D5BF6"/>
    <w:rsid w:val="004D5D58"/>
    <w:rsid w:val="004D5D81"/>
    <w:rsid w:val="004D5FC4"/>
    <w:rsid w:val="004D6145"/>
    <w:rsid w:val="004D63B8"/>
    <w:rsid w:val="004D66C3"/>
    <w:rsid w:val="004D66F2"/>
    <w:rsid w:val="004D6D31"/>
    <w:rsid w:val="004D6F8F"/>
    <w:rsid w:val="004D77A9"/>
    <w:rsid w:val="004D7C8E"/>
    <w:rsid w:val="004D7D57"/>
    <w:rsid w:val="004E061C"/>
    <w:rsid w:val="004E09DD"/>
    <w:rsid w:val="004E0D84"/>
    <w:rsid w:val="004E0F59"/>
    <w:rsid w:val="004E11BD"/>
    <w:rsid w:val="004E135C"/>
    <w:rsid w:val="004E14E5"/>
    <w:rsid w:val="004E1938"/>
    <w:rsid w:val="004E1E66"/>
    <w:rsid w:val="004E1EDE"/>
    <w:rsid w:val="004E1F85"/>
    <w:rsid w:val="004E21E2"/>
    <w:rsid w:val="004E22B7"/>
    <w:rsid w:val="004E24A2"/>
    <w:rsid w:val="004E28C1"/>
    <w:rsid w:val="004E293F"/>
    <w:rsid w:val="004E2A03"/>
    <w:rsid w:val="004E2A98"/>
    <w:rsid w:val="004E3429"/>
    <w:rsid w:val="004E37D6"/>
    <w:rsid w:val="004E380D"/>
    <w:rsid w:val="004E38F8"/>
    <w:rsid w:val="004E39D4"/>
    <w:rsid w:val="004E3C8C"/>
    <w:rsid w:val="004E3CFE"/>
    <w:rsid w:val="004E3F5D"/>
    <w:rsid w:val="004E4385"/>
    <w:rsid w:val="004E44AD"/>
    <w:rsid w:val="004E4BCB"/>
    <w:rsid w:val="004E4DD6"/>
    <w:rsid w:val="004E4FAD"/>
    <w:rsid w:val="004E5546"/>
    <w:rsid w:val="004E5A13"/>
    <w:rsid w:val="004E5A1D"/>
    <w:rsid w:val="004E5D80"/>
    <w:rsid w:val="004E6A12"/>
    <w:rsid w:val="004E70B4"/>
    <w:rsid w:val="004E7189"/>
    <w:rsid w:val="004E7922"/>
    <w:rsid w:val="004E7A00"/>
    <w:rsid w:val="004F0063"/>
    <w:rsid w:val="004F00C0"/>
    <w:rsid w:val="004F0110"/>
    <w:rsid w:val="004F01E6"/>
    <w:rsid w:val="004F0426"/>
    <w:rsid w:val="004F0454"/>
    <w:rsid w:val="004F087D"/>
    <w:rsid w:val="004F0DFC"/>
    <w:rsid w:val="004F11DE"/>
    <w:rsid w:val="004F1313"/>
    <w:rsid w:val="004F141D"/>
    <w:rsid w:val="004F14A5"/>
    <w:rsid w:val="004F1508"/>
    <w:rsid w:val="004F16D7"/>
    <w:rsid w:val="004F1811"/>
    <w:rsid w:val="004F18D2"/>
    <w:rsid w:val="004F1D84"/>
    <w:rsid w:val="004F21D6"/>
    <w:rsid w:val="004F23B5"/>
    <w:rsid w:val="004F255D"/>
    <w:rsid w:val="004F2728"/>
    <w:rsid w:val="004F27BF"/>
    <w:rsid w:val="004F2B19"/>
    <w:rsid w:val="004F2C1D"/>
    <w:rsid w:val="004F2D80"/>
    <w:rsid w:val="004F2EC3"/>
    <w:rsid w:val="004F3205"/>
    <w:rsid w:val="004F336C"/>
    <w:rsid w:val="004F3441"/>
    <w:rsid w:val="004F37F8"/>
    <w:rsid w:val="004F3806"/>
    <w:rsid w:val="004F3B44"/>
    <w:rsid w:val="004F4116"/>
    <w:rsid w:val="004F41B2"/>
    <w:rsid w:val="004F41D6"/>
    <w:rsid w:val="004F46EE"/>
    <w:rsid w:val="004F4AFC"/>
    <w:rsid w:val="004F4B33"/>
    <w:rsid w:val="004F4C52"/>
    <w:rsid w:val="004F4CC5"/>
    <w:rsid w:val="004F4F7A"/>
    <w:rsid w:val="004F52A5"/>
    <w:rsid w:val="004F58D3"/>
    <w:rsid w:val="004F5CE1"/>
    <w:rsid w:val="004F5D1F"/>
    <w:rsid w:val="004F5FF1"/>
    <w:rsid w:val="004F6554"/>
    <w:rsid w:val="004F69E9"/>
    <w:rsid w:val="004F6CFE"/>
    <w:rsid w:val="004F7846"/>
    <w:rsid w:val="004F7A3B"/>
    <w:rsid w:val="004F7AD1"/>
    <w:rsid w:val="004F7D76"/>
    <w:rsid w:val="004F7E82"/>
    <w:rsid w:val="005001C2"/>
    <w:rsid w:val="00500234"/>
    <w:rsid w:val="005003A0"/>
    <w:rsid w:val="005003F1"/>
    <w:rsid w:val="005005D1"/>
    <w:rsid w:val="00500664"/>
    <w:rsid w:val="0050085D"/>
    <w:rsid w:val="0050097D"/>
    <w:rsid w:val="005009F6"/>
    <w:rsid w:val="00500BCF"/>
    <w:rsid w:val="00500C8C"/>
    <w:rsid w:val="00500F79"/>
    <w:rsid w:val="00500FB1"/>
    <w:rsid w:val="0050102A"/>
    <w:rsid w:val="00501375"/>
    <w:rsid w:val="00501532"/>
    <w:rsid w:val="0050164A"/>
    <w:rsid w:val="00501C39"/>
    <w:rsid w:val="00501D3B"/>
    <w:rsid w:val="00502093"/>
    <w:rsid w:val="005022C5"/>
    <w:rsid w:val="005022C9"/>
    <w:rsid w:val="0050235F"/>
    <w:rsid w:val="005023D1"/>
    <w:rsid w:val="00502517"/>
    <w:rsid w:val="0050254F"/>
    <w:rsid w:val="005027F9"/>
    <w:rsid w:val="00502C6B"/>
    <w:rsid w:val="00502D6D"/>
    <w:rsid w:val="00502F96"/>
    <w:rsid w:val="00503117"/>
    <w:rsid w:val="0050315A"/>
    <w:rsid w:val="00503C8D"/>
    <w:rsid w:val="00503EA2"/>
    <w:rsid w:val="00503FB9"/>
    <w:rsid w:val="00504378"/>
    <w:rsid w:val="0050476E"/>
    <w:rsid w:val="005047FF"/>
    <w:rsid w:val="00504CA3"/>
    <w:rsid w:val="00504F8D"/>
    <w:rsid w:val="005051C7"/>
    <w:rsid w:val="005052C7"/>
    <w:rsid w:val="005052D7"/>
    <w:rsid w:val="00505369"/>
    <w:rsid w:val="0050538F"/>
    <w:rsid w:val="0050547F"/>
    <w:rsid w:val="00505627"/>
    <w:rsid w:val="00505699"/>
    <w:rsid w:val="005056AA"/>
    <w:rsid w:val="00505B12"/>
    <w:rsid w:val="00505C3F"/>
    <w:rsid w:val="00505EDD"/>
    <w:rsid w:val="00505F87"/>
    <w:rsid w:val="00506165"/>
    <w:rsid w:val="00506213"/>
    <w:rsid w:val="005068F4"/>
    <w:rsid w:val="00506EE0"/>
    <w:rsid w:val="00507045"/>
    <w:rsid w:val="0050779D"/>
    <w:rsid w:val="00507C36"/>
    <w:rsid w:val="00507DFA"/>
    <w:rsid w:val="00507E54"/>
    <w:rsid w:val="00510355"/>
    <w:rsid w:val="005103B7"/>
    <w:rsid w:val="00510DAE"/>
    <w:rsid w:val="00511204"/>
    <w:rsid w:val="005112BA"/>
    <w:rsid w:val="005116E4"/>
    <w:rsid w:val="0051170C"/>
    <w:rsid w:val="00512194"/>
    <w:rsid w:val="005121C0"/>
    <w:rsid w:val="00512491"/>
    <w:rsid w:val="005127A6"/>
    <w:rsid w:val="005127BD"/>
    <w:rsid w:val="00512A93"/>
    <w:rsid w:val="00512CB9"/>
    <w:rsid w:val="00512DB6"/>
    <w:rsid w:val="00512E49"/>
    <w:rsid w:val="00513545"/>
    <w:rsid w:val="0051372E"/>
    <w:rsid w:val="00513757"/>
    <w:rsid w:val="00513996"/>
    <w:rsid w:val="005139CA"/>
    <w:rsid w:val="005139EA"/>
    <w:rsid w:val="00513AA3"/>
    <w:rsid w:val="00513AFA"/>
    <w:rsid w:val="005141ED"/>
    <w:rsid w:val="0051441C"/>
    <w:rsid w:val="00514463"/>
    <w:rsid w:val="005146DE"/>
    <w:rsid w:val="005146E6"/>
    <w:rsid w:val="0051479F"/>
    <w:rsid w:val="0051480F"/>
    <w:rsid w:val="00514B86"/>
    <w:rsid w:val="00514CB2"/>
    <w:rsid w:val="00514ECF"/>
    <w:rsid w:val="00515287"/>
    <w:rsid w:val="00515E22"/>
    <w:rsid w:val="00515FEB"/>
    <w:rsid w:val="005160B0"/>
    <w:rsid w:val="0051656C"/>
    <w:rsid w:val="005168DD"/>
    <w:rsid w:val="0051690C"/>
    <w:rsid w:val="005169D9"/>
    <w:rsid w:val="00516D4D"/>
    <w:rsid w:val="00516DD1"/>
    <w:rsid w:val="00517270"/>
    <w:rsid w:val="00517312"/>
    <w:rsid w:val="00517335"/>
    <w:rsid w:val="005176C7"/>
    <w:rsid w:val="0051779A"/>
    <w:rsid w:val="00517870"/>
    <w:rsid w:val="00517AB0"/>
    <w:rsid w:val="00517BAB"/>
    <w:rsid w:val="00517BBE"/>
    <w:rsid w:val="00517E69"/>
    <w:rsid w:val="005204B8"/>
    <w:rsid w:val="00520743"/>
    <w:rsid w:val="0052084D"/>
    <w:rsid w:val="0052088B"/>
    <w:rsid w:val="005208A3"/>
    <w:rsid w:val="00520AD8"/>
    <w:rsid w:val="00520B78"/>
    <w:rsid w:val="00520BBB"/>
    <w:rsid w:val="00520E71"/>
    <w:rsid w:val="00520FDD"/>
    <w:rsid w:val="005211BA"/>
    <w:rsid w:val="005211FD"/>
    <w:rsid w:val="0052149D"/>
    <w:rsid w:val="00521581"/>
    <w:rsid w:val="0052189D"/>
    <w:rsid w:val="00521B2E"/>
    <w:rsid w:val="005221E6"/>
    <w:rsid w:val="0052224B"/>
    <w:rsid w:val="00522369"/>
    <w:rsid w:val="00522392"/>
    <w:rsid w:val="005224A6"/>
    <w:rsid w:val="00522631"/>
    <w:rsid w:val="0052263A"/>
    <w:rsid w:val="00522BDC"/>
    <w:rsid w:val="00522EA4"/>
    <w:rsid w:val="005232A6"/>
    <w:rsid w:val="00523925"/>
    <w:rsid w:val="00523C74"/>
    <w:rsid w:val="00523FE8"/>
    <w:rsid w:val="00524269"/>
    <w:rsid w:val="0052447E"/>
    <w:rsid w:val="0052455B"/>
    <w:rsid w:val="00524D14"/>
    <w:rsid w:val="00524D86"/>
    <w:rsid w:val="00524E12"/>
    <w:rsid w:val="00525108"/>
    <w:rsid w:val="00525318"/>
    <w:rsid w:val="00525328"/>
    <w:rsid w:val="00525456"/>
    <w:rsid w:val="005255F4"/>
    <w:rsid w:val="00525C05"/>
    <w:rsid w:val="0052612B"/>
    <w:rsid w:val="005262AB"/>
    <w:rsid w:val="00526510"/>
    <w:rsid w:val="00526984"/>
    <w:rsid w:val="00526A0F"/>
    <w:rsid w:val="00526AF1"/>
    <w:rsid w:val="00526C3A"/>
    <w:rsid w:val="00526E69"/>
    <w:rsid w:val="005270F9"/>
    <w:rsid w:val="005273EC"/>
    <w:rsid w:val="00527491"/>
    <w:rsid w:val="00527545"/>
    <w:rsid w:val="005276D2"/>
    <w:rsid w:val="00527CA1"/>
    <w:rsid w:val="00527E7F"/>
    <w:rsid w:val="005300A3"/>
    <w:rsid w:val="005302E0"/>
    <w:rsid w:val="00530352"/>
    <w:rsid w:val="00530354"/>
    <w:rsid w:val="0053049E"/>
    <w:rsid w:val="00530892"/>
    <w:rsid w:val="005308E1"/>
    <w:rsid w:val="00530B54"/>
    <w:rsid w:val="00530E22"/>
    <w:rsid w:val="00530F2A"/>
    <w:rsid w:val="0053124F"/>
    <w:rsid w:val="00531410"/>
    <w:rsid w:val="005315DD"/>
    <w:rsid w:val="005317EA"/>
    <w:rsid w:val="00531C43"/>
    <w:rsid w:val="00531CFD"/>
    <w:rsid w:val="00532236"/>
    <w:rsid w:val="00532405"/>
    <w:rsid w:val="00532684"/>
    <w:rsid w:val="0053270A"/>
    <w:rsid w:val="005327B5"/>
    <w:rsid w:val="00532CC6"/>
    <w:rsid w:val="0053302F"/>
    <w:rsid w:val="00533374"/>
    <w:rsid w:val="005334BE"/>
    <w:rsid w:val="00533787"/>
    <w:rsid w:val="00533971"/>
    <w:rsid w:val="00533B35"/>
    <w:rsid w:val="00533B82"/>
    <w:rsid w:val="00534109"/>
    <w:rsid w:val="00534434"/>
    <w:rsid w:val="00534A83"/>
    <w:rsid w:val="00534E70"/>
    <w:rsid w:val="00534F14"/>
    <w:rsid w:val="00535237"/>
    <w:rsid w:val="0053542C"/>
    <w:rsid w:val="00535554"/>
    <w:rsid w:val="005356E9"/>
    <w:rsid w:val="00535DEC"/>
    <w:rsid w:val="00535E45"/>
    <w:rsid w:val="00535FE3"/>
    <w:rsid w:val="005361E4"/>
    <w:rsid w:val="0053623A"/>
    <w:rsid w:val="00536D86"/>
    <w:rsid w:val="00537161"/>
    <w:rsid w:val="00537434"/>
    <w:rsid w:val="00537442"/>
    <w:rsid w:val="0053788B"/>
    <w:rsid w:val="00537A58"/>
    <w:rsid w:val="00537A9A"/>
    <w:rsid w:val="005400EA"/>
    <w:rsid w:val="0054020F"/>
    <w:rsid w:val="005409DE"/>
    <w:rsid w:val="00540A15"/>
    <w:rsid w:val="00540B77"/>
    <w:rsid w:val="005418D4"/>
    <w:rsid w:val="00541DFE"/>
    <w:rsid w:val="00542284"/>
    <w:rsid w:val="0054237D"/>
    <w:rsid w:val="0054244C"/>
    <w:rsid w:val="005425AA"/>
    <w:rsid w:val="00542D5A"/>
    <w:rsid w:val="00542FDC"/>
    <w:rsid w:val="00543348"/>
    <w:rsid w:val="0054334E"/>
    <w:rsid w:val="00543410"/>
    <w:rsid w:val="005436CA"/>
    <w:rsid w:val="005438C3"/>
    <w:rsid w:val="00543E6C"/>
    <w:rsid w:val="00544184"/>
    <w:rsid w:val="00544291"/>
    <w:rsid w:val="005442C6"/>
    <w:rsid w:val="005444E0"/>
    <w:rsid w:val="00544858"/>
    <w:rsid w:val="00544C85"/>
    <w:rsid w:val="00544E93"/>
    <w:rsid w:val="0054576D"/>
    <w:rsid w:val="00545D6C"/>
    <w:rsid w:val="00545D7B"/>
    <w:rsid w:val="005460FA"/>
    <w:rsid w:val="005462B3"/>
    <w:rsid w:val="00546316"/>
    <w:rsid w:val="00546423"/>
    <w:rsid w:val="00546485"/>
    <w:rsid w:val="005465D7"/>
    <w:rsid w:val="00546ABE"/>
    <w:rsid w:val="00546BA1"/>
    <w:rsid w:val="00546CE2"/>
    <w:rsid w:val="00547075"/>
    <w:rsid w:val="005471FA"/>
    <w:rsid w:val="00547313"/>
    <w:rsid w:val="00547640"/>
    <w:rsid w:val="00547686"/>
    <w:rsid w:val="00547836"/>
    <w:rsid w:val="00547FE7"/>
    <w:rsid w:val="00550371"/>
    <w:rsid w:val="005505E8"/>
    <w:rsid w:val="00550651"/>
    <w:rsid w:val="005508BF"/>
    <w:rsid w:val="005509E0"/>
    <w:rsid w:val="00551359"/>
    <w:rsid w:val="005513B8"/>
    <w:rsid w:val="005518ED"/>
    <w:rsid w:val="00551F0E"/>
    <w:rsid w:val="00551FA9"/>
    <w:rsid w:val="00551FE5"/>
    <w:rsid w:val="00552198"/>
    <w:rsid w:val="0055239D"/>
    <w:rsid w:val="0055247E"/>
    <w:rsid w:val="00552705"/>
    <w:rsid w:val="00552875"/>
    <w:rsid w:val="00552A06"/>
    <w:rsid w:val="00552AE7"/>
    <w:rsid w:val="00552D8C"/>
    <w:rsid w:val="00553076"/>
    <w:rsid w:val="005533A7"/>
    <w:rsid w:val="00553542"/>
    <w:rsid w:val="005537C3"/>
    <w:rsid w:val="00553823"/>
    <w:rsid w:val="0055394D"/>
    <w:rsid w:val="00553AE7"/>
    <w:rsid w:val="00553B3A"/>
    <w:rsid w:val="00554157"/>
    <w:rsid w:val="005543EA"/>
    <w:rsid w:val="0055468C"/>
    <w:rsid w:val="00554BD2"/>
    <w:rsid w:val="0055503E"/>
    <w:rsid w:val="005552FD"/>
    <w:rsid w:val="00555813"/>
    <w:rsid w:val="005558E3"/>
    <w:rsid w:val="00555B1A"/>
    <w:rsid w:val="00555BDA"/>
    <w:rsid w:val="00555C32"/>
    <w:rsid w:val="00555EF4"/>
    <w:rsid w:val="00555F81"/>
    <w:rsid w:val="005560B8"/>
    <w:rsid w:val="005560FE"/>
    <w:rsid w:val="00556601"/>
    <w:rsid w:val="005568BE"/>
    <w:rsid w:val="005568CE"/>
    <w:rsid w:val="00556A83"/>
    <w:rsid w:val="00556C2E"/>
    <w:rsid w:val="00556C3A"/>
    <w:rsid w:val="00556C52"/>
    <w:rsid w:val="00556D82"/>
    <w:rsid w:val="00556EF3"/>
    <w:rsid w:val="00556FF1"/>
    <w:rsid w:val="00557468"/>
    <w:rsid w:val="005575CC"/>
    <w:rsid w:val="005579EC"/>
    <w:rsid w:val="00557A28"/>
    <w:rsid w:val="00557A36"/>
    <w:rsid w:val="00557AD3"/>
    <w:rsid w:val="00557BFB"/>
    <w:rsid w:val="00557D31"/>
    <w:rsid w:val="005600E5"/>
    <w:rsid w:val="005602BF"/>
    <w:rsid w:val="005602F4"/>
    <w:rsid w:val="005606A2"/>
    <w:rsid w:val="005616CC"/>
    <w:rsid w:val="00562385"/>
    <w:rsid w:val="005623DA"/>
    <w:rsid w:val="005625BB"/>
    <w:rsid w:val="00562B90"/>
    <w:rsid w:val="00562BA5"/>
    <w:rsid w:val="00562D3B"/>
    <w:rsid w:val="00562EDB"/>
    <w:rsid w:val="0056380D"/>
    <w:rsid w:val="00563AF5"/>
    <w:rsid w:val="00563C62"/>
    <w:rsid w:val="00563D08"/>
    <w:rsid w:val="005640AF"/>
    <w:rsid w:val="00564211"/>
    <w:rsid w:val="0056430A"/>
    <w:rsid w:val="005644BE"/>
    <w:rsid w:val="0056466A"/>
    <w:rsid w:val="00564C39"/>
    <w:rsid w:val="00564C9C"/>
    <w:rsid w:val="00564DF2"/>
    <w:rsid w:val="00564E8F"/>
    <w:rsid w:val="0056519F"/>
    <w:rsid w:val="00565271"/>
    <w:rsid w:val="0056541B"/>
    <w:rsid w:val="0056541C"/>
    <w:rsid w:val="005656B2"/>
    <w:rsid w:val="00565841"/>
    <w:rsid w:val="00565A10"/>
    <w:rsid w:val="00565A58"/>
    <w:rsid w:val="00565B36"/>
    <w:rsid w:val="00565DD3"/>
    <w:rsid w:val="00565EB2"/>
    <w:rsid w:val="00566051"/>
    <w:rsid w:val="005669E4"/>
    <w:rsid w:val="00566BEA"/>
    <w:rsid w:val="005674EE"/>
    <w:rsid w:val="00567AB0"/>
    <w:rsid w:val="00567BE2"/>
    <w:rsid w:val="00567D11"/>
    <w:rsid w:val="00570453"/>
    <w:rsid w:val="005704D1"/>
    <w:rsid w:val="00570544"/>
    <w:rsid w:val="0057054A"/>
    <w:rsid w:val="00570794"/>
    <w:rsid w:val="00570AB2"/>
    <w:rsid w:val="00570C81"/>
    <w:rsid w:val="00570C83"/>
    <w:rsid w:val="00570DC6"/>
    <w:rsid w:val="00570E1A"/>
    <w:rsid w:val="00570E82"/>
    <w:rsid w:val="005713D1"/>
    <w:rsid w:val="0057165E"/>
    <w:rsid w:val="00571842"/>
    <w:rsid w:val="00571921"/>
    <w:rsid w:val="00571BD2"/>
    <w:rsid w:val="00571EC4"/>
    <w:rsid w:val="0057202B"/>
    <w:rsid w:val="00572168"/>
    <w:rsid w:val="005726A7"/>
    <w:rsid w:val="005728A4"/>
    <w:rsid w:val="005729C2"/>
    <w:rsid w:val="00572E3E"/>
    <w:rsid w:val="00572E47"/>
    <w:rsid w:val="00573029"/>
    <w:rsid w:val="00573309"/>
    <w:rsid w:val="00573BC4"/>
    <w:rsid w:val="00573D26"/>
    <w:rsid w:val="00574565"/>
    <w:rsid w:val="005746F4"/>
    <w:rsid w:val="0057482E"/>
    <w:rsid w:val="00574A04"/>
    <w:rsid w:val="00574A26"/>
    <w:rsid w:val="00574A41"/>
    <w:rsid w:val="00574C09"/>
    <w:rsid w:val="00574F6D"/>
    <w:rsid w:val="00575587"/>
    <w:rsid w:val="00575B54"/>
    <w:rsid w:val="00575BEC"/>
    <w:rsid w:val="00575FAE"/>
    <w:rsid w:val="00576006"/>
    <w:rsid w:val="00576271"/>
    <w:rsid w:val="005763FC"/>
    <w:rsid w:val="00576996"/>
    <w:rsid w:val="00576CED"/>
    <w:rsid w:val="00576D3A"/>
    <w:rsid w:val="00576EB4"/>
    <w:rsid w:val="00577243"/>
    <w:rsid w:val="005772B6"/>
    <w:rsid w:val="00577440"/>
    <w:rsid w:val="0057779F"/>
    <w:rsid w:val="00577804"/>
    <w:rsid w:val="00577967"/>
    <w:rsid w:val="00577B30"/>
    <w:rsid w:val="00577EA2"/>
    <w:rsid w:val="00577FE1"/>
    <w:rsid w:val="005803F7"/>
    <w:rsid w:val="00580969"/>
    <w:rsid w:val="00580A4E"/>
    <w:rsid w:val="00581344"/>
    <w:rsid w:val="005813A1"/>
    <w:rsid w:val="00581D68"/>
    <w:rsid w:val="00581F52"/>
    <w:rsid w:val="00581F80"/>
    <w:rsid w:val="0058205E"/>
    <w:rsid w:val="005825E1"/>
    <w:rsid w:val="00582611"/>
    <w:rsid w:val="00582768"/>
    <w:rsid w:val="0058286A"/>
    <w:rsid w:val="005828C8"/>
    <w:rsid w:val="005829AB"/>
    <w:rsid w:val="005829D3"/>
    <w:rsid w:val="00582C34"/>
    <w:rsid w:val="005832E0"/>
    <w:rsid w:val="00583461"/>
    <w:rsid w:val="005836CB"/>
    <w:rsid w:val="005840B9"/>
    <w:rsid w:val="005841EA"/>
    <w:rsid w:val="0058431D"/>
    <w:rsid w:val="00584559"/>
    <w:rsid w:val="005848C3"/>
    <w:rsid w:val="00584F6E"/>
    <w:rsid w:val="00585142"/>
    <w:rsid w:val="005852E0"/>
    <w:rsid w:val="0058539A"/>
    <w:rsid w:val="005854C3"/>
    <w:rsid w:val="00585699"/>
    <w:rsid w:val="005856A4"/>
    <w:rsid w:val="00585933"/>
    <w:rsid w:val="00585990"/>
    <w:rsid w:val="00585DCF"/>
    <w:rsid w:val="00585EA2"/>
    <w:rsid w:val="00585EDE"/>
    <w:rsid w:val="00585FD4"/>
    <w:rsid w:val="0058636A"/>
    <w:rsid w:val="00586483"/>
    <w:rsid w:val="005864DA"/>
    <w:rsid w:val="005866AE"/>
    <w:rsid w:val="005868EA"/>
    <w:rsid w:val="005869AD"/>
    <w:rsid w:val="00586A1C"/>
    <w:rsid w:val="00586D1B"/>
    <w:rsid w:val="00587003"/>
    <w:rsid w:val="005871D8"/>
    <w:rsid w:val="0058758A"/>
    <w:rsid w:val="005875CE"/>
    <w:rsid w:val="005875F7"/>
    <w:rsid w:val="00587859"/>
    <w:rsid w:val="0058798A"/>
    <w:rsid w:val="00587A21"/>
    <w:rsid w:val="00587D98"/>
    <w:rsid w:val="00587E50"/>
    <w:rsid w:val="00590730"/>
    <w:rsid w:val="005910FA"/>
    <w:rsid w:val="005911AB"/>
    <w:rsid w:val="0059157C"/>
    <w:rsid w:val="005917E9"/>
    <w:rsid w:val="0059190F"/>
    <w:rsid w:val="00591986"/>
    <w:rsid w:val="0059198F"/>
    <w:rsid w:val="00591B0B"/>
    <w:rsid w:val="00591B15"/>
    <w:rsid w:val="00591C1F"/>
    <w:rsid w:val="005921F7"/>
    <w:rsid w:val="005922AF"/>
    <w:rsid w:val="0059269B"/>
    <w:rsid w:val="005928CD"/>
    <w:rsid w:val="005928E9"/>
    <w:rsid w:val="00593024"/>
    <w:rsid w:val="0059363C"/>
    <w:rsid w:val="00593766"/>
    <w:rsid w:val="005937DC"/>
    <w:rsid w:val="00593891"/>
    <w:rsid w:val="00594176"/>
    <w:rsid w:val="00594260"/>
    <w:rsid w:val="005945F2"/>
    <w:rsid w:val="005946D4"/>
    <w:rsid w:val="00594746"/>
    <w:rsid w:val="00594A62"/>
    <w:rsid w:val="00594A76"/>
    <w:rsid w:val="005951DC"/>
    <w:rsid w:val="0059553D"/>
    <w:rsid w:val="00595664"/>
    <w:rsid w:val="00595763"/>
    <w:rsid w:val="00595AAA"/>
    <w:rsid w:val="00595B3F"/>
    <w:rsid w:val="00595D51"/>
    <w:rsid w:val="00595D59"/>
    <w:rsid w:val="00595D61"/>
    <w:rsid w:val="00595FD7"/>
    <w:rsid w:val="005962F1"/>
    <w:rsid w:val="005963DE"/>
    <w:rsid w:val="0059665F"/>
    <w:rsid w:val="00596D6B"/>
    <w:rsid w:val="00596F6D"/>
    <w:rsid w:val="00597160"/>
    <w:rsid w:val="005971EF"/>
    <w:rsid w:val="005972EA"/>
    <w:rsid w:val="0059730D"/>
    <w:rsid w:val="0059743C"/>
    <w:rsid w:val="0059747D"/>
    <w:rsid w:val="00597C0B"/>
    <w:rsid w:val="00597DDD"/>
    <w:rsid w:val="00597FAA"/>
    <w:rsid w:val="005A01AA"/>
    <w:rsid w:val="005A0240"/>
    <w:rsid w:val="005A02A4"/>
    <w:rsid w:val="005A0799"/>
    <w:rsid w:val="005A0956"/>
    <w:rsid w:val="005A0BEB"/>
    <w:rsid w:val="005A10D4"/>
    <w:rsid w:val="005A1754"/>
    <w:rsid w:val="005A1AD6"/>
    <w:rsid w:val="005A1B65"/>
    <w:rsid w:val="005A1D45"/>
    <w:rsid w:val="005A1E2C"/>
    <w:rsid w:val="005A2541"/>
    <w:rsid w:val="005A28A1"/>
    <w:rsid w:val="005A2A28"/>
    <w:rsid w:val="005A2A7A"/>
    <w:rsid w:val="005A2AD8"/>
    <w:rsid w:val="005A2B6C"/>
    <w:rsid w:val="005A2D65"/>
    <w:rsid w:val="005A2D66"/>
    <w:rsid w:val="005A2F6C"/>
    <w:rsid w:val="005A3051"/>
    <w:rsid w:val="005A30A7"/>
    <w:rsid w:val="005A3166"/>
    <w:rsid w:val="005A31B2"/>
    <w:rsid w:val="005A356D"/>
    <w:rsid w:val="005A35A1"/>
    <w:rsid w:val="005A38FD"/>
    <w:rsid w:val="005A3931"/>
    <w:rsid w:val="005A3AFF"/>
    <w:rsid w:val="005A3B49"/>
    <w:rsid w:val="005A3E55"/>
    <w:rsid w:val="005A4664"/>
    <w:rsid w:val="005A4933"/>
    <w:rsid w:val="005A49FE"/>
    <w:rsid w:val="005A4A31"/>
    <w:rsid w:val="005A4AA3"/>
    <w:rsid w:val="005A523A"/>
    <w:rsid w:val="005A53FE"/>
    <w:rsid w:val="005A55F5"/>
    <w:rsid w:val="005A5C11"/>
    <w:rsid w:val="005A5EB0"/>
    <w:rsid w:val="005A6034"/>
    <w:rsid w:val="005A655D"/>
    <w:rsid w:val="005A6649"/>
    <w:rsid w:val="005A683E"/>
    <w:rsid w:val="005A6C8A"/>
    <w:rsid w:val="005A6CBE"/>
    <w:rsid w:val="005A6CD2"/>
    <w:rsid w:val="005A6DD4"/>
    <w:rsid w:val="005A705A"/>
    <w:rsid w:val="005A7478"/>
    <w:rsid w:val="005A75D2"/>
    <w:rsid w:val="005A7C28"/>
    <w:rsid w:val="005B02AF"/>
    <w:rsid w:val="005B05AB"/>
    <w:rsid w:val="005B0764"/>
    <w:rsid w:val="005B090B"/>
    <w:rsid w:val="005B0EC1"/>
    <w:rsid w:val="005B1078"/>
    <w:rsid w:val="005B10D1"/>
    <w:rsid w:val="005B119B"/>
    <w:rsid w:val="005B13F4"/>
    <w:rsid w:val="005B1584"/>
    <w:rsid w:val="005B1729"/>
    <w:rsid w:val="005B1814"/>
    <w:rsid w:val="005B1BD4"/>
    <w:rsid w:val="005B1D0A"/>
    <w:rsid w:val="005B1D34"/>
    <w:rsid w:val="005B1EE9"/>
    <w:rsid w:val="005B21A3"/>
    <w:rsid w:val="005B2301"/>
    <w:rsid w:val="005B2779"/>
    <w:rsid w:val="005B2908"/>
    <w:rsid w:val="005B2B3B"/>
    <w:rsid w:val="005B2BAF"/>
    <w:rsid w:val="005B2D6A"/>
    <w:rsid w:val="005B3C41"/>
    <w:rsid w:val="005B3DBE"/>
    <w:rsid w:val="005B40F7"/>
    <w:rsid w:val="005B40FA"/>
    <w:rsid w:val="005B4D04"/>
    <w:rsid w:val="005B4E2B"/>
    <w:rsid w:val="005B4FCA"/>
    <w:rsid w:val="005B520E"/>
    <w:rsid w:val="005B5871"/>
    <w:rsid w:val="005B597A"/>
    <w:rsid w:val="005B5CC1"/>
    <w:rsid w:val="005B5D10"/>
    <w:rsid w:val="005B5DED"/>
    <w:rsid w:val="005B6280"/>
    <w:rsid w:val="005B644B"/>
    <w:rsid w:val="005B64C8"/>
    <w:rsid w:val="005B6AAB"/>
    <w:rsid w:val="005B6B14"/>
    <w:rsid w:val="005B6BFB"/>
    <w:rsid w:val="005B6EEB"/>
    <w:rsid w:val="005B7313"/>
    <w:rsid w:val="005B73A2"/>
    <w:rsid w:val="005B75B5"/>
    <w:rsid w:val="005B76EF"/>
    <w:rsid w:val="005B7D22"/>
    <w:rsid w:val="005B7FAB"/>
    <w:rsid w:val="005C0029"/>
    <w:rsid w:val="005C0047"/>
    <w:rsid w:val="005C00DC"/>
    <w:rsid w:val="005C029E"/>
    <w:rsid w:val="005C0666"/>
    <w:rsid w:val="005C0692"/>
    <w:rsid w:val="005C06F5"/>
    <w:rsid w:val="005C07F2"/>
    <w:rsid w:val="005C0931"/>
    <w:rsid w:val="005C12D2"/>
    <w:rsid w:val="005C1982"/>
    <w:rsid w:val="005C1D7C"/>
    <w:rsid w:val="005C1F4D"/>
    <w:rsid w:val="005C2381"/>
    <w:rsid w:val="005C244C"/>
    <w:rsid w:val="005C244E"/>
    <w:rsid w:val="005C256C"/>
    <w:rsid w:val="005C2B06"/>
    <w:rsid w:val="005C30EE"/>
    <w:rsid w:val="005C31C8"/>
    <w:rsid w:val="005C3A39"/>
    <w:rsid w:val="005C3B91"/>
    <w:rsid w:val="005C3BCB"/>
    <w:rsid w:val="005C3C22"/>
    <w:rsid w:val="005C3D4C"/>
    <w:rsid w:val="005C43A8"/>
    <w:rsid w:val="005C4517"/>
    <w:rsid w:val="005C49F5"/>
    <w:rsid w:val="005C4BFA"/>
    <w:rsid w:val="005C4E0A"/>
    <w:rsid w:val="005C4EB3"/>
    <w:rsid w:val="005C5025"/>
    <w:rsid w:val="005C5327"/>
    <w:rsid w:val="005C549A"/>
    <w:rsid w:val="005C6026"/>
    <w:rsid w:val="005C6249"/>
    <w:rsid w:val="005C635A"/>
    <w:rsid w:val="005C67E7"/>
    <w:rsid w:val="005C6E3D"/>
    <w:rsid w:val="005C6EEA"/>
    <w:rsid w:val="005C70BA"/>
    <w:rsid w:val="005C7A67"/>
    <w:rsid w:val="005C7BBE"/>
    <w:rsid w:val="005C7DC6"/>
    <w:rsid w:val="005C7E94"/>
    <w:rsid w:val="005D0031"/>
    <w:rsid w:val="005D018B"/>
    <w:rsid w:val="005D0254"/>
    <w:rsid w:val="005D0739"/>
    <w:rsid w:val="005D07A0"/>
    <w:rsid w:val="005D0D0E"/>
    <w:rsid w:val="005D0EE3"/>
    <w:rsid w:val="005D1077"/>
    <w:rsid w:val="005D13AB"/>
    <w:rsid w:val="005D1463"/>
    <w:rsid w:val="005D1550"/>
    <w:rsid w:val="005D1A98"/>
    <w:rsid w:val="005D1C0C"/>
    <w:rsid w:val="005D1ED1"/>
    <w:rsid w:val="005D1F27"/>
    <w:rsid w:val="005D24B9"/>
    <w:rsid w:val="005D2558"/>
    <w:rsid w:val="005D2592"/>
    <w:rsid w:val="005D295D"/>
    <w:rsid w:val="005D2A55"/>
    <w:rsid w:val="005D2BB8"/>
    <w:rsid w:val="005D2C2B"/>
    <w:rsid w:val="005D2D40"/>
    <w:rsid w:val="005D3138"/>
    <w:rsid w:val="005D38CA"/>
    <w:rsid w:val="005D39EE"/>
    <w:rsid w:val="005D3E63"/>
    <w:rsid w:val="005D3EB3"/>
    <w:rsid w:val="005D4146"/>
    <w:rsid w:val="005D482B"/>
    <w:rsid w:val="005D4A42"/>
    <w:rsid w:val="005D4AAE"/>
    <w:rsid w:val="005D4F22"/>
    <w:rsid w:val="005D503C"/>
    <w:rsid w:val="005D51E5"/>
    <w:rsid w:val="005D54E2"/>
    <w:rsid w:val="005D5B29"/>
    <w:rsid w:val="005D5CA1"/>
    <w:rsid w:val="005D5CF0"/>
    <w:rsid w:val="005D62D1"/>
    <w:rsid w:val="005D63CD"/>
    <w:rsid w:val="005D689A"/>
    <w:rsid w:val="005D6B4F"/>
    <w:rsid w:val="005D6F99"/>
    <w:rsid w:val="005D7060"/>
    <w:rsid w:val="005D715A"/>
    <w:rsid w:val="005D727F"/>
    <w:rsid w:val="005D73D4"/>
    <w:rsid w:val="005D7573"/>
    <w:rsid w:val="005D7951"/>
    <w:rsid w:val="005D79D3"/>
    <w:rsid w:val="005D79E0"/>
    <w:rsid w:val="005D7A2E"/>
    <w:rsid w:val="005D7D61"/>
    <w:rsid w:val="005D7EEE"/>
    <w:rsid w:val="005E02A1"/>
    <w:rsid w:val="005E07B6"/>
    <w:rsid w:val="005E085D"/>
    <w:rsid w:val="005E09CF"/>
    <w:rsid w:val="005E0C39"/>
    <w:rsid w:val="005E0F3F"/>
    <w:rsid w:val="005E15B3"/>
    <w:rsid w:val="005E1D5F"/>
    <w:rsid w:val="005E253F"/>
    <w:rsid w:val="005E257A"/>
    <w:rsid w:val="005E263C"/>
    <w:rsid w:val="005E264D"/>
    <w:rsid w:val="005E2C81"/>
    <w:rsid w:val="005E2E6A"/>
    <w:rsid w:val="005E31EB"/>
    <w:rsid w:val="005E320A"/>
    <w:rsid w:val="005E332D"/>
    <w:rsid w:val="005E3739"/>
    <w:rsid w:val="005E3863"/>
    <w:rsid w:val="005E3BC6"/>
    <w:rsid w:val="005E3F40"/>
    <w:rsid w:val="005E3FA7"/>
    <w:rsid w:val="005E42BE"/>
    <w:rsid w:val="005E42FB"/>
    <w:rsid w:val="005E442D"/>
    <w:rsid w:val="005E4695"/>
    <w:rsid w:val="005E4C6B"/>
    <w:rsid w:val="005E4CD3"/>
    <w:rsid w:val="005E4E15"/>
    <w:rsid w:val="005E4E60"/>
    <w:rsid w:val="005E5031"/>
    <w:rsid w:val="005E544A"/>
    <w:rsid w:val="005E551C"/>
    <w:rsid w:val="005E554A"/>
    <w:rsid w:val="005E56A3"/>
    <w:rsid w:val="005E57FA"/>
    <w:rsid w:val="005E58D9"/>
    <w:rsid w:val="005E5A1A"/>
    <w:rsid w:val="005E5A61"/>
    <w:rsid w:val="005E5AA4"/>
    <w:rsid w:val="005E5F59"/>
    <w:rsid w:val="005E60DA"/>
    <w:rsid w:val="005E636D"/>
    <w:rsid w:val="005E661E"/>
    <w:rsid w:val="005E6645"/>
    <w:rsid w:val="005E682F"/>
    <w:rsid w:val="005E718F"/>
    <w:rsid w:val="005E76B5"/>
    <w:rsid w:val="005E790B"/>
    <w:rsid w:val="005E7963"/>
    <w:rsid w:val="005E79A8"/>
    <w:rsid w:val="005E7CD6"/>
    <w:rsid w:val="005E7E91"/>
    <w:rsid w:val="005F02A2"/>
    <w:rsid w:val="005F07E7"/>
    <w:rsid w:val="005F094A"/>
    <w:rsid w:val="005F0A82"/>
    <w:rsid w:val="005F13F4"/>
    <w:rsid w:val="005F141C"/>
    <w:rsid w:val="005F199B"/>
    <w:rsid w:val="005F1DF9"/>
    <w:rsid w:val="005F20AD"/>
    <w:rsid w:val="005F218C"/>
    <w:rsid w:val="005F2783"/>
    <w:rsid w:val="005F27C2"/>
    <w:rsid w:val="005F29EA"/>
    <w:rsid w:val="005F2AF4"/>
    <w:rsid w:val="005F2C19"/>
    <w:rsid w:val="005F2D47"/>
    <w:rsid w:val="005F301D"/>
    <w:rsid w:val="005F312F"/>
    <w:rsid w:val="005F31E3"/>
    <w:rsid w:val="005F34AF"/>
    <w:rsid w:val="005F3584"/>
    <w:rsid w:val="005F3949"/>
    <w:rsid w:val="005F39E7"/>
    <w:rsid w:val="005F40A8"/>
    <w:rsid w:val="005F4292"/>
    <w:rsid w:val="005F4502"/>
    <w:rsid w:val="005F4523"/>
    <w:rsid w:val="005F467D"/>
    <w:rsid w:val="005F4A0C"/>
    <w:rsid w:val="005F4A39"/>
    <w:rsid w:val="005F50C3"/>
    <w:rsid w:val="005F5135"/>
    <w:rsid w:val="005F5297"/>
    <w:rsid w:val="005F53D6"/>
    <w:rsid w:val="005F547D"/>
    <w:rsid w:val="005F54B0"/>
    <w:rsid w:val="005F562A"/>
    <w:rsid w:val="005F59F1"/>
    <w:rsid w:val="005F5A1C"/>
    <w:rsid w:val="005F5BC0"/>
    <w:rsid w:val="005F6263"/>
    <w:rsid w:val="005F6676"/>
    <w:rsid w:val="005F684E"/>
    <w:rsid w:val="005F6BB1"/>
    <w:rsid w:val="005F76BA"/>
    <w:rsid w:val="005F7796"/>
    <w:rsid w:val="005F79D2"/>
    <w:rsid w:val="005F7A02"/>
    <w:rsid w:val="005F7B4A"/>
    <w:rsid w:val="005F7BFA"/>
    <w:rsid w:val="005F7C6C"/>
    <w:rsid w:val="005F7C8E"/>
    <w:rsid w:val="00600087"/>
    <w:rsid w:val="006002D2"/>
    <w:rsid w:val="006003A6"/>
    <w:rsid w:val="00600600"/>
    <w:rsid w:val="006008E3"/>
    <w:rsid w:val="00600A04"/>
    <w:rsid w:val="00600A22"/>
    <w:rsid w:val="00600D15"/>
    <w:rsid w:val="00600FDE"/>
    <w:rsid w:val="0060110C"/>
    <w:rsid w:val="00601248"/>
    <w:rsid w:val="006013AD"/>
    <w:rsid w:val="006013F0"/>
    <w:rsid w:val="00601512"/>
    <w:rsid w:val="00601605"/>
    <w:rsid w:val="00601ABF"/>
    <w:rsid w:val="00601B19"/>
    <w:rsid w:val="00601B25"/>
    <w:rsid w:val="00601B88"/>
    <w:rsid w:val="00601D47"/>
    <w:rsid w:val="00601D4D"/>
    <w:rsid w:val="006021B4"/>
    <w:rsid w:val="006021D9"/>
    <w:rsid w:val="00602605"/>
    <w:rsid w:val="00602797"/>
    <w:rsid w:val="00602951"/>
    <w:rsid w:val="00602BCA"/>
    <w:rsid w:val="00602CCE"/>
    <w:rsid w:val="00602EBD"/>
    <w:rsid w:val="00602FBC"/>
    <w:rsid w:val="006034E0"/>
    <w:rsid w:val="00603579"/>
    <w:rsid w:val="006035D6"/>
    <w:rsid w:val="0060374C"/>
    <w:rsid w:val="00603CCD"/>
    <w:rsid w:val="00603DEC"/>
    <w:rsid w:val="00603E62"/>
    <w:rsid w:val="00603F99"/>
    <w:rsid w:val="006042D2"/>
    <w:rsid w:val="00604599"/>
    <w:rsid w:val="00604908"/>
    <w:rsid w:val="00604A41"/>
    <w:rsid w:val="00604DC4"/>
    <w:rsid w:val="006050B7"/>
    <w:rsid w:val="006053F7"/>
    <w:rsid w:val="0060546E"/>
    <w:rsid w:val="00605580"/>
    <w:rsid w:val="006059B7"/>
    <w:rsid w:val="00605B5B"/>
    <w:rsid w:val="0060600E"/>
    <w:rsid w:val="0060605E"/>
    <w:rsid w:val="0060610C"/>
    <w:rsid w:val="006062D8"/>
    <w:rsid w:val="00606416"/>
    <w:rsid w:val="006065E6"/>
    <w:rsid w:val="00606827"/>
    <w:rsid w:val="00606F35"/>
    <w:rsid w:val="0060706A"/>
    <w:rsid w:val="0060741C"/>
    <w:rsid w:val="00607A76"/>
    <w:rsid w:val="0061010B"/>
    <w:rsid w:val="00610295"/>
    <w:rsid w:val="0061066E"/>
    <w:rsid w:val="00610687"/>
    <w:rsid w:val="00610D5E"/>
    <w:rsid w:val="00611085"/>
    <w:rsid w:val="0061115D"/>
    <w:rsid w:val="0061119B"/>
    <w:rsid w:val="006111FA"/>
    <w:rsid w:val="0061165F"/>
    <w:rsid w:val="00612276"/>
    <w:rsid w:val="006122A9"/>
    <w:rsid w:val="00612485"/>
    <w:rsid w:val="006128A7"/>
    <w:rsid w:val="006128F4"/>
    <w:rsid w:val="00612AA9"/>
    <w:rsid w:val="00612BA9"/>
    <w:rsid w:val="00612BB7"/>
    <w:rsid w:val="00612CF6"/>
    <w:rsid w:val="006130CD"/>
    <w:rsid w:val="00613598"/>
    <w:rsid w:val="00613A23"/>
    <w:rsid w:val="00613A2A"/>
    <w:rsid w:val="00613A56"/>
    <w:rsid w:val="00613B2D"/>
    <w:rsid w:val="00613D1B"/>
    <w:rsid w:val="00613DFF"/>
    <w:rsid w:val="00613EB4"/>
    <w:rsid w:val="0061402B"/>
    <w:rsid w:val="006141CC"/>
    <w:rsid w:val="0061476E"/>
    <w:rsid w:val="00614795"/>
    <w:rsid w:val="00614C26"/>
    <w:rsid w:val="00614E86"/>
    <w:rsid w:val="00614F88"/>
    <w:rsid w:val="006152E5"/>
    <w:rsid w:val="006156B3"/>
    <w:rsid w:val="00615CEC"/>
    <w:rsid w:val="00615CF9"/>
    <w:rsid w:val="00615E00"/>
    <w:rsid w:val="00615E8A"/>
    <w:rsid w:val="00615EC2"/>
    <w:rsid w:val="0061608F"/>
    <w:rsid w:val="00616430"/>
    <w:rsid w:val="006169E8"/>
    <w:rsid w:val="00616B50"/>
    <w:rsid w:val="00617164"/>
    <w:rsid w:val="006173E8"/>
    <w:rsid w:val="006177B9"/>
    <w:rsid w:val="00617B2F"/>
    <w:rsid w:val="00617EE7"/>
    <w:rsid w:val="00617F18"/>
    <w:rsid w:val="0062024E"/>
    <w:rsid w:val="0062025E"/>
    <w:rsid w:val="00620262"/>
    <w:rsid w:val="00620278"/>
    <w:rsid w:val="006205DC"/>
    <w:rsid w:val="00620A43"/>
    <w:rsid w:val="00620FA9"/>
    <w:rsid w:val="006213C8"/>
    <w:rsid w:val="006215F2"/>
    <w:rsid w:val="00621856"/>
    <w:rsid w:val="00621ACE"/>
    <w:rsid w:val="00621B4C"/>
    <w:rsid w:val="00621E47"/>
    <w:rsid w:val="00622236"/>
    <w:rsid w:val="006225F6"/>
    <w:rsid w:val="0062282B"/>
    <w:rsid w:val="00622D1C"/>
    <w:rsid w:val="00622EDB"/>
    <w:rsid w:val="00623148"/>
    <w:rsid w:val="00623538"/>
    <w:rsid w:val="00623A94"/>
    <w:rsid w:val="00623CD7"/>
    <w:rsid w:val="00623DAA"/>
    <w:rsid w:val="0062448C"/>
    <w:rsid w:val="00624B8C"/>
    <w:rsid w:val="00624FD4"/>
    <w:rsid w:val="00625268"/>
    <w:rsid w:val="0062568D"/>
    <w:rsid w:val="006258AC"/>
    <w:rsid w:val="006258C5"/>
    <w:rsid w:val="00626147"/>
    <w:rsid w:val="00626316"/>
    <w:rsid w:val="006264D4"/>
    <w:rsid w:val="006265C4"/>
    <w:rsid w:val="00626833"/>
    <w:rsid w:val="006268E9"/>
    <w:rsid w:val="00626CDD"/>
    <w:rsid w:val="00626D9C"/>
    <w:rsid w:val="00626FCF"/>
    <w:rsid w:val="00626FE8"/>
    <w:rsid w:val="0062703F"/>
    <w:rsid w:val="006273E6"/>
    <w:rsid w:val="00627547"/>
    <w:rsid w:val="006277AA"/>
    <w:rsid w:val="00627C52"/>
    <w:rsid w:val="0063013A"/>
    <w:rsid w:val="00630643"/>
    <w:rsid w:val="00630937"/>
    <w:rsid w:val="00630AB4"/>
    <w:rsid w:val="00630FC1"/>
    <w:rsid w:val="00631024"/>
    <w:rsid w:val="006312B8"/>
    <w:rsid w:val="00631580"/>
    <w:rsid w:val="00631617"/>
    <w:rsid w:val="00631628"/>
    <w:rsid w:val="00631765"/>
    <w:rsid w:val="00631C4B"/>
    <w:rsid w:val="00632276"/>
    <w:rsid w:val="006322D5"/>
    <w:rsid w:val="00632412"/>
    <w:rsid w:val="00632421"/>
    <w:rsid w:val="00632A01"/>
    <w:rsid w:val="00633168"/>
    <w:rsid w:val="006334BD"/>
    <w:rsid w:val="0063359B"/>
    <w:rsid w:val="00633969"/>
    <w:rsid w:val="00633B26"/>
    <w:rsid w:val="00633B9C"/>
    <w:rsid w:val="00633CFC"/>
    <w:rsid w:val="00633D6D"/>
    <w:rsid w:val="00633E3B"/>
    <w:rsid w:val="00634126"/>
    <w:rsid w:val="0063413B"/>
    <w:rsid w:val="0063425D"/>
    <w:rsid w:val="006344CE"/>
    <w:rsid w:val="0063455E"/>
    <w:rsid w:val="006345D5"/>
    <w:rsid w:val="00634A64"/>
    <w:rsid w:val="00634B89"/>
    <w:rsid w:val="00634BFE"/>
    <w:rsid w:val="00634D97"/>
    <w:rsid w:val="00634DED"/>
    <w:rsid w:val="00634FFD"/>
    <w:rsid w:val="006350A2"/>
    <w:rsid w:val="00635446"/>
    <w:rsid w:val="0063560C"/>
    <w:rsid w:val="00635649"/>
    <w:rsid w:val="00635782"/>
    <w:rsid w:val="00635866"/>
    <w:rsid w:val="006359F9"/>
    <w:rsid w:val="00635EC3"/>
    <w:rsid w:val="00636110"/>
    <w:rsid w:val="00636422"/>
    <w:rsid w:val="006364A9"/>
    <w:rsid w:val="00636779"/>
    <w:rsid w:val="006367F3"/>
    <w:rsid w:val="00636934"/>
    <w:rsid w:val="00636945"/>
    <w:rsid w:val="006369FF"/>
    <w:rsid w:val="00636E0F"/>
    <w:rsid w:val="00637042"/>
    <w:rsid w:val="0063755D"/>
    <w:rsid w:val="006376F5"/>
    <w:rsid w:val="00637CF5"/>
    <w:rsid w:val="00637FD8"/>
    <w:rsid w:val="00640700"/>
    <w:rsid w:val="006407A8"/>
    <w:rsid w:val="006407C0"/>
    <w:rsid w:val="00640A12"/>
    <w:rsid w:val="00640C90"/>
    <w:rsid w:val="00640EAA"/>
    <w:rsid w:val="006411D9"/>
    <w:rsid w:val="006415EA"/>
    <w:rsid w:val="00641752"/>
    <w:rsid w:val="0064177E"/>
    <w:rsid w:val="006417F3"/>
    <w:rsid w:val="00641CA6"/>
    <w:rsid w:val="00641D28"/>
    <w:rsid w:val="00642079"/>
    <w:rsid w:val="00642099"/>
    <w:rsid w:val="00642700"/>
    <w:rsid w:val="006430CB"/>
    <w:rsid w:val="00643441"/>
    <w:rsid w:val="00643556"/>
    <w:rsid w:val="006435BE"/>
    <w:rsid w:val="0064363C"/>
    <w:rsid w:val="00643662"/>
    <w:rsid w:val="00643B04"/>
    <w:rsid w:val="00643CC4"/>
    <w:rsid w:val="0064459D"/>
    <w:rsid w:val="0064471C"/>
    <w:rsid w:val="00644A54"/>
    <w:rsid w:val="00644AB1"/>
    <w:rsid w:val="0064515B"/>
    <w:rsid w:val="006452F7"/>
    <w:rsid w:val="00645356"/>
    <w:rsid w:val="00645791"/>
    <w:rsid w:val="00645836"/>
    <w:rsid w:val="006459DF"/>
    <w:rsid w:val="00645BE7"/>
    <w:rsid w:val="006468F9"/>
    <w:rsid w:val="00646A10"/>
    <w:rsid w:val="00646DE5"/>
    <w:rsid w:val="00646E44"/>
    <w:rsid w:val="006475FD"/>
    <w:rsid w:val="0064778B"/>
    <w:rsid w:val="00647B7A"/>
    <w:rsid w:val="00647D0D"/>
    <w:rsid w:val="00647D4D"/>
    <w:rsid w:val="00647EE2"/>
    <w:rsid w:val="00650175"/>
    <w:rsid w:val="0065030D"/>
    <w:rsid w:val="0065092B"/>
    <w:rsid w:val="00650A9C"/>
    <w:rsid w:val="00650ED4"/>
    <w:rsid w:val="00651231"/>
    <w:rsid w:val="0065132A"/>
    <w:rsid w:val="006513AC"/>
    <w:rsid w:val="0065169F"/>
    <w:rsid w:val="006517AB"/>
    <w:rsid w:val="00651B9E"/>
    <w:rsid w:val="00651C2E"/>
    <w:rsid w:val="00651D5D"/>
    <w:rsid w:val="00651ED7"/>
    <w:rsid w:val="00651EEB"/>
    <w:rsid w:val="006520B0"/>
    <w:rsid w:val="006529B2"/>
    <w:rsid w:val="00652C23"/>
    <w:rsid w:val="00652EFB"/>
    <w:rsid w:val="00653015"/>
    <w:rsid w:val="0065334B"/>
    <w:rsid w:val="00653759"/>
    <w:rsid w:val="006538E1"/>
    <w:rsid w:val="006539A0"/>
    <w:rsid w:val="00653B84"/>
    <w:rsid w:val="00653D4F"/>
    <w:rsid w:val="00653E0D"/>
    <w:rsid w:val="00653E2F"/>
    <w:rsid w:val="00653FB6"/>
    <w:rsid w:val="006544D9"/>
    <w:rsid w:val="00654562"/>
    <w:rsid w:val="006548A6"/>
    <w:rsid w:val="00654A59"/>
    <w:rsid w:val="00654C84"/>
    <w:rsid w:val="00654E4B"/>
    <w:rsid w:val="00654F65"/>
    <w:rsid w:val="006553F7"/>
    <w:rsid w:val="00655507"/>
    <w:rsid w:val="00655670"/>
    <w:rsid w:val="006558B3"/>
    <w:rsid w:val="00655ABE"/>
    <w:rsid w:val="00655D97"/>
    <w:rsid w:val="006561D4"/>
    <w:rsid w:val="006562A3"/>
    <w:rsid w:val="006564F3"/>
    <w:rsid w:val="006565B6"/>
    <w:rsid w:val="00656A4B"/>
    <w:rsid w:val="00656B1C"/>
    <w:rsid w:val="00656EED"/>
    <w:rsid w:val="00656F12"/>
    <w:rsid w:val="00656FC3"/>
    <w:rsid w:val="006570A8"/>
    <w:rsid w:val="00657267"/>
    <w:rsid w:val="0065742F"/>
    <w:rsid w:val="00657503"/>
    <w:rsid w:val="00657C0A"/>
    <w:rsid w:val="00657D7E"/>
    <w:rsid w:val="00660001"/>
    <w:rsid w:val="006600EB"/>
    <w:rsid w:val="006602EC"/>
    <w:rsid w:val="00660642"/>
    <w:rsid w:val="00660850"/>
    <w:rsid w:val="006608E1"/>
    <w:rsid w:val="00660C05"/>
    <w:rsid w:val="00660E90"/>
    <w:rsid w:val="006612E1"/>
    <w:rsid w:val="0066167C"/>
    <w:rsid w:val="00661EDE"/>
    <w:rsid w:val="00661FAC"/>
    <w:rsid w:val="00662131"/>
    <w:rsid w:val="00662B3E"/>
    <w:rsid w:val="00662CEE"/>
    <w:rsid w:val="00662D06"/>
    <w:rsid w:val="0066301D"/>
    <w:rsid w:val="0066313E"/>
    <w:rsid w:val="00663204"/>
    <w:rsid w:val="006632E2"/>
    <w:rsid w:val="00663347"/>
    <w:rsid w:val="0066343F"/>
    <w:rsid w:val="0066354A"/>
    <w:rsid w:val="00663686"/>
    <w:rsid w:val="00663CE4"/>
    <w:rsid w:val="00663CE5"/>
    <w:rsid w:val="00663EF3"/>
    <w:rsid w:val="00664074"/>
    <w:rsid w:val="00664728"/>
    <w:rsid w:val="0066500C"/>
    <w:rsid w:val="00665127"/>
    <w:rsid w:val="00665178"/>
    <w:rsid w:val="006653C5"/>
    <w:rsid w:val="006654A1"/>
    <w:rsid w:val="006656F2"/>
    <w:rsid w:val="006658A2"/>
    <w:rsid w:val="00665FB9"/>
    <w:rsid w:val="006664B9"/>
    <w:rsid w:val="006664FF"/>
    <w:rsid w:val="00666668"/>
    <w:rsid w:val="006666D0"/>
    <w:rsid w:val="00666A25"/>
    <w:rsid w:val="00666CCC"/>
    <w:rsid w:val="00666EA5"/>
    <w:rsid w:val="006671E7"/>
    <w:rsid w:val="00667217"/>
    <w:rsid w:val="00667353"/>
    <w:rsid w:val="006675DE"/>
    <w:rsid w:val="0066779C"/>
    <w:rsid w:val="00667956"/>
    <w:rsid w:val="0066795C"/>
    <w:rsid w:val="00667BCD"/>
    <w:rsid w:val="00667D3E"/>
    <w:rsid w:val="00667EBC"/>
    <w:rsid w:val="006700FF"/>
    <w:rsid w:val="00670198"/>
    <w:rsid w:val="00670883"/>
    <w:rsid w:val="00670E47"/>
    <w:rsid w:val="00671319"/>
    <w:rsid w:val="0067138C"/>
    <w:rsid w:val="0067155A"/>
    <w:rsid w:val="00671648"/>
    <w:rsid w:val="00671675"/>
    <w:rsid w:val="006717C5"/>
    <w:rsid w:val="00671844"/>
    <w:rsid w:val="00671D30"/>
    <w:rsid w:val="0067257D"/>
    <w:rsid w:val="006725BA"/>
    <w:rsid w:val="00672610"/>
    <w:rsid w:val="00672A01"/>
    <w:rsid w:val="00672C27"/>
    <w:rsid w:val="0067313E"/>
    <w:rsid w:val="00673265"/>
    <w:rsid w:val="006733B6"/>
    <w:rsid w:val="006739FA"/>
    <w:rsid w:val="00673D8C"/>
    <w:rsid w:val="00674222"/>
    <w:rsid w:val="006742F1"/>
    <w:rsid w:val="00674A38"/>
    <w:rsid w:val="00674A7E"/>
    <w:rsid w:val="00674D82"/>
    <w:rsid w:val="00674FB8"/>
    <w:rsid w:val="00674FBB"/>
    <w:rsid w:val="006751AA"/>
    <w:rsid w:val="006751F1"/>
    <w:rsid w:val="006753F2"/>
    <w:rsid w:val="0067565F"/>
    <w:rsid w:val="00675870"/>
    <w:rsid w:val="00675ABE"/>
    <w:rsid w:val="00675AE0"/>
    <w:rsid w:val="00675E77"/>
    <w:rsid w:val="00676150"/>
    <w:rsid w:val="00676218"/>
    <w:rsid w:val="006762CD"/>
    <w:rsid w:val="006765C9"/>
    <w:rsid w:val="00676A72"/>
    <w:rsid w:val="00676C51"/>
    <w:rsid w:val="00677094"/>
    <w:rsid w:val="006772E6"/>
    <w:rsid w:val="00677A26"/>
    <w:rsid w:val="00677E3B"/>
    <w:rsid w:val="00677E77"/>
    <w:rsid w:val="0068021D"/>
    <w:rsid w:val="0068033D"/>
    <w:rsid w:val="0068073B"/>
    <w:rsid w:val="00680910"/>
    <w:rsid w:val="00680959"/>
    <w:rsid w:val="00680C10"/>
    <w:rsid w:val="00680F8D"/>
    <w:rsid w:val="00681142"/>
    <w:rsid w:val="00681369"/>
    <w:rsid w:val="006813B4"/>
    <w:rsid w:val="00681551"/>
    <w:rsid w:val="00681955"/>
    <w:rsid w:val="00681A22"/>
    <w:rsid w:val="00681D87"/>
    <w:rsid w:val="00681FC2"/>
    <w:rsid w:val="006820D5"/>
    <w:rsid w:val="006825BC"/>
    <w:rsid w:val="006827A9"/>
    <w:rsid w:val="00682C72"/>
    <w:rsid w:val="00682DC9"/>
    <w:rsid w:val="00682FE5"/>
    <w:rsid w:val="00683C54"/>
    <w:rsid w:val="00683DB5"/>
    <w:rsid w:val="00683EAA"/>
    <w:rsid w:val="00684295"/>
    <w:rsid w:val="00684392"/>
    <w:rsid w:val="006845C7"/>
    <w:rsid w:val="006845FF"/>
    <w:rsid w:val="00684680"/>
    <w:rsid w:val="006849B6"/>
    <w:rsid w:val="00684B39"/>
    <w:rsid w:val="00684C02"/>
    <w:rsid w:val="0068517A"/>
    <w:rsid w:val="006851E7"/>
    <w:rsid w:val="00685634"/>
    <w:rsid w:val="0068575C"/>
    <w:rsid w:val="0068583A"/>
    <w:rsid w:val="00685954"/>
    <w:rsid w:val="006863FA"/>
    <w:rsid w:val="006865C8"/>
    <w:rsid w:val="00686B48"/>
    <w:rsid w:val="00686E0B"/>
    <w:rsid w:val="00686EEC"/>
    <w:rsid w:val="00687038"/>
    <w:rsid w:val="0068705B"/>
    <w:rsid w:val="0068714E"/>
    <w:rsid w:val="00687205"/>
    <w:rsid w:val="006873EC"/>
    <w:rsid w:val="006874B8"/>
    <w:rsid w:val="0068762E"/>
    <w:rsid w:val="006876A3"/>
    <w:rsid w:val="0068785A"/>
    <w:rsid w:val="00687905"/>
    <w:rsid w:val="006900FC"/>
    <w:rsid w:val="00690222"/>
    <w:rsid w:val="00690351"/>
    <w:rsid w:val="006904DD"/>
    <w:rsid w:val="006905CA"/>
    <w:rsid w:val="00690CB7"/>
    <w:rsid w:val="00690D8D"/>
    <w:rsid w:val="00690DA2"/>
    <w:rsid w:val="00690ECE"/>
    <w:rsid w:val="00690FF6"/>
    <w:rsid w:val="0069155A"/>
    <w:rsid w:val="0069160B"/>
    <w:rsid w:val="00691619"/>
    <w:rsid w:val="00691927"/>
    <w:rsid w:val="00691BC0"/>
    <w:rsid w:val="00692219"/>
    <w:rsid w:val="00692250"/>
    <w:rsid w:val="0069250F"/>
    <w:rsid w:val="0069276D"/>
    <w:rsid w:val="006927E9"/>
    <w:rsid w:val="006929F7"/>
    <w:rsid w:val="00692BA9"/>
    <w:rsid w:val="00692CD9"/>
    <w:rsid w:val="00692DD0"/>
    <w:rsid w:val="00692E57"/>
    <w:rsid w:val="00692F52"/>
    <w:rsid w:val="00692FD7"/>
    <w:rsid w:val="006931B5"/>
    <w:rsid w:val="0069374A"/>
    <w:rsid w:val="0069375D"/>
    <w:rsid w:val="00693B5B"/>
    <w:rsid w:val="00693DCD"/>
    <w:rsid w:val="006941F3"/>
    <w:rsid w:val="006947A1"/>
    <w:rsid w:val="006947D3"/>
    <w:rsid w:val="006949B1"/>
    <w:rsid w:val="00694AB8"/>
    <w:rsid w:val="00694AF1"/>
    <w:rsid w:val="00695490"/>
    <w:rsid w:val="00695512"/>
    <w:rsid w:val="0069578E"/>
    <w:rsid w:val="006958D7"/>
    <w:rsid w:val="00695A47"/>
    <w:rsid w:val="00695B36"/>
    <w:rsid w:val="00695C3E"/>
    <w:rsid w:val="00695EF7"/>
    <w:rsid w:val="00696304"/>
    <w:rsid w:val="006964AA"/>
    <w:rsid w:val="006966EE"/>
    <w:rsid w:val="00696744"/>
    <w:rsid w:val="0069680D"/>
    <w:rsid w:val="0069699D"/>
    <w:rsid w:val="00696C60"/>
    <w:rsid w:val="00696FBD"/>
    <w:rsid w:val="006970C3"/>
    <w:rsid w:val="006972D3"/>
    <w:rsid w:val="00697527"/>
    <w:rsid w:val="0069781A"/>
    <w:rsid w:val="00697B97"/>
    <w:rsid w:val="00697D57"/>
    <w:rsid w:val="006A02AB"/>
    <w:rsid w:val="006A02D4"/>
    <w:rsid w:val="006A0365"/>
    <w:rsid w:val="006A08A5"/>
    <w:rsid w:val="006A096E"/>
    <w:rsid w:val="006A0B08"/>
    <w:rsid w:val="006A0B6B"/>
    <w:rsid w:val="006A0D84"/>
    <w:rsid w:val="006A0E6E"/>
    <w:rsid w:val="006A139F"/>
    <w:rsid w:val="006A14F2"/>
    <w:rsid w:val="006A17C0"/>
    <w:rsid w:val="006A18EC"/>
    <w:rsid w:val="006A196B"/>
    <w:rsid w:val="006A1B55"/>
    <w:rsid w:val="006A1C6E"/>
    <w:rsid w:val="006A24E0"/>
    <w:rsid w:val="006A25E3"/>
    <w:rsid w:val="006A2730"/>
    <w:rsid w:val="006A2751"/>
    <w:rsid w:val="006A2940"/>
    <w:rsid w:val="006A29CA"/>
    <w:rsid w:val="006A2CCF"/>
    <w:rsid w:val="006A3134"/>
    <w:rsid w:val="006A32ED"/>
    <w:rsid w:val="006A3504"/>
    <w:rsid w:val="006A3517"/>
    <w:rsid w:val="006A39CA"/>
    <w:rsid w:val="006A4430"/>
    <w:rsid w:val="006A449C"/>
    <w:rsid w:val="006A4926"/>
    <w:rsid w:val="006A4D9B"/>
    <w:rsid w:val="006A4E07"/>
    <w:rsid w:val="006A4E53"/>
    <w:rsid w:val="006A512F"/>
    <w:rsid w:val="006A5417"/>
    <w:rsid w:val="006A550E"/>
    <w:rsid w:val="006A56EF"/>
    <w:rsid w:val="006A57D3"/>
    <w:rsid w:val="006A5E08"/>
    <w:rsid w:val="006A5E53"/>
    <w:rsid w:val="006A5FB8"/>
    <w:rsid w:val="006A6204"/>
    <w:rsid w:val="006A6227"/>
    <w:rsid w:val="006A6579"/>
    <w:rsid w:val="006A667D"/>
    <w:rsid w:val="006A66D5"/>
    <w:rsid w:val="006A68A6"/>
    <w:rsid w:val="006A6B53"/>
    <w:rsid w:val="006A6BDC"/>
    <w:rsid w:val="006A6C60"/>
    <w:rsid w:val="006A6FFA"/>
    <w:rsid w:val="006A716D"/>
    <w:rsid w:val="006A7827"/>
    <w:rsid w:val="006B0338"/>
    <w:rsid w:val="006B0358"/>
    <w:rsid w:val="006B06F4"/>
    <w:rsid w:val="006B0905"/>
    <w:rsid w:val="006B09D5"/>
    <w:rsid w:val="006B0A88"/>
    <w:rsid w:val="006B0ADD"/>
    <w:rsid w:val="006B0E52"/>
    <w:rsid w:val="006B19D8"/>
    <w:rsid w:val="006B1B88"/>
    <w:rsid w:val="006B1F58"/>
    <w:rsid w:val="006B2C40"/>
    <w:rsid w:val="006B2C51"/>
    <w:rsid w:val="006B30C7"/>
    <w:rsid w:val="006B317C"/>
    <w:rsid w:val="006B3527"/>
    <w:rsid w:val="006B3F7E"/>
    <w:rsid w:val="006B3FA6"/>
    <w:rsid w:val="006B424B"/>
    <w:rsid w:val="006B466C"/>
    <w:rsid w:val="006B48EA"/>
    <w:rsid w:val="006B4F4E"/>
    <w:rsid w:val="006B5055"/>
    <w:rsid w:val="006B5310"/>
    <w:rsid w:val="006B56E0"/>
    <w:rsid w:val="006B5C32"/>
    <w:rsid w:val="006B5ECC"/>
    <w:rsid w:val="006B6268"/>
    <w:rsid w:val="006B6355"/>
    <w:rsid w:val="006B6361"/>
    <w:rsid w:val="006B640D"/>
    <w:rsid w:val="006B6502"/>
    <w:rsid w:val="006B6607"/>
    <w:rsid w:val="006B67BF"/>
    <w:rsid w:val="006B6E31"/>
    <w:rsid w:val="006B7176"/>
    <w:rsid w:val="006B7655"/>
    <w:rsid w:val="006B789B"/>
    <w:rsid w:val="006B789E"/>
    <w:rsid w:val="006B7B4D"/>
    <w:rsid w:val="006B7EF6"/>
    <w:rsid w:val="006C00B0"/>
    <w:rsid w:val="006C01EB"/>
    <w:rsid w:val="006C0271"/>
    <w:rsid w:val="006C0AF4"/>
    <w:rsid w:val="006C0B6D"/>
    <w:rsid w:val="006C0CA8"/>
    <w:rsid w:val="006C0D16"/>
    <w:rsid w:val="006C1118"/>
    <w:rsid w:val="006C11C3"/>
    <w:rsid w:val="006C1423"/>
    <w:rsid w:val="006C18E8"/>
    <w:rsid w:val="006C1933"/>
    <w:rsid w:val="006C1A75"/>
    <w:rsid w:val="006C1F6E"/>
    <w:rsid w:val="006C1F79"/>
    <w:rsid w:val="006C2180"/>
    <w:rsid w:val="006C2205"/>
    <w:rsid w:val="006C29CE"/>
    <w:rsid w:val="006C2D50"/>
    <w:rsid w:val="006C2E57"/>
    <w:rsid w:val="006C3194"/>
    <w:rsid w:val="006C321B"/>
    <w:rsid w:val="006C3441"/>
    <w:rsid w:val="006C34A5"/>
    <w:rsid w:val="006C3BA5"/>
    <w:rsid w:val="006C3BF0"/>
    <w:rsid w:val="006C3C21"/>
    <w:rsid w:val="006C3D4D"/>
    <w:rsid w:val="006C3E64"/>
    <w:rsid w:val="006C3EC8"/>
    <w:rsid w:val="006C4136"/>
    <w:rsid w:val="006C43CE"/>
    <w:rsid w:val="006C46D3"/>
    <w:rsid w:val="006C49D7"/>
    <w:rsid w:val="006C4C24"/>
    <w:rsid w:val="006C4EBB"/>
    <w:rsid w:val="006C4F94"/>
    <w:rsid w:val="006C518A"/>
    <w:rsid w:val="006C54C5"/>
    <w:rsid w:val="006C54F2"/>
    <w:rsid w:val="006C55C5"/>
    <w:rsid w:val="006C5727"/>
    <w:rsid w:val="006C59DA"/>
    <w:rsid w:val="006C5A28"/>
    <w:rsid w:val="006C6152"/>
    <w:rsid w:val="006C65A8"/>
    <w:rsid w:val="006C663D"/>
    <w:rsid w:val="006C665E"/>
    <w:rsid w:val="006C67A1"/>
    <w:rsid w:val="006C6AFF"/>
    <w:rsid w:val="006C6E1C"/>
    <w:rsid w:val="006C702B"/>
    <w:rsid w:val="006C731F"/>
    <w:rsid w:val="006C7883"/>
    <w:rsid w:val="006C797F"/>
    <w:rsid w:val="006C7B71"/>
    <w:rsid w:val="006C7BD5"/>
    <w:rsid w:val="006D0087"/>
    <w:rsid w:val="006D012B"/>
    <w:rsid w:val="006D03FD"/>
    <w:rsid w:val="006D06CD"/>
    <w:rsid w:val="006D0EEB"/>
    <w:rsid w:val="006D14C7"/>
    <w:rsid w:val="006D19C7"/>
    <w:rsid w:val="006D1CE7"/>
    <w:rsid w:val="006D1F8E"/>
    <w:rsid w:val="006D20D6"/>
    <w:rsid w:val="006D2220"/>
    <w:rsid w:val="006D2325"/>
    <w:rsid w:val="006D2459"/>
    <w:rsid w:val="006D2602"/>
    <w:rsid w:val="006D2770"/>
    <w:rsid w:val="006D295C"/>
    <w:rsid w:val="006D2C79"/>
    <w:rsid w:val="006D31D5"/>
    <w:rsid w:val="006D360C"/>
    <w:rsid w:val="006D3817"/>
    <w:rsid w:val="006D3CDE"/>
    <w:rsid w:val="006D4228"/>
    <w:rsid w:val="006D44D3"/>
    <w:rsid w:val="006D465B"/>
    <w:rsid w:val="006D471E"/>
    <w:rsid w:val="006D479E"/>
    <w:rsid w:val="006D48AE"/>
    <w:rsid w:val="006D4976"/>
    <w:rsid w:val="006D49CD"/>
    <w:rsid w:val="006D4A08"/>
    <w:rsid w:val="006D4BF7"/>
    <w:rsid w:val="006D514F"/>
    <w:rsid w:val="006D5AC9"/>
    <w:rsid w:val="006D6012"/>
    <w:rsid w:val="006D62A0"/>
    <w:rsid w:val="006D62B6"/>
    <w:rsid w:val="006D62D3"/>
    <w:rsid w:val="006D66ED"/>
    <w:rsid w:val="006D6751"/>
    <w:rsid w:val="006D6B1A"/>
    <w:rsid w:val="006D72B6"/>
    <w:rsid w:val="006D7A65"/>
    <w:rsid w:val="006D7DA7"/>
    <w:rsid w:val="006E0B4A"/>
    <w:rsid w:val="006E0E6A"/>
    <w:rsid w:val="006E0FD7"/>
    <w:rsid w:val="006E101E"/>
    <w:rsid w:val="006E109F"/>
    <w:rsid w:val="006E121E"/>
    <w:rsid w:val="006E12A5"/>
    <w:rsid w:val="006E172A"/>
    <w:rsid w:val="006E202E"/>
    <w:rsid w:val="006E2566"/>
    <w:rsid w:val="006E269B"/>
    <w:rsid w:val="006E296E"/>
    <w:rsid w:val="006E2A17"/>
    <w:rsid w:val="006E2DAC"/>
    <w:rsid w:val="006E30BC"/>
    <w:rsid w:val="006E3216"/>
    <w:rsid w:val="006E3228"/>
    <w:rsid w:val="006E33CC"/>
    <w:rsid w:val="006E362F"/>
    <w:rsid w:val="006E3653"/>
    <w:rsid w:val="006E3797"/>
    <w:rsid w:val="006E3B92"/>
    <w:rsid w:val="006E3DB6"/>
    <w:rsid w:val="006E3ED5"/>
    <w:rsid w:val="006E4144"/>
    <w:rsid w:val="006E4153"/>
    <w:rsid w:val="006E4267"/>
    <w:rsid w:val="006E42FE"/>
    <w:rsid w:val="006E442A"/>
    <w:rsid w:val="006E450E"/>
    <w:rsid w:val="006E5030"/>
    <w:rsid w:val="006E52F7"/>
    <w:rsid w:val="006E55E2"/>
    <w:rsid w:val="006E59F6"/>
    <w:rsid w:val="006E5D63"/>
    <w:rsid w:val="006E6239"/>
    <w:rsid w:val="006E6878"/>
    <w:rsid w:val="006E6934"/>
    <w:rsid w:val="006E6B05"/>
    <w:rsid w:val="006E6E73"/>
    <w:rsid w:val="006E7234"/>
    <w:rsid w:val="006E786B"/>
    <w:rsid w:val="006E7A48"/>
    <w:rsid w:val="006E7A62"/>
    <w:rsid w:val="006E7C3A"/>
    <w:rsid w:val="006E7C7E"/>
    <w:rsid w:val="006E7DEB"/>
    <w:rsid w:val="006F01B6"/>
    <w:rsid w:val="006F041A"/>
    <w:rsid w:val="006F0897"/>
    <w:rsid w:val="006F08A2"/>
    <w:rsid w:val="006F0A65"/>
    <w:rsid w:val="006F0A66"/>
    <w:rsid w:val="006F14DD"/>
    <w:rsid w:val="006F1551"/>
    <w:rsid w:val="006F19D1"/>
    <w:rsid w:val="006F1AD3"/>
    <w:rsid w:val="006F1C04"/>
    <w:rsid w:val="006F1D1D"/>
    <w:rsid w:val="006F1D66"/>
    <w:rsid w:val="006F1DEE"/>
    <w:rsid w:val="006F1F01"/>
    <w:rsid w:val="006F229E"/>
    <w:rsid w:val="006F2660"/>
    <w:rsid w:val="006F2EDB"/>
    <w:rsid w:val="006F30F0"/>
    <w:rsid w:val="006F312F"/>
    <w:rsid w:val="006F3239"/>
    <w:rsid w:val="006F35BC"/>
    <w:rsid w:val="006F3648"/>
    <w:rsid w:val="006F393F"/>
    <w:rsid w:val="006F3CC1"/>
    <w:rsid w:val="006F3E81"/>
    <w:rsid w:val="006F43C0"/>
    <w:rsid w:val="006F49B9"/>
    <w:rsid w:val="006F4A1E"/>
    <w:rsid w:val="006F4C98"/>
    <w:rsid w:val="006F4D76"/>
    <w:rsid w:val="006F4D8E"/>
    <w:rsid w:val="006F517A"/>
    <w:rsid w:val="006F51DA"/>
    <w:rsid w:val="006F535E"/>
    <w:rsid w:val="006F55A8"/>
    <w:rsid w:val="006F566D"/>
    <w:rsid w:val="006F5878"/>
    <w:rsid w:val="006F5B88"/>
    <w:rsid w:val="006F5D04"/>
    <w:rsid w:val="006F5E89"/>
    <w:rsid w:val="006F6401"/>
    <w:rsid w:val="006F65EB"/>
    <w:rsid w:val="006F65FE"/>
    <w:rsid w:val="006F6850"/>
    <w:rsid w:val="006F69F4"/>
    <w:rsid w:val="006F6A63"/>
    <w:rsid w:val="006F6EEC"/>
    <w:rsid w:val="006F6F8E"/>
    <w:rsid w:val="006F6FE0"/>
    <w:rsid w:val="006F7219"/>
    <w:rsid w:val="006F74E2"/>
    <w:rsid w:val="006F7804"/>
    <w:rsid w:val="006F7B4D"/>
    <w:rsid w:val="006F7B78"/>
    <w:rsid w:val="006F7EE6"/>
    <w:rsid w:val="007000C3"/>
    <w:rsid w:val="007002B1"/>
    <w:rsid w:val="0070044D"/>
    <w:rsid w:val="00700A86"/>
    <w:rsid w:val="00700D13"/>
    <w:rsid w:val="00700E3D"/>
    <w:rsid w:val="0070129D"/>
    <w:rsid w:val="0070162A"/>
    <w:rsid w:val="00701695"/>
    <w:rsid w:val="00701A1A"/>
    <w:rsid w:val="00701A44"/>
    <w:rsid w:val="00701D2A"/>
    <w:rsid w:val="00701FDF"/>
    <w:rsid w:val="00702605"/>
    <w:rsid w:val="00702852"/>
    <w:rsid w:val="007029A6"/>
    <w:rsid w:val="00703126"/>
    <w:rsid w:val="00703128"/>
    <w:rsid w:val="0070338C"/>
    <w:rsid w:val="00703470"/>
    <w:rsid w:val="00703B6B"/>
    <w:rsid w:val="00703CE5"/>
    <w:rsid w:val="0070420E"/>
    <w:rsid w:val="007045DD"/>
    <w:rsid w:val="00704609"/>
    <w:rsid w:val="00704CAE"/>
    <w:rsid w:val="00704DD7"/>
    <w:rsid w:val="00704EB7"/>
    <w:rsid w:val="00704EC6"/>
    <w:rsid w:val="00705381"/>
    <w:rsid w:val="00705671"/>
    <w:rsid w:val="00705742"/>
    <w:rsid w:val="0070586E"/>
    <w:rsid w:val="0070670E"/>
    <w:rsid w:val="0070692A"/>
    <w:rsid w:val="00706BC8"/>
    <w:rsid w:val="00706D58"/>
    <w:rsid w:val="00706DD8"/>
    <w:rsid w:val="00706F5E"/>
    <w:rsid w:val="00707153"/>
    <w:rsid w:val="007071FD"/>
    <w:rsid w:val="007073C5"/>
    <w:rsid w:val="007074D5"/>
    <w:rsid w:val="00707A07"/>
    <w:rsid w:val="00707A10"/>
    <w:rsid w:val="00707A95"/>
    <w:rsid w:val="00707E72"/>
    <w:rsid w:val="00710185"/>
    <w:rsid w:val="0071040A"/>
    <w:rsid w:val="007104CC"/>
    <w:rsid w:val="007104FE"/>
    <w:rsid w:val="007106B7"/>
    <w:rsid w:val="007107C3"/>
    <w:rsid w:val="00710A98"/>
    <w:rsid w:val="00710B34"/>
    <w:rsid w:val="00710C43"/>
    <w:rsid w:val="00710C91"/>
    <w:rsid w:val="00710ED7"/>
    <w:rsid w:val="00710EF0"/>
    <w:rsid w:val="00711158"/>
    <w:rsid w:val="00711340"/>
    <w:rsid w:val="007114F8"/>
    <w:rsid w:val="00711517"/>
    <w:rsid w:val="0071156D"/>
    <w:rsid w:val="00711592"/>
    <w:rsid w:val="007115AA"/>
    <w:rsid w:val="0071191A"/>
    <w:rsid w:val="00711AC0"/>
    <w:rsid w:val="00711B0C"/>
    <w:rsid w:val="00711BEC"/>
    <w:rsid w:val="00711D6A"/>
    <w:rsid w:val="007121A2"/>
    <w:rsid w:val="0071238B"/>
    <w:rsid w:val="0071293D"/>
    <w:rsid w:val="00712967"/>
    <w:rsid w:val="00712BA3"/>
    <w:rsid w:val="00712C7B"/>
    <w:rsid w:val="00712F12"/>
    <w:rsid w:val="00713143"/>
    <w:rsid w:val="007136ED"/>
    <w:rsid w:val="0071387C"/>
    <w:rsid w:val="00713981"/>
    <w:rsid w:val="007139F7"/>
    <w:rsid w:val="00713B5C"/>
    <w:rsid w:val="00713FA6"/>
    <w:rsid w:val="007141E6"/>
    <w:rsid w:val="00714685"/>
    <w:rsid w:val="007146BA"/>
    <w:rsid w:val="00714C7B"/>
    <w:rsid w:val="00714E3C"/>
    <w:rsid w:val="00714F7C"/>
    <w:rsid w:val="00715537"/>
    <w:rsid w:val="00715778"/>
    <w:rsid w:val="00715B56"/>
    <w:rsid w:val="00716533"/>
    <w:rsid w:val="00716647"/>
    <w:rsid w:val="0071669C"/>
    <w:rsid w:val="007167B0"/>
    <w:rsid w:val="00716851"/>
    <w:rsid w:val="007168AD"/>
    <w:rsid w:val="00716A5E"/>
    <w:rsid w:val="00716E90"/>
    <w:rsid w:val="007175F7"/>
    <w:rsid w:val="007176D6"/>
    <w:rsid w:val="00717703"/>
    <w:rsid w:val="00717777"/>
    <w:rsid w:val="00717823"/>
    <w:rsid w:val="00717BF1"/>
    <w:rsid w:val="00717D29"/>
    <w:rsid w:val="00717E6C"/>
    <w:rsid w:val="0071A68D"/>
    <w:rsid w:val="007200AB"/>
    <w:rsid w:val="007200BB"/>
    <w:rsid w:val="007201D1"/>
    <w:rsid w:val="007206A0"/>
    <w:rsid w:val="00720B25"/>
    <w:rsid w:val="00720D34"/>
    <w:rsid w:val="00721185"/>
    <w:rsid w:val="0072146E"/>
    <w:rsid w:val="007218BD"/>
    <w:rsid w:val="00721C5F"/>
    <w:rsid w:val="00721C69"/>
    <w:rsid w:val="00721E29"/>
    <w:rsid w:val="0072250A"/>
    <w:rsid w:val="007225E9"/>
    <w:rsid w:val="007226FE"/>
    <w:rsid w:val="007227DD"/>
    <w:rsid w:val="0072290E"/>
    <w:rsid w:val="0072297E"/>
    <w:rsid w:val="00722B55"/>
    <w:rsid w:val="00722C1B"/>
    <w:rsid w:val="00722C89"/>
    <w:rsid w:val="00722CAF"/>
    <w:rsid w:val="00723095"/>
    <w:rsid w:val="0072351E"/>
    <w:rsid w:val="00723B84"/>
    <w:rsid w:val="0072413B"/>
    <w:rsid w:val="00724168"/>
    <w:rsid w:val="007242D2"/>
    <w:rsid w:val="00724420"/>
    <w:rsid w:val="00724455"/>
    <w:rsid w:val="00724567"/>
    <w:rsid w:val="00724686"/>
    <w:rsid w:val="00724874"/>
    <w:rsid w:val="007248D4"/>
    <w:rsid w:val="0072493F"/>
    <w:rsid w:val="00724A0D"/>
    <w:rsid w:val="00724AB4"/>
    <w:rsid w:val="00724B3B"/>
    <w:rsid w:val="00724CAF"/>
    <w:rsid w:val="00724CD5"/>
    <w:rsid w:val="00724EFE"/>
    <w:rsid w:val="00724F20"/>
    <w:rsid w:val="007252A4"/>
    <w:rsid w:val="00725DFC"/>
    <w:rsid w:val="00725E30"/>
    <w:rsid w:val="00725E99"/>
    <w:rsid w:val="00726035"/>
    <w:rsid w:val="00726077"/>
    <w:rsid w:val="0072609B"/>
    <w:rsid w:val="007261BE"/>
    <w:rsid w:val="007262BD"/>
    <w:rsid w:val="00726529"/>
    <w:rsid w:val="00727D54"/>
    <w:rsid w:val="00727E99"/>
    <w:rsid w:val="007303B7"/>
    <w:rsid w:val="0073094C"/>
    <w:rsid w:val="007310F0"/>
    <w:rsid w:val="00731111"/>
    <w:rsid w:val="007311A6"/>
    <w:rsid w:val="0073134C"/>
    <w:rsid w:val="00731989"/>
    <w:rsid w:val="00731B6B"/>
    <w:rsid w:val="0073257C"/>
    <w:rsid w:val="00732D5B"/>
    <w:rsid w:val="00732EC9"/>
    <w:rsid w:val="0073307A"/>
    <w:rsid w:val="00733233"/>
    <w:rsid w:val="00733902"/>
    <w:rsid w:val="007339CB"/>
    <w:rsid w:val="00733A23"/>
    <w:rsid w:val="00733A48"/>
    <w:rsid w:val="00733D63"/>
    <w:rsid w:val="00734223"/>
    <w:rsid w:val="0073425D"/>
    <w:rsid w:val="007344C5"/>
    <w:rsid w:val="007346BD"/>
    <w:rsid w:val="007347D4"/>
    <w:rsid w:val="00734959"/>
    <w:rsid w:val="00734E00"/>
    <w:rsid w:val="00735137"/>
    <w:rsid w:val="0073520D"/>
    <w:rsid w:val="00735608"/>
    <w:rsid w:val="00735992"/>
    <w:rsid w:val="00735F69"/>
    <w:rsid w:val="00735FC5"/>
    <w:rsid w:val="00736250"/>
    <w:rsid w:val="00736280"/>
    <w:rsid w:val="007362FB"/>
    <w:rsid w:val="007363DC"/>
    <w:rsid w:val="00736472"/>
    <w:rsid w:val="00736650"/>
    <w:rsid w:val="00736828"/>
    <w:rsid w:val="007368AC"/>
    <w:rsid w:val="00737303"/>
    <w:rsid w:val="00737334"/>
    <w:rsid w:val="0073778D"/>
    <w:rsid w:val="00737FE9"/>
    <w:rsid w:val="0074032A"/>
    <w:rsid w:val="007406FA"/>
    <w:rsid w:val="007407C3"/>
    <w:rsid w:val="007409A4"/>
    <w:rsid w:val="00740EC3"/>
    <w:rsid w:val="00740EE9"/>
    <w:rsid w:val="00740EF8"/>
    <w:rsid w:val="00740F41"/>
    <w:rsid w:val="00741240"/>
    <w:rsid w:val="0074129B"/>
    <w:rsid w:val="007413C1"/>
    <w:rsid w:val="007416B6"/>
    <w:rsid w:val="00741725"/>
    <w:rsid w:val="0074172D"/>
    <w:rsid w:val="007418F0"/>
    <w:rsid w:val="00741AB2"/>
    <w:rsid w:val="00741D6D"/>
    <w:rsid w:val="00741D98"/>
    <w:rsid w:val="00742156"/>
    <w:rsid w:val="00742763"/>
    <w:rsid w:val="00742A25"/>
    <w:rsid w:val="00742BD2"/>
    <w:rsid w:val="00742E6E"/>
    <w:rsid w:val="0074318D"/>
    <w:rsid w:val="00743D6D"/>
    <w:rsid w:val="00743E2D"/>
    <w:rsid w:val="00744453"/>
    <w:rsid w:val="007449F9"/>
    <w:rsid w:val="00744E02"/>
    <w:rsid w:val="00744EBD"/>
    <w:rsid w:val="00744FFD"/>
    <w:rsid w:val="0074517C"/>
    <w:rsid w:val="00745214"/>
    <w:rsid w:val="007456A1"/>
    <w:rsid w:val="00745837"/>
    <w:rsid w:val="007458DB"/>
    <w:rsid w:val="00745BCF"/>
    <w:rsid w:val="00745C3A"/>
    <w:rsid w:val="00745CA5"/>
    <w:rsid w:val="00745E16"/>
    <w:rsid w:val="007462D8"/>
    <w:rsid w:val="00746320"/>
    <w:rsid w:val="007465A6"/>
    <w:rsid w:val="00746741"/>
    <w:rsid w:val="00746863"/>
    <w:rsid w:val="00746B14"/>
    <w:rsid w:val="00746D6B"/>
    <w:rsid w:val="00746F7F"/>
    <w:rsid w:val="0074722F"/>
    <w:rsid w:val="0074753D"/>
    <w:rsid w:val="007477FF"/>
    <w:rsid w:val="00747997"/>
    <w:rsid w:val="00747A8B"/>
    <w:rsid w:val="007506C4"/>
    <w:rsid w:val="007509EF"/>
    <w:rsid w:val="00750EB4"/>
    <w:rsid w:val="0075102A"/>
    <w:rsid w:val="00751299"/>
    <w:rsid w:val="0075166E"/>
    <w:rsid w:val="00751A64"/>
    <w:rsid w:val="0075271E"/>
    <w:rsid w:val="00752A10"/>
    <w:rsid w:val="00752B0D"/>
    <w:rsid w:val="00752C5F"/>
    <w:rsid w:val="00753250"/>
    <w:rsid w:val="007532F8"/>
    <w:rsid w:val="00753356"/>
    <w:rsid w:val="007534BB"/>
    <w:rsid w:val="00753748"/>
    <w:rsid w:val="00753ADD"/>
    <w:rsid w:val="00753CE6"/>
    <w:rsid w:val="00753D6A"/>
    <w:rsid w:val="007544B8"/>
    <w:rsid w:val="00754CA8"/>
    <w:rsid w:val="00754FF2"/>
    <w:rsid w:val="00755927"/>
    <w:rsid w:val="00755E3B"/>
    <w:rsid w:val="00755E9D"/>
    <w:rsid w:val="00756071"/>
    <w:rsid w:val="0075634A"/>
    <w:rsid w:val="00756596"/>
    <w:rsid w:val="007567B8"/>
    <w:rsid w:val="00756995"/>
    <w:rsid w:val="00756A36"/>
    <w:rsid w:val="00756AB2"/>
    <w:rsid w:val="00756F95"/>
    <w:rsid w:val="007577EC"/>
    <w:rsid w:val="00757A94"/>
    <w:rsid w:val="007600F8"/>
    <w:rsid w:val="007605E2"/>
    <w:rsid w:val="0076093D"/>
    <w:rsid w:val="00760B04"/>
    <w:rsid w:val="00761237"/>
    <w:rsid w:val="007614D8"/>
    <w:rsid w:val="0076192D"/>
    <w:rsid w:val="0076213C"/>
    <w:rsid w:val="00762429"/>
    <w:rsid w:val="00762466"/>
    <w:rsid w:val="007626A6"/>
    <w:rsid w:val="007626B2"/>
    <w:rsid w:val="00762AAA"/>
    <w:rsid w:val="00762C85"/>
    <w:rsid w:val="00762E88"/>
    <w:rsid w:val="00762FA5"/>
    <w:rsid w:val="00763096"/>
    <w:rsid w:val="007633CB"/>
    <w:rsid w:val="0076351A"/>
    <w:rsid w:val="007635C0"/>
    <w:rsid w:val="0076369D"/>
    <w:rsid w:val="007637C3"/>
    <w:rsid w:val="007639C1"/>
    <w:rsid w:val="00763A89"/>
    <w:rsid w:val="00764708"/>
    <w:rsid w:val="0076481C"/>
    <w:rsid w:val="0076493E"/>
    <w:rsid w:val="00764E3F"/>
    <w:rsid w:val="00765011"/>
    <w:rsid w:val="0076516A"/>
    <w:rsid w:val="00765362"/>
    <w:rsid w:val="007657F8"/>
    <w:rsid w:val="00765CD2"/>
    <w:rsid w:val="00765E67"/>
    <w:rsid w:val="00765FF1"/>
    <w:rsid w:val="0076616B"/>
    <w:rsid w:val="0076627B"/>
    <w:rsid w:val="00766325"/>
    <w:rsid w:val="0076633B"/>
    <w:rsid w:val="00766429"/>
    <w:rsid w:val="00766454"/>
    <w:rsid w:val="00766907"/>
    <w:rsid w:val="00767104"/>
    <w:rsid w:val="007675FD"/>
    <w:rsid w:val="00767670"/>
    <w:rsid w:val="007678FB"/>
    <w:rsid w:val="00767915"/>
    <w:rsid w:val="00767C41"/>
    <w:rsid w:val="00767CE7"/>
    <w:rsid w:val="00767D9A"/>
    <w:rsid w:val="00767FA1"/>
    <w:rsid w:val="00770145"/>
    <w:rsid w:val="00770150"/>
    <w:rsid w:val="007701C6"/>
    <w:rsid w:val="0077050D"/>
    <w:rsid w:val="007708A3"/>
    <w:rsid w:val="00770BE2"/>
    <w:rsid w:val="007710C5"/>
    <w:rsid w:val="007711EC"/>
    <w:rsid w:val="007713E5"/>
    <w:rsid w:val="007713FC"/>
    <w:rsid w:val="007715D7"/>
    <w:rsid w:val="00771628"/>
    <w:rsid w:val="0077172B"/>
    <w:rsid w:val="00771782"/>
    <w:rsid w:val="00771BA3"/>
    <w:rsid w:val="00771BF1"/>
    <w:rsid w:val="00771DF0"/>
    <w:rsid w:val="00772782"/>
    <w:rsid w:val="00772B68"/>
    <w:rsid w:val="00772C6F"/>
    <w:rsid w:val="00773107"/>
    <w:rsid w:val="00773178"/>
    <w:rsid w:val="007733D8"/>
    <w:rsid w:val="0077347F"/>
    <w:rsid w:val="00773546"/>
    <w:rsid w:val="00773AC2"/>
    <w:rsid w:val="00773BCE"/>
    <w:rsid w:val="00773C01"/>
    <w:rsid w:val="00773C64"/>
    <w:rsid w:val="007746B1"/>
    <w:rsid w:val="007748DC"/>
    <w:rsid w:val="007748EB"/>
    <w:rsid w:val="0077498B"/>
    <w:rsid w:val="00774B37"/>
    <w:rsid w:val="007751C6"/>
    <w:rsid w:val="0077557E"/>
    <w:rsid w:val="00775A56"/>
    <w:rsid w:val="00776311"/>
    <w:rsid w:val="0077661E"/>
    <w:rsid w:val="007767A1"/>
    <w:rsid w:val="007767E2"/>
    <w:rsid w:val="007768CF"/>
    <w:rsid w:val="00776987"/>
    <w:rsid w:val="00776A9A"/>
    <w:rsid w:val="00776B0C"/>
    <w:rsid w:val="00776C3D"/>
    <w:rsid w:val="00776D5F"/>
    <w:rsid w:val="00776EBD"/>
    <w:rsid w:val="00776F6D"/>
    <w:rsid w:val="00777218"/>
    <w:rsid w:val="0077772C"/>
    <w:rsid w:val="007779AF"/>
    <w:rsid w:val="00777CB5"/>
    <w:rsid w:val="00777EB1"/>
    <w:rsid w:val="00777F08"/>
    <w:rsid w:val="007800B5"/>
    <w:rsid w:val="007801F0"/>
    <w:rsid w:val="00780226"/>
    <w:rsid w:val="00780787"/>
    <w:rsid w:val="007807C4"/>
    <w:rsid w:val="0078119D"/>
    <w:rsid w:val="00781699"/>
    <w:rsid w:val="00781938"/>
    <w:rsid w:val="00781AB4"/>
    <w:rsid w:val="00781B94"/>
    <w:rsid w:val="00781C99"/>
    <w:rsid w:val="00781DA4"/>
    <w:rsid w:val="0078217D"/>
    <w:rsid w:val="00782207"/>
    <w:rsid w:val="0078240D"/>
    <w:rsid w:val="007827FC"/>
    <w:rsid w:val="00782801"/>
    <w:rsid w:val="007828F1"/>
    <w:rsid w:val="00782A22"/>
    <w:rsid w:val="00782FF4"/>
    <w:rsid w:val="00782FFD"/>
    <w:rsid w:val="00783067"/>
    <w:rsid w:val="007833B9"/>
    <w:rsid w:val="007833E4"/>
    <w:rsid w:val="0078353A"/>
    <w:rsid w:val="00783544"/>
    <w:rsid w:val="007835B4"/>
    <w:rsid w:val="007837A6"/>
    <w:rsid w:val="00783AA3"/>
    <w:rsid w:val="007840FA"/>
    <w:rsid w:val="0078499D"/>
    <w:rsid w:val="00784AF7"/>
    <w:rsid w:val="00784E6F"/>
    <w:rsid w:val="00784EDD"/>
    <w:rsid w:val="007850D4"/>
    <w:rsid w:val="00785867"/>
    <w:rsid w:val="00785A27"/>
    <w:rsid w:val="00785BE6"/>
    <w:rsid w:val="00785FFD"/>
    <w:rsid w:val="00786209"/>
    <w:rsid w:val="00786499"/>
    <w:rsid w:val="00786716"/>
    <w:rsid w:val="0078697A"/>
    <w:rsid w:val="00786997"/>
    <w:rsid w:val="007869EE"/>
    <w:rsid w:val="00786D2A"/>
    <w:rsid w:val="00786FB1"/>
    <w:rsid w:val="00787238"/>
    <w:rsid w:val="0078761C"/>
    <w:rsid w:val="00787965"/>
    <w:rsid w:val="00787A15"/>
    <w:rsid w:val="00787BED"/>
    <w:rsid w:val="007900D6"/>
    <w:rsid w:val="0079028D"/>
    <w:rsid w:val="007902F1"/>
    <w:rsid w:val="00790848"/>
    <w:rsid w:val="0079088F"/>
    <w:rsid w:val="00790BE0"/>
    <w:rsid w:val="00790CCE"/>
    <w:rsid w:val="00790E51"/>
    <w:rsid w:val="0079109F"/>
    <w:rsid w:val="007910BE"/>
    <w:rsid w:val="0079143F"/>
    <w:rsid w:val="007918E3"/>
    <w:rsid w:val="00791A77"/>
    <w:rsid w:val="00791C47"/>
    <w:rsid w:val="0079231E"/>
    <w:rsid w:val="007923B7"/>
    <w:rsid w:val="00792533"/>
    <w:rsid w:val="00792616"/>
    <w:rsid w:val="007926BB"/>
    <w:rsid w:val="0079282C"/>
    <w:rsid w:val="00792C63"/>
    <w:rsid w:val="00792C7A"/>
    <w:rsid w:val="00792DAE"/>
    <w:rsid w:val="00792E1E"/>
    <w:rsid w:val="00792EE4"/>
    <w:rsid w:val="00793367"/>
    <w:rsid w:val="0079344C"/>
    <w:rsid w:val="00793491"/>
    <w:rsid w:val="007937E5"/>
    <w:rsid w:val="00793A5F"/>
    <w:rsid w:val="00793FA1"/>
    <w:rsid w:val="00794017"/>
    <w:rsid w:val="007942EC"/>
    <w:rsid w:val="00794488"/>
    <w:rsid w:val="007944D3"/>
    <w:rsid w:val="007944FE"/>
    <w:rsid w:val="00794620"/>
    <w:rsid w:val="00794E54"/>
    <w:rsid w:val="00794F58"/>
    <w:rsid w:val="00795061"/>
    <w:rsid w:val="00795152"/>
    <w:rsid w:val="00795856"/>
    <w:rsid w:val="00795953"/>
    <w:rsid w:val="00795E31"/>
    <w:rsid w:val="00795E85"/>
    <w:rsid w:val="00795E8C"/>
    <w:rsid w:val="00795F51"/>
    <w:rsid w:val="007961A9"/>
    <w:rsid w:val="00796331"/>
    <w:rsid w:val="00796602"/>
    <w:rsid w:val="00796727"/>
    <w:rsid w:val="0079677B"/>
    <w:rsid w:val="007968AE"/>
    <w:rsid w:val="00796994"/>
    <w:rsid w:val="00796F95"/>
    <w:rsid w:val="00796FC7"/>
    <w:rsid w:val="007978DC"/>
    <w:rsid w:val="0079795A"/>
    <w:rsid w:val="00797B95"/>
    <w:rsid w:val="00797F07"/>
    <w:rsid w:val="007A00BE"/>
    <w:rsid w:val="007A019F"/>
    <w:rsid w:val="007A0283"/>
    <w:rsid w:val="007A037D"/>
    <w:rsid w:val="007A043B"/>
    <w:rsid w:val="007A05E0"/>
    <w:rsid w:val="007A0720"/>
    <w:rsid w:val="007A07A6"/>
    <w:rsid w:val="007A07B3"/>
    <w:rsid w:val="007A0AC5"/>
    <w:rsid w:val="007A0C61"/>
    <w:rsid w:val="007A0C89"/>
    <w:rsid w:val="007A0F6F"/>
    <w:rsid w:val="007A115A"/>
    <w:rsid w:val="007A147A"/>
    <w:rsid w:val="007A1952"/>
    <w:rsid w:val="007A1959"/>
    <w:rsid w:val="007A21B3"/>
    <w:rsid w:val="007A2C05"/>
    <w:rsid w:val="007A2D4A"/>
    <w:rsid w:val="007A374D"/>
    <w:rsid w:val="007A3AEC"/>
    <w:rsid w:val="007A3C0C"/>
    <w:rsid w:val="007A3DD9"/>
    <w:rsid w:val="007A3EDF"/>
    <w:rsid w:val="007A3F59"/>
    <w:rsid w:val="007A42D1"/>
    <w:rsid w:val="007A4590"/>
    <w:rsid w:val="007A4893"/>
    <w:rsid w:val="007A4BBD"/>
    <w:rsid w:val="007A503F"/>
    <w:rsid w:val="007A5199"/>
    <w:rsid w:val="007A52A2"/>
    <w:rsid w:val="007A5400"/>
    <w:rsid w:val="007A5643"/>
    <w:rsid w:val="007A5B82"/>
    <w:rsid w:val="007A5C85"/>
    <w:rsid w:val="007A5DFD"/>
    <w:rsid w:val="007A5E5A"/>
    <w:rsid w:val="007A6061"/>
    <w:rsid w:val="007A610E"/>
    <w:rsid w:val="007A627A"/>
    <w:rsid w:val="007A6586"/>
    <w:rsid w:val="007A6678"/>
    <w:rsid w:val="007A698A"/>
    <w:rsid w:val="007A6D11"/>
    <w:rsid w:val="007A73E4"/>
    <w:rsid w:val="007A7767"/>
    <w:rsid w:val="007A78BB"/>
    <w:rsid w:val="007A7C50"/>
    <w:rsid w:val="007B0010"/>
    <w:rsid w:val="007B04DF"/>
    <w:rsid w:val="007B04ED"/>
    <w:rsid w:val="007B0B59"/>
    <w:rsid w:val="007B0DBB"/>
    <w:rsid w:val="007B1037"/>
    <w:rsid w:val="007B13A9"/>
    <w:rsid w:val="007B1475"/>
    <w:rsid w:val="007B14BE"/>
    <w:rsid w:val="007B17D2"/>
    <w:rsid w:val="007B1930"/>
    <w:rsid w:val="007B1AF2"/>
    <w:rsid w:val="007B20FF"/>
    <w:rsid w:val="007B2175"/>
    <w:rsid w:val="007B24E6"/>
    <w:rsid w:val="007B24EC"/>
    <w:rsid w:val="007B26C5"/>
    <w:rsid w:val="007B26F9"/>
    <w:rsid w:val="007B2747"/>
    <w:rsid w:val="007B28A7"/>
    <w:rsid w:val="007B2C12"/>
    <w:rsid w:val="007B2DBE"/>
    <w:rsid w:val="007B346B"/>
    <w:rsid w:val="007B3471"/>
    <w:rsid w:val="007B36C7"/>
    <w:rsid w:val="007B394E"/>
    <w:rsid w:val="007B39D5"/>
    <w:rsid w:val="007B39F9"/>
    <w:rsid w:val="007B3A3C"/>
    <w:rsid w:val="007B3C6A"/>
    <w:rsid w:val="007B4150"/>
    <w:rsid w:val="007B481A"/>
    <w:rsid w:val="007B484F"/>
    <w:rsid w:val="007B49E2"/>
    <w:rsid w:val="007B4A9F"/>
    <w:rsid w:val="007B4C48"/>
    <w:rsid w:val="007B4DEF"/>
    <w:rsid w:val="007B5053"/>
    <w:rsid w:val="007B56F1"/>
    <w:rsid w:val="007B5C50"/>
    <w:rsid w:val="007B61C0"/>
    <w:rsid w:val="007B6239"/>
    <w:rsid w:val="007B62BC"/>
    <w:rsid w:val="007B6426"/>
    <w:rsid w:val="007B652F"/>
    <w:rsid w:val="007B6578"/>
    <w:rsid w:val="007B67D4"/>
    <w:rsid w:val="007B6EEC"/>
    <w:rsid w:val="007B728B"/>
    <w:rsid w:val="007B73DB"/>
    <w:rsid w:val="007B7513"/>
    <w:rsid w:val="007B78ED"/>
    <w:rsid w:val="007B7A3C"/>
    <w:rsid w:val="007B7D37"/>
    <w:rsid w:val="007BEC95"/>
    <w:rsid w:val="007C0116"/>
    <w:rsid w:val="007C023C"/>
    <w:rsid w:val="007C02C7"/>
    <w:rsid w:val="007C0391"/>
    <w:rsid w:val="007C03DA"/>
    <w:rsid w:val="007C0A24"/>
    <w:rsid w:val="007C0B18"/>
    <w:rsid w:val="007C0B64"/>
    <w:rsid w:val="007C103E"/>
    <w:rsid w:val="007C12B5"/>
    <w:rsid w:val="007C14CF"/>
    <w:rsid w:val="007C1518"/>
    <w:rsid w:val="007C19DE"/>
    <w:rsid w:val="007C1A30"/>
    <w:rsid w:val="007C1B05"/>
    <w:rsid w:val="007C1FA4"/>
    <w:rsid w:val="007C207F"/>
    <w:rsid w:val="007C21EE"/>
    <w:rsid w:val="007C2272"/>
    <w:rsid w:val="007C24D5"/>
    <w:rsid w:val="007C25F6"/>
    <w:rsid w:val="007C2D50"/>
    <w:rsid w:val="007C2E04"/>
    <w:rsid w:val="007C30A2"/>
    <w:rsid w:val="007C327D"/>
    <w:rsid w:val="007C3415"/>
    <w:rsid w:val="007C3430"/>
    <w:rsid w:val="007C3CEC"/>
    <w:rsid w:val="007C3EF0"/>
    <w:rsid w:val="007C3FA0"/>
    <w:rsid w:val="007C4215"/>
    <w:rsid w:val="007C4682"/>
    <w:rsid w:val="007C4716"/>
    <w:rsid w:val="007C4BBC"/>
    <w:rsid w:val="007C4E40"/>
    <w:rsid w:val="007C5022"/>
    <w:rsid w:val="007C512F"/>
    <w:rsid w:val="007C513E"/>
    <w:rsid w:val="007C54E3"/>
    <w:rsid w:val="007C55DF"/>
    <w:rsid w:val="007C57FE"/>
    <w:rsid w:val="007C5A14"/>
    <w:rsid w:val="007C5BAC"/>
    <w:rsid w:val="007C5BC0"/>
    <w:rsid w:val="007C5C08"/>
    <w:rsid w:val="007C63BF"/>
    <w:rsid w:val="007C692A"/>
    <w:rsid w:val="007C6943"/>
    <w:rsid w:val="007C6BD3"/>
    <w:rsid w:val="007C6BE3"/>
    <w:rsid w:val="007C6DB8"/>
    <w:rsid w:val="007C6E64"/>
    <w:rsid w:val="007C70A5"/>
    <w:rsid w:val="007C793A"/>
    <w:rsid w:val="007C7A55"/>
    <w:rsid w:val="007C7CF0"/>
    <w:rsid w:val="007C7F72"/>
    <w:rsid w:val="007D066B"/>
    <w:rsid w:val="007D0ADD"/>
    <w:rsid w:val="007D10D5"/>
    <w:rsid w:val="007D1361"/>
    <w:rsid w:val="007D14FD"/>
    <w:rsid w:val="007D164F"/>
    <w:rsid w:val="007D16B6"/>
    <w:rsid w:val="007D1C35"/>
    <w:rsid w:val="007D2075"/>
    <w:rsid w:val="007D251D"/>
    <w:rsid w:val="007D260B"/>
    <w:rsid w:val="007D2779"/>
    <w:rsid w:val="007D3044"/>
    <w:rsid w:val="007D30E2"/>
    <w:rsid w:val="007D30FA"/>
    <w:rsid w:val="007D3103"/>
    <w:rsid w:val="007D3128"/>
    <w:rsid w:val="007D318C"/>
    <w:rsid w:val="007D3234"/>
    <w:rsid w:val="007D37BD"/>
    <w:rsid w:val="007D39C5"/>
    <w:rsid w:val="007D3A2E"/>
    <w:rsid w:val="007D3A69"/>
    <w:rsid w:val="007D3D24"/>
    <w:rsid w:val="007D3F01"/>
    <w:rsid w:val="007D3F60"/>
    <w:rsid w:val="007D4151"/>
    <w:rsid w:val="007D4350"/>
    <w:rsid w:val="007D435C"/>
    <w:rsid w:val="007D47DC"/>
    <w:rsid w:val="007D495D"/>
    <w:rsid w:val="007D49EA"/>
    <w:rsid w:val="007D4A08"/>
    <w:rsid w:val="007D525C"/>
    <w:rsid w:val="007D56F7"/>
    <w:rsid w:val="007D59AD"/>
    <w:rsid w:val="007D5F11"/>
    <w:rsid w:val="007D6108"/>
    <w:rsid w:val="007D6146"/>
    <w:rsid w:val="007D6652"/>
    <w:rsid w:val="007D6BB7"/>
    <w:rsid w:val="007D72DB"/>
    <w:rsid w:val="007D735B"/>
    <w:rsid w:val="007D7D99"/>
    <w:rsid w:val="007D7E11"/>
    <w:rsid w:val="007E05F0"/>
    <w:rsid w:val="007E0742"/>
    <w:rsid w:val="007E0747"/>
    <w:rsid w:val="007E07A7"/>
    <w:rsid w:val="007E088B"/>
    <w:rsid w:val="007E155A"/>
    <w:rsid w:val="007E1DB4"/>
    <w:rsid w:val="007E1E32"/>
    <w:rsid w:val="007E2080"/>
    <w:rsid w:val="007E27EE"/>
    <w:rsid w:val="007E2A2A"/>
    <w:rsid w:val="007E2B58"/>
    <w:rsid w:val="007E2BF6"/>
    <w:rsid w:val="007E2C92"/>
    <w:rsid w:val="007E343D"/>
    <w:rsid w:val="007E344A"/>
    <w:rsid w:val="007E36F4"/>
    <w:rsid w:val="007E38EB"/>
    <w:rsid w:val="007E395F"/>
    <w:rsid w:val="007E4317"/>
    <w:rsid w:val="007E46FF"/>
    <w:rsid w:val="007E47F3"/>
    <w:rsid w:val="007E484B"/>
    <w:rsid w:val="007E4FB9"/>
    <w:rsid w:val="007E5256"/>
    <w:rsid w:val="007E53CA"/>
    <w:rsid w:val="007E53E0"/>
    <w:rsid w:val="007E58D7"/>
    <w:rsid w:val="007E62BF"/>
    <w:rsid w:val="007E640F"/>
    <w:rsid w:val="007E6D23"/>
    <w:rsid w:val="007E7338"/>
    <w:rsid w:val="007E74BF"/>
    <w:rsid w:val="007E74CD"/>
    <w:rsid w:val="007E7711"/>
    <w:rsid w:val="007E7742"/>
    <w:rsid w:val="007E7994"/>
    <w:rsid w:val="007E7BF1"/>
    <w:rsid w:val="007ED27E"/>
    <w:rsid w:val="007F0862"/>
    <w:rsid w:val="007F08F5"/>
    <w:rsid w:val="007F0AE0"/>
    <w:rsid w:val="007F0CAC"/>
    <w:rsid w:val="007F0E31"/>
    <w:rsid w:val="007F0FAB"/>
    <w:rsid w:val="007F108E"/>
    <w:rsid w:val="007F10A3"/>
    <w:rsid w:val="007F115E"/>
    <w:rsid w:val="007F13CE"/>
    <w:rsid w:val="007F16D6"/>
    <w:rsid w:val="007F185C"/>
    <w:rsid w:val="007F1A73"/>
    <w:rsid w:val="007F1C7C"/>
    <w:rsid w:val="007F1D77"/>
    <w:rsid w:val="007F202B"/>
    <w:rsid w:val="007F2255"/>
    <w:rsid w:val="007F2AD6"/>
    <w:rsid w:val="007F2B9B"/>
    <w:rsid w:val="007F2C48"/>
    <w:rsid w:val="007F2D3A"/>
    <w:rsid w:val="007F2EE5"/>
    <w:rsid w:val="007F2FA3"/>
    <w:rsid w:val="007F3060"/>
    <w:rsid w:val="007F3071"/>
    <w:rsid w:val="007F3175"/>
    <w:rsid w:val="007F327D"/>
    <w:rsid w:val="007F3318"/>
    <w:rsid w:val="007F3568"/>
    <w:rsid w:val="007F3935"/>
    <w:rsid w:val="007F3B24"/>
    <w:rsid w:val="007F3C8C"/>
    <w:rsid w:val="007F4383"/>
    <w:rsid w:val="007F4386"/>
    <w:rsid w:val="007F4526"/>
    <w:rsid w:val="007F4A82"/>
    <w:rsid w:val="007F4DE7"/>
    <w:rsid w:val="007F4FDE"/>
    <w:rsid w:val="007F4FE2"/>
    <w:rsid w:val="007F521A"/>
    <w:rsid w:val="007F5316"/>
    <w:rsid w:val="007F5496"/>
    <w:rsid w:val="007F57BC"/>
    <w:rsid w:val="007F5A72"/>
    <w:rsid w:val="007F5F34"/>
    <w:rsid w:val="007F5FED"/>
    <w:rsid w:val="007F6132"/>
    <w:rsid w:val="007F6783"/>
    <w:rsid w:val="007F6826"/>
    <w:rsid w:val="007F6C21"/>
    <w:rsid w:val="007F6D4C"/>
    <w:rsid w:val="007F7018"/>
    <w:rsid w:val="007F737C"/>
    <w:rsid w:val="007F7DB4"/>
    <w:rsid w:val="0080048F"/>
    <w:rsid w:val="00800939"/>
    <w:rsid w:val="00800985"/>
    <w:rsid w:val="00800AF3"/>
    <w:rsid w:val="00800B63"/>
    <w:rsid w:val="00800F9E"/>
    <w:rsid w:val="008013D4"/>
    <w:rsid w:val="0080145E"/>
    <w:rsid w:val="0080152B"/>
    <w:rsid w:val="00801601"/>
    <w:rsid w:val="008016F1"/>
    <w:rsid w:val="00801A0F"/>
    <w:rsid w:val="00801DED"/>
    <w:rsid w:val="00801F5B"/>
    <w:rsid w:val="008028E5"/>
    <w:rsid w:val="008028FF"/>
    <w:rsid w:val="00802DC6"/>
    <w:rsid w:val="00802FF0"/>
    <w:rsid w:val="00803354"/>
    <w:rsid w:val="00803755"/>
    <w:rsid w:val="00803770"/>
    <w:rsid w:val="00803996"/>
    <w:rsid w:val="00803E29"/>
    <w:rsid w:val="00803EE8"/>
    <w:rsid w:val="008041E9"/>
    <w:rsid w:val="008042C9"/>
    <w:rsid w:val="00804308"/>
    <w:rsid w:val="008044F1"/>
    <w:rsid w:val="00804643"/>
    <w:rsid w:val="008046DB"/>
    <w:rsid w:val="00804734"/>
    <w:rsid w:val="0080481F"/>
    <w:rsid w:val="00804A70"/>
    <w:rsid w:val="00804C29"/>
    <w:rsid w:val="00804D4C"/>
    <w:rsid w:val="008056A3"/>
    <w:rsid w:val="008057A3"/>
    <w:rsid w:val="00805AD4"/>
    <w:rsid w:val="00805BB6"/>
    <w:rsid w:val="00805BFF"/>
    <w:rsid w:val="0080624A"/>
    <w:rsid w:val="00806293"/>
    <w:rsid w:val="008063CA"/>
    <w:rsid w:val="00806491"/>
    <w:rsid w:val="0080694F"/>
    <w:rsid w:val="008070D5"/>
    <w:rsid w:val="008074C9"/>
    <w:rsid w:val="008074DE"/>
    <w:rsid w:val="008079A2"/>
    <w:rsid w:val="00807C9C"/>
    <w:rsid w:val="00810153"/>
    <w:rsid w:val="008104FC"/>
    <w:rsid w:val="0081064F"/>
    <w:rsid w:val="0081076B"/>
    <w:rsid w:val="0081077B"/>
    <w:rsid w:val="00810890"/>
    <w:rsid w:val="00810991"/>
    <w:rsid w:val="00810BC0"/>
    <w:rsid w:val="00810C14"/>
    <w:rsid w:val="00810C32"/>
    <w:rsid w:val="0081137B"/>
    <w:rsid w:val="0081193F"/>
    <w:rsid w:val="00811A30"/>
    <w:rsid w:val="00811D93"/>
    <w:rsid w:val="0081213E"/>
    <w:rsid w:val="00812279"/>
    <w:rsid w:val="0081262F"/>
    <w:rsid w:val="008126CF"/>
    <w:rsid w:val="008127F6"/>
    <w:rsid w:val="00812AA2"/>
    <w:rsid w:val="00812CD4"/>
    <w:rsid w:val="00812DB8"/>
    <w:rsid w:val="00812DDF"/>
    <w:rsid w:val="00812F4B"/>
    <w:rsid w:val="00813851"/>
    <w:rsid w:val="0081386F"/>
    <w:rsid w:val="00813AFB"/>
    <w:rsid w:val="00813BE8"/>
    <w:rsid w:val="00813DAF"/>
    <w:rsid w:val="008142CA"/>
    <w:rsid w:val="008146F8"/>
    <w:rsid w:val="00814758"/>
    <w:rsid w:val="00814A9B"/>
    <w:rsid w:val="00814D3F"/>
    <w:rsid w:val="00814F66"/>
    <w:rsid w:val="00814FBF"/>
    <w:rsid w:val="008150F8"/>
    <w:rsid w:val="008152A4"/>
    <w:rsid w:val="008152AB"/>
    <w:rsid w:val="008154BD"/>
    <w:rsid w:val="00815BE5"/>
    <w:rsid w:val="00815C60"/>
    <w:rsid w:val="00815F1B"/>
    <w:rsid w:val="00815F4B"/>
    <w:rsid w:val="008161BF"/>
    <w:rsid w:val="008163A4"/>
    <w:rsid w:val="0081691B"/>
    <w:rsid w:val="00816C27"/>
    <w:rsid w:val="00816FB5"/>
    <w:rsid w:val="00817690"/>
    <w:rsid w:val="00817BA2"/>
    <w:rsid w:val="00817C9E"/>
    <w:rsid w:val="00817E24"/>
    <w:rsid w:val="00817F3D"/>
    <w:rsid w:val="00817FB6"/>
    <w:rsid w:val="008201F8"/>
    <w:rsid w:val="008202F8"/>
    <w:rsid w:val="008205AF"/>
    <w:rsid w:val="008205BD"/>
    <w:rsid w:val="00820E30"/>
    <w:rsid w:val="00821587"/>
    <w:rsid w:val="0082171E"/>
    <w:rsid w:val="0082199C"/>
    <w:rsid w:val="00821CD3"/>
    <w:rsid w:val="00821E69"/>
    <w:rsid w:val="008220D7"/>
    <w:rsid w:val="008223E3"/>
    <w:rsid w:val="008225E5"/>
    <w:rsid w:val="00822892"/>
    <w:rsid w:val="008229F3"/>
    <w:rsid w:val="00822DFD"/>
    <w:rsid w:val="0082305A"/>
    <w:rsid w:val="0082310E"/>
    <w:rsid w:val="0082331A"/>
    <w:rsid w:val="00824053"/>
    <w:rsid w:val="0082413E"/>
    <w:rsid w:val="008246EF"/>
    <w:rsid w:val="00824750"/>
    <w:rsid w:val="00824A1C"/>
    <w:rsid w:val="00824A2A"/>
    <w:rsid w:val="00825509"/>
    <w:rsid w:val="008256B9"/>
    <w:rsid w:val="00825835"/>
    <w:rsid w:val="00825D60"/>
    <w:rsid w:val="00826304"/>
    <w:rsid w:val="00826609"/>
    <w:rsid w:val="00826A92"/>
    <w:rsid w:val="00826B94"/>
    <w:rsid w:val="00826C37"/>
    <w:rsid w:val="00826E34"/>
    <w:rsid w:val="00826EC5"/>
    <w:rsid w:val="00826FE2"/>
    <w:rsid w:val="008270BF"/>
    <w:rsid w:val="008270DB"/>
    <w:rsid w:val="00827FB3"/>
    <w:rsid w:val="008300CF"/>
    <w:rsid w:val="0083020B"/>
    <w:rsid w:val="008303E6"/>
    <w:rsid w:val="008309AD"/>
    <w:rsid w:val="00830F28"/>
    <w:rsid w:val="0083103A"/>
    <w:rsid w:val="00831043"/>
    <w:rsid w:val="00831053"/>
    <w:rsid w:val="008314D2"/>
    <w:rsid w:val="00831529"/>
    <w:rsid w:val="0083193C"/>
    <w:rsid w:val="00831AA6"/>
    <w:rsid w:val="00832223"/>
    <w:rsid w:val="008322A0"/>
    <w:rsid w:val="008322C0"/>
    <w:rsid w:val="0083254D"/>
    <w:rsid w:val="00832819"/>
    <w:rsid w:val="0083299C"/>
    <w:rsid w:val="00832A62"/>
    <w:rsid w:val="00832ED8"/>
    <w:rsid w:val="00833197"/>
    <w:rsid w:val="00833307"/>
    <w:rsid w:val="0083332D"/>
    <w:rsid w:val="0083386B"/>
    <w:rsid w:val="00833E22"/>
    <w:rsid w:val="00833E35"/>
    <w:rsid w:val="00833FFA"/>
    <w:rsid w:val="00834162"/>
    <w:rsid w:val="00834588"/>
    <w:rsid w:val="00835077"/>
    <w:rsid w:val="00835348"/>
    <w:rsid w:val="0083559B"/>
    <w:rsid w:val="008357C8"/>
    <w:rsid w:val="008359D7"/>
    <w:rsid w:val="00835A21"/>
    <w:rsid w:val="00835BD4"/>
    <w:rsid w:val="00835D9D"/>
    <w:rsid w:val="00836249"/>
    <w:rsid w:val="0083696D"/>
    <w:rsid w:val="00836B99"/>
    <w:rsid w:val="00836F00"/>
    <w:rsid w:val="008373CE"/>
    <w:rsid w:val="00837434"/>
    <w:rsid w:val="00837471"/>
    <w:rsid w:val="00837739"/>
    <w:rsid w:val="00840002"/>
    <w:rsid w:val="008402F9"/>
    <w:rsid w:val="0084054F"/>
    <w:rsid w:val="0084083E"/>
    <w:rsid w:val="00840BAA"/>
    <w:rsid w:val="00840C1F"/>
    <w:rsid w:val="00840ECD"/>
    <w:rsid w:val="0084139E"/>
    <w:rsid w:val="00841467"/>
    <w:rsid w:val="008417CB"/>
    <w:rsid w:val="00841908"/>
    <w:rsid w:val="008419DA"/>
    <w:rsid w:val="0084224A"/>
    <w:rsid w:val="0084274C"/>
    <w:rsid w:val="00842A0F"/>
    <w:rsid w:val="00842C50"/>
    <w:rsid w:val="00842D7F"/>
    <w:rsid w:val="008434D7"/>
    <w:rsid w:val="0084354A"/>
    <w:rsid w:val="00843977"/>
    <w:rsid w:val="008439D7"/>
    <w:rsid w:val="00843BBE"/>
    <w:rsid w:val="00843E13"/>
    <w:rsid w:val="00843FFA"/>
    <w:rsid w:val="0084404A"/>
    <w:rsid w:val="008440C8"/>
    <w:rsid w:val="008443DB"/>
    <w:rsid w:val="008443E1"/>
    <w:rsid w:val="008443F7"/>
    <w:rsid w:val="00844ACC"/>
    <w:rsid w:val="00844BE7"/>
    <w:rsid w:val="00844C67"/>
    <w:rsid w:val="00844E66"/>
    <w:rsid w:val="00845098"/>
    <w:rsid w:val="0084556D"/>
    <w:rsid w:val="00845A8D"/>
    <w:rsid w:val="00845AF3"/>
    <w:rsid w:val="00845C1F"/>
    <w:rsid w:val="00845F61"/>
    <w:rsid w:val="00846189"/>
    <w:rsid w:val="00846192"/>
    <w:rsid w:val="008462B2"/>
    <w:rsid w:val="008468E0"/>
    <w:rsid w:val="0084693D"/>
    <w:rsid w:val="00846A19"/>
    <w:rsid w:val="00846ACC"/>
    <w:rsid w:val="00846B4E"/>
    <w:rsid w:val="00846E17"/>
    <w:rsid w:val="0084712B"/>
    <w:rsid w:val="00847520"/>
    <w:rsid w:val="00847ED0"/>
    <w:rsid w:val="00850806"/>
    <w:rsid w:val="008510F2"/>
    <w:rsid w:val="00851270"/>
    <w:rsid w:val="00851564"/>
    <w:rsid w:val="00851892"/>
    <w:rsid w:val="00851C44"/>
    <w:rsid w:val="00851CF5"/>
    <w:rsid w:val="00851FA4"/>
    <w:rsid w:val="00852170"/>
    <w:rsid w:val="008521A9"/>
    <w:rsid w:val="0085242D"/>
    <w:rsid w:val="00852A99"/>
    <w:rsid w:val="00852B8C"/>
    <w:rsid w:val="00852D16"/>
    <w:rsid w:val="00852FB5"/>
    <w:rsid w:val="00853054"/>
    <w:rsid w:val="0085331D"/>
    <w:rsid w:val="008533AD"/>
    <w:rsid w:val="00853530"/>
    <w:rsid w:val="008537C3"/>
    <w:rsid w:val="00853F6E"/>
    <w:rsid w:val="0085401B"/>
    <w:rsid w:val="00854135"/>
    <w:rsid w:val="0085450D"/>
    <w:rsid w:val="0085469D"/>
    <w:rsid w:val="008547EA"/>
    <w:rsid w:val="00854971"/>
    <w:rsid w:val="008549DA"/>
    <w:rsid w:val="00854AF2"/>
    <w:rsid w:val="00854D5E"/>
    <w:rsid w:val="008550E6"/>
    <w:rsid w:val="008552B7"/>
    <w:rsid w:val="00855400"/>
    <w:rsid w:val="0085564E"/>
    <w:rsid w:val="0085570A"/>
    <w:rsid w:val="0085580A"/>
    <w:rsid w:val="008558B1"/>
    <w:rsid w:val="00855903"/>
    <w:rsid w:val="00855988"/>
    <w:rsid w:val="00855AB9"/>
    <w:rsid w:val="00855C4E"/>
    <w:rsid w:val="00855CAF"/>
    <w:rsid w:val="00855D93"/>
    <w:rsid w:val="00855DAF"/>
    <w:rsid w:val="008563BC"/>
    <w:rsid w:val="0085684E"/>
    <w:rsid w:val="00856A1B"/>
    <w:rsid w:val="00856C87"/>
    <w:rsid w:val="00857118"/>
    <w:rsid w:val="00857406"/>
    <w:rsid w:val="0085745F"/>
    <w:rsid w:val="00857723"/>
    <w:rsid w:val="008577CD"/>
    <w:rsid w:val="00857BDA"/>
    <w:rsid w:val="00857FAA"/>
    <w:rsid w:val="0085DF4C"/>
    <w:rsid w:val="0086004A"/>
    <w:rsid w:val="00860701"/>
    <w:rsid w:val="00860CF3"/>
    <w:rsid w:val="008615FC"/>
    <w:rsid w:val="0086194D"/>
    <w:rsid w:val="00861956"/>
    <w:rsid w:val="0086212F"/>
    <w:rsid w:val="0086214D"/>
    <w:rsid w:val="008621C3"/>
    <w:rsid w:val="00862231"/>
    <w:rsid w:val="00862671"/>
    <w:rsid w:val="00862844"/>
    <w:rsid w:val="00862896"/>
    <w:rsid w:val="008629A8"/>
    <w:rsid w:val="0086315A"/>
    <w:rsid w:val="0086334B"/>
    <w:rsid w:val="00863447"/>
    <w:rsid w:val="008634CA"/>
    <w:rsid w:val="008637AB"/>
    <w:rsid w:val="00863AED"/>
    <w:rsid w:val="00863CF0"/>
    <w:rsid w:val="00863D52"/>
    <w:rsid w:val="0086472D"/>
    <w:rsid w:val="008649A8"/>
    <w:rsid w:val="00864AC1"/>
    <w:rsid w:val="00864FB9"/>
    <w:rsid w:val="00865182"/>
    <w:rsid w:val="00865486"/>
    <w:rsid w:val="0086556F"/>
    <w:rsid w:val="00865688"/>
    <w:rsid w:val="0086569D"/>
    <w:rsid w:val="0086570E"/>
    <w:rsid w:val="00865931"/>
    <w:rsid w:val="00865997"/>
    <w:rsid w:val="00865A41"/>
    <w:rsid w:val="00865BC6"/>
    <w:rsid w:val="00865DD1"/>
    <w:rsid w:val="008661B4"/>
    <w:rsid w:val="008665DB"/>
    <w:rsid w:val="00866896"/>
    <w:rsid w:val="00866CE3"/>
    <w:rsid w:val="00866E5C"/>
    <w:rsid w:val="0086726A"/>
    <w:rsid w:val="008677DF"/>
    <w:rsid w:val="008679C4"/>
    <w:rsid w:val="00867B17"/>
    <w:rsid w:val="00867B8F"/>
    <w:rsid w:val="00870CD4"/>
    <w:rsid w:val="00870CDF"/>
    <w:rsid w:val="00870F30"/>
    <w:rsid w:val="00870FFC"/>
    <w:rsid w:val="00871143"/>
    <w:rsid w:val="0087185A"/>
    <w:rsid w:val="00871F49"/>
    <w:rsid w:val="00872012"/>
    <w:rsid w:val="00872089"/>
    <w:rsid w:val="008720ED"/>
    <w:rsid w:val="0087274E"/>
    <w:rsid w:val="008728B0"/>
    <w:rsid w:val="0087292D"/>
    <w:rsid w:val="00872BB4"/>
    <w:rsid w:val="00872C9D"/>
    <w:rsid w:val="00872EF2"/>
    <w:rsid w:val="00873A07"/>
    <w:rsid w:val="00873ABD"/>
    <w:rsid w:val="00873DEC"/>
    <w:rsid w:val="00873EC9"/>
    <w:rsid w:val="00874188"/>
    <w:rsid w:val="00874A48"/>
    <w:rsid w:val="00874AAA"/>
    <w:rsid w:val="00874BE3"/>
    <w:rsid w:val="00874D11"/>
    <w:rsid w:val="00874EEF"/>
    <w:rsid w:val="00875499"/>
    <w:rsid w:val="00875586"/>
    <w:rsid w:val="0087558B"/>
    <w:rsid w:val="0087598D"/>
    <w:rsid w:val="00875B4F"/>
    <w:rsid w:val="00875BF6"/>
    <w:rsid w:val="0087626B"/>
    <w:rsid w:val="00876275"/>
    <w:rsid w:val="008765A5"/>
    <w:rsid w:val="0087667E"/>
    <w:rsid w:val="00876A9E"/>
    <w:rsid w:val="00876CF0"/>
    <w:rsid w:val="00876D56"/>
    <w:rsid w:val="00877AAC"/>
    <w:rsid w:val="00877BFE"/>
    <w:rsid w:val="00877C2D"/>
    <w:rsid w:val="00877E62"/>
    <w:rsid w:val="00877EA2"/>
    <w:rsid w:val="00880451"/>
    <w:rsid w:val="0088086E"/>
    <w:rsid w:val="00880AB1"/>
    <w:rsid w:val="00880B2D"/>
    <w:rsid w:val="00880C24"/>
    <w:rsid w:val="00880D58"/>
    <w:rsid w:val="00881351"/>
    <w:rsid w:val="00881365"/>
    <w:rsid w:val="008815B5"/>
    <w:rsid w:val="0088187C"/>
    <w:rsid w:val="008819C9"/>
    <w:rsid w:val="00881DE0"/>
    <w:rsid w:val="00882208"/>
    <w:rsid w:val="00882518"/>
    <w:rsid w:val="008827B0"/>
    <w:rsid w:val="00882B99"/>
    <w:rsid w:val="00882CBB"/>
    <w:rsid w:val="00882D89"/>
    <w:rsid w:val="00882DE1"/>
    <w:rsid w:val="00883126"/>
    <w:rsid w:val="00883740"/>
    <w:rsid w:val="00883938"/>
    <w:rsid w:val="00883B28"/>
    <w:rsid w:val="008841A9"/>
    <w:rsid w:val="00884204"/>
    <w:rsid w:val="0088425C"/>
    <w:rsid w:val="008842E3"/>
    <w:rsid w:val="00884481"/>
    <w:rsid w:val="0088474E"/>
    <w:rsid w:val="00884F70"/>
    <w:rsid w:val="0088510C"/>
    <w:rsid w:val="008854FD"/>
    <w:rsid w:val="0088574C"/>
    <w:rsid w:val="008857AB"/>
    <w:rsid w:val="008859C8"/>
    <w:rsid w:val="008859FA"/>
    <w:rsid w:val="00885E25"/>
    <w:rsid w:val="00886121"/>
    <w:rsid w:val="00886BAF"/>
    <w:rsid w:val="00886DE0"/>
    <w:rsid w:val="00886E09"/>
    <w:rsid w:val="00887276"/>
    <w:rsid w:val="008876CA"/>
    <w:rsid w:val="00887722"/>
    <w:rsid w:val="0088773B"/>
    <w:rsid w:val="008879B0"/>
    <w:rsid w:val="00887A33"/>
    <w:rsid w:val="00887D1C"/>
    <w:rsid w:val="00887EE7"/>
    <w:rsid w:val="008900E7"/>
    <w:rsid w:val="00890682"/>
    <w:rsid w:val="008907FC"/>
    <w:rsid w:val="0089098B"/>
    <w:rsid w:val="00890EF4"/>
    <w:rsid w:val="00890F19"/>
    <w:rsid w:val="008911C8"/>
    <w:rsid w:val="0089132E"/>
    <w:rsid w:val="00891416"/>
    <w:rsid w:val="008916A3"/>
    <w:rsid w:val="008916B9"/>
    <w:rsid w:val="0089179D"/>
    <w:rsid w:val="008924B3"/>
    <w:rsid w:val="00892552"/>
    <w:rsid w:val="00892665"/>
    <w:rsid w:val="008929FD"/>
    <w:rsid w:val="00892CE9"/>
    <w:rsid w:val="00892E21"/>
    <w:rsid w:val="00892E6E"/>
    <w:rsid w:val="00892ED8"/>
    <w:rsid w:val="00892F17"/>
    <w:rsid w:val="00893303"/>
    <w:rsid w:val="00893392"/>
    <w:rsid w:val="0089355B"/>
    <w:rsid w:val="008935BE"/>
    <w:rsid w:val="00893662"/>
    <w:rsid w:val="00893B20"/>
    <w:rsid w:val="00893C24"/>
    <w:rsid w:val="00893CA3"/>
    <w:rsid w:val="0089435A"/>
    <w:rsid w:val="0089451A"/>
    <w:rsid w:val="0089452B"/>
    <w:rsid w:val="008948B2"/>
    <w:rsid w:val="00894F57"/>
    <w:rsid w:val="0089514B"/>
    <w:rsid w:val="0089529A"/>
    <w:rsid w:val="008952F6"/>
    <w:rsid w:val="00895434"/>
    <w:rsid w:val="008956C4"/>
    <w:rsid w:val="00895B83"/>
    <w:rsid w:val="00896407"/>
    <w:rsid w:val="00896547"/>
    <w:rsid w:val="008965FB"/>
    <w:rsid w:val="00896757"/>
    <w:rsid w:val="00896809"/>
    <w:rsid w:val="008969A9"/>
    <w:rsid w:val="00896A1D"/>
    <w:rsid w:val="00896D72"/>
    <w:rsid w:val="008971D3"/>
    <w:rsid w:val="00897982"/>
    <w:rsid w:val="00897B98"/>
    <w:rsid w:val="00897BCB"/>
    <w:rsid w:val="00897C22"/>
    <w:rsid w:val="00897DCE"/>
    <w:rsid w:val="00897E05"/>
    <w:rsid w:val="00898C89"/>
    <w:rsid w:val="008A028C"/>
    <w:rsid w:val="008A0483"/>
    <w:rsid w:val="008A073D"/>
    <w:rsid w:val="008A09CF"/>
    <w:rsid w:val="008A0AFD"/>
    <w:rsid w:val="008A0BA9"/>
    <w:rsid w:val="008A0CEE"/>
    <w:rsid w:val="008A1152"/>
    <w:rsid w:val="008A16B0"/>
    <w:rsid w:val="008A1B40"/>
    <w:rsid w:val="008A1C25"/>
    <w:rsid w:val="008A1C60"/>
    <w:rsid w:val="008A1F5C"/>
    <w:rsid w:val="008A20C3"/>
    <w:rsid w:val="008A2179"/>
    <w:rsid w:val="008A21F7"/>
    <w:rsid w:val="008A2692"/>
    <w:rsid w:val="008A295B"/>
    <w:rsid w:val="008A2AB4"/>
    <w:rsid w:val="008A2AC9"/>
    <w:rsid w:val="008A2FDA"/>
    <w:rsid w:val="008A3F24"/>
    <w:rsid w:val="008A4109"/>
    <w:rsid w:val="008A494E"/>
    <w:rsid w:val="008A49CB"/>
    <w:rsid w:val="008A4CA5"/>
    <w:rsid w:val="008A4D32"/>
    <w:rsid w:val="008A535F"/>
    <w:rsid w:val="008A5451"/>
    <w:rsid w:val="008A5A67"/>
    <w:rsid w:val="008A5DD7"/>
    <w:rsid w:val="008A5ECF"/>
    <w:rsid w:val="008A625F"/>
    <w:rsid w:val="008A630E"/>
    <w:rsid w:val="008A63BA"/>
    <w:rsid w:val="008A6604"/>
    <w:rsid w:val="008A66B9"/>
    <w:rsid w:val="008A68FF"/>
    <w:rsid w:val="008A6CD0"/>
    <w:rsid w:val="008A7094"/>
    <w:rsid w:val="008A7262"/>
    <w:rsid w:val="008A73B9"/>
    <w:rsid w:val="008A76E7"/>
    <w:rsid w:val="008A775B"/>
    <w:rsid w:val="008B0183"/>
    <w:rsid w:val="008B037D"/>
    <w:rsid w:val="008B0B29"/>
    <w:rsid w:val="008B0BCF"/>
    <w:rsid w:val="008B0DF7"/>
    <w:rsid w:val="008B0E34"/>
    <w:rsid w:val="008B0FBE"/>
    <w:rsid w:val="008B14F4"/>
    <w:rsid w:val="008B1558"/>
    <w:rsid w:val="008B1707"/>
    <w:rsid w:val="008B1987"/>
    <w:rsid w:val="008B1CC0"/>
    <w:rsid w:val="008B1EFE"/>
    <w:rsid w:val="008B1FF5"/>
    <w:rsid w:val="008B2779"/>
    <w:rsid w:val="008B2A34"/>
    <w:rsid w:val="008B2A8F"/>
    <w:rsid w:val="008B2E78"/>
    <w:rsid w:val="008B30C0"/>
    <w:rsid w:val="008B31AC"/>
    <w:rsid w:val="008B3242"/>
    <w:rsid w:val="008B32CE"/>
    <w:rsid w:val="008B3539"/>
    <w:rsid w:val="008B3BDD"/>
    <w:rsid w:val="008B3D42"/>
    <w:rsid w:val="008B3E80"/>
    <w:rsid w:val="008B3F27"/>
    <w:rsid w:val="008B40CF"/>
    <w:rsid w:val="008B4B58"/>
    <w:rsid w:val="008B4E8B"/>
    <w:rsid w:val="008B4F45"/>
    <w:rsid w:val="008B5006"/>
    <w:rsid w:val="008B5357"/>
    <w:rsid w:val="008B53F3"/>
    <w:rsid w:val="008B541B"/>
    <w:rsid w:val="008B5482"/>
    <w:rsid w:val="008B5778"/>
    <w:rsid w:val="008B582B"/>
    <w:rsid w:val="008B5875"/>
    <w:rsid w:val="008B5C37"/>
    <w:rsid w:val="008B6046"/>
    <w:rsid w:val="008B6542"/>
    <w:rsid w:val="008B66A6"/>
    <w:rsid w:val="008B66F6"/>
    <w:rsid w:val="008B670A"/>
    <w:rsid w:val="008B6765"/>
    <w:rsid w:val="008B67E9"/>
    <w:rsid w:val="008B6B25"/>
    <w:rsid w:val="008B6F0C"/>
    <w:rsid w:val="008B723A"/>
    <w:rsid w:val="008B7245"/>
    <w:rsid w:val="008B724D"/>
    <w:rsid w:val="008B763B"/>
    <w:rsid w:val="008B7852"/>
    <w:rsid w:val="008B788D"/>
    <w:rsid w:val="008B7DC4"/>
    <w:rsid w:val="008C04F6"/>
    <w:rsid w:val="008C055D"/>
    <w:rsid w:val="008C06B6"/>
    <w:rsid w:val="008C0732"/>
    <w:rsid w:val="008C0B9C"/>
    <w:rsid w:val="008C10FB"/>
    <w:rsid w:val="008C11F4"/>
    <w:rsid w:val="008C1286"/>
    <w:rsid w:val="008C13B9"/>
    <w:rsid w:val="008C181B"/>
    <w:rsid w:val="008C1AEA"/>
    <w:rsid w:val="008C1B23"/>
    <w:rsid w:val="008C1BE0"/>
    <w:rsid w:val="008C2166"/>
    <w:rsid w:val="008C22BE"/>
    <w:rsid w:val="008C2599"/>
    <w:rsid w:val="008C26C0"/>
    <w:rsid w:val="008C2BEC"/>
    <w:rsid w:val="008C2D33"/>
    <w:rsid w:val="008C30C6"/>
    <w:rsid w:val="008C3982"/>
    <w:rsid w:val="008C39EB"/>
    <w:rsid w:val="008C3B06"/>
    <w:rsid w:val="008C3BAA"/>
    <w:rsid w:val="008C3D62"/>
    <w:rsid w:val="008C3DA6"/>
    <w:rsid w:val="008C3E35"/>
    <w:rsid w:val="008C406F"/>
    <w:rsid w:val="008C4371"/>
    <w:rsid w:val="008C4922"/>
    <w:rsid w:val="008C49B8"/>
    <w:rsid w:val="008C4BD7"/>
    <w:rsid w:val="008C4C83"/>
    <w:rsid w:val="008C4D68"/>
    <w:rsid w:val="008C5BD3"/>
    <w:rsid w:val="008C5F0A"/>
    <w:rsid w:val="008C6310"/>
    <w:rsid w:val="008C635E"/>
    <w:rsid w:val="008C64DA"/>
    <w:rsid w:val="008C6523"/>
    <w:rsid w:val="008C693A"/>
    <w:rsid w:val="008C69C7"/>
    <w:rsid w:val="008C6A9F"/>
    <w:rsid w:val="008C6C69"/>
    <w:rsid w:val="008C6D0E"/>
    <w:rsid w:val="008C6DDA"/>
    <w:rsid w:val="008C6EED"/>
    <w:rsid w:val="008C72F1"/>
    <w:rsid w:val="008C730C"/>
    <w:rsid w:val="008C739E"/>
    <w:rsid w:val="008C777B"/>
    <w:rsid w:val="008C77D0"/>
    <w:rsid w:val="008C79BC"/>
    <w:rsid w:val="008C79ED"/>
    <w:rsid w:val="008C7E4E"/>
    <w:rsid w:val="008C7E62"/>
    <w:rsid w:val="008D060F"/>
    <w:rsid w:val="008D063D"/>
    <w:rsid w:val="008D0822"/>
    <w:rsid w:val="008D09D2"/>
    <w:rsid w:val="008D0C38"/>
    <w:rsid w:val="008D1281"/>
    <w:rsid w:val="008D13ED"/>
    <w:rsid w:val="008D140A"/>
    <w:rsid w:val="008D19EA"/>
    <w:rsid w:val="008D1C83"/>
    <w:rsid w:val="008D1CA6"/>
    <w:rsid w:val="008D1E0F"/>
    <w:rsid w:val="008D1E13"/>
    <w:rsid w:val="008D2089"/>
    <w:rsid w:val="008D2117"/>
    <w:rsid w:val="008D27D4"/>
    <w:rsid w:val="008D2839"/>
    <w:rsid w:val="008D2D06"/>
    <w:rsid w:val="008D2D72"/>
    <w:rsid w:val="008D3331"/>
    <w:rsid w:val="008D33F1"/>
    <w:rsid w:val="008D3571"/>
    <w:rsid w:val="008D39C5"/>
    <w:rsid w:val="008D39FB"/>
    <w:rsid w:val="008D3A4C"/>
    <w:rsid w:val="008D3CE2"/>
    <w:rsid w:val="008D3D38"/>
    <w:rsid w:val="008D3EC8"/>
    <w:rsid w:val="008D422D"/>
    <w:rsid w:val="008D4262"/>
    <w:rsid w:val="008D46D9"/>
    <w:rsid w:val="008D4757"/>
    <w:rsid w:val="008D493F"/>
    <w:rsid w:val="008D4B60"/>
    <w:rsid w:val="008D4C03"/>
    <w:rsid w:val="008D512C"/>
    <w:rsid w:val="008D52BB"/>
    <w:rsid w:val="008D552C"/>
    <w:rsid w:val="008D55A8"/>
    <w:rsid w:val="008D55E6"/>
    <w:rsid w:val="008D563E"/>
    <w:rsid w:val="008D5710"/>
    <w:rsid w:val="008D596C"/>
    <w:rsid w:val="008D59D0"/>
    <w:rsid w:val="008D5BC3"/>
    <w:rsid w:val="008D5F4D"/>
    <w:rsid w:val="008D60A5"/>
    <w:rsid w:val="008D624E"/>
    <w:rsid w:val="008D6435"/>
    <w:rsid w:val="008D6931"/>
    <w:rsid w:val="008D6DD5"/>
    <w:rsid w:val="008D6E07"/>
    <w:rsid w:val="008D7398"/>
    <w:rsid w:val="008D7455"/>
    <w:rsid w:val="008D7669"/>
    <w:rsid w:val="008D784D"/>
    <w:rsid w:val="008D78EC"/>
    <w:rsid w:val="008D7968"/>
    <w:rsid w:val="008D7AE4"/>
    <w:rsid w:val="008D7B65"/>
    <w:rsid w:val="008D7C46"/>
    <w:rsid w:val="008D7D9A"/>
    <w:rsid w:val="008D7E12"/>
    <w:rsid w:val="008E00B0"/>
    <w:rsid w:val="008E035F"/>
    <w:rsid w:val="008E0587"/>
    <w:rsid w:val="008E0742"/>
    <w:rsid w:val="008E09D5"/>
    <w:rsid w:val="008E0B8D"/>
    <w:rsid w:val="008E0F5A"/>
    <w:rsid w:val="008E0F94"/>
    <w:rsid w:val="008E1054"/>
    <w:rsid w:val="008E13E5"/>
    <w:rsid w:val="008E13FC"/>
    <w:rsid w:val="008E149D"/>
    <w:rsid w:val="008E165A"/>
    <w:rsid w:val="008E167C"/>
    <w:rsid w:val="008E16E7"/>
    <w:rsid w:val="008E1778"/>
    <w:rsid w:val="008E180F"/>
    <w:rsid w:val="008E1AF5"/>
    <w:rsid w:val="008E1D89"/>
    <w:rsid w:val="008E1F52"/>
    <w:rsid w:val="008E24A6"/>
    <w:rsid w:val="008E26D4"/>
    <w:rsid w:val="008E2C35"/>
    <w:rsid w:val="008E2D5C"/>
    <w:rsid w:val="008E31ED"/>
    <w:rsid w:val="008E3561"/>
    <w:rsid w:val="008E3656"/>
    <w:rsid w:val="008E3902"/>
    <w:rsid w:val="008E395F"/>
    <w:rsid w:val="008E3E3E"/>
    <w:rsid w:val="008E4963"/>
    <w:rsid w:val="008E4E0C"/>
    <w:rsid w:val="008E5041"/>
    <w:rsid w:val="008E54CE"/>
    <w:rsid w:val="008E56E7"/>
    <w:rsid w:val="008E570A"/>
    <w:rsid w:val="008E593D"/>
    <w:rsid w:val="008E5973"/>
    <w:rsid w:val="008E5984"/>
    <w:rsid w:val="008E59B8"/>
    <w:rsid w:val="008E5A52"/>
    <w:rsid w:val="008E5A91"/>
    <w:rsid w:val="008E5E90"/>
    <w:rsid w:val="008E62B5"/>
    <w:rsid w:val="008E649B"/>
    <w:rsid w:val="008E6567"/>
    <w:rsid w:val="008E65C7"/>
    <w:rsid w:val="008E6B17"/>
    <w:rsid w:val="008E6E78"/>
    <w:rsid w:val="008E7555"/>
    <w:rsid w:val="008E7571"/>
    <w:rsid w:val="008E76AC"/>
    <w:rsid w:val="008E76D0"/>
    <w:rsid w:val="008E7719"/>
    <w:rsid w:val="008E7C1C"/>
    <w:rsid w:val="008E7D31"/>
    <w:rsid w:val="008E7E45"/>
    <w:rsid w:val="008F022E"/>
    <w:rsid w:val="008F06D9"/>
    <w:rsid w:val="008F07D1"/>
    <w:rsid w:val="008F083C"/>
    <w:rsid w:val="008F0CC2"/>
    <w:rsid w:val="008F0CF7"/>
    <w:rsid w:val="008F0DD5"/>
    <w:rsid w:val="008F0F1F"/>
    <w:rsid w:val="008F1D88"/>
    <w:rsid w:val="008F1DB8"/>
    <w:rsid w:val="008F1DDA"/>
    <w:rsid w:val="008F1FF3"/>
    <w:rsid w:val="008F2109"/>
    <w:rsid w:val="008F23A0"/>
    <w:rsid w:val="008F251B"/>
    <w:rsid w:val="008F285C"/>
    <w:rsid w:val="008F2907"/>
    <w:rsid w:val="008F29CC"/>
    <w:rsid w:val="008F2AD7"/>
    <w:rsid w:val="008F2F64"/>
    <w:rsid w:val="008F3292"/>
    <w:rsid w:val="008F3619"/>
    <w:rsid w:val="008F3967"/>
    <w:rsid w:val="008F4030"/>
    <w:rsid w:val="008F416B"/>
    <w:rsid w:val="008F4214"/>
    <w:rsid w:val="008F426E"/>
    <w:rsid w:val="008F4643"/>
    <w:rsid w:val="008F49A4"/>
    <w:rsid w:val="008F4FBE"/>
    <w:rsid w:val="008F5247"/>
    <w:rsid w:val="008F5404"/>
    <w:rsid w:val="008F55B0"/>
    <w:rsid w:val="008F57B9"/>
    <w:rsid w:val="008F5A3C"/>
    <w:rsid w:val="008F5DE4"/>
    <w:rsid w:val="008F5F87"/>
    <w:rsid w:val="008F632E"/>
    <w:rsid w:val="008F633C"/>
    <w:rsid w:val="008F6501"/>
    <w:rsid w:val="008F6693"/>
    <w:rsid w:val="008F67E7"/>
    <w:rsid w:val="008F6A8A"/>
    <w:rsid w:val="008F74B0"/>
    <w:rsid w:val="008F76AA"/>
    <w:rsid w:val="008F7813"/>
    <w:rsid w:val="008F797A"/>
    <w:rsid w:val="008F7AAE"/>
    <w:rsid w:val="008F7C15"/>
    <w:rsid w:val="009003A7"/>
    <w:rsid w:val="00900A34"/>
    <w:rsid w:val="00900B84"/>
    <w:rsid w:val="00900F83"/>
    <w:rsid w:val="009012B2"/>
    <w:rsid w:val="0090136A"/>
    <w:rsid w:val="0090158E"/>
    <w:rsid w:val="009015A4"/>
    <w:rsid w:val="009016E5"/>
    <w:rsid w:val="00901984"/>
    <w:rsid w:val="00901B58"/>
    <w:rsid w:val="00901D9C"/>
    <w:rsid w:val="0090222E"/>
    <w:rsid w:val="00902714"/>
    <w:rsid w:val="0090281C"/>
    <w:rsid w:val="00902876"/>
    <w:rsid w:val="00902B8A"/>
    <w:rsid w:val="00902D86"/>
    <w:rsid w:val="00902DBA"/>
    <w:rsid w:val="00902FA1"/>
    <w:rsid w:val="00903043"/>
    <w:rsid w:val="0090307C"/>
    <w:rsid w:val="009036A7"/>
    <w:rsid w:val="009036DE"/>
    <w:rsid w:val="009036E8"/>
    <w:rsid w:val="00903C67"/>
    <w:rsid w:val="00903C99"/>
    <w:rsid w:val="00903E6F"/>
    <w:rsid w:val="00903F7A"/>
    <w:rsid w:val="00904051"/>
    <w:rsid w:val="009040CD"/>
    <w:rsid w:val="0090478E"/>
    <w:rsid w:val="00904968"/>
    <w:rsid w:val="00904AD0"/>
    <w:rsid w:val="00904EA1"/>
    <w:rsid w:val="00905072"/>
    <w:rsid w:val="009056E9"/>
    <w:rsid w:val="00905988"/>
    <w:rsid w:val="00905DB7"/>
    <w:rsid w:val="009060D5"/>
    <w:rsid w:val="009060D9"/>
    <w:rsid w:val="00906156"/>
    <w:rsid w:val="009062A5"/>
    <w:rsid w:val="009066B4"/>
    <w:rsid w:val="009069F5"/>
    <w:rsid w:val="00906BF8"/>
    <w:rsid w:val="00907036"/>
    <w:rsid w:val="00907073"/>
    <w:rsid w:val="009072A1"/>
    <w:rsid w:val="00907AC7"/>
    <w:rsid w:val="009104DC"/>
    <w:rsid w:val="009109CB"/>
    <w:rsid w:val="00910A26"/>
    <w:rsid w:val="00910B17"/>
    <w:rsid w:val="00910C33"/>
    <w:rsid w:val="00910EA6"/>
    <w:rsid w:val="00911233"/>
    <w:rsid w:val="009112AA"/>
    <w:rsid w:val="009114A3"/>
    <w:rsid w:val="009115D4"/>
    <w:rsid w:val="00911813"/>
    <w:rsid w:val="00911930"/>
    <w:rsid w:val="00911D97"/>
    <w:rsid w:val="00911FBA"/>
    <w:rsid w:val="009122FA"/>
    <w:rsid w:val="009128B0"/>
    <w:rsid w:val="00912A5A"/>
    <w:rsid w:val="00912AA9"/>
    <w:rsid w:val="00912C16"/>
    <w:rsid w:val="00912EDD"/>
    <w:rsid w:val="009130D6"/>
    <w:rsid w:val="0091334D"/>
    <w:rsid w:val="00913D0D"/>
    <w:rsid w:val="009141C5"/>
    <w:rsid w:val="0091442F"/>
    <w:rsid w:val="009149A7"/>
    <w:rsid w:val="00914AC3"/>
    <w:rsid w:val="00914C95"/>
    <w:rsid w:val="00914F62"/>
    <w:rsid w:val="009159EC"/>
    <w:rsid w:val="00915A97"/>
    <w:rsid w:val="00915E28"/>
    <w:rsid w:val="00915F48"/>
    <w:rsid w:val="00915F6E"/>
    <w:rsid w:val="00916194"/>
    <w:rsid w:val="0091624D"/>
    <w:rsid w:val="00916A80"/>
    <w:rsid w:val="00916B55"/>
    <w:rsid w:val="00916BD7"/>
    <w:rsid w:val="00916EDA"/>
    <w:rsid w:val="00916F00"/>
    <w:rsid w:val="009171EC"/>
    <w:rsid w:val="0091795F"/>
    <w:rsid w:val="009179E4"/>
    <w:rsid w:val="00917A5A"/>
    <w:rsid w:val="00917B2F"/>
    <w:rsid w:val="00917D27"/>
    <w:rsid w:val="0092053E"/>
    <w:rsid w:val="009205CE"/>
    <w:rsid w:val="0092083C"/>
    <w:rsid w:val="009208F5"/>
    <w:rsid w:val="00920909"/>
    <w:rsid w:val="00920B26"/>
    <w:rsid w:val="00920C36"/>
    <w:rsid w:val="00920F37"/>
    <w:rsid w:val="00920F46"/>
    <w:rsid w:val="0092120B"/>
    <w:rsid w:val="0092129F"/>
    <w:rsid w:val="0092153B"/>
    <w:rsid w:val="0092158C"/>
    <w:rsid w:val="0092197D"/>
    <w:rsid w:val="00921A17"/>
    <w:rsid w:val="00921B94"/>
    <w:rsid w:val="00921F68"/>
    <w:rsid w:val="009221CD"/>
    <w:rsid w:val="00922272"/>
    <w:rsid w:val="009222CD"/>
    <w:rsid w:val="00922307"/>
    <w:rsid w:val="009224D9"/>
    <w:rsid w:val="00922909"/>
    <w:rsid w:val="00922BE2"/>
    <w:rsid w:val="009232E8"/>
    <w:rsid w:val="009235C3"/>
    <w:rsid w:val="00923D8D"/>
    <w:rsid w:val="009240D0"/>
    <w:rsid w:val="0092417F"/>
    <w:rsid w:val="00924438"/>
    <w:rsid w:val="00924522"/>
    <w:rsid w:val="00924667"/>
    <w:rsid w:val="00924B1C"/>
    <w:rsid w:val="00924C85"/>
    <w:rsid w:val="00924D42"/>
    <w:rsid w:val="00924FA5"/>
    <w:rsid w:val="00925126"/>
    <w:rsid w:val="00925590"/>
    <w:rsid w:val="009255AC"/>
    <w:rsid w:val="00925A6D"/>
    <w:rsid w:val="00925CC8"/>
    <w:rsid w:val="00925D76"/>
    <w:rsid w:val="00926115"/>
    <w:rsid w:val="00926204"/>
    <w:rsid w:val="00926258"/>
    <w:rsid w:val="00926292"/>
    <w:rsid w:val="0092652A"/>
    <w:rsid w:val="0092653E"/>
    <w:rsid w:val="00926CBF"/>
    <w:rsid w:val="00927090"/>
    <w:rsid w:val="0092730E"/>
    <w:rsid w:val="009275AB"/>
    <w:rsid w:val="009278F2"/>
    <w:rsid w:val="00927934"/>
    <w:rsid w:val="00927982"/>
    <w:rsid w:val="00927AF7"/>
    <w:rsid w:val="00927CD5"/>
    <w:rsid w:val="00927D51"/>
    <w:rsid w:val="00927F64"/>
    <w:rsid w:val="009301F5"/>
    <w:rsid w:val="00930D19"/>
    <w:rsid w:val="00931649"/>
    <w:rsid w:val="00931859"/>
    <w:rsid w:val="009318B4"/>
    <w:rsid w:val="009319F3"/>
    <w:rsid w:val="00931BBA"/>
    <w:rsid w:val="00931E62"/>
    <w:rsid w:val="00932272"/>
    <w:rsid w:val="009323E7"/>
    <w:rsid w:val="00932862"/>
    <w:rsid w:val="009330E2"/>
    <w:rsid w:val="00933132"/>
    <w:rsid w:val="00933185"/>
    <w:rsid w:val="00933FF7"/>
    <w:rsid w:val="009340AE"/>
    <w:rsid w:val="00934AB2"/>
    <w:rsid w:val="00934B5A"/>
    <w:rsid w:val="00934BBD"/>
    <w:rsid w:val="00934BD2"/>
    <w:rsid w:val="00934CB4"/>
    <w:rsid w:val="0093540D"/>
    <w:rsid w:val="0093543E"/>
    <w:rsid w:val="0093553B"/>
    <w:rsid w:val="009356F1"/>
    <w:rsid w:val="00935737"/>
    <w:rsid w:val="00935ABC"/>
    <w:rsid w:val="00935D60"/>
    <w:rsid w:val="00935E2D"/>
    <w:rsid w:val="009360C0"/>
    <w:rsid w:val="00936166"/>
    <w:rsid w:val="009361B9"/>
    <w:rsid w:val="00936306"/>
    <w:rsid w:val="009365DA"/>
    <w:rsid w:val="00936931"/>
    <w:rsid w:val="00936A44"/>
    <w:rsid w:val="00937264"/>
    <w:rsid w:val="00937286"/>
    <w:rsid w:val="00937627"/>
    <w:rsid w:val="00937996"/>
    <w:rsid w:val="00937DFB"/>
    <w:rsid w:val="0094016E"/>
    <w:rsid w:val="009401B9"/>
    <w:rsid w:val="0094036B"/>
    <w:rsid w:val="009403FB"/>
    <w:rsid w:val="00940445"/>
    <w:rsid w:val="009404D9"/>
    <w:rsid w:val="00940555"/>
    <w:rsid w:val="0094083F"/>
    <w:rsid w:val="0094096D"/>
    <w:rsid w:val="00940A5C"/>
    <w:rsid w:val="00940A98"/>
    <w:rsid w:val="00940D8F"/>
    <w:rsid w:val="009410DF"/>
    <w:rsid w:val="0094111B"/>
    <w:rsid w:val="00941611"/>
    <w:rsid w:val="00941694"/>
    <w:rsid w:val="00941AD5"/>
    <w:rsid w:val="00941CFB"/>
    <w:rsid w:val="00941EF7"/>
    <w:rsid w:val="009422F1"/>
    <w:rsid w:val="009426B1"/>
    <w:rsid w:val="00942ADB"/>
    <w:rsid w:val="00942F9F"/>
    <w:rsid w:val="00943262"/>
    <w:rsid w:val="00943535"/>
    <w:rsid w:val="00943682"/>
    <w:rsid w:val="009437B3"/>
    <w:rsid w:val="00943AEC"/>
    <w:rsid w:val="009440C1"/>
    <w:rsid w:val="009443D0"/>
    <w:rsid w:val="0094442E"/>
    <w:rsid w:val="009446C0"/>
    <w:rsid w:val="009447BB"/>
    <w:rsid w:val="00944938"/>
    <w:rsid w:val="00944966"/>
    <w:rsid w:val="00944A83"/>
    <w:rsid w:val="00944BB7"/>
    <w:rsid w:val="00944C48"/>
    <w:rsid w:val="00944F31"/>
    <w:rsid w:val="00944FED"/>
    <w:rsid w:val="009455AA"/>
    <w:rsid w:val="0094577C"/>
    <w:rsid w:val="009457D7"/>
    <w:rsid w:val="00945908"/>
    <w:rsid w:val="00946335"/>
    <w:rsid w:val="00946596"/>
    <w:rsid w:val="009467F4"/>
    <w:rsid w:val="009468AE"/>
    <w:rsid w:val="00946B1D"/>
    <w:rsid w:val="00946CC4"/>
    <w:rsid w:val="00947591"/>
    <w:rsid w:val="0094775C"/>
    <w:rsid w:val="00947997"/>
    <w:rsid w:val="00947B24"/>
    <w:rsid w:val="00947CC1"/>
    <w:rsid w:val="00947DA7"/>
    <w:rsid w:val="00947EF0"/>
    <w:rsid w:val="009504BC"/>
    <w:rsid w:val="009508C1"/>
    <w:rsid w:val="00950B13"/>
    <w:rsid w:val="00951258"/>
    <w:rsid w:val="0095134E"/>
    <w:rsid w:val="009513C4"/>
    <w:rsid w:val="0095162C"/>
    <w:rsid w:val="00952052"/>
    <w:rsid w:val="0095251B"/>
    <w:rsid w:val="00952B63"/>
    <w:rsid w:val="00953068"/>
    <w:rsid w:val="009531C6"/>
    <w:rsid w:val="00953437"/>
    <w:rsid w:val="00953636"/>
    <w:rsid w:val="00953C49"/>
    <w:rsid w:val="00953CFD"/>
    <w:rsid w:val="00953D14"/>
    <w:rsid w:val="00954063"/>
    <w:rsid w:val="00954112"/>
    <w:rsid w:val="00954176"/>
    <w:rsid w:val="0095438C"/>
    <w:rsid w:val="009545C7"/>
    <w:rsid w:val="00954722"/>
    <w:rsid w:val="00954989"/>
    <w:rsid w:val="00954A3F"/>
    <w:rsid w:val="00954F1B"/>
    <w:rsid w:val="00954FDF"/>
    <w:rsid w:val="0095538F"/>
    <w:rsid w:val="0095545B"/>
    <w:rsid w:val="009554FD"/>
    <w:rsid w:val="0095574B"/>
    <w:rsid w:val="00955B12"/>
    <w:rsid w:val="00955E55"/>
    <w:rsid w:val="00955F1B"/>
    <w:rsid w:val="00955FCA"/>
    <w:rsid w:val="0095602A"/>
    <w:rsid w:val="009562FA"/>
    <w:rsid w:val="00956568"/>
    <w:rsid w:val="009565BF"/>
    <w:rsid w:val="00956807"/>
    <w:rsid w:val="0095687B"/>
    <w:rsid w:val="00956970"/>
    <w:rsid w:val="00956B1A"/>
    <w:rsid w:val="00956CDD"/>
    <w:rsid w:val="00957356"/>
    <w:rsid w:val="00957915"/>
    <w:rsid w:val="0095794C"/>
    <w:rsid w:val="00957AFC"/>
    <w:rsid w:val="00960ABA"/>
    <w:rsid w:val="00960B23"/>
    <w:rsid w:val="00960CF3"/>
    <w:rsid w:val="0096123F"/>
    <w:rsid w:val="00961240"/>
    <w:rsid w:val="00961B25"/>
    <w:rsid w:val="00961CC6"/>
    <w:rsid w:val="00961F08"/>
    <w:rsid w:val="00962200"/>
    <w:rsid w:val="009622CC"/>
    <w:rsid w:val="009626EB"/>
    <w:rsid w:val="00962727"/>
    <w:rsid w:val="009627FF"/>
    <w:rsid w:val="00962D9B"/>
    <w:rsid w:val="00962EC7"/>
    <w:rsid w:val="00962F48"/>
    <w:rsid w:val="009630A1"/>
    <w:rsid w:val="00963581"/>
    <w:rsid w:val="009639F0"/>
    <w:rsid w:val="00963C2E"/>
    <w:rsid w:val="00963D02"/>
    <w:rsid w:val="00963F09"/>
    <w:rsid w:val="0096415E"/>
    <w:rsid w:val="00964439"/>
    <w:rsid w:val="00964692"/>
    <w:rsid w:val="009648FD"/>
    <w:rsid w:val="00964BB0"/>
    <w:rsid w:val="009653F0"/>
    <w:rsid w:val="00965A63"/>
    <w:rsid w:val="00965B4B"/>
    <w:rsid w:val="00965BEB"/>
    <w:rsid w:val="00965DF1"/>
    <w:rsid w:val="00965E72"/>
    <w:rsid w:val="009661A3"/>
    <w:rsid w:val="00966609"/>
    <w:rsid w:val="00966745"/>
    <w:rsid w:val="0096695B"/>
    <w:rsid w:val="00966A94"/>
    <w:rsid w:val="00966AC3"/>
    <w:rsid w:val="00966F54"/>
    <w:rsid w:val="00967278"/>
    <w:rsid w:val="0096772D"/>
    <w:rsid w:val="00967946"/>
    <w:rsid w:val="009679E5"/>
    <w:rsid w:val="00967AD4"/>
    <w:rsid w:val="00967B97"/>
    <w:rsid w:val="00967C46"/>
    <w:rsid w:val="00967DA9"/>
    <w:rsid w:val="00967E3C"/>
    <w:rsid w:val="00967E79"/>
    <w:rsid w:val="009700E5"/>
    <w:rsid w:val="00970426"/>
    <w:rsid w:val="0097145F"/>
    <w:rsid w:val="009714D4"/>
    <w:rsid w:val="0097160F"/>
    <w:rsid w:val="009717A4"/>
    <w:rsid w:val="009717C1"/>
    <w:rsid w:val="00971B03"/>
    <w:rsid w:val="00971B25"/>
    <w:rsid w:val="00971FE9"/>
    <w:rsid w:val="0097211B"/>
    <w:rsid w:val="009721B3"/>
    <w:rsid w:val="009724EC"/>
    <w:rsid w:val="00972B3B"/>
    <w:rsid w:val="00972DFD"/>
    <w:rsid w:val="009733A7"/>
    <w:rsid w:val="009733D4"/>
    <w:rsid w:val="00973425"/>
    <w:rsid w:val="009735D0"/>
    <w:rsid w:val="0097385C"/>
    <w:rsid w:val="00973916"/>
    <w:rsid w:val="0097396C"/>
    <w:rsid w:val="00973A37"/>
    <w:rsid w:val="0097422C"/>
    <w:rsid w:val="00974C8D"/>
    <w:rsid w:val="00974F19"/>
    <w:rsid w:val="009759F1"/>
    <w:rsid w:val="00975A57"/>
    <w:rsid w:val="00975A93"/>
    <w:rsid w:val="00975D7A"/>
    <w:rsid w:val="00975E61"/>
    <w:rsid w:val="00976006"/>
    <w:rsid w:val="00976154"/>
    <w:rsid w:val="00976435"/>
    <w:rsid w:val="00976C69"/>
    <w:rsid w:val="00976E31"/>
    <w:rsid w:val="009771F6"/>
    <w:rsid w:val="00977233"/>
    <w:rsid w:val="00977254"/>
    <w:rsid w:val="0097755E"/>
    <w:rsid w:val="00977724"/>
    <w:rsid w:val="00977B57"/>
    <w:rsid w:val="00977BC2"/>
    <w:rsid w:val="00977BEF"/>
    <w:rsid w:val="00977C63"/>
    <w:rsid w:val="00977F91"/>
    <w:rsid w:val="00980087"/>
    <w:rsid w:val="00980293"/>
    <w:rsid w:val="0098096C"/>
    <w:rsid w:val="009809C3"/>
    <w:rsid w:val="00980A19"/>
    <w:rsid w:val="00980BA8"/>
    <w:rsid w:val="00980C0B"/>
    <w:rsid w:val="00980E20"/>
    <w:rsid w:val="00980FF8"/>
    <w:rsid w:val="00981207"/>
    <w:rsid w:val="0098135D"/>
    <w:rsid w:val="00981431"/>
    <w:rsid w:val="0098143B"/>
    <w:rsid w:val="00981706"/>
    <w:rsid w:val="00981708"/>
    <w:rsid w:val="00981FBF"/>
    <w:rsid w:val="0098212F"/>
    <w:rsid w:val="00982710"/>
    <w:rsid w:val="00982718"/>
    <w:rsid w:val="00982910"/>
    <w:rsid w:val="00982995"/>
    <w:rsid w:val="00982AD1"/>
    <w:rsid w:val="00982BC7"/>
    <w:rsid w:val="00982CC3"/>
    <w:rsid w:val="00982D3A"/>
    <w:rsid w:val="00982F56"/>
    <w:rsid w:val="00982FB2"/>
    <w:rsid w:val="0098315B"/>
    <w:rsid w:val="009831FD"/>
    <w:rsid w:val="009832EE"/>
    <w:rsid w:val="00983311"/>
    <w:rsid w:val="009833CF"/>
    <w:rsid w:val="00983459"/>
    <w:rsid w:val="0098367B"/>
    <w:rsid w:val="009837BB"/>
    <w:rsid w:val="00984042"/>
    <w:rsid w:val="00984229"/>
    <w:rsid w:val="0098422D"/>
    <w:rsid w:val="0098430F"/>
    <w:rsid w:val="00984473"/>
    <w:rsid w:val="0098448F"/>
    <w:rsid w:val="00984507"/>
    <w:rsid w:val="00984784"/>
    <w:rsid w:val="00984DCF"/>
    <w:rsid w:val="00984F0C"/>
    <w:rsid w:val="0098524F"/>
    <w:rsid w:val="0098525B"/>
    <w:rsid w:val="0098568B"/>
    <w:rsid w:val="00985825"/>
    <w:rsid w:val="00985A80"/>
    <w:rsid w:val="00985EA3"/>
    <w:rsid w:val="00985EC4"/>
    <w:rsid w:val="00985ECD"/>
    <w:rsid w:val="00985F1A"/>
    <w:rsid w:val="00985F76"/>
    <w:rsid w:val="00985FDA"/>
    <w:rsid w:val="009860B1"/>
    <w:rsid w:val="00986270"/>
    <w:rsid w:val="009864DA"/>
    <w:rsid w:val="0098658B"/>
    <w:rsid w:val="00986762"/>
    <w:rsid w:val="00986A14"/>
    <w:rsid w:val="00986A49"/>
    <w:rsid w:val="00986C95"/>
    <w:rsid w:val="00986CB3"/>
    <w:rsid w:val="00986CF8"/>
    <w:rsid w:val="00987207"/>
    <w:rsid w:val="00987408"/>
    <w:rsid w:val="00987673"/>
    <w:rsid w:val="00987767"/>
    <w:rsid w:val="009879E0"/>
    <w:rsid w:val="00987ABE"/>
    <w:rsid w:val="00987C4F"/>
    <w:rsid w:val="00987E3C"/>
    <w:rsid w:val="00987F5E"/>
    <w:rsid w:val="00988931"/>
    <w:rsid w:val="00990157"/>
    <w:rsid w:val="009906C7"/>
    <w:rsid w:val="00990F45"/>
    <w:rsid w:val="00990FD3"/>
    <w:rsid w:val="009911A1"/>
    <w:rsid w:val="00991BDE"/>
    <w:rsid w:val="00991EFB"/>
    <w:rsid w:val="00991FC3"/>
    <w:rsid w:val="00992202"/>
    <w:rsid w:val="00992631"/>
    <w:rsid w:val="00992FF4"/>
    <w:rsid w:val="0099319F"/>
    <w:rsid w:val="00993239"/>
    <w:rsid w:val="009936E7"/>
    <w:rsid w:val="00993717"/>
    <w:rsid w:val="00993941"/>
    <w:rsid w:val="00993AFE"/>
    <w:rsid w:val="00993C80"/>
    <w:rsid w:val="00993CCA"/>
    <w:rsid w:val="00994035"/>
    <w:rsid w:val="00994074"/>
    <w:rsid w:val="0099456A"/>
    <w:rsid w:val="00994A94"/>
    <w:rsid w:val="00994AE3"/>
    <w:rsid w:val="00994B8A"/>
    <w:rsid w:val="00994C16"/>
    <w:rsid w:val="009950A5"/>
    <w:rsid w:val="00995162"/>
    <w:rsid w:val="009951E9"/>
    <w:rsid w:val="0099539B"/>
    <w:rsid w:val="00995A44"/>
    <w:rsid w:val="00995E8B"/>
    <w:rsid w:val="00995F8C"/>
    <w:rsid w:val="0099608C"/>
    <w:rsid w:val="0099630F"/>
    <w:rsid w:val="009963CD"/>
    <w:rsid w:val="0099654B"/>
    <w:rsid w:val="009966F1"/>
    <w:rsid w:val="0099680D"/>
    <w:rsid w:val="0099684E"/>
    <w:rsid w:val="00996B5A"/>
    <w:rsid w:val="00996D16"/>
    <w:rsid w:val="00997924"/>
    <w:rsid w:val="009979EF"/>
    <w:rsid w:val="00997E0D"/>
    <w:rsid w:val="00997F49"/>
    <w:rsid w:val="009A01D3"/>
    <w:rsid w:val="009A0298"/>
    <w:rsid w:val="009A03EC"/>
    <w:rsid w:val="009A0502"/>
    <w:rsid w:val="009A05D3"/>
    <w:rsid w:val="009A089D"/>
    <w:rsid w:val="009A09E5"/>
    <w:rsid w:val="009A0FD9"/>
    <w:rsid w:val="009A1159"/>
    <w:rsid w:val="009A1463"/>
    <w:rsid w:val="009A188B"/>
    <w:rsid w:val="009A197F"/>
    <w:rsid w:val="009A1B50"/>
    <w:rsid w:val="009A1F25"/>
    <w:rsid w:val="009A2346"/>
    <w:rsid w:val="009A251A"/>
    <w:rsid w:val="009A2984"/>
    <w:rsid w:val="009A29FB"/>
    <w:rsid w:val="009A2A44"/>
    <w:rsid w:val="009A2C4A"/>
    <w:rsid w:val="009A2C69"/>
    <w:rsid w:val="009A2C6B"/>
    <w:rsid w:val="009A36A6"/>
    <w:rsid w:val="009A36A9"/>
    <w:rsid w:val="009A371A"/>
    <w:rsid w:val="009A4505"/>
    <w:rsid w:val="009A4607"/>
    <w:rsid w:val="009A4838"/>
    <w:rsid w:val="009A4B40"/>
    <w:rsid w:val="009A4CCA"/>
    <w:rsid w:val="009A4F92"/>
    <w:rsid w:val="009A5337"/>
    <w:rsid w:val="009A53F7"/>
    <w:rsid w:val="009A5423"/>
    <w:rsid w:val="009A54EA"/>
    <w:rsid w:val="009A5620"/>
    <w:rsid w:val="009A5698"/>
    <w:rsid w:val="009A5999"/>
    <w:rsid w:val="009A5C97"/>
    <w:rsid w:val="009A5DAC"/>
    <w:rsid w:val="009A601D"/>
    <w:rsid w:val="009A6034"/>
    <w:rsid w:val="009A61E6"/>
    <w:rsid w:val="009A6272"/>
    <w:rsid w:val="009A62DA"/>
    <w:rsid w:val="009A63E7"/>
    <w:rsid w:val="009A65DE"/>
    <w:rsid w:val="009A668C"/>
    <w:rsid w:val="009A6B8C"/>
    <w:rsid w:val="009A744F"/>
    <w:rsid w:val="009A790B"/>
    <w:rsid w:val="009A7BDC"/>
    <w:rsid w:val="009A7D56"/>
    <w:rsid w:val="009B01ED"/>
    <w:rsid w:val="009B04DF"/>
    <w:rsid w:val="009B073F"/>
    <w:rsid w:val="009B0950"/>
    <w:rsid w:val="009B09EA"/>
    <w:rsid w:val="009B0C4B"/>
    <w:rsid w:val="009B0E86"/>
    <w:rsid w:val="009B0FA8"/>
    <w:rsid w:val="009B13E1"/>
    <w:rsid w:val="009B1622"/>
    <w:rsid w:val="009B1950"/>
    <w:rsid w:val="009B1A90"/>
    <w:rsid w:val="009B1B3A"/>
    <w:rsid w:val="009B1D0D"/>
    <w:rsid w:val="009B2463"/>
    <w:rsid w:val="009B266D"/>
    <w:rsid w:val="009B2A19"/>
    <w:rsid w:val="009B2A39"/>
    <w:rsid w:val="009B2C25"/>
    <w:rsid w:val="009B2CA4"/>
    <w:rsid w:val="009B30B2"/>
    <w:rsid w:val="009B3A85"/>
    <w:rsid w:val="009B3AAC"/>
    <w:rsid w:val="009B3BD2"/>
    <w:rsid w:val="009B3F7A"/>
    <w:rsid w:val="009B3FF6"/>
    <w:rsid w:val="009B4061"/>
    <w:rsid w:val="009B4155"/>
    <w:rsid w:val="009B4397"/>
    <w:rsid w:val="009B4606"/>
    <w:rsid w:val="009B461E"/>
    <w:rsid w:val="009B48E8"/>
    <w:rsid w:val="009B4CDA"/>
    <w:rsid w:val="009B569E"/>
    <w:rsid w:val="009B5BDF"/>
    <w:rsid w:val="009B5CA2"/>
    <w:rsid w:val="009B5CBF"/>
    <w:rsid w:val="009B5EEE"/>
    <w:rsid w:val="009B6046"/>
    <w:rsid w:val="009B6154"/>
    <w:rsid w:val="009B634F"/>
    <w:rsid w:val="009B6779"/>
    <w:rsid w:val="009B6A73"/>
    <w:rsid w:val="009B6B6D"/>
    <w:rsid w:val="009B6C7E"/>
    <w:rsid w:val="009B775F"/>
    <w:rsid w:val="009B77A6"/>
    <w:rsid w:val="009B7844"/>
    <w:rsid w:val="009B7880"/>
    <w:rsid w:val="009B794D"/>
    <w:rsid w:val="009B79D4"/>
    <w:rsid w:val="009B7BCA"/>
    <w:rsid w:val="009B7F5E"/>
    <w:rsid w:val="009C02A9"/>
    <w:rsid w:val="009C031A"/>
    <w:rsid w:val="009C03CA"/>
    <w:rsid w:val="009C046D"/>
    <w:rsid w:val="009C0620"/>
    <w:rsid w:val="009C0D05"/>
    <w:rsid w:val="009C0DFD"/>
    <w:rsid w:val="009C0E4C"/>
    <w:rsid w:val="009C1104"/>
    <w:rsid w:val="009C12BA"/>
    <w:rsid w:val="009C1515"/>
    <w:rsid w:val="009C177E"/>
    <w:rsid w:val="009C184A"/>
    <w:rsid w:val="009C1F3F"/>
    <w:rsid w:val="009C2526"/>
    <w:rsid w:val="009C2634"/>
    <w:rsid w:val="009C26EA"/>
    <w:rsid w:val="009C2CA5"/>
    <w:rsid w:val="009C2F70"/>
    <w:rsid w:val="009C3123"/>
    <w:rsid w:val="009C32E0"/>
    <w:rsid w:val="009C32FD"/>
    <w:rsid w:val="009C3405"/>
    <w:rsid w:val="009C3B10"/>
    <w:rsid w:val="009C3BEC"/>
    <w:rsid w:val="009C3C21"/>
    <w:rsid w:val="009C3D26"/>
    <w:rsid w:val="009C3DF0"/>
    <w:rsid w:val="009C3EB1"/>
    <w:rsid w:val="009C42D1"/>
    <w:rsid w:val="009C4B79"/>
    <w:rsid w:val="009C5243"/>
    <w:rsid w:val="009C5502"/>
    <w:rsid w:val="009C5735"/>
    <w:rsid w:val="009C5BC6"/>
    <w:rsid w:val="009C5E33"/>
    <w:rsid w:val="009C6082"/>
    <w:rsid w:val="009C6441"/>
    <w:rsid w:val="009C6477"/>
    <w:rsid w:val="009C67F1"/>
    <w:rsid w:val="009C6898"/>
    <w:rsid w:val="009C68EE"/>
    <w:rsid w:val="009C6B7D"/>
    <w:rsid w:val="009C7092"/>
    <w:rsid w:val="009C73B5"/>
    <w:rsid w:val="009C75CB"/>
    <w:rsid w:val="009D006D"/>
    <w:rsid w:val="009D0E92"/>
    <w:rsid w:val="009D0F63"/>
    <w:rsid w:val="009D119A"/>
    <w:rsid w:val="009D164E"/>
    <w:rsid w:val="009D1784"/>
    <w:rsid w:val="009D1C91"/>
    <w:rsid w:val="009D1DDC"/>
    <w:rsid w:val="009D1E46"/>
    <w:rsid w:val="009D1FC5"/>
    <w:rsid w:val="009D251D"/>
    <w:rsid w:val="009D2647"/>
    <w:rsid w:val="009D27CA"/>
    <w:rsid w:val="009D2948"/>
    <w:rsid w:val="009D2A47"/>
    <w:rsid w:val="009D2CAE"/>
    <w:rsid w:val="009D2CCA"/>
    <w:rsid w:val="009D35B5"/>
    <w:rsid w:val="009D35EA"/>
    <w:rsid w:val="009D394E"/>
    <w:rsid w:val="009D39BE"/>
    <w:rsid w:val="009D39F8"/>
    <w:rsid w:val="009D3B04"/>
    <w:rsid w:val="009D3B5B"/>
    <w:rsid w:val="009D3BEB"/>
    <w:rsid w:val="009D3E45"/>
    <w:rsid w:val="009D3F33"/>
    <w:rsid w:val="009D475F"/>
    <w:rsid w:val="009D4A9D"/>
    <w:rsid w:val="009D4B14"/>
    <w:rsid w:val="009D4DFE"/>
    <w:rsid w:val="009D56DF"/>
    <w:rsid w:val="009D571D"/>
    <w:rsid w:val="009D5876"/>
    <w:rsid w:val="009D5ADA"/>
    <w:rsid w:val="009D5D0E"/>
    <w:rsid w:val="009D5D3F"/>
    <w:rsid w:val="009D5D8A"/>
    <w:rsid w:val="009D5E0A"/>
    <w:rsid w:val="009D5E1F"/>
    <w:rsid w:val="009D5E63"/>
    <w:rsid w:val="009D5FE7"/>
    <w:rsid w:val="009D693F"/>
    <w:rsid w:val="009D6E83"/>
    <w:rsid w:val="009D70C1"/>
    <w:rsid w:val="009D751D"/>
    <w:rsid w:val="009D7BE1"/>
    <w:rsid w:val="009D7BE4"/>
    <w:rsid w:val="009E026F"/>
    <w:rsid w:val="009E0276"/>
    <w:rsid w:val="009E04A6"/>
    <w:rsid w:val="009E0522"/>
    <w:rsid w:val="009E0560"/>
    <w:rsid w:val="009E07D7"/>
    <w:rsid w:val="009E0C88"/>
    <w:rsid w:val="009E10CF"/>
    <w:rsid w:val="009E10EA"/>
    <w:rsid w:val="009E113A"/>
    <w:rsid w:val="009E11B7"/>
    <w:rsid w:val="009E1367"/>
    <w:rsid w:val="009E13DA"/>
    <w:rsid w:val="009E166E"/>
    <w:rsid w:val="009E19B8"/>
    <w:rsid w:val="009E2065"/>
    <w:rsid w:val="009E22AC"/>
    <w:rsid w:val="009E2B37"/>
    <w:rsid w:val="009E2BBB"/>
    <w:rsid w:val="009E2E08"/>
    <w:rsid w:val="009E2E39"/>
    <w:rsid w:val="009E3133"/>
    <w:rsid w:val="009E3417"/>
    <w:rsid w:val="009E3446"/>
    <w:rsid w:val="009E362A"/>
    <w:rsid w:val="009E38AF"/>
    <w:rsid w:val="009E3922"/>
    <w:rsid w:val="009E3D8E"/>
    <w:rsid w:val="009E4211"/>
    <w:rsid w:val="009E4C98"/>
    <w:rsid w:val="009E4DB0"/>
    <w:rsid w:val="009E4FF6"/>
    <w:rsid w:val="009E52D8"/>
    <w:rsid w:val="009E53C1"/>
    <w:rsid w:val="009E5B30"/>
    <w:rsid w:val="009E5C0B"/>
    <w:rsid w:val="009E5D6D"/>
    <w:rsid w:val="009E60E6"/>
    <w:rsid w:val="009E6139"/>
    <w:rsid w:val="009E6262"/>
    <w:rsid w:val="009E6ADE"/>
    <w:rsid w:val="009E6C07"/>
    <w:rsid w:val="009E6EBA"/>
    <w:rsid w:val="009E7008"/>
    <w:rsid w:val="009E7035"/>
    <w:rsid w:val="009E713A"/>
    <w:rsid w:val="009E7480"/>
    <w:rsid w:val="009E74A8"/>
    <w:rsid w:val="009E74EC"/>
    <w:rsid w:val="009E78FD"/>
    <w:rsid w:val="009F04F7"/>
    <w:rsid w:val="009F0691"/>
    <w:rsid w:val="009F0798"/>
    <w:rsid w:val="009F080F"/>
    <w:rsid w:val="009F0D26"/>
    <w:rsid w:val="009F0FFC"/>
    <w:rsid w:val="009F110C"/>
    <w:rsid w:val="009F11CB"/>
    <w:rsid w:val="009F12BD"/>
    <w:rsid w:val="009F14AD"/>
    <w:rsid w:val="009F15B6"/>
    <w:rsid w:val="009F19DC"/>
    <w:rsid w:val="009F1C6B"/>
    <w:rsid w:val="009F1C7E"/>
    <w:rsid w:val="009F1E81"/>
    <w:rsid w:val="009F2079"/>
    <w:rsid w:val="009F2220"/>
    <w:rsid w:val="009F24EA"/>
    <w:rsid w:val="009F3217"/>
    <w:rsid w:val="009F33C2"/>
    <w:rsid w:val="009F351F"/>
    <w:rsid w:val="009F36FA"/>
    <w:rsid w:val="009F375B"/>
    <w:rsid w:val="009F397A"/>
    <w:rsid w:val="009F3CCB"/>
    <w:rsid w:val="009F3D20"/>
    <w:rsid w:val="009F3F89"/>
    <w:rsid w:val="009F3FB2"/>
    <w:rsid w:val="009F46C1"/>
    <w:rsid w:val="009F480E"/>
    <w:rsid w:val="009F4959"/>
    <w:rsid w:val="009F4B41"/>
    <w:rsid w:val="009F4BFD"/>
    <w:rsid w:val="009F4C23"/>
    <w:rsid w:val="009F51FC"/>
    <w:rsid w:val="009F537C"/>
    <w:rsid w:val="009F54AE"/>
    <w:rsid w:val="009F56E1"/>
    <w:rsid w:val="009F581B"/>
    <w:rsid w:val="009F5881"/>
    <w:rsid w:val="009F5FA6"/>
    <w:rsid w:val="009F600B"/>
    <w:rsid w:val="009F6708"/>
    <w:rsid w:val="009F6881"/>
    <w:rsid w:val="009F6991"/>
    <w:rsid w:val="009F6A32"/>
    <w:rsid w:val="009F707C"/>
    <w:rsid w:val="009F7080"/>
    <w:rsid w:val="009F708E"/>
    <w:rsid w:val="009F712B"/>
    <w:rsid w:val="009F7244"/>
    <w:rsid w:val="009F7426"/>
    <w:rsid w:val="009F760C"/>
    <w:rsid w:val="009F7785"/>
    <w:rsid w:val="009F7A47"/>
    <w:rsid w:val="009F7B34"/>
    <w:rsid w:val="009F7D30"/>
    <w:rsid w:val="00A0065E"/>
    <w:rsid w:val="00A00DAB"/>
    <w:rsid w:val="00A00FB7"/>
    <w:rsid w:val="00A011BD"/>
    <w:rsid w:val="00A01393"/>
    <w:rsid w:val="00A0186C"/>
    <w:rsid w:val="00A018DC"/>
    <w:rsid w:val="00A01A75"/>
    <w:rsid w:val="00A01E84"/>
    <w:rsid w:val="00A022A2"/>
    <w:rsid w:val="00A02758"/>
    <w:rsid w:val="00A02785"/>
    <w:rsid w:val="00A02A07"/>
    <w:rsid w:val="00A02BC7"/>
    <w:rsid w:val="00A02D15"/>
    <w:rsid w:val="00A02D65"/>
    <w:rsid w:val="00A0367B"/>
    <w:rsid w:val="00A0374A"/>
    <w:rsid w:val="00A03920"/>
    <w:rsid w:val="00A03AAF"/>
    <w:rsid w:val="00A03C87"/>
    <w:rsid w:val="00A03EB1"/>
    <w:rsid w:val="00A04152"/>
    <w:rsid w:val="00A04436"/>
    <w:rsid w:val="00A045FF"/>
    <w:rsid w:val="00A0473A"/>
    <w:rsid w:val="00A048A0"/>
    <w:rsid w:val="00A0498F"/>
    <w:rsid w:val="00A04CF0"/>
    <w:rsid w:val="00A04E1B"/>
    <w:rsid w:val="00A05001"/>
    <w:rsid w:val="00A0517D"/>
    <w:rsid w:val="00A051A6"/>
    <w:rsid w:val="00A05283"/>
    <w:rsid w:val="00A05514"/>
    <w:rsid w:val="00A0586B"/>
    <w:rsid w:val="00A05DAB"/>
    <w:rsid w:val="00A061A0"/>
    <w:rsid w:val="00A0642D"/>
    <w:rsid w:val="00A06729"/>
    <w:rsid w:val="00A06BB8"/>
    <w:rsid w:val="00A0751C"/>
    <w:rsid w:val="00A0755F"/>
    <w:rsid w:val="00A076C5"/>
    <w:rsid w:val="00A077C8"/>
    <w:rsid w:val="00A10059"/>
    <w:rsid w:val="00A1033D"/>
    <w:rsid w:val="00A10551"/>
    <w:rsid w:val="00A10653"/>
    <w:rsid w:val="00A10AAA"/>
    <w:rsid w:val="00A10B29"/>
    <w:rsid w:val="00A10EB9"/>
    <w:rsid w:val="00A10FA9"/>
    <w:rsid w:val="00A1102E"/>
    <w:rsid w:val="00A11238"/>
    <w:rsid w:val="00A11403"/>
    <w:rsid w:val="00A117DD"/>
    <w:rsid w:val="00A11936"/>
    <w:rsid w:val="00A11ABD"/>
    <w:rsid w:val="00A11AEF"/>
    <w:rsid w:val="00A11B9F"/>
    <w:rsid w:val="00A11C17"/>
    <w:rsid w:val="00A12380"/>
    <w:rsid w:val="00A12442"/>
    <w:rsid w:val="00A1265A"/>
    <w:rsid w:val="00A12735"/>
    <w:rsid w:val="00A1295F"/>
    <w:rsid w:val="00A12E80"/>
    <w:rsid w:val="00A12F02"/>
    <w:rsid w:val="00A132F3"/>
    <w:rsid w:val="00A1335F"/>
    <w:rsid w:val="00A1337F"/>
    <w:rsid w:val="00A136B2"/>
    <w:rsid w:val="00A13DC9"/>
    <w:rsid w:val="00A142C9"/>
    <w:rsid w:val="00A142F8"/>
    <w:rsid w:val="00A14894"/>
    <w:rsid w:val="00A14AB9"/>
    <w:rsid w:val="00A14AF5"/>
    <w:rsid w:val="00A14DFD"/>
    <w:rsid w:val="00A15242"/>
    <w:rsid w:val="00A1547B"/>
    <w:rsid w:val="00A155A4"/>
    <w:rsid w:val="00A1593C"/>
    <w:rsid w:val="00A16752"/>
    <w:rsid w:val="00A16858"/>
    <w:rsid w:val="00A169FF"/>
    <w:rsid w:val="00A16BAD"/>
    <w:rsid w:val="00A16EEB"/>
    <w:rsid w:val="00A16F08"/>
    <w:rsid w:val="00A17104"/>
    <w:rsid w:val="00A17112"/>
    <w:rsid w:val="00A1722B"/>
    <w:rsid w:val="00A175BC"/>
    <w:rsid w:val="00A17B42"/>
    <w:rsid w:val="00A17E7C"/>
    <w:rsid w:val="00A20128"/>
    <w:rsid w:val="00A20347"/>
    <w:rsid w:val="00A203BF"/>
    <w:rsid w:val="00A2082A"/>
    <w:rsid w:val="00A20FFA"/>
    <w:rsid w:val="00A212AF"/>
    <w:rsid w:val="00A21386"/>
    <w:rsid w:val="00A2158C"/>
    <w:rsid w:val="00A216C9"/>
    <w:rsid w:val="00A21861"/>
    <w:rsid w:val="00A224B8"/>
    <w:rsid w:val="00A226FA"/>
    <w:rsid w:val="00A2294E"/>
    <w:rsid w:val="00A22B04"/>
    <w:rsid w:val="00A22C2E"/>
    <w:rsid w:val="00A23003"/>
    <w:rsid w:val="00A23344"/>
    <w:rsid w:val="00A23786"/>
    <w:rsid w:val="00A23B1B"/>
    <w:rsid w:val="00A243AE"/>
    <w:rsid w:val="00A2490F"/>
    <w:rsid w:val="00A24AD8"/>
    <w:rsid w:val="00A24E73"/>
    <w:rsid w:val="00A25045"/>
    <w:rsid w:val="00A2564B"/>
    <w:rsid w:val="00A256E9"/>
    <w:rsid w:val="00A2591C"/>
    <w:rsid w:val="00A25AF0"/>
    <w:rsid w:val="00A25D8A"/>
    <w:rsid w:val="00A25F55"/>
    <w:rsid w:val="00A26517"/>
    <w:rsid w:val="00A2669F"/>
    <w:rsid w:val="00A268BC"/>
    <w:rsid w:val="00A2692B"/>
    <w:rsid w:val="00A26B0D"/>
    <w:rsid w:val="00A26BDD"/>
    <w:rsid w:val="00A2790E"/>
    <w:rsid w:val="00A27C4D"/>
    <w:rsid w:val="00A30232"/>
    <w:rsid w:val="00A30A08"/>
    <w:rsid w:val="00A30B65"/>
    <w:rsid w:val="00A30D86"/>
    <w:rsid w:val="00A30ED4"/>
    <w:rsid w:val="00A31374"/>
    <w:rsid w:val="00A31400"/>
    <w:rsid w:val="00A31F3D"/>
    <w:rsid w:val="00A31FD3"/>
    <w:rsid w:val="00A320E7"/>
    <w:rsid w:val="00A3248E"/>
    <w:rsid w:val="00A324FE"/>
    <w:rsid w:val="00A3251E"/>
    <w:rsid w:val="00A32568"/>
    <w:rsid w:val="00A32CB5"/>
    <w:rsid w:val="00A32F13"/>
    <w:rsid w:val="00A33220"/>
    <w:rsid w:val="00A337E4"/>
    <w:rsid w:val="00A33D03"/>
    <w:rsid w:val="00A3432A"/>
    <w:rsid w:val="00A3439F"/>
    <w:rsid w:val="00A34824"/>
    <w:rsid w:val="00A34B75"/>
    <w:rsid w:val="00A34D12"/>
    <w:rsid w:val="00A34D64"/>
    <w:rsid w:val="00A34DDA"/>
    <w:rsid w:val="00A35088"/>
    <w:rsid w:val="00A35A04"/>
    <w:rsid w:val="00A35A2F"/>
    <w:rsid w:val="00A35A76"/>
    <w:rsid w:val="00A35B5D"/>
    <w:rsid w:val="00A35CB9"/>
    <w:rsid w:val="00A36039"/>
    <w:rsid w:val="00A36400"/>
    <w:rsid w:val="00A36718"/>
    <w:rsid w:val="00A368D7"/>
    <w:rsid w:val="00A36B50"/>
    <w:rsid w:val="00A36FA4"/>
    <w:rsid w:val="00A370B2"/>
    <w:rsid w:val="00A3735A"/>
    <w:rsid w:val="00A3740B"/>
    <w:rsid w:val="00A3744B"/>
    <w:rsid w:val="00A3762E"/>
    <w:rsid w:val="00A37801"/>
    <w:rsid w:val="00A3781D"/>
    <w:rsid w:val="00A3784D"/>
    <w:rsid w:val="00A3794B"/>
    <w:rsid w:val="00A37965"/>
    <w:rsid w:val="00A379EF"/>
    <w:rsid w:val="00A37A49"/>
    <w:rsid w:val="00A37AF5"/>
    <w:rsid w:val="00A37E68"/>
    <w:rsid w:val="00A40041"/>
    <w:rsid w:val="00A4024B"/>
    <w:rsid w:val="00A40390"/>
    <w:rsid w:val="00A40799"/>
    <w:rsid w:val="00A40A54"/>
    <w:rsid w:val="00A40B1B"/>
    <w:rsid w:val="00A40C06"/>
    <w:rsid w:val="00A40EED"/>
    <w:rsid w:val="00A40FC4"/>
    <w:rsid w:val="00A410B2"/>
    <w:rsid w:val="00A41152"/>
    <w:rsid w:val="00A418FB"/>
    <w:rsid w:val="00A419F2"/>
    <w:rsid w:val="00A41B11"/>
    <w:rsid w:val="00A42005"/>
    <w:rsid w:val="00A424DB"/>
    <w:rsid w:val="00A427CE"/>
    <w:rsid w:val="00A42A73"/>
    <w:rsid w:val="00A42B9B"/>
    <w:rsid w:val="00A42BB3"/>
    <w:rsid w:val="00A42F1B"/>
    <w:rsid w:val="00A4309E"/>
    <w:rsid w:val="00A4310E"/>
    <w:rsid w:val="00A4314E"/>
    <w:rsid w:val="00A4320A"/>
    <w:rsid w:val="00A434EB"/>
    <w:rsid w:val="00A43C54"/>
    <w:rsid w:val="00A43D36"/>
    <w:rsid w:val="00A43DA7"/>
    <w:rsid w:val="00A43DF0"/>
    <w:rsid w:val="00A43FDF"/>
    <w:rsid w:val="00A43FE4"/>
    <w:rsid w:val="00A440AD"/>
    <w:rsid w:val="00A4411F"/>
    <w:rsid w:val="00A442FF"/>
    <w:rsid w:val="00A44477"/>
    <w:rsid w:val="00A44512"/>
    <w:rsid w:val="00A4493C"/>
    <w:rsid w:val="00A449DD"/>
    <w:rsid w:val="00A44BE6"/>
    <w:rsid w:val="00A44DCB"/>
    <w:rsid w:val="00A44E02"/>
    <w:rsid w:val="00A44E96"/>
    <w:rsid w:val="00A44F81"/>
    <w:rsid w:val="00A45629"/>
    <w:rsid w:val="00A459B7"/>
    <w:rsid w:val="00A45D0F"/>
    <w:rsid w:val="00A46070"/>
    <w:rsid w:val="00A460D8"/>
    <w:rsid w:val="00A461A2"/>
    <w:rsid w:val="00A46269"/>
    <w:rsid w:val="00A465D5"/>
    <w:rsid w:val="00A467F6"/>
    <w:rsid w:val="00A468CA"/>
    <w:rsid w:val="00A470C7"/>
    <w:rsid w:val="00A4762F"/>
    <w:rsid w:val="00A4783C"/>
    <w:rsid w:val="00A479CF"/>
    <w:rsid w:val="00A47ABF"/>
    <w:rsid w:val="00A47E83"/>
    <w:rsid w:val="00A5018A"/>
    <w:rsid w:val="00A507C7"/>
    <w:rsid w:val="00A508B2"/>
    <w:rsid w:val="00A50B0C"/>
    <w:rsid w:val="00A50CA4"/>
    <w:rsid w:val="00A50D1F"/>
    <w:rsid w:val="00A515D7"/>
    <w:rsid w:val="00A5160A"/>
    <w:rsid w:val="00A51742"/>
    <w:rsid w:val="00A51A0D"/>
    <w:rsid w:val="00A51A3A"/>
    <w:rsid w:val="00A52081"/>
    <w:rsid w:val="00A523C7"/>
    <w:rsid w:val="00A523E3"/>
    <w:rsid w:val="00A52502"/>
    <w:rsid w:val="00A5261D"/>
    <w:rsid w:val="00A527D7"/>
    <w:rsid w:val="00A52E64"/>
    <w:rsid w:val="00A53375"/>
    <w:rsid w:val="00A5357C"/>
    <w:rsid w:val="00A536BC"/>
    <w:rsid w:val="00A53C1E"/>
    <w:rsid w:val="00A546BC"/>
    <w:rsid w:val="00A55027"/>
    <w:rsid w:val="00A55245"/>
    <w:rsid w:val="00A55486"/>
    <w:rsid w:val="00A55547"/>
    <w:rsid w:val="00A555CA"/>
    <w:rsid w:val="00A5572A"/>
    <w:rsid w:val="00A55772"/>
    <w:rsid w:val="00A557B0"/>
    <w:rsid w:val="00A55989"/>
    <w:rsid w:val="00A55DC6"/>
    <w:rsid w:val="00A55F41"/>
    <w:rsid w:val="00A561DF"/>
    <w:rsid w:val="00A56477"/>
    <w:rsid w:val="00A564FE"/>
    <w:rsid w:val="00A5671D"/>
    <w:rsid w:val="00A56803"/>
    <w:rsid w:val="00A5688C"/>
    <w:rsid w:val="00A5694A"/>
    <w:rsid w:val="00A56BCA"/>
    <w:rsid w:val="00A56F8F"/>
    <w:rsid w:val="00A56FF6"/>
    <w:rsid w:val="00A57192"/>
    <w:rsid w:val="00A57306"/>
    <w:rsid w:val="00A57565"/>
    <w:rsid w:val="00A57965"/>
    <w:rsid w:val="00A57BEC"/>
    <w:rsid w:val="00A57C24"/>
    <w:rsid w:val="00A57EDD"/>
    <w:rsid w:val="00A60562"/>
    <w:rsid w:val="00A60B62"/>
    <w:rsid w:val="00A60D83"/>
    <w:rsid w:val="00A60EEB"/>
    <w:rsid w:val="00A610C1"/>
    <w:rsid w:val="00A611EF"/>
    <w:rsid w:val="00A61B25"/>
    <w:rsid w:val="00A61CDC"/>
    <w:rsid w:val="00A62157"/>
    <w:rsid w:val="00A621CC"/>
    <w:rsid w:val="00A621E1"/>
    <w:rsid w:val="00A622EB"/>
    <w:rsid w:val="00A6233E"/>
    <w:rsid w:val="00A6262F"/>
    <w:rsid w:val="00A62776"/>
    <w:rsid w:val="00A62FB2"/>
    <w:rsid w:val="00A63541"/>
    <w:rsid w:val="00A635DD"/>
    <w:rsid w:val="00A636DF"/>
    <w:rsid w:val="00A63892"/>
    <w:rsid w:val="00A63DA4"/>
    <w:rsid w:val="00A63F84"/>
    <w:rsid w:val="00A63F99"/>
    <w:rsid w:val="00A63FB1"/>
    <w:rsid w:val="00A645F1"/>
    <w:rsid w:val="00A64934"/>
    <w:rsid w:val="00A64AB4"/>
    <w:rsid w:val="00A64B2D"/>
    <w:rsid w:val="00A64CEA"/>
    <w:rsid w:val="00A65204"/>
    <w:rsid w:val="00A658A3"/>
    <w:rsid w:val="00A65ACB"/>
    <w:rsid w:val="00A65DF8"/>
    <w:rsid w:val="00A65E58"/>
    <w:rsid w:val="00A664AF"/>
    <w:rsid w:val="00A66689"/>
    <w:rsid w:val="00A66753"/>
    <w:rsid w:val="00A66832"/>
    <w:rsid w:val="00A668AE"/>
    <w:rsid w:val="00A66909"/>
    <w:rsid w:val="00A669CE"/>
    <w:rsid w:val="00A66A43"/>
    <w:rsid w:val="00A67820"/>
    <w:rsid w:val="00A67D2F"/>
    <w:rsid w:val="00A67DC4"/>
    <w:rsid w:val="00A67E5F"/>
    <w:rsid w:val="00A67E91"/>
    <w:rsid w:val="00A67E9B"/>
    <w:rsid w:val="00A70050"/>
    <w:rsid w:val="00A707BE"/>
    <w:rsid w:val="00A707CF"/>
    <w:rsid w:val="00A70B44"/>
    <w:rsid w:val="00A70C53"/>
    <w:rsid w:val="00A70D1F"/>
    <w:rsid w:val="00A712EA"/>
    <w:rsid w:val="00A714D0"/>
    <w:rsid w:val="00A71603"/>
    <w:rsid w:val="00A71E18"/>
    <w:rsid w:val="00A71EAB"/>
    <w:rsid w:val="00A71F9E"/>
    <w:rsid w:val="00A7244A"/>
    <w:rsid w:val="00A7252A"/>
    <w:rsid w:val="00A72581"/>
    <w:rsid w:val="00A72BA1"/>
    <w:rsid w:val="00A72BBA"/>
    <w:rsid w:val="00A72F84"/>
    <w:rsid w:val="00A73458"/>
    <w:rsid w:val="00A735D5"/>
    <w:rsid w:val="00A73808"/>
    <w:rsid w:val="00A73D34"/>
    <w:rsid w:val="00A73D6C"/>
    <w:rsid w:val="00A73D98"/>
    <w:rsid w:val="00A746A6"/>
    <w:rsid w:val="00A74770"/>
    <w:rsid w:val="00A748DC"/>
    <w:rsid w:val="00A748E2"/>
    <w:rsid w:val="00A74A47"/>
    <w:rsid w:val="00A7539F"/>
    <w:rsid w:val="00A7556B"/>
    <w:rsid w:val="00A75687"/>
    <w:rsid w:val="00A7581B"/>
    <w:rsid w:val="00A75946"/>
    <w:rsid w:val="00A75CD5"/>
    <w:rsid w:val="00A75D4B"/>
    <w:rsid w:val="00A76162"/>
    <w:rsid w:val="00A761D2"/>
    <w:rsid w:val="00A76370"/>
    <w:rsid w:val="00A768AD"/>
    <w:rsid w:val="00A76F99"/>
    <w:rsid w:val="00A771FC"/>
    <w:rsid w:val="00A7724D"/>
    <w:rsid w:val="00A777D7"/>
    <w:rsid w:val="00A778EB"/>
    <w:rsid w:val="00A7790F"/>
    <w:rsid w:val="00A7E00B"/>
    <w:rsid w:val="00A800ED"/>
    <w:rsid w:val="00A80B98"/>
    <w:rsid w:val="00A80DA1"/>
    <w:rsid w:val="00A810C4"/>
    <w:rsid w:val="00A8157D"/>
    <w:rsid w:val="00A816AC"/>
    <w:rsid w:val="00A81858"/>
    <w:rsid w:val="00A81968"/>
    <w:rsid w:val="00A81B6B"/>
    <w:rsid w:val="00A81D3F"/>
    <w:rsid w:val="00A81D99"/>
    <w:rsid w:val="00A81DC4"/>
    <w:rsid w:val="00A81EEC"/>
    <w:rsid w:val="00A81F59"/>
    <w:rsid w:val="00A81F8F"/>
    <w:rsid w:val="00A8200C"/>
    <w:rsid w:val="00A8236E"/>
    <w:rsid w:val="00A8255A"/>
    <w:rsid w:val="00A8312D"/>
    <w:rsid w:val="00A83130"/>
    <w:rsid w:val="00A8319D"/>
    <w:rsid w:val="00A83438"/>
    <w:rsid w:val="00A83553"/>
    <w:rsid w:val="00A8364F"/>
    <w:rsid w:val="00A83919"/>
    <w:rsid w:val="00A83AB4"/>
    <w:rsid w:val="00A83DF3"/>
    <w:rsid w:val="00A8425D"/>
    <w:rsid w:val="00A84E88"/>
    <w:rsid w:val="00A84E95"/>
    <w:rsid w:val="00A85188"/>
    <w:rsid w:val="00A85368"/>
    <w:rsid w:val="00A856D5"/>
    <w:rsid w:val="00A85915"/>
    <w:rsid w:val="00A85E3A"/>
    <w:rsid w:val="00A861FE"/>
    <w:rsid w:val="00A8674B"/>
    <w:rsid w:val="00A87287"/>
    <w:rsid w:val="00A87469"/>
    <w:rsid w:val="00A874C6"/>
    <w:rsid w:val="00A87676"/>
    <w:rsid w:val="00A8768F"/>
    <w:rsid w:val="00A87722"/>
    <w:rsid w:val="00A87F8F"/>
    <w:rsid w:val="00A9001C"/>
    <w:rsid w:val="00A905AC"/>
    <w:rsid w:val="00A90A0B"/>
    <w:rsid w:val="00A90A16"/>
    <w:rsid w:val="00A90A53"/>
    <w:rsid w:val="00A90BE8"/>
    <w:rsid w:val="00A91108"/>
    <w:rsid w:val="00A91660"/>
    <w:rsid w:val="00A91802"/>
    <w:rsid w:val="00A91E75"/>
    <w:rsid w:val="00A91EAB"/>
    <w:rsid w:val="00A91F19"/>
    <w:rsid w:val="00A92124"/>
    <w:rsid w:val="00A92345"/>
    <w:rsid w:val="00A92CA7"/>
    <w:rsid w:val="00A92F70"/>
    <w:rsid w:val="00A93463"/>
    <w:rsid w:val="00A938AC"/>
    <w:rsid w:val="00A93D09"/>
    <w:rsid w:val="00A94457"/>
    <w:rsid w:val="00A9450F"/>
    <w:rsid w:val="00A948BC"/>
    <w:rsid w:val="00A949F3"/>
    <w:rsid w:val="00A94FB0"/>
    <w:rsid w:val="00A952AB"/>
    <w:rsid w:val="00A9539C"/>
    <w:rsid w:val="00A95570"/>
    <w:rsid w:val="00A95764"/>
    <w:rsid w:val="00A95791"/>
    <w:rsid w:val="00A957F1"/>
    <w:rsid w:val="00A95BA9"/>
    <w:rsid w:val="00A96382"/>
    <w:rsid w:val="00A96555"/>
    <w:rsid w:val="00A96729"/>
    <w:rsid w:val="00A96733"/>
    <w:rsid w:val="00A96866"/>
    <w:rsid w:val="00A96C14"/>
    <w:rsid w:val="00A96C15"/>
    <w:rsid w:val="00A96DA5"/>
    <w:rsid w:val="00A971FE"/>
    <w:rsid w:val="00A97475"/>
    <w:rsid w:val="00A974E6"/>
    <w:rsid w:val="00A97745"/>
    <w:rsid w:val="00A9783D"/>
    <w:rsid w:val="00A97D77"/>
    <w:rsid w:val="00A97F73"/>
    <w:rsid w:val="00AA00D3"/>
    <w:rsid w:val="00AA0227"/>
    <w:rsid w:val="00AA06FB"/>
    <w:rsid w:val="00AA07FA"/>
    <w:rsid w:val="00AA0853"/>
    <w:rsid w:val="00AA0A3E"/>
    <w:rsid w:val="00AA0B84"/>
    <w:rsid w:val="00AA0BA9"/>
    <w:rsid w:val="00AA1586"/>
    <w:rsid w:val="00AA1653"/>
    <w:rsid w:val="00AA20D0"/>
    <w:rsid w:val="00AA2303"/>
    <w:rsid w:val="00AA2326"/>
    <w:rsid w:val="00AA2789"/>
    <w:rsid w:val="00AA29A5"/>
    <w:rsid w:val="00AA2DA0"/>
    <w:rsid w:val="00AA2E6B"/>
    <w:rsid w:val="00AA3422"/>
    <w:rsid w:val="00AA3B07"/>
    <w:rsid w:val="00AA3BA6"/>
    <w:rsid w:val="00AA3CB0"/>
    <w:rsid w:val="00AA3D1C"/>
    <w:rsid w:val="00AA407A"/>
    <w:rsid w:val="00AA41A2"/>
    <w:rsid w:val="00AA41ED"/>
    <w:rsid w:val="00AA4263"/>
    <w:rsid w:val="00AA4390"/>
    <w:rsid w:val="00AA44B0"/>
    <w:rsid w:val="00AA45E6"/>
    <w:rsid w:val="00AA4A6C"/>
    <w:rsid w:val="00AA4B78"/>
    <w:rsid w:val="00AA4C07"/>
    <w:rsid w:val="00AA4C95"/>
    <w:rsid w:val="00AA4EC2"/>
    <w:rsid w:val="00AA503C"/>
    <w:rsid w:val="00AA52BC"/>
    <w:rsid w:val="00AA52CC"/>
    <w:rsid w:val="00AA52D2"/>
    <w:rsid w:val="00AA534D"/>
    <w:rsid w:val="00AA5571"/>
    <w:rsid w:val="00AA5A37"/>
    <w:rsid w:val="00AA5C02"/>
    <w:rsid w:val="00AA60DD"/>
    <w:rsid w:val="00AA648B"/>
    <w:rsid w:val="00AA651C"/>
    <w:rsid w:val="00AA662E"/>
    <w:rsid w:val="00AA67C0"/>
    <w:rsid w:val="00AA6A84"/>
    <w:rsid w:val="00AA6B44"/>
    <w:rsid w:val="00AA6C49"/>
    <w:rsid w:val="00AA6F18"/>
    <w:rsid w:val="00AA70F2"/>
    <w:rsid w:val="00AA735E"/>
    <w:rsid w:val="00AA73BB"/>
    <w:rsid w:val="00AA7520"/>
    <w:rsid w:val="00AA7BBB"/>
    <w:rsid w:val="00AA7E7B"/>
    <w:rsid w:val="00AB04BC"/>
    <w:rsid w:val="00AB08F9"/>
    <w:rsid w:val="00AB1401"/>
    <w:rsid w:val="00AB14AC"/>
    <w:rsid w:val="00AB14FD"/>
    <w:rsid w:val="00AB18F6"/>
    <w:rsid w:val="00AB19B7"/>
    <w:rsid w:val="00AB1E3A"/>
    <w:rsid w:val="00AB2362"/>
    <w:rsid w:val="00AB242F"/>
    <w:rsid w:val="00AB2514"/>
    <w:rsid w:val="00AB25CB"/>
    <w:rsid w:val="00AB2654"/>
    <w:rsid w:val="00AB2D9A"/>
    <w:rsid w:val="00AB2FD0"/>
    <w:rsid w:val="00AB3F6C"/>
    <w:rsid w:val="00AB489C"/>
    <w:rsid w:val="00AB48F4"/>
    <w:rsid w:val="00AB50C1"/>
    <w:rsid w:val="00AB532D"/>
    <w:rsid w:val="00AB5DC1"/>
    <w:rsid w:val="00AB620B"/>
    <w:rsid w:val="00AB68A4"/>
    <w:rsid w:val="00AB68A8"/>
    <w:rsid w:val="00AB6936"/>
    <w:rsid w:val="00AB6A39"/>
    <w:rsid w:val="00AB6ADB"/>
    <w:rsid w:val="00AB7139"/>
    <w:rsid w:val="00AB738D"/>
    <w:rsid w:val="00AB73E3"/>
    <w:rsid w:val="00AB764E"/>
    <w:rsid w:val="00AB7B32"/>
    <w:rsid w:val="00AB7C7D"/>
    <w:rsid w:val="00AC01B1"/>
    <w:rsid w:val="00AC09E5"/>
    <w:rsid w:val="00AC0BD2"/>
    <w:rsid w:val="00AC0C3B"/>
    <w:rsid w:val="00AC1232"/>
    <w:rsid w:val="00AC1426"/>
    <w:rsid w:val="00AC14F7"/>
    <w:rsid w:val="00AC1736"/>
    <w:rsid w:val="00AC19F3"/>
    <w:rsid w:val="00AC23E4"/>
    <w:rsid w:val="00AC2600"/>
    <w:rsid w:val="00AC2616"/>
    <w:rsid w:val="00AC26AD"/>
    <w:rsid w:val="00AC2CCC"/>
    <w:rsid w:val="00AC2D5B"/>
    <w:rsid w:val="00AC2D63"/>
    <w:rsid w:val="00AC374B"/>
    <w:rsid w:val="00AC3B9E"/>
    <w:rsid w:val="00AC3C49"/>
    <w:rsid w:val="00AC3D00"/>
    <w:rsid w:val="00AC3EE1"/>
    <w:rsid w:val="00AC445E"/>
    <w:rsid w:val="00AC4558"/>
    <w:rsid w:val="00AC4625"/>
    <w:rsid w:val="00AC46D3"/>
    <w:rsid w:val="00AC4A68"/>
    <w:rsid w:val="00AC4B19"/>
    <w:rsid w:val="00AC4CB9"/>
    <w:rsid w:val="00AC5065"/>
    <w:rsid w:val="00AC5616"/>
    <w:rsid w:val="00AC5713"/>
    <w:rsid w:val="00AC5893"/>
    <w:rsid w:val="00AC592F"/>
    <w:rsid w:val="00AC5ED3"/>
    <w:rsid w:val="00AC6369"/>
    <w:rsid w:val="00AC6BF6"/>
    <w:rsid w:val="00AC6C46"/>
    <w:rsid w:val="00AC6D29"/>
    <w:rsid w:val="00AC6DF0"/>
    <w:rsid w:val="00AC6F45"/>
    <w:rsid w:val="00AC7084"/>
    <w:rsid w:val="00AC71C3"/>
    <w:rsid w:val="00AC762E"/>
    <w:rsid w:val="00AC78F4"/>
    <w:rsid w:val="00AC7C4C"/>
    <w:rsid w:val="00AC7EA9"/>
    <w:rsid w:val="00AD0205"/>
    <w:rsid w:val="00AD0375"/>
    <w:rsid w:val="00AD03D8"/>
    <w:rsid w:val="00AD03E4"/>
    <w:rsid w:val="00AD06CC"/>
    <w:rsid w:val="00AD0711"/>
    <w:rsid w:val="00AD080C"/>
    <w:rsid w:val="00AD0857"/>
    <w:rsid w:val="00AD0A95"/>
    <w:rsid w:val="00AD0AC8"/>
    <w:rsid w:val="00AD0C8F"/>
    <w:rsid w:val="00AD0FB2"/>
    <w:rsid w:val="00AD1134"/>
    <w:rsid w:val="00AD11A3"/>
    <w:rsid w:val="00AD12F3"/>
    <w:rsid w:val="00AD1364"/>
    <w:rsid w:val="00AD16AA"/>
    <w:rsid w:val="00AD16D4"/>
    <w:rsid w:val="00AD16D6"/>
    <w:rsid w:val="00AD17AE"/>
    <w:rsid w:val="00AD18F9"/>
    <w:rsid w:val="00AD1A96"/>
    <w:rsid w:val="00AD1B8B"/>
    <w:rsid w:val="00AD1C8A"/>
    <w:rsid w:val="00AD2180"/>
    <w:rsid w:val="00AD2192"/>
    <w:rsid w:val="00AD2277"/>
    <w:rsid w:val="00AD23F1"/>
    <w:rsid w:val="00AD2659"/>
    <w:rsid w:val="00AD2ADC"/>
    <w:rsid w:val="00AD2D91"/>
    <w:rsid w:val="00AD2E96"/>
    <w:rsid w:val="00AD346B"/>
    <w:rsid w:val="00AD3EFC"/>
    <w:rsid w:val="00AD409C"/>
    <w:rsid w:val="00AD418C"/>
    <w:rsid w:val="00AD4311"/>
    <w:rsid w:val="00AD44FA"/>
    <w:rsid w:val="00AD459D"/>
    <w:rsid w:val="00AD4887"/>
    <w:rsid w:val="00AD4A42"/>
    <w:rsid w:val="00AD4CB0"/>
    <w:rsid w:val="00AD4F77"/>
    <w:rsid w:val="00AD50EF"/>
    <w:rsid w:val="00AD5A1C"/>
    <w:rsid w:val="00AD5B95"/>
    <w:rsid w:val="00AD5D1E"/>
    <w:rsid w:val="00AD61F5"/>
    <w:rsid w:val="00AD625A"/>
    <w:rsid w:val="00AD677A"/>
    <w:rsid w:val="00AD6796"/>
    <w:rsid w:val="00AD6A72"/>
    <w:rsid w:val="00AD6B50"/>
    <w:rsid w:val="00AD6CBF"/>
    <w:rsid w:val="00AD6DD5"/>
    <w:rsid w:val="00AD6F7D"/>
    <w:rsid w:val="00AD704E"/>
    <w:rsid w:val="00AD70CB"/>
    <w:rsid w:val="00AD7427"/>
    <w:rsid w:val="00AD7696"/>
    <w:rsid w:val="00AD76DE"/>
    <w:rsid w:val="00AD771E"/>
    <w:rsid w:val="00AD78E6"/>
    <w:rsid w:val="00AE0248"/>
    <w:rsid w:val="00AE032B"/>
    <w:rsid w:val="00AE036A"/>
    <w:rsid w:val="00AE03CB"/>
    <w:rsid w:val="00AE05F0"/>
    <w:rsid w:val="00AE0883"/>
    <w:rsid w:val="00AE0BA9"/>
    <w:rsid w:val="00AE0D8B"/>
    <w:rsid w:val="00AE0D92"/>
    <w:rsid w:val="00AE131A"/>
    <w:rsid w:val="00AE1579"/>
    <w:rsid w:val="00AE17E8"/>
    <w:rsid w:val="00AE1A32"/>
    <w:rsid w:val="00AE1E3C"/>
    <w:rsid w:val="00AE1F72"/>
    <w:rsid w:val="00AE2490"/>
    <w:rsid w:val="00AE3485"/>
    <w:rsid w:val="00AE3B07"/>
    <w:rsid w:val="00AE3D40"/>
    <w:rsid w:val="00AE4575"/>
    <w:rsid w:val="00AE4647"/>
    <w:rsid w:val="00AE47A7"/>
    <w:rsid w:val="00AE47DB"/>
    <w:rsid w:val="00AE489B"/>
    <w:rsid w:val="00AE4B6A"/>
    <w:rsid w:val="00AE4C31"/>
    <w:rsid w:val="00AE4D72"/>
    <w:rsid w:val="00AE4E3D"/>
    <w:rsid w:val="00AE5205"/>
    <w:rsid w:val="00AE526D"/>
    <w:rsid w:val="00AE5498"/>
    <w:rsid w:val="00AE54EE"/>
    <w:rsid w:val="00AE5510"/>
    <w:rsid w:val="00AE5512"/>
    <w:rsid w:val="00AE59FE"/>
    <w:rsid w:val="00AE5C15"/>
    <w:rsid w:val="00AE5EC0"/>
    <w:rsid w:val="00AE5FE0"/>
    <w:rsid w:val="00AE6045"/>
    <w:rsid w:val="00AE60B7"/>
    <w:rsid w:val="00AE6166"/>
    <w:rsid w:val="00AE62B6"/>
    <w:rsid w:val="00AE68BB"/>
    <w:rsid w:val="00AE6AA1"/>
    <w:rsid w:val="00AE6DF1"/>
    <w:rsid w:val="00AE6ECA"/>
    <w:rsid w:val="00AE7141"/>
    <w:rsid w:val="00AE75E9"/>
    <w:rsid w:val="00AE7633"/>
    <w:rsid w:val="00AE7DC7"/>
    <w:rsid w:val="00AE7F3F"/>
    <w:rsid w:val="00AF0338"/>
    <w:rsid w:val="00AF0480"/>
    <w:rsid w:val="00AF078A"/>
    <w:rsid w:val="00AF0BD6"/>
    <w:rsid w:val="00AF0BE4"/>
    <w:rsid w:val="00AF0F6E"/>
    <w:rsid w:val="00AF11CC"/>
    <w:rsid w:val="00AF128A"/>
    <w:rsid w:val="00AF153F"/>
    <w:rsid w:val="00AF17EE"/>
    <w:rsid w:val="00AF1854"/>
    <w:rsid w:val="00AF1AAF"/>
    <w:rsid w:val="00AF1DA7"/>
    <w:rsid w:val="00AF1E01"/>
    <w:rsid w:val="00AF1EBF"/>
    <w:rsid w:val="00AF217E"/>
    <w:rsid w:val="00AF232F"/>
    <w:rsid w:val="00AF23A7"/>
    <w:rsid w:val="00AF2A81"/>
    <w:rsid w:val="00AF2AB7"/>
    <w:rsid w:val="00AF2B1C"/>
    <w:rsid w:val="00AF2BB2"/>
    <w:rsid w:val="00AF2F79"/>
    <w:rsid w:val="00AF3301"/>
    <w:rsid w:val="00AF35D9"/>
    <w:rsid w:val="00AF3658"/>
    <w:rsid w:val="00AF3682"/>
    <w:rsid w:val="00AF3A25"/>
    <w:rsid w:val="00AF3A3D"/>
    <w:rsid w:val="00AF3BCE"/>
    <w:rsid w:val="00AF3C17"/>
    <w:rsid w:val="00AF4101"/>
    <w:rsid w:val="00AF423F"/>
    <w:rsid w:val="00AF45B6"/>
    <w:rsid w:val="00AF4854"/>
    <w:rsid w:val="00AF4957"/>
    <w:rsid w:val="00AF4D3F"/>
    <w:rsid w:val="00AF4E8D"/>
    <w:rsid w:val="00AF5347"/>
    <w:rsid w:val="00AF5372"/>
    <w:rsid w:val="00AF5818"/>
    <w:rsid w:val="00AF5890"/>
    <w:rsid w:val="00AF58A6"/>
    <w:rsid w:val="00AF5DE9"/>
    <w:rsid w:val="00AF5F17"/>
    <w:rsid w:val="00AF614A"/>
    <w:rsid w:val="00AF618B"/>
    <w:rsid w:val="00AF6280"/>
    <w:rsid w:val="00AF6917"/>
    <w:rsid w:val="00AF6B63"/>
    <w:rsid w:val="00AF6BE8"/>
    <w:rsid w:val="00AF6EBB"/>
    <w:rsid w:val="00AF7719"/>
    <w:rsid w:val="00AF78DA"/>
    <w:rsid w:val="00AF7916"/>
    <w:rsid w:val="00AF7BDD"/>
    <w:rsid w:val="00AF7F02"/>
    <w:rsid w:val="00B00380"/>
    <w:rsid w:val="00B00508"/>
    <w:rsid w:val="00B0051C"/>
    <w:rsid w:val="00B007E7"/>
    <w:rsid w:val="00B00D2E"/>
    <w:rsid w:val="00B00E57"/>
    <w:rsid w:val="00B01529"/>
    <w:rsid w:val="00B01B3B"/>
    <w:rsid w:val="00B01BF1"/>
    <w:rsid w:val="00B01ED4"/>
    <w:rsid w:val="00B0208F"/>
    <w:rsid w:val="00B02136"/>
    <w:rsid w:val="00B02328"/>
    <w:rsid w:val="00B02418"/>
    <w:rsid w:val="00B02565"/>
    <w:rsid w:val="00B02667"/>
    <w:rsid w:val="00B027FA"/>
    <w:rsid w:val="00B02836"/>
    <w:rsid w:val="00B02C12"/>
    <w:rsid w:val="00B02CB7"/>
    <w:rsid w:val="00B02E28"/>
    <w:rsid w:val="00B02EA0"/>
    <w:rsid w:val="00B02F97"/>
    <w:rsid w:val="00B02F9F"/>
    <w:rsid w:val="00B0300B"/>
    <w:rsid w:val="00B031C0"/>
    <w:rsid w:val="00B03F0C"/>
    <w:rsid w:val="00B04081"/>
    <w:rsid w:val="00B0449A"/>
    <w:rsid w:val="00B0484D"/>
    <w:rsid w:val="00B04A88"/>
    <w:rsid w:val="00B04D48"/>
    <w:rsid w:val="00B04F0A"/>
    <w:rsid w:val="00B05272"/>
    <w:rsid w:val="00B05457"/>
    <w:rsid w:val="00B056E5"/>
    <w:rsid w:val="00B0576B"/>
    <w:rsid w:val="00B057F1"/>
    <w:rsid w:val="00B058B3"/>
    <w:rsid w:val="00B05AA7"/>
    <w:rsid w:val="00B05D61"/>
    <w:rsid w:val="00B05D7E"/>
    <w:rsid w:val="00B05F0E"/>
    <w:rsid w:val="00B0624E"/>
    <w:rsid w:val="00B065FF"/>
    <w:rsid w:val="00B0664D"/>
    <w:rsid w:val="00B069FA"/>
    <w:rsid w:val="00B06C86"/>
    <w:rsid w:val="00B06E8D"/>
    <w:rsid w:val="00B06ED8"/>
    <w:rsid w:val="00B07214"/>
    <w:rsid w:val="00B07349"/>
    <w:rsid w:val="00B07478"/>
    <w:rsid w:val="00B074DD"/>
    <w:rsid w:val="00B075E7"/>
    <w:rsid w:val="00B0791C"/>
    <w:rsid w:val="00B07969"/>
    <w:rsid w:val="00B07EF9"/>
    <w:rsid w:val="00B10167"/>
    <w:rsid w:val="00B1016D"/>
    <w:rsid w:val="00B1018E"/>
    <w:rsid w:val="00B10451"/>
    <w:rsid w:val="00B10548"/>
    <w:rsid w:val="00B106CF"/>
    <w:rsid w:val="00B106DB"/>
    <w:rsid w:val="00B10979"/>
    <w:rsid w:val="00B1097D"/>
    <w:rsid w:val="00B10B39"/>
    <w:rsid w:val="00B10E94"/>
    <w:rsid w:val="00B10F0A"/>
    <w:rsid w:val="00B10F4E"/>
    <w:rsid w:val="00B10FE4"/>
    <w:rsid w:val="00B11165"/>
    <w:rsid w:val="00B11338"/>
    <w:rsid w:val="00B114F6"/>
    <w:rsid w:val="00B117B9"/>
    <w:rsid w:val="00B11B9B"/>
    <w:rsid w:val="00B11DB3"/>
    <w:rsid w:val="00B11FF0"/>
    <w:rsid w:val="00B12674"/>
    <w:rsid w:val="00B12890"/>
    <w:rsid w:val="00B128A0"/>
    <w:rsid w:val="00B12995"/>
    <w:rsid w:val="00B13042"/>
    <w:rsid w:val="00B131FE"/>
    <w:rsid w:val="00B13241"/>
    <w:rsid w:val="00B13396"/>
    <w:rsid w:val="00B133C9"/>
    <w:rsid w:val="00B135B1"/>
    <w:rsid w:val="00B1368F"/>
    <w:rsid w:val="00B137F5"/>
    <w:rsid w:val="00B1399F"/>
    <w:rsid w:val="00B13E4B"/>
    <w:rsid w:val="00B13E8F"/>
    <w:rsid w:val="00B13ED5"/>
    <w:rsid w:val="00B13FE9"/>
    <w:rsid w:val="00B14244"/>
    <w:rsid w:val="00B143DE"/>
    <w:rsid w:val="00B1496E"/>
    <w:rsid w:val="00B14B4C"/>
    <w:rsid w:val="00B14D9C"/>
    <w:rsid w:val="00B14FD4"/>
    <w:rsid w:val="00B152A8"/>
    <w:rsid w:val="00B15334"/>
    <w:rsid w:val="00B1551D"/>
    <w:rsid w:val="00B15646"/>
    <w:rsid w:val="00B1644E"/>
    <w:rsid w:val="00B16475"/>
    <w:rsid w:val="00B164C3"/>
    <w:rsid w:val="00B16B27"/>
    <w:rsid w:val="00B16EC1"/>
    <w:rsid w:val="00B1705B"/>
    <w:rsid w:val="00B17169"/>
    <w:rsid w:val="00B1755E"/>
    <w:rsid w:val="00B17768"/>
    <w:rsid w:val="00B17E61"/>
    <w:rsid w:val="00B20050"/>
    <w:rsid w:val="00B200C5"/>
    <w:rsid w:val="00B201BE"/>
    <w:rsid w:val="00B201E2"/>
    <w:rsid w:val="00B20240"/>
    <w:rsid w:val="00B20CCC"/>
    <w:rsid w:val="00B211DF"/>
    <w:rsid w:val="00B220BB"/>
    <w:rsid w:val="00B22667"/>
    <w:rsid w:val="00B2295C"/>
    <w:rsid w:val="00B229FB"/>
    <w:rsid w:val="00B22BCB"/>
    <w:rsid w:val="00B22C9E"/>
    <w:rsid w:val="00B22FA9"/>
    <w:rsid w:val="00B23230"/>
    <w:rsid w:val="00B23281"/>
    <w:rsid w:val="00B232F6"/>
    <w:rsid w:val="00B2333A"/>
    <w:rsid w:val="00B237D5"/>
    <w:rsid w:val="00B23932"/>
    <w:rsid w:val="00B23CB6"/>
    <w:rsid w:val="00B23E40"/>
    <w:rsid w:val="00B23E52"/>
    <w:rsid w:val="00B2400C"/>
    <w:rsid w:val="00B24457"/>
    <w:rsid w:val="00B246D2"/>
    <w:rsid w:val="00B2489A"/>
    <w:rsid w:val="00B24ABC"/>
    <w:rsid w:val="00B24EA0"/>
    <w:rsid w:val="00B252B8"/>
    <w:rsid w:val="00B25896"/>
    <w:rsid w:val="00B2595D"/>
    <w:rsid w:val="00B25A9A"/>
    <w:rsid w:val="00B25D7C"/>
    <w:rsid w:val="00B26378"/>
    <w:rsid w:val="00B26790"/>
    <w:rsid w:val="00B267EF"/>
    <w:rsid w:val="00B26F56"/>
    <w:rsid w:val="00B2726E"/>
    <w:rsid w:val="00B272AA"/>
    <w:rsid w:val="00B2734D"/>
    <w:rsid w:val="00B27351"/>
    <w:rsid w:val="00B2737A"/>
    <w:rsid w:val="00B273EA"/>
    <w:rsid w:val="00B2748C"/>
    <w:rsid w:val="00B27571"/>
    <w:rsid w:val="00B27CBC"/>
    <w:rsid w:val="00B27D6E"/>
    <w:rsid w:val="00B27E9A"/>
    <w:rsid w:val="00B27EB1"/>
    <w:rsid w:val="00B308A3"/>
    <w:rsid w:val="00B30B39"/>
    <w:rsid w:val="00B30C62"/>
    <w:rsid w:val="00B311A7"/>
    <w:rsid w:val="00B3172E"/>
    <w:rsid w:val="00B31AAC"/>
    <w:rsid w:val="00B31B47"/>
    <w:rsid w:val="00B31D54"/>
    <w:rsid w:val="00B3205F"/>
    <w:rsid w:val="00B3247B"/>
    <w:rsid w:val="00B326EC"/>
    <w:rsid w:val="00B328D2"/>
    <w:rsid w:val="00B32982"/>
    <w:rsid w:val="00B32F42"/>
    <w:rsid w:val="00B3331D"/>
    <w:rsid w:val="00B333E8"/>
    <w:rsid w:val="00B334A0"/>
    <w:rsid w:val="00B339D8"/>
    <w:rsid w:val="00B33A3C"/>
    <w:rsid w:val="00B33AA6"/>
    <w:rsid w:val="00B33D81"/>
    <w:rsid w:val="00B33F56"/>
    <w:rsid w:val="00B34120"/>
    <w:rsid w:val="00B3425F"/>
    <w:rsid w:val="00B34268"/>
    <w:rsid w:val="00B34335"/>
    <w:rsid w:val="00B34466"/>
    <w:rsid w:val="00B34654"/>
    <w:rsid w:val="00B34AD4"/>
    <w:rsid w:val="00B35925"/>
    <w:rsid w:val="00B35D80"/>
    <w:rsid w:val="00B35D8C"/>
    <w:rsid w:val="00B3603C"/>
    <w:rsid w:val="00B36077"/>
    <w:rsid w:val="00B360D1"/>
    <w:rsid w:val="00B3615C"/>
    <w:rsid w:val="00B364BD"/>
    <w:rsid w:val="00B3657D"/>
    <w:rsid w:val="00B36685"/>
    <w:rsid w:val="00B36BC6"/>
    <w:rsid w:val="00B36BCB"/>
    <w:rsid w:val="00B36E35"/>
    <w:rsid w:val="00B36F14"/>
    <w:rsid w:val="00B37302"/>
    <w:rsid w:val="00B3738B"/>
    <w:rsid w:val="00B37677"/>
    <w:rsid w:val="00B378D3"/>
    <w:rsid w:val="00B37EB1"/>
    <w:rsid w:val="00B4002E"/>
    <w:rsid w:val="00B400A0"/>
    <w:rsid w:val="00B4067E"/>
    <w:rsid w:val="00B406C9"/>
    <w:rsid w:val="00B407AD"/>
    <w:rsid w:val="00B40C43"/>
    <w:rsid w:val="00B4114B"/>
    <w:rsid w:val="00B4156C"/>
    <w:rsid w:val="00B4159C"/>
    <w:rsid w:val="00B4160B"/>
    <w:rsid w:val="00B4164B"/>
    <w:rsid w:val="00B41C39"/>
    <w:rsid w:val="00B41CC2"/>
    <w:rsid w:val="00B41E33"/>
    <w:rsid w:val="00B41FE5"/>
    <w:rsid w:val="00B420A2"/>
    <w:rsid w:val="00B420FC"/>
    <w:rsid w:val="00B424A0"/>
    <w:rsid w:val="00B4269D"/>
    <w:rsid w:val="00B4274A"/>
    <w:rsid w:val="00B4274B"/>
    <w:rsid w:val="00B43239"/>
    <w:rsid w:val="00B435D7"/>
    <w:rsid w:val="00B43935"/>
    <w:rsid w:val="00B43D6A"/>
    <w:rsid w:val="00B440C3"/>
    <w:rsid w:val="00B4470D"/>
    <w:rsid w:val="00B44766"/>
    <w:rsid w:val="00B44E0E"/>
    <w:rsid w:val="00B451D0"/>
    <w:rsid w:val="00B4570A"/>
    <w:rsid w:val="00B457A0"/>
    <w:rsid w:val="00B45BE6"/>
    <w:rsid w:val="00B45C09"/>
    <w:rsid w:val="00B45E03"/>
    <w:rsid w:val="00B462EA"/>
    <w:rsid w:val="00B46435"/>
    <w:rsid w:val="00B466C0"/>
    <w:rsid w:val="00B46A5D"/>
    <w:rsid w:val="00B46B00"/>
    <w:rsid w:val="00B46B81"/>
    <w:rsid w:val="00B46CDB"/>
    <w:rsid w:val="00B46ECD"/>
    <w:rsid w:val="00B47297"/>
    <w:rsid w:val="00B47437"/>
    <w:rsid w:val="00B47563"/>
    <w:rsid w:val="00B477EB"/>
    <w:rsid w:val="00B478C9"/>
    <w:rsid w:val="00B47BF5"/>
    <w:rsid w:val="00B47CC3"/>
    <w:rsid w:val="00B501FD"/>
    <w:rsid w:val="00B50210"/>
    <w:rsid w:val="00B502C6"/>
    <w:rsid w:val="00B502FE"/>
    <w:rsid w:val="00B50351"/>
    <w:rsid w:val="00B50C27"/>
    <w:rsid w:val="00B50D0E"/>
    <w:rsid w:val="00B50F5B"/>
    <w:rsid w:val="00B5103B"/>
    <w:rsid w:val="00B510B5"/>
    <w:rsid w:val="00B514FB"/>
    <w:rsid w:val="00B51778"/>
    <w:rsid w:val="00B51A91"/>
    <w:rsid w:val="00B51C74"/>
    <w:rsid w:val="00B51DE5"/>
    <w:rsid w:val="00B51EF0"/>
    <w:rsid w:val="00B52149"/>
    <w:rsid w:val="00B522ED"/>
    <w:rsid w:val="00B52580"/>
    <w:rsid w:val="00B525B4"/>
    <w:rsid w:val="00B525C2"/>
    <w:rsid w:val="00B52C6E"/>
    <w:rsid w:val="00B52C96"/>
    <w:rsid w:val="00B52D6E"/>
    <w:rsid w:val="00B52FCC"/>
    <w:rsid w:val="00B5325A"/>
    <w:rsid w:val="00B5334F"/>
    <w:rsid w:val="00B53371"/>
    <w:rsid w:val="00B53479"/>
    <w:rsid w:val="00B53ABF"/>
    <w:rsid w:val="00B53B5A"/>
    <w:rsid w:val="00B53C62"/>
    <w:rsid w:val="00B54060"/>
    <w:rsid w:val="00B5409A"/>
    <w:rsid w:val="00B540FB"/>
    <w:rsid w:val="00B542CB"/>
    <w:rsid w:val="00B54347"/>
    <w:rsid w:val="00B543F6"/>
    <w:rsid w:val="00B54A7C"/>
    <w:rsid w:val="00B54FE5"/>
    <w:rsid w:val="00B5528D"/>
    <w:rsid w:val="00B553AA"/>
    <w:rsid w:val="00B5548B"/>
    <w:rsid w:val="00B55574"/>
    <w:rsid w:val="00B55949"/>
    <w:rsid w:val="00B55B52"/>
    <w:rsid w:val="00B55C26"/>
    <w:rsid w:val="00B55D6B"/>
    <w:rsid w:val="00B5628F"/>
    <w:rsid w:val="00B5632C"/>
    <w:rsid w:val="00B5657C"/>
    <w:rsid w:val="00B56703"/>
    <w:rsid w:val="00B56B9C"/>
    <w:rsid w:val="00B56C24"/>
    <w:rsid w:val="00B56D7E"/>
    <w:rsid w:val="00B56D82"/>
    <w:rsid w:val="00B56E6B"/>
    <w:rsid w:val="00B57340"/>
    <w:rsid w:val="00B573E4"/>
    <w:rsid w:val="00B57B08"/>
    <w:rsid w:val="00B57CFA"/>
    <w:rsid w:val="00B60107"/>
    <w:rsid w:val="00B601B4"/>
    <w:rsid w:val="00B6028D"/>
    <w:rsid w:val="00B602E2"/>
    <w:rsid w:val="00B605E9"/>
    <w:rsid w:val="00B607E9"/>
    <w:rsid w:val="00B60CDB"/>
    <w:rsid w:val="00B60FA0"/>
    <w:rsid w:val="00B614A6"/>
    <w:rsid w:val="00B61B53"/>
    <w:rsid w:val="00B61E9B"/>
    <w:rsid w:val="00B621FA"/>
    <w:rsid w:val="00B62443"/>
    <w:rsid w:val="00B6267D"/>
    <w:rsid w:val="00B6297B"/>
    <w:rsid w:val="00B631CF"/>
    <w:rsid w:val="00B63383"/>
    <w:rsid w:val="00B6345F"/>
    <w:rsid w:val="00B63705"/>
    <w:rsid w:val="00B63785"/>
    <w:rsid w:val="00B63A97"/>
    <w:rsid w:val="00B63AFB"/>
    <w:rsid w:val="00B63B09"/>
    <w:rsid w:val="00B63E24"/>
    <w:rsid w:val="00B64260"/>
    <w:rsid w:val="00B64377"/>
    <w:rsid w:val="00B6524E"/>
    <w:rsid w:val="00B6525D"/>
    <w:rsid w:val="00B654C4"/>
    <w:rsid w:val="00B6590C"/>
    <w:rsid w:val="00B65986"/>
    <w:rsid w:val="00B65ABA"/>
    <w:rsid w:val="00B65AEA"/>
    <w:rsid w:val="00B65B40"/>
    <w:rsid w:val="00B65EC9"/>
    <w:rsid w:val="00B663E3"/>
    <w:rsid w:val="00B66485"/>
    <w:rsid w:val="00B664BD"/>
    <w:rsid w:val="00B6676A"/>
    <w:rsid w:val="00B66778"/>
    <w:rsid w:val="00B668F2"/>
    <w:rsid w:val="00B66BA6"/>
    <w:rsid w:val="00B66BC9"/>
    <w:rsid w:val="00B66C08"/>
    <w:rsid w:val="00B672FF"/>
    <w:rsid w:val="00B67340"/>
    <w:rsid w:val="00B67643"/>
    <w:rsid w:val="00B67699"/>
    <w:rsid w:val="00B67768"/>
    <w:rsid w:val="00B6790F"/>
    <w:rsid w:val="00B67ADF"/>
    <w:rsid w:val="00B67AE9"/>
    <w:rsid w:val="00B67BA8"/>
    <w:rsid w:val="00B67D91"/>
    <w:rsid w:val="00B67EB8"/>
    <w:rsid w:val="00B7037E"/>
    <w:rsid w:val="00B707DB"/>
    <w:rsid w:val="00B70C25"/>
    <w:rsid w:val="00B70E41"/>
    <w:rsid w:val="00B71037"/>
    <w:rsid w:val="00B7121F"/>
    <w:rsid w:val="00B7134C"/>
    <w:rsid w:val="00B71424"/>
    <w:rsid w:val="00B71471"/>
    <w:rsid w:val="00B716B8"/>
    <w:rsid w:val="00B71B3B"/>
    <w:rsid w:val="00B71B43"/>
    <w:rsid w:val="00B721F0"/>
    <w:rsid w:val="00B7233F"/>
    <w:rsid w:val="00B72458"/>
    <w:rsid w:val="00B72555"/>
    <w:rsid w:val="00B72A60"/>
    <w:rsid w:val="00B741D0"/>
    <w:rsid w:val="00B7435D"/>
    <w:rsid w:val="00B744DC"/>
    <w:rsid w:val="00B74A8C"/>
    <w:rsid w:val="00B759A5"/>
    <w:rsid w:val="00B75A05"/>
    <w:rsid w:val="00B75AA4"/>
    <w:rsid w:val="00B75CA9"/>
    <w:rsid w:val="00B75CEC"/>
    <w:rsid w:val="00B76135"/>
    <w:rsid w:val="00B76539"/>
    <w:rsid w:val="00B769CC"/>
    <w:rsid w:val="00B76A38"/>
    <w:rsid w:val="00B76C25"/>
    <w:rsid w:val="00B76D1B"/>
    <w:rsid w:val="00B76D34"/>
    <w:rsid w:val="00B771D4"/>
    <w:rsid w:val="00B774DD"/>
    <w:rsid w:val="00B778B8"/>
    <w:rsid w:val="00B77CD0"/>
    <w:rsid w:val="00B80222"/>
    <w:rsid w:val="00B80752"/>
    <w:rsid w:val="00B80865"/>
    <w:rsid w:val="00B80A42"/>
    <w:rsid w:val="00B80AE0"/>
    <w:rsid w:val="00B80BD1"/>
    <w:rsid w:val="00B80CBE"/>
    <w:rsid w:val="00B81240"/>
    <w:rsid w:val="00B81B85"/>
    <w:rsid w:val="00B82508"/>
    <w:rsid w:val="00B82799"/>
    <w:rsid w:val="00B82AA7"/>
    <w:rsid w:val="00B82B21"/>
    <w:rsid w:val="00B82CF8"/>
    <w:rsid w:val="00B831E4"/>
    <w:rsid w:val="00B83AB4"/>
    <w:rsid w:val="00B84196"/>
    <w:rsid w:val="00B84392"/>
    <w:rsid w:val="00B8469C"/>
    <w:rsid w:val="00B84F4F"/>
    <w:rsid w:val="00B85059"/>
    <w:rsid w:val="00B851AE"/>
    <w:rsid w:val="00B857C6"/>
    <w:rsid w:val="00B859AF"/>
    <w:rsid w:val="00B85CC5"/>
    <w:rsid w:val="00B860F9"/>
    <w:rsid w:val="00B861ED"/>
    <w:rsid w:val="00B864AD"/>
    <w:rsid w:val="00B865F3"/>
    <w:rsid w:val="00B86671"/>
    <w:rsid w:val="00B86CA0"/>
    <w:rsid w:val="00B871A3"/>
    <w:rsid w:val="00B871AC"/>
    <w:rsid w:val="00B8751F"/>
    <w:rsid w:val="00B875C0"/>
    <w:rsid w:val="00B877F1"/>
    <w:rsid w:val="00B87A85"/>
    <w:rsid w:val="00B87AB6"/>
    <w:rsid w:val="00B87B95"/>
    <w:rsid w:val="00B87C23"/>
    <w:rsid w:val="00B87D61"/>
    <w:rsid w:val="00B87ED7"/>
    <w:rsid w:val="00B90223"/>
    <w:rsid w:val="00B9089D"/>
    <w:rsid w:val="00B90937"/>
    <w:rsid w:val="00B90CAC"/>
    <w:rsid w:val="00B90D1C"/>
    <w:rsid w:val="00B90FC1"/>
    <w:rsid w:val="00B91315"/>
    <w:rsid w:val="00B91685"/>
    <w:rsid w:val="00B91764"/>
    <w:rsid w:val="00B91937"/>
    <w:rsid w:val="00B91980"/>
    <w:rsid w:val="00B91A74"/>
    <w:rsid w:val="00B91A75"/>
    <w:rsid w:val="00B91C0D"/>
    <w:rsid w:val="00B91C19"/>
    <w:rsid w:val="00B91C30"/>
    <w:rsid w:val="00B92256"/>
    <w:rsid w:val="00B92585"/>
    <w:rsid w:val="00B92A31"/>
    <w:rsid w:val="00B92BE0"/>
    <w:rsid w:val="00B92F97"/>
    <w:rsid w:val="00B93619"/>
    <w:rsid w:val="00B93687"/>
    <w:rsid w:val="00B93948"/>
    <w:rsid w:val="00B93FAD"/>
    <w:rsid w:val="00B9438F"/>
    <w:rsid w:val="00B94509"/>
    <w:rsid w:val="00B9460F"/>
    <w:rsid w:val="00B9474D"/>
    <w:rsid w:val="00B94C63"/>
    <w:rsid w:val="00B94E87"/>
    <w:rsid w:val="00B95035"/>
    <w:rsid w:val="00B9536A"/>
    <w:rsid w:val="00B9557A"/>
    <w:rsid w:val="00B9595D"/>
    <w:rsid w:val="00B96022"/>
    <w:rsid w:val="00B9603D"/>
    <w:rsid w:val="00B961A7"/>
    <w:rsid w:val="00B96202"/>
    <w:rsid w:val="00B9624B"/>
    <w:rsid w:val="00B966BE"/>
    <w:rsid w:val="00B96BC1"/>
    <w:rsid w:val="00B96D5D"/>
    <w:rsid w:val="00B97270"/>
    <w:rsid w:val="00B9740D"/>
    <w:rsid w:val="00BA093E"/>
    <w:rsid w:val="00BA125B"/>
    <w:rsid w:val="00BA166D"/>
    <w:rsid w:val="00BA17AF"/>
    <w:rsid w:val="00BA17EC"/>
    <w:rsid w:val="00BA1B97"/>
    <w:rsid w:val="00BA1CCF"/>
    <w:rsid w:val="00BA1EB5"/>
    <w:rsid w:val="00BA224E"/>
    <w:rsid w:val="00BA26BE"/>
    <w:rsid w:val="00BA294D"/>
    <w:rsid w:val="00BA295E"/>
    <w:rsid w:val="00BA296F"/>
    <w:rsid w:val="00BA2B48"/>
    <w:rsid w:val="00BA2BCC"/>
    <w:rsid w:val="00BA301A"/>
    <w:rsid w:val="00BA30B4"/>
    <w:rsid w:val="00BA311F"/>
    <w:rsid w:val="00BA33B0"/>
    <w:rsid w:val="00BA3469"/>
    <w:rsid w:val="00BA3497"/>
    <w:rsid w:val="00BA37EE"/>
    <w:rsid w:val="00BA398C"/>
    <w:rsid w:val="00BA3CBD"/>
    <w:rsid w:val="00BA40FB"/>
    <w:rsid w:val="00BA42F7"/>
    <w:rsid w:val="00BA436F"/>
    <w:rsid w:val="00BA44D7"/>
    <w:rsid w:val="00BA45DF"/>
    <w:rsid w:val="00BA4B4D"/>
    <w:rsid w:val="00BA4BC7"/>
    <w:rsid w:val="00BA4E68"/>
    <w:rsid w:val="00BA51EE"/>
    <w:rsid w:val="00BA55B7"/>
    <w:rsid w:val="00BA576F"/>
    <w:rsid w:val="00BA58C6"/>
    <w:rsid w:val="00BA5CDA"/>
    <w:rsid w:val="00BA5E47"/>
    <w:rsid w:val="00BA5F58"/>
    <w:rsid w:val="00BA6028"/>
    <w:rsid w:val="00BA69B1"/>
    <w:rsid w:val="00BA6A17"/>
    <w:rsid w:val="00BA6B3E"/>
    <w:rsid w:val="00BA6D82"/>
    <w:rsid w:val="00BA6DFA"/>
    <w:rsid w:val="00BA700D"/>
    <w:rsid w:val="00BA7384"/>
    <w:rsid w:val="00BA7454"/>
    <w:rsid w:val="00BA753E"/>
    <w:rsid w:val="00BA7691"/>
    <w:rsid w:val="00BA79FD"/>
    <w:rsid w:val="00BA7A92"/>
    <w:rsid w:val="00BA7B88"/>
    <w:rsid w:val="00BA7CD0"/>
    <w:rsid w:val="00BA7D57"/>
    <w:rsid w:val="00BA7D8D"/>
    <w:rsid w:val="00BB0062"/>
    <w:rsid w:val="00BB011A"/>
    <w:rsid w:val="00BB0195"/>
    <w:rsid w:val="00BB03D8"/>
    <w:rsid w:val="00BB0AAE"/>
    <w:rsid w:val="00BB1338"/>
    <w:rsid w:val="00BB156E"/>
    <w:rsid w:val="00BB18EE"/>
    <w:rsid w:val="00BB193B"/>
    <w:rsid w:val="00BB1F9A"/>
    <w:rsid w:val="00BB20E2"/>
    <w:rsid w:val="00BB2820"/>
    <w:rsid w:val="00BB28E8"/>
    <w:rsid w:val="00BB2905"/>
    <w:rsid w:val="00BB30E4"/>
    <w:rsid w:val="00BB310A"/>
    <w:rsid w:val="00BB3267"/>
    <w:rsid w:val="00BB331F"/>
    <w:rsid w:val="00BB3330"/>
    <w:rsid w:val="00BB33F3"/>
    <w:rsid w:val="00BB374C"/>
    <w:rsid w:val="00BB3847"/>
    <w:rsid w:val="00BB3D45"/>
    <w:rsid w:val="00BB44C6"/>
    <w:rsid w:val="00BB47D7"/>
    <w:rsid w:val="00BB48AB"/>
    <w:rsid w:val="00BB4A62"/>
    <w:rsid w:val="00BB4D18"/>
    <w:rsid w:val="00BB4E1F"/>
    <w:rsid w:val="00BB4FC6"/>
    <w:rsid w:val="00BB527A"/>
    <w:rsid w:val="00BB565C"/>
    <w:rsid w:val="00BB5B4C"/>
    <w:rsid w:val="00BB5D80"/>
    <w:rsid w:val="00BB5E9A"/>
    <w:rsid w:val="00BB617F"/>
    <w:rsid w:val="00BB61E5"/>
    <w:rsid w:val="00BB6460"/>
    <w:rsid w:val="00BB6A90"/>
    <w:rsid w:val="00BB6AAA"/>
    <w:rsid w:val="00BB6B84"/>
    <w:rsid w:val="00BB6F12"/>
    <w:rsid w:val="00BB72D6"/>
    <w:rsid w:val="00BB7660"/>
    <w:rsid w:val="00BB76CB"/>
    <w:rsid w:val="00BB7711"/>
    <w:rsid w:val="00BB7A7E"/>
    <w:rsid w:val="00BB7DAE"/>
    <w:rsid w:val="00BB7DF1"/>
    <w:rsid w:val="00BB7F94"/>
    <w:rsid w:val="00BC0167"/>
    <w:rsid w:val="00BC01C1"/>
    <w:rsid w:val="00BC0278"/>
    <w:rsid w:val="00BC049A"/>
    <w:rsid w:val="00BC07EB"/>
    <w:rsid w:val="00BC07FB"/>
    <w:rsid w:val="00BC0A9E"/>
    <w:rsid w:val="00BC0CF0"/>
    <w:rsid w:val="00BC0D9B"/>
    <w:rsid w:val="00BC0DB9"/>
    <w:rsid w:val="00BC1682"/>
    <w:rsid w:val="00BC17C0"/>
    <w:rsid w:val="00BC180C"/>
    <w:rsid w:val="00BC1874"/>
    <w:rsid w:val="00BC1D58"/>
    <w:rsid w:val="00BC1D79"/>
    <w:rsid w:val="00BC1D9F"/>
    <w:rsid w:val="00BC1FE2"/>
    <w:rsid w:val="00BC2032"/>
    <w:rsid w:val="00BC208B"/>
    <w:rsid w:val="00BC26BE"/>
    <w:rsid w:val="00BC2767"/>
    <w:rsid w:val="00BC2EB9"/>
    <w:rsid w:val="00BC2F1A"/>
    <w:rsid w:val="00BC30A9"/>
    <w:rsid w:val="00BC31ED"/>
    <w:rsid w:val="00BC32EF"/>
    <w:rsid w:val="00BC357A"/>
    <w:rsid w:val="00BC394A"/>
    <w:rsid w:val="00BC3C41"/>
    <w:rsid w:val="00BC3CD1"/>
    <w:rsid w:val="00BC3E96"/>
    <w:rsid w:val="00BC405C"/>
    <w:rsid w:val="00BC423F"/>
    <w:rsid w:val="00BC4382"/>
    <w:rsid w:val="00BC464F"/>
    <w:rsid w:val="00BC4A20"/>
    <w:rsid w:val="00BC51D3"/>
    <w:rsid w:val="00BC53E1"/>
    <w:rsid w:val="00BC542C"/>
    <w:rsid w:val="00BC5880"/>
    <w:rsid w:val="00BC5A34"/>
    <w:rsid w:val="00BC5C8F"/>
    <w:rsid w:val="00BC5E0A"/>
    <w:rsid w:val="00BC5F54"/>
    <w:rsid w:val="00BC63FB"/>
    <w:rsid w:val="00BC67C9"/>
    <w:rsid w:val="00BC69CD"/>
    <w:rsid w:val="00BC6A5F"/>
    <w:rsid w:val="00BC6E11"/>
    <w:rsid w:val="00BC7157"/>
    <w:rsid w:val="00BC76D8"/>
    <w:rsid w:val="00BC7BD6"/>
    <w:rsid w:val="00BC7C92"/>
    <w:rsid w:val="00BC7F2F"/>
    <w:rsid w:val="00BD0398"/>
    <w:rsid w:val="00BD0698"/>
    <w:rsid w:val="00BD06A7"/>
    <w:rsid w:val="00BD0B6D"/>
    <w:rsid w:val="00BD0DAF"/>
    <w:rsid w:val="00BD11DA"/>
    <w:rsid w:val="00BD12BA"/>
    <w:rsid w:val="00BD1497"/>
    <w:rsid w:val="00BD16A0"/>
    <w:rsid w:val="00BD17F5"/>
    <w:rsid w:val="00BD1B54"/>
    <w:rsid w:val="00BD1F96"/>
    <w:rsid w:val="00BD21A0"/>
    <w:rsid w:val="00BD22A8"/>
    <w:rsid w:val="00BD2548"/>
    <w:rsid w:val="00BD262D"/>
    <w:rsid w:val="00BD2B89"/>
    <w:rsid w:val="00BD2FAB"/>
    <w:rsid w:val="00BD3023"/>
    <w:rsid w:val="00BD3121"/>
    <w:rsid w:val="00BD35D3"/>
    <w:rsid w:val="00BD3616"/>
    <w:rsid w:val="00BD3855"/>
    <w:rsid w:val="00BD3B43"/>
    <w:rsid w:val="00BD3CCC"/>
    <w:rsid w:val="00BD3DC5"/>
    <w:rsid w:val="00BD3EDE"/>
    <w:rsid w:val="00BD44B5"/>
    <w:rsid w:val="00BD463D"/>
    <w:rsid w:val="00BD4795"/>
    <w:rsid w:val="00BD47A3"/>
    <w:rsid w:val="00BD4859"/>
    <w:rsid w:val="00BD4A5B"/>
    <w:rsid w:val="00BD4E5B"/>
    <w:rsid w:val="00BD4EF7"/>
    <w:rsid w:val="00BD5068"/>
    <w:rsid w:val="00BD519D"/>
    <w:rsid w:val="00BD5210"/>
    <w:rsid w:val="00BD534B"/>
    <w:rsid w:val="00BD543A"/>
    <w:rsid w:val="00BD5539"/>
    <w:rsid w:val="00BD5616"/>
    <w:rsid w:val="00BD57A4"/>
    <w:rsid w:val="00BD5BBA"/>
    <w:rsid w:val="00BD5DDD"/>
    <w:rsid w:val="00BD5EF3"/>
    <w:rsid w:val="00BD5EFD"/>
    <w:rsid w:val="00BD605A"/>
    <w:rsid w:val="00BD60FF"/>
    <w:rsid w:val="00BD613A"/>
    <w:rsid w:val="00BD618B"/>
    <w:rsid w:val="00BD63D9"/>
    <w:rsid w:val="00BD648D"/>
    <w:rsid w:val="00BD6532"/>
    <w:rsid w:val="00BD66A3"/>
    <w:rsid w:val="00BD6894"/>
    <w:rsid w:val="00BD6901"/>
    <w:rsid w:val="00BD6C2F"/>
    <w:rsid w:val="00BD6E05"/>
    <w:rsid w:val="00BD6E15"/>
    <w:rsid w:val="00BD6F22"/>
    <w:rsid w:val="00BD713B"/>
    <w:rsid w:val="00BD716F"/>
    <w:rsid w:val="00BD7299"/>
    <w:rsid w:val="00BD72EB"/>
    <w:rsid w:val="00BD771C"/>
    <w:rsid w:val="00BD7925"/>
    <w:rsid w:val="00BD7DA0"/>
    <w:rsid w:val="00BD7E08"/>
    <w:rsid w:val="00BD7E81"/>
    <w:rsid w:val="00BE0033"/>
    <w:rsid w:val="00BE0522"/>
    <w:rsid w:val="00BE05AE"/>
    <w:rsid w:val="00BE0B5B"/>
    <w:rsid w:val="00BE1047"/>
    <w:rsid w:val="00BE15BD"/>
    <w:rsid w:val="00BE1785"/>
    <w:rsid w:val="00BE1978"/>
    <w:rsid w:val="00BE1BBC"/>
    <w:rsid w:val="00BE1E19"/>
    <w:rsid w:val="00BE2022"/>
    <w:rsid w:val="00BE21E2"/>
    <w:rsid w:val="00BE249D"/>
    <w:rsid w:val="00BE26C0"/>
    <w:rsid w:val="00BE28C6"/>
    <w:rsid w:val="00BE2B4C"/>
    <w:rsid w:val="00BE2F6B"/>
    <w:rsid w:val="00BE3F95"/>
    <w:rsid w:val="00BE4134"/>
    <w:rsid w:val="00BE471E"/>
    <w:rsid w:val="00BE4761"/>
    <w:rsid w:val="00BE4BD6"/>
    <w:rsid w:val="00BE4C46"/>
    <w:rsid w:val="00BE54D0"/>
    <w:rsid w:val="00BE58BA"/>
    <w:rsid w:val="00BE5B2C"/>
    <w:rsid w:val="00BE5EEA"/>
    <w:rsid w:val="00BE617E"/>
    <w:rsid w:val="00BE63D7"/>
    <w:rsid w:val="00BE6736"/>
    <w:rsid w:val="00BE6A70"/>
    <w:rsid w:val="00BE6F4E"/>
    <w:rsid w:val="00BE7906"/>
    <w:rsid w:val="00BE7960"/>
    <w:rsid w:val="00BE7972"/>
    <w:rsid w:val="00BE7F93"/>
    <w:rsid w:val="00BE9607"/>
    <w:rsid w:val="00BF03D8"/>
    <w:rsid w:val="00BF051F"/>
    <w:rsid w:val="00BF0638"/>
    <w:rsid w:val="00BF06ED"/>
    <w:rsid w:val="00BF0A06"/>
    <w:rsid w:val="00BF103D"/>
    <w:rsid w:val="00BF13BA"/>
    <w:rsid w:val="00BF1581"/>
    <w:rsid w:val="00BF17B6"/>
    <w:rsid w:val="00BF1931"/>
    <w:rsid w:val="00BF1A2F"/>
    <w:rsid w:val="00BF1D4A"/>
    <w:rsid w:val="00BF1D50"/>
    <w:rsid w:val="00BF2105"/>
    <w:rsid w:val="00BF2431"/>
    <w:rsid w:val="00BF2679"/>
    <w:rsid w:val="00BF2ACF"/>
    <w:rsid w:val="00BF2DAF"/>
    <w:rsid w:val="00BF3136"/>
    <w:rsid w:val="00BF31D2"/>
    <w:rsid w:val="00BF3841"/>
    <w:rsid w:val="00BF3B3F"/>
    <w:rsid w:val="00BF3C21"/>
    <w:rsid w:val="00BF3DFA"/>
    <w:rsid w:val="00BF3FDF"/>
    <w:rsid w:val="00BF439F"/>
    <w:rsid w:val="00BF4419"/>
    <w:rsid w:val="00BF4744"/>
    <w:rsid w:val="00BF4AE1"/>
    <w:rsid w:val="00BF4BD2"/>
    <w:rsid w:val="00BF4D17"/>
    <w:rsid w:val="00BF4D88"/>
    <w:rsid w:val="00BF5331"/>
    <w:rsid w:val="00BF5400"/>
    <w:rsid w:val="00BF5B87"/>
    <w:rsid w:val="00BF5FBC"/>
    <w:rsid w:val="00BF6066"/>
    <w:rsid w:val="00BF6585"/>
    <w:rsid w:val="00BF6B6C"/>
    <w:rsid w:val="00BF6CFE"/>
    <w:rsid w:val="00BF6DE5"/>
    <w:rsid w:val="00BF6E35"/>
    <w:rsid w:val="00BF70B9"/>
    <w:rsid w:val="00BF7251"/>
    <w:rsid w:val="00BF7872"/>
    <w:rsid w:val="00BF798A"/>
    <w:rsid w:val="00BF7A7D"/>
    <w:rsid w:val="00BF7DA1"/>
    <w:rsid w:val="00BF7F28"/>
    <w:rsid w:val="00C00115"/>
    <w:rsid w:val="00C001B2"/>
    <w:rsid w:val="00C00309"/>
    <w:rsid w:val="00C0069B"/>
    <w:rsid w:val="00C007FF"/>
    <w:rsid w:val="00C008DE"/>
    <w:rsid w:val="00C00906"/>
    <w:rsid w:val="00C00EEA"/>
    <w:rsid w:val="00C00F7A"/>
    <w:rsid w:val="00C01100"/>
    <w:rsid w:val="00C0122F"/>
    <w:rsid w:val="00C0173E"/>
    <w:rsid w:val="00C0176A"/>
    <w:rsid w:val="00C0179D"/>
    <w:rsid w:val="00C01909"/>
    <w:rsid w:val="00C02059"/>
    <w:rsid w:val="00C0210B"/>
    <w:rsid w:val="00C02112"/>
    <w:rsid w:val="00C0213C"/>
    <w:rsid w:val="00C021DD"/>
    <w:rsid w:val="00C02476"/>
    <w:rsid w:val="00C024C1"/>
    <w:rsid w:val="00C02532"/>
    <w:rsid w:val="00C02831"/>
    <w:rsid w:val="00C02D91"/>
    <w:rsid w:val="00C02E2F"/>
    <w:rsid w:val="00C03100"/>
    <w:rsid w:val="00C03108"/>
    <w:rsid w:val="00C03470"/>
    <w:rsid w:val="00C0353A"/>
    <w:rsid w:val="00C0370E"/>
    <w:rsid w:val="00C03A24"/>
    <w:rsid w:val="00C03B74"/>
    <w:rsid w:val="00C041FA"/>
    <w:rsid w:val="00C04677"/>
    <w:rsid w:val="00C046CF"/>
    <w:rsid w:val="00C04799"/>
    <w:rsid w:val="00C04B5F"/>
    <w:rsid w:val="00C04F00"/>
    <w:rsid w:val="00C04FA0"/>
    <w:rsid w:val="00C0514E"/>
    <w:rsid w:val="00C051D6"/>
    <w:rsid w:val="00C052FC"/>
    <w:rsid w:val="00C0567A"/>
    <w:rsid w:val="00C05787"/>
    <w:rsid w:val="00C05AFC"/>
    <w:rsid w:val="00C06789"/>
    <w:rsid w:val="00C06994"/>
    <w:rsid w:val="00C06B70"/>
    <w:rsid w:val="00C06C77"/>
    <w:rsid w:val="00C06E64"/>
    <w:rsid w:val="00C07257"/>
    <w:rsid w:val="00C073B6"/>
    <w:rsid w:val="00C0740A"/>
    <w:rsid w:val="00C07C4B"/>
    <w:rsid w:val="00C07D94"/>
    <w:rsid w:val="00C07E5E"/>
    <w:rsid w:val="00C1008E"/>
    <w:rsid w:val="00C104D5"/>
    <w:rsid w:val="00C105CD"/>
    <w:rsid w:val="00C107FD"/>
    <w:rsid w:val="00C10BA3"/>
    <w:rsid w:val="00C10E36"/>
    <w:rsid w:val="00C1189D"/>
    <w:rsid w:val="00C11B08"/>
    <w:rsid w:val="00C11C04"/>
    <w:rsid w:val="00C1219F"/>
    <w:rsid w:val="00C1235A"/>
    <w:rsid w:val="00C12363"/>
    <w:rsid w:val="00C1271F"/>
    <w:rsid w:val="00C12D61"/>
    <w:rsid w:val="00C12D76"/>
    <w:rsid w:val="00C12DF6"/>
    <w:rsid w:val="00C13059"/>
    <w:rsid w:val="00C13292"/>
    <w:rsid w:val="00C132CC"/>
    <w:rsid w:val="00C134A6"/>
    <w:rsid w:val="00C13538"/>
    <w:rsid w:val="00C135B0"/>
    <w:rsid w:val="00C13901"/>
    <w:rsid w:val="00C13972"/>
    <w:rsid w:val="00C13C35"/>
    <w:rsid w:val="00C14587"/>
    <w:rsid w:val="00C14610"/>
    <w:rsid w:val="00C1461B"/>
    <w:rsid w:val="00C1498B"/>
    <w:rsid w:val="00C15018"/>
    <w:rsid w:val="00C15078"/>
    <w:rsid w:val="00C150D3"/>
    <w:rsid w:val="00C15211"/>
    <w:rsid w:val="00C15235"/>
    <w:rsid w:val="00C152B2"/>
    <w:rsid w:val="00C153A9"/>
    <w:rsid w:val="00C156D4"/>
    <w:rsid w:val="00C15723"/>
    <w:rsid w:val="00C158DD"/>
    <w:rsid w:val="00C15A1C"/>
    <w:rsid w:val="00C15DD1"/>
    <w:rsid w:val="00C15EFF"/>
    <w:rsid w:val="00C15F23"/>
    <w:rsid w:val="00C160BA"/>
    <w:rsid w:val="00C165F7"/>
    <w:rsid w:val="00C166B1"/>
    <w:rsid w:val="00C167A3"/>
    <w:rsid w:val="00C168FE"/>
    <w:rsid w:val="00C16925"/>
    <w:rsid w:val="00C16C35"/>
    <w:rsid w:val="00C16D05"/>
    <w:rsid w:val="00C170A7"/>
    <w:rsid w:val="00C174B4"/>
    <w:rsid w:val="00C17937"/>
    <w:rsid w:val="00C17C13"/>
    <w:rsid w:val="00C17DDE"/>
    <w:rsid w:val="00C17E18"/>
    <w:rsid w:val="00C17F45"/>
    <w:rsid w:val="00C1F0B7"/>
    <w:rsid w:val="00C2017D"/>
    <w:rsid w:val="00C20271"/>
    <w:rsid w:val="00C206EE"/>
    <w:rsid w:val="00C2085F"/>
    <w:rsid w:val="00C20B80"/>
    <w:rsid w:val="00C20C7A"/>
    <w:rsid w:val="00C21301"/>
    <w:rsid w:val="00C21344"/>
    <w:rsid w:val="00C213A1"/>
    <w:rsid w:val="00C21701"/>
    <w:rsid w:val="00C2179B"/>
    <w:rsid w:val="00C2181C"/>
    <w:rsid w:val="00C21BEC"/>
    <w:rsid w:val="00C21CE8"/>
    <w:rsid w:val="00C223C7"/>
    <w:rsid w:val="00C22731"/>
    <w:rsid w:val="00C22797"/>
    <w:rsid w:val="00C2290C"/>
    <w:rsid w:val="00C229D1"/>
    <w:rsid w:val="00C22F84"/>
    <w:rsid w:val="00C2309E"/>
    <w:rsid w:val="00C2348F"/>
    <w:rsid w:val="00C23B45"/>
    <w:rsid w:val="00C24276"/>
    <w:rsid w:val="00C24356"/>
    <w:rsid w:val="00C2473E"/>
    <w:rsid w:val="00C24B65"/>
    <w:rsid w:val="00C2527A"/>
    <w:rsid w:val="00C2542C"/>
    <w:rsid w:val="00C254DC"/>
    <w:rsid w:val="00C25696"/>
    <w:rsid w:val="00C25854"/>
    <w:rsid w:val="00C25961"/>
    <w:rsid w:val="00C263DE"/>
    <w:rsid w:val="00C2657D"/>
    <w:rsid w:val="00C26808"/>
    <w:rsid w:val="00C26A64"/>
    <w:rsid w:val="00C2717B"/>
    <w:rsid w:val="00C2721F"/>
    <w:rsid w:val="00C274A9"/>
    <w:rsid w:val="00C274C0"/>
    <w:rsid w:val="00C274C9"/>
    <w:rsid w:val="00C278D7"/>
    <w:rsid w:val="00C27AC5"/>
    <w:rsid w:val="00C27BC0"/>
    <w:rsid w:val="00C27C80"/>
    <w:rsid w:val="00C27C8C"/>
    <w:rsid w:val="00C30013"/>
    <w:rsid w:val="00C302C5"/>
    <w:rsid w:val="00C30B25"/>
    <w:rsid w:val="00C30C21"/>
    <w:rsid w:val="00C30E9A"/>
    <w:rsid w:val="00C30F32"/>
    <w:rsid w:val="00C31122"/>
    <w:rsid w:val="00C3129E"/>
    <w:rsid w:val="00C314AA"/>
    <w:rsid w:val="00C31792"/>
    <w:rsid w:val="00C318E6"/>
    <w:rsid w:val="00C31AB9"/>
    <w:rsid w:val="00C31C46"/>
    <w:rsid w:val="00C32881"/>
    <w:rsid w:val="00C32911"/>
    <w:rsid w:val="00C32DEC"/>
    <w:rsid w:val="00C32E0A"/>
    <w:rsid w:val="00C32F28"/>
    <w:rsid w:val="00C333D0"/>
    <w:rsid w:val="00C33474"/>
    <w:rsid w:val="00C33885"/>
    <w:rsid w:val="00C33AAD"/>
    <w:rsid w:val="00C33BED"/>
    <w:rsid w:val="00C33D49"/>
    <w:rsid w:val="00C33EC7"/>
    <w:rsid w:val="00C342F5"/>
    <w:rsid w:val="00C3447A"/>
    <w:rsid w:val="00C346E7"/>
    <w:rsid w:val="00C349DB"/>
    <w:rsid w:val="00C349F9"/>
    <w:rsid w:val="00C34BC6"/>
    <w:rsid w:val="00C34CE3"/>
    <w:rsid w:val="00C351A9"/>
    <w:rsid w:val="00C35519"/>
    <w:rsid w:val="00C355B0"/>
    <w:rsid w:val="00C3573F"/>
    <w:rsid w:val="00C35D6F"/>
    <w:rsid w:val="00C360AF"/>
    <w:rsid w:val="00C36B21"/>
    <w:rsid w:val="00C36FE7"/>
    <w:rsid w:val="00C371AA"/>
    <w:rsid w:val="00C371E8"/>
    <w:rsid w:val="00C37359"/>
    <w:rsid w:val="00C374F3"/>
    <w:rsid w:val="00C37750"/>
    <w:rsid w:val="00C377C9"/>
    <w:rsid w:val="00C377E9"/>
    <w:rsid w:val="00C3789A"/>
    <w:rsid w:val="00C37BB5"/>
    <w:rsid w:val="00C37E30"/>
    <w:rsid w:val="00C409BB"/>
    <w:rsid w:val="00C40A61"/>
    <w:rsid w:val="00C40AE3"/>
    <w:rsid w:val="00C40E19"/>
    <w:rsid w:val="00C40E2E"/>
    <w:rsid w:val="00C4121F"/>
    <w:rsid w:val="00C413F3"/>
    <w:rsid w:val="00C4151D"/>
    <w:rsid w:val="00C416E1"/>
    <w:rsid w:val="00C417DE"/>
    <w:rsid w:val="00C41B44"/>
    <w:rsid w:val="00C41BC7"/>
    <w:rsid w:val="00C41C41"/>
    <w:rsid w:val="00C42643"/>
    <w:rsid w:val="00C42861"/>
    <w:rsid w:val="00C42869"/>
    <w:rsid w:val="00C42A15"/>
    <w:rsid w:val="00C42B68"/>
    <w:rsid w:val="00C42BE7"/>
    <w:rsid w:val="00C42C54"/>
    <w:rsid w:val="00C42CF7"/>
    <w:rsid w:val="00C42FB7"/>
    <w:rsid w:val="00C439C5"/>
    <w:rsid w:val="00C43A87"/>
    <w:rsid w:val="00C43D04"/>
    <w:rsid w:val="00C440AA"/>
    <w:rsid w:val="00C440DB"/>
    <w:rsid w:val="00C4421F"/>
    <w:rsid w:val="00C4439F"/>
    <w:rsid w:val="00C44995"/>
    <w:rsid w:val="00C44B6B"/>
    <w:rsid w:val="00C44EF3"/>
    <w:rsid w:val="00C450B9"/>
    <w:rsid w:val="00C4537C"/>
    <w:rsid w:val="00C45385"/>
    <w:rsid w:val="00C4556F"/>
    <w:rsid w:val="00C45E20"/>
    <w:rsid w:val="00C461AB"/>
    <w:rsid w:val="00C46269"/>
    <w:rsid w:val="00C463C6"/>
    <w:rsid w:val="00C465FC"/>
    <w:rsid w:val="00C46663"/>
    <w:rsid w:val="00C469D4"/>
    <w:rsid w:val="00C46B6D"/>
    <w:rsid w:val="00C46D9C"/>
    <w:rsid w:val="00C470AC"/>
    <w:rsid w:val="00C4718F"/>
    <w:rsid w:val="00C471D8"/>
    <w:rsid w:val="00C4735E"/>
    <w:rsid w:val="00C47385"/>
    <w:rsid w:val="00C479E0"/>
    <w:rsid w:val="00C47BF8"/>
    <w:rsid w:val="00C47C71"/>
    <w:rsid w:val="00C47D1A"/>
    <w:rsid w:val="00C47E26"/>
    <w:rsid w:val="00C47F92"/>
    <w:rsid w:val="00C50258"/>
    <w:rsid w:val="00C5029E"/>
    <w:rsid w:val="00C5095B"/>
    <w:rsid w:val="00C50B25"/>
    <w:rsid w:val="00C50DD5"/>
    <w:rsid w:val="00C50E1D"/>
    <w:rsid w:val="00C514A8"/>
    <w:rsid w:val="00C51583"/>
    <w:rsid w:val="00C5164E"/>
    <w:rsid w:val="00C51768"/>
    <w:rsid w:val="00C51B1C"/>
    <w:rsid w:val="00C51CF6"/>
    <w:rsid w:val="00C51D03"/>
    <w:rsid w:val="00C51D57"/>
    <w:rsid w:val="00C51DE4"/>
    <w:rsid w:val="00C52001"/>
    <w:rsid w:val="00C52330"/>
    <w:rsid w:val="00C5245B"/>
    <w:rsid w:val="00C5257C"/>
    <w:rsid w:val="00C52995"/>
    <w:rsid w:val="00C52E02"/>
    <w:rsid w:val="00C537A2"/>
    <w:rsid w:val="00C53DCE"/>
    <w:rsid w:val="00C54026"/>
    <w:rsid w:val="00C541A5"/>
    <w:rsid w:val="00C542F8"/>
    <w:rsid w:val="00C54598"/>
    <w:rsid w:val="00C54622"/>
    <w:rsid w:val="00C54721"/>
    <w:rsid w:val="00C54D61"/>
    <w:rsid w:val="00C54FF2"/>
    <w:rsid w:val="00C55073"/>
    <w:rsid w:val="00C5519E"/>
    <w:rsid w:val="00C55557"/>
    <w:rsid w:val="00C5574E"/>
    <w:rsid w:val="00C55A40"/>
    <w:rsid w:val="00C55CE9"/>
    <w:rsid w:val="00C55ED9"/>
    <w:rsid w:val="00C562A2"/>
    <w:rsid w:val="00C562BD"/>
    <w:rsid w:val="00C564A4"/>
    <w:rsid w:val="00C5659A"/>
    <w:rsid w:val="00C566C7"/>
    <w:rsid w:val="00C56711"/>
    <w:rsid w:val="00C56757"/>
    <w:rsid w:val="00C5692E"/>
    <w:rsid w:val="00C569AC"/>
    <w:rsid w:val="00C56A0E"/>
    <w:rsid w:val="00C56A7B"/>
    <w:rsid w:val="00C56BD4"/>
    <w:rsid w:val="00C56D0C"/>
    <w:rsid w:val="00C56FAF"/>
    <w:rsid w:val="00C570C8"/>
    <w:rsid w:val="00C57208"/>
    <w:rsid w:val="00C57465"/>
    <w:rsid w:val="00C57518"/>
    <w:rsid w:val="00C57C07"/>
    <w:rsid w:val="00C57D51"/>
    <w:rsid w:val="00C57EAA"/>
    <w:rsid w:val="00C6007E"/>
    <w:rsid w:val="00C6044A"/>
    <w:rsid w:val="00C60538"/>
    <w:rsid w:val="00C60604"/>
    <w:rsid w:val="00C606C5"/>
    <w:rsid w:val="00C610E7"/>
    <w:rsid w:val="00C618EB"/>
    <w:rsid w:val="00C61ADC"/>
    <w:rsid w:val="00C61BFD"/>
    <w:rsid w:val="00C61EFE"/>
    <w:rsid w:val="00C62069"/>
    <w:rsid w:val="00C62073"/>
    <w:rsid w:val="00C63046"/>
    <w:rsid w:val="00C6312F"/>
    <w:rsid w:val="00C63F7C"/>
    <w:rsid w:val="00C64267"/>
    <w:rsid w:val="00C64398"/>
    <w:rsid w:val="00C645F7"/>
    <w:rsid w:val="00C647DE"/>
    <w:rsid w:val="00C64972"/>
    <w:rsid w:val="00C64AF6"/>
    <w:rsid w:val="00C6523C"/>
    <w:rsid w:val="00C65255"/>
    <w:rsid w:val="00C652E5"/>
    <w:rsid w:val="00C654EB"/>
    <w:rsid w:val="00C65553"/>
    <w:rsid w:val="00C655F2"/>
    <w:rsid w:val="00C657FE"/>
    <w:rsid w:val="00C6588B"/>
    <w:rsid w:val="00C65992"/>
    <w:rsid w:val="00C65B4C"/>
    <w:rsid w:val="00C65B61"/>
    <w:rsid w:val="00C66178"/>
    <w:rsid w:val="00C661C0"/>
    <w:rsid w:val="00C66216"/>
    <w:rsid w:val="00C66745"/>
    <w:rsid w:val="00C66893"/>
    <w:rsid w:val="00C66FAA"/>
    <w:rsid w:val="00C67333"/>
    <w:rsid w:val="00C675A9"/>
    <w:rsid w:val="00C67819"/>
    <w:rsid w:val="00C67859"/>
    <w:rsid w:val="00C6792C"/>
    <w:rsid w:val="00C67A3F"/>
    <w:rsid w:val="00C67B65"/>
    <w:rsid w:val="00C67BC6"/>
    <w:rsid w:val="00C700A1"/>
    <w:rsid w:val="00C70155"/>
    <w:rsid w:val="00C70519"/>
    <w:rsid w:val="00C7056E"/>
    <w:rsid w:val="00C7076B"/>
    <w:rsid w:val="00C70B30"/>
    <w:rsid w:val="00C70BD0"/>
    <w:rsid w:val="00C70BE4"/>
    <w:rsid w:val="00C70E4C"/>
    <w:rsid w:val="00C70E53"/>
    <w:rsid w:val="00C71123"/>
    <w:rsid w:val="00C711FB"/>
    <w:rsid w:val="00C7124B"/>
    <w:rsid w:val="00C712F7"/>
    <w:rsid w:val="00C715D5"/>
    <w:rsid w:val="00C71823"/>
    <w:rsid w:val="00C71854"/>
    <w:rsid w:val="00C7192F"/>
    <w:rsid w:val="00C71934"/>
    <w:rsid w:val="00C71ADF"/>
    <w:rsid w:val="00C71B00"/>
    <w:rsid w:val="00C71B9A"/>
    <w:rsid w:val="00C71C84"/>
    <w:rsid w:val="00C71CDB"/>
    <w:rsid w:val="00C71DD3"/>
    <w:rsid w:val="00C7207C"/>
    <w:rsid w:val="00C7215B"/>
    <w:rsid w:val="00C7248B"/>
    <w:rsid w:val="00C72551"/>
    <w:rsid w:val="00C7275E"/>
    <w:rsid w:val="00C72884"/>
    <w:rsid w:val="00C72979"/>
    <w:rsid w:val="00C72BAA"/>
    <w:rsid w:val="00C72F2E"/>
    <w:rsid w:val="00C72FCB"/>
    <w:rsid w:val="00C72FCF"/>
    <w:rsid w:val="00C732AF"/>
    <w:rsid w:val="00C73523"/>
    <w:rsid w:val="00C735A5"/>
    <w:rsid w:val="00C7388D"/>
    <w:rsid w:val="00C7389C"/>
    <w:rsid w:val="00C73B4F"/>
    <w:rsid w:val="00C73D94"/>
    <w:rsid w:val="00C740FC"/>
    <w:rsid w:val="00C74265"/>
    <w:rsid w:val="00C7434F"/>
    <w:rsid w:val="00C748A6"/>
    <w:rsid w:val="00C74B3C"/>
    <w:rsid w:val="00C750BF"/>
    <w:rsid w:val="00C75176"/>
    <w:rsid w:val="00C75214"/>
    <w:rsid w:val="00C7527D"/>
    <w:rsid w:val="00C75433"/>
    <w:rsid w:val="00C7551A"/>
    <w:rsid w:val="00C75604"/>
    <w:rsid w:val="00C757E3"/>
    <w:rsid w:val="00C759B1"/>
    <w:rsid w:val="00C75ABF"/>
    <w:rsid w:val="00C75BBC"/>
    <w:rsid w:val="00C75F92"/>
    <w:rsid w:val="00C762E9"/>
    <w:rsid w:val="00C764CE"/>
    <w:rsid w:val="00C76F94"/>
    <w:rsid w:val="00C76FD5"/>
    <w:rsid w:val="00C7730F"/>
    <w:rsid w:val="00C77393"/>
    <w:rsid w:val="00C776EE"/>
    <w:rsid w:val="00C777C0"/>
    <w:rsid w:val="00C779DB"/>
    <w:rsid w:val="00C77AE1"/>
    <w:rsid w:val="00C77DD9"/>
    <w:rsid w:val="00C80044"/>
    <w:rsid w:val="00C80203"/>
    <w:rsid w:val="00C8066E"/>
    <w:rsid w:val="00C80995"/>
    <w:rsid w:val="00C80D7F"/>
    <w:rsid w:val="00C80DAA"/>
    <w:rsid w:val="00C80E77"/>
    <w:rsid w:val="00C8138E"/>
    <w:rsid w:val="00C81529"/>
    <w:rsid w:val="00C81753"/>
    <w:rsid w:val="00C818B2"/>
    <w:rsid w:val="00C81BA6"/>
    <w:rsid w:val="00C81CEA"/>
    <w:rsid w:val="00C81E2A"/>
    <w:rsid w:val="00C8229F"/>
    <w:rsid w:val="00C8231B"/>
    <w:rsid w:val="00C825ED"/>
    <w:rsid w:val="00C82964"/>
    <w:rsid w:val="00C82AB7"/>
    <w:rsid w:val="00C8316A"/>
    <w:rsid w:val="00C834DB"/>
    <w:rsid w:val="00C83718"/>
    <w:rsid w:val="00C8377C"/>
    <w:rsid w:val="00C8384F"/>
    <w:rsid w:val="00C838DA"/>
    <w:rsid w:val="00C83BFF"/>
    <w:rsid w:val="00C83F0D"/>
    <w:rsid w:val="00C84068"/>
    <w:rsid w:val="00C84906"/>
    <w:rsid w:val="00C84A05"/>
    <w:rsid w:val="00C84F86"/>
    <w:rsid w:val="00C8508B"/>
    <w:rsid w:val="00C851A5"/>
    <w:rsid w:val="00C851A7"/>
    <w:rsid w:val="00C8552C"/>
    <w:rsid w:val="00C85715"/>
    <w:rsid w:val="00C857C3"/>
    <w:rsid w:val="00C85913"/>
    <w:rsid w:val="00C85AF7"/>
    <w:rsid w:val="00C85E9E"/>
    <w:rsid w:val="00C85EAC"/>
    <w:rsid w:val="00C86C4F"/>
    <w:rsid w:val="00C87091"/>
    <w:rsid w:val="00C870B7"/>
    <w:rsid w:val="00C870CE"/>
    <w:rsid w:val="00C877CD"/>
    <w:rsid w:val="00C87A4E"/>
    <w:rsid w:val="00C87B6B"/>
    <w:rsid w:val="00C900ED"/>
    <w:rsid w:val="00C90133"/>
    <w:rsid w:val="00C902E9"/>
    <w:rsid w:val="00C90817"/>
    <w:rsid w:val="00C908B7"/>
    <w:rsid w:val="00C91117"/>
    <w:rsid w:val="00C914B0"/>
    <w:rsid w:val="00C91680"/>
    <w:rsid w:val="00C919E9"/>
    <w:rsid w:val="00C91A1A"/>
    <w:rsid w:val="00C91B49"/>
    <w:rsid w:val="00C91D81"/>
    <w:rsid w:val="00C91DEC"/>
    <w:rsid w:val="00C91E50"/>
    <w:rsid w:val="00C91FD0"/>
    <w:rsid w:val="00C92574"/>
    <w:rsid w:val="00C926F8"/>
    <w:rsid w:val="00C927E3"/>
    <w:rsid w:val="00C92990"/>
    <w:rsid w:val="00C92A3B"/>
    <w:rsid w:val="00C92A42"/>
    <w:rsid w:val="00C92A91"/>
    <w:rsid w:val="00C92ABA"/>
    <w:rsid w:val="00C9305C"/>
    <w:rsid w:val="00C930C4"/>
    <w:rsid w:val="00C932D4"/>
    <w:rsid w:val="00C93361"/>
    <w:rsid w:val="00C9348C"/>
    <w:rsid w:val="00C9355D"/>
    <w:rsid w:val="00C93614"/>
    <w:rsid w:val="00C93DB4"/>
    <w:rsid w:val="00C93DD0"/>
    <w:rsid w:val="00C94050"/>
    <w:rsid w:val="00C946C0"/>
    <w:rsid w:val="00C94702"/>
    <w:rsid w:val="00C947C4"/>
    <w:rsid w:val="00C9498B"/>
    <w:rsid w:val="00C94A87"/>
    <w:rsid w:val="00C94B05"/>
    <w:rsid w:val="00C94B7B"/>
    <w:rsid w:val="00C94BD6"/>
    <w:rsid w:val="00C94CD0"/>
    <w:rsid w:val="00C94CE1"/>
    <w:rsid w:val="00C9523C"/>
    <w:rsid w:val="00C95552"/>
    <w:rsid w:val="00C95599"/>
    <w:rsid w:val="00C95649"/>
    <w:rsid w:val="00C95758"/>
    <w:rsid w:val="00C959F6"/>
    <w:rsid w:val="00C95BC1"/>
    <w:rsid w:val="00C95D8C"/>
    <w:rsid w:val="00C95E2A"/>
    <w:rsid w:val="00C95F67"/>
    <w:rsid w:val="00C96182"/>
    <w:rsid w:val="00C966AD"/>
    <w:rsid w:val="00C967F9"/>
    <w:rsid w:val="00C969CA"/>
    <w:rsid w:val="00C96A0D"/>
    <w:rsid w:val="00C96C3E"/>
    <w:rsid w:val="00C96C4B"/>
    <w:rsid w:val="00C97151"/>
    <w:rsid w:val="00C9748C"/>
    <w:rsid w:val="00C975DE"/>
    <w:rsid w:val="00C9772C"/>
    <w:rsid w:val="00C9780D"/>
    <w:rsid w:val="00C97959"/>
    <w:rsid w:val="00C97CB0"/>
    <w:rsid w:val="00C97D29"/>
    <w:rsid w:val="00CA0510"/>
    <w:rsid w:val="00CA0537"/>
    <w:rsid w:val="00CA09AC"/>
    <w:rsid w:val="00CA1298"/>
    <w:rsid w:val="00CA12E3"/>
    <w:rsid w:val="00CA1324"/>
    <w:rsid w:val="00CA15ED"/>
    <w:rsid w:val="00CA18F2"/>
    <w:rsid w:val="00CA1AD4"/>
    <w:rsid w:val="00CA1B76"/>
    <w:rsid w:val="00CA1D4D"/>
    <w:rsid w:val="00CA1F57"/>
    <w:rsid w:val="00CA2483"/>
    <w:rsid w:val="00CA29EA"/>
    <w:rsid w:val="00CA2BBF"/>
    <w:rsid w:val="00CA2CD9"/>
    <w:rsid w:val="00CA2DA1"/>
    <w:rsid w:val="00CA2EC3"/>
    <w:rsid w:val="00CA31CC"/>
    <w:rsid w:val="00CA32D7"/>
    <w:rsid w:val="00CA33B9"/>
    <w:rsid w:val="00CA345D"/>
    <w:rsid w:val="00CA3589"/>
    <w:rsid w:val="00CA3D3D"/>
    <w:rsid w:val="00CA3F7A"/>
    <w:rsid w:val="00CA4103"/>
    <w:rsid w:val="00CA4164"/>
    <w:rsid w:val="00CA4871"/>
    <w:rsid w:val="00CA49C5"/>
    <w:rsid w:val="00CA4A6A"/>
    <w:rsid w:val="00CA506B"/>
    <w:rsid w:val="00CA52B8"/>
    <w:rsid w:val="00CA52DA"/>
    <w:rsid w:val="00CA5340"/>
    <w:rsid w:val="00CA571F"/>
    <w:rsid w:val="00CA5966"/>
    <w:rsid w:val="00CA59FC"/>
    <w:rsid w:val="00CA5F46"/>
    <w:rsid w:val="00CA5F97"/>
    <w:rsid w:val="00CA621A"/>
    <w:rsid w:val="00CA631E"/>
    <w:rsid w:val="00CA6722"/>
    <w:rsid w:val="00CA6A91"/>
    <w:rsid w:val="00CA6D4E"/>
    <w:rsid w:val="00CA6E8E"/>
    <w:rsid w:val="00CA6F33"/>
    <w:rsid w:val="00CA712E"/>
    <w:rsid w:val="00CA7653"/>
    <w:rsid w:val="00CA76F5"/>
    <w:rsid w:val="00CA7A85"/>
    <w:rsid w:val="00CA7B4B"/>
    <w:rsid w:val="00CB06B9"/>
    <w:rsid w:val="00CB0732"/>
    <w:rsid w:val="00CB0767"/>
    <w:rsid w:val="00CB0808"/>
    <w:rsid w:val="00CB0976"/>
    <w:rsid w:val="00CB1046"/>
    <w:rsid w:val="00CB10B8"/>
    <w:rsid w:val="00CB1595"/>
    <w:rsid w:val="00CB16A4"/>
    <w:rsid w:val="00CB19DB"/>
    <w:rsid w:val="00CB1B1D"/>
    <w:rsid w:val="00CB1DC9"/>
    <w:rsid w:val="00CB26A4"/>
    <w:rsid w:val="00CB2836"/>
    <w:rsid w:val="00CB2E22"/>
    <w:rsid w:val="00CB2E38"/>
    <w:rsid w:val="00CB2E6C"/>
    <w:rsid w:val="00CB36A8"/>
    <w:rsid w:val="00CB3996"/>
    <w:rsid w:val="00CB3D7A"/>
    <w:rsid w:val="00CB452A"/>
    <w:rsid w:val="00CB4697"/>
    <w:rsid w:val="00CB47ED"/>
    <w:rsid w:val="00CB5082"/>
    <w:rsid w:val="00CB57F4"/>
    <w:rsid w:val="00CB5A77"/>
    <w:rsid w:val="00CB5BEC"/>
    <w:rsid w:val="00CB6402"/>
    <w:rsid w:val="00CB6F1C"/>
    <w:rsid w:val="00CB7021"/>
    <w:rsid w:val="00CB732C"/>
    <w:rsid w:val="00CB7447"/>
    <w:rsid w:val="00CB7468"/>
    <w:rsid w:val="00CB778E"/>
    <w:rsid w:val="00CB7977"/>
    <w:rsid w:val="00CB7B04"/>
    <w:rsid w:val="00CB7B59"/>
    <w:rsid w:val="00CB7BB6"/>
    <w:rsid w:val="00CB7BD0"/>
    <w:rsid w:val="00CB7F3C"/>
    <w:rsid w:val="00CB7FB9"/>
    <w:rsid w:val="00CB895E"/>
    <w:rsid w:val="00CC0387"/>
    <w:rsid w:val="00CC0393"/>
    <w:rsid w:val="00CC05FA"/>
    <w:rsid w:val="00CC0B35"/>
    <w:rsid w:val="00CC0ED7"/>
    <w:rsid w:val="00CC1270"/>
    <w:rsid w:val="00CC139A"/>
    <w:rsid w:val="00CC1420"/>
    <w:rsid w:val="00CC15EC"/>
    <w:rsid w:val="00CC16CD"/>
    <w:rsid w:val="00CC1B0A"/>
    <w:rsid w:val="00CC1C7A"/>
    <w:rsid w:val="00CC1D0B"/>
    <w:rsid w:val="00CC1E06"/>
    <w:rsid w:val="00CC1E7A"/>
    <w:rsid w:val="00CC2575"/>
    <w:rsid w:val="00CC26F0"/>
    <w:rsid w:val="00CC2AEE"/>
    <w:rsid w:val="00CC2B1B"/>
    <w:rsid w:val="00CC3376"/>
    <w:rsid w:val="00CC3507"/>
    <w:rsid w:val="00CC3537"/>
    <w:rsid w:val="00CC3994"/>
    <w:rsid w:val="00CC3F36"/>
    <w:rsid w:val="00CC40C6"/>
    <w:rsid w:val="00CC40EB"/>
    <w:rsid w:val="00CC417D"/>
    <w:rsid w:val="00CC435E"/>
    <w:rsid w:val="00CC4767"/>
    <w:rsid w:val="00CC496D"/>
    <w:rsid w:val="00CC4E31"/>
    <w:rsid w:val="00CC4F64"/>
    <w:rsid w:val="00CC516B"/>
    <w:rsid w:val="00CC552E"/>
    <w:rsid w:val="00CC560A"/>
    <w:rsid w:val="00CC571D"/>
    <w:rsid w:val="00CC59DF"/>
    <w:rsid w:val="00CC5A64"/>
    <w:rsid w:val="00CC629A"/>
    <w:rsid w:val="00CC64E1"/>
    <w:rsid w:val="00CC6658"/>
    <w:rsid w:val="00CC7252"/>
    <w:rsid w:val="00CC7406"/>
    <w:rsid w:val="00CC7577"/>
    <w:rsid w:val="00CC77FE"/>
    <w:rsid w:val="00CC79AD"/>
    <w:rsid w:val="00CC7C0A"/>
    <w:rsid w:val="00CC7C80"/>
    <w:rsid w:val="00CC7F16"/>
    <w:rsid w:val="00CD0025"/>
    <w:rsid w:val="00CD0134"/>
    <w:rsid w:val="00CD04DA"/>
    <w:rsid w:val="00CD058C"/>
    <w:rsid w:val="00CD0681"/>
    <w:rsid w:val="00CD0E61"/>
    <w:rsid w:val="00CD0E6D"/>
    <w:rsid w:val="00CD0F68"/>
    <w:rsid w:val="00CD1508"/>
    <w:rsid w:val="00CD1D6F"/>
    <w:rsid w:val="00CD1FB4"/>
    <w:rsid w:val="00CD274B"/>
    <w:rsid w:val="00CD292B"/>
    <w:rsid w:val="00CD299B"/>
    <w:rsid w:val="00CD2D8E"/>
    <w:rsid w:val="00CD2F0F"/>
    <w:rsid w:val="00CD308B"/>
    <w:rsid w:val="00CD30D7"/>
    <w:rsid w:val="00CD30E5"/>
    <w:rsid w:val="00CD3256"/>
    <w:rsid w:val="00CD340D"/>
    <w:rsid w:val="00CD3465"/>
    <w:rsid w:val="00CD361D"/>
    <w:rsid w:val="00CD36EE"/>
    <w:rsid w:val="00CD3975"/>
    <w:rsid w:val="00CD3A3E"/>
    <w:rsid w:val="00CD3B98"/>
    <w:rsid w:val="00CD3E14"/>
    <w:rsid w:val="00CD3F3C"/>
    <w:rsid w:val="00CD3F5C"/>
    <w:rsid w:val="00CD4096"/>
    <w:rsid w:val="00CD4161"/>
    <w:rsid w:val="00CD4216"/>
    <w:rsid w:val="00CD445D"/>
    <w:rsid w:val="00CD4594"/>
    <w:rsid w:val="00CD4958"/>
    <w:rsid w:val="00CD4B5C"/>
    <w:rsid w:val="00CD4C45"/>
    <w:rsid w:val="00CD518C"/>
    <w:rsid w:val="00CD53F8"/>
    <w:rsid w:val="00CD5991"/>
    <w:rsid w:val="00CD5B47"/>
    <w:rsid w:val="00CD5BC7"/>
    <w:rsid w:val="00CD5E67"/>
    <w:rsid w:val="00CD5FAE"/>
    <w:rsid w:val="00CD602B"/>
    <w:rsid w:val="00CD61DA"/>
    <w:rsid w:val="00CD668E"/>
    <w:rsid w:val="00CD6794"/>
    <w:rsid w:val="00CD7031"/>
    <w:rsid w:val="00CD71FB"/>
    <w:rsid w:val="00CD733F"/>
    <w:rsid w:val="00CD7A69"/>
    <w:rsid w:val="00CD7F20"/>
    <w:rsid w:val="00CE0318"/>
    <w:rsid w:val="00CE031E"/>
    <w:rsid w:val="00CE0333"/>
    <w:rsid w:val="00CE0942"/>
    <w:rsid w:val="00CE0A19"/>
    <w:rsid w:val="00CE0B8F"/>
    <w:rsid w:val="00CE0DCC"/>
    <w:rsid w:val="00CE0FE1"/>
    <w:rsid w:val="00CE107A"/>
    <w:rsid w:val="00CE1106"/>
    <w:rsid w:val="00CE1117"/>
    <w:rsid w:val="00CE119A"/>
    <w:rsid w:val="00CE1569"/>
    <w:rsid w:val="00CE15A4"/>
    <w:rsid w:val="00CE18D2"/>
    <w:rsid w:val="00CE1A86"/>
    <w:rsid w:val="00CE1BE5"/>
    <w:rsid w:val="00CE203A"/>
    <w:rsid w:val="00CE2368"/>
    <w:rsid w:val="00CE2391"/>
    <w:rsid w:val="00CE2409"/>
    <w:rsid w:val="00CE2451"/>
    <w:rsid w:val="00CE2F4B"/>
    <w:rsid w:val="00CE2F66"/>
    <w:rsid w:val="00CE2F77"/>
    <w:rsid w:val="00CE3488"/>
    <w:rsid w:val="00CE36AD"/>
    <w:rsid w:val="00CE3937"/>
    <w:rsid w:val="00CE3B84"/>
    <w:rsid w:val="00CE439A"/>
    <w:rsid w:val="00CE4438"/>
    <w:rsid w:val="00CE4813"/>
    <w:rsid w:val="00CE4EB6"/>
    <w:rsid w:val="00CE4F44"/>
    <w:rsid w:val="00CE4F9F"/>
    <w:rsid w:val="00CE54DB"/>
    <w:rsid w:val="00CE54F2"/>
    <w:rsid w:val="00CE5A85"/>
    <w:rsid w:val="00CE6171"/>
    <w:rsid w:val="00CE6805"/>
    <w:rsid w:val="00CE68CA"/>
    <w:rsid w:val="00CE6C2F"/>
    <w:rsid w:val="00CE6D59"/>
    <w:rsid w:val="00CE763B"/>
    <w:rsid w:val="00CE7B65"/>
    <w:rsid w:val="00CE7CA5"/>
    <w:rsid w:val="00CF055C"/>
    <w:rsid w:val="00CF0636"/>
    <w:rsid w:val="00CF08BD"/>
    <w:rsid w:val="00CF0C0B"/>
    <w:rsid w:val="00CF0C44"/>
    <w:rsid w:val="00CF1034"/>
    <w:rsid w:val="00CF1181"/>
    <w:rsid w:val="00CF1853"/>
    <w:rsid w:val="00CF19E5"/>
    <w:rsid w:val="00CF1D2D"/>
    <w:rsid w:val="00CF1D54"/>
    <w:rsid w:val="00CF1D81"/>
    <w:rsid w:val="00CF1EE4"/>
    <w:rsid w:val="00CF23D0"/>
    <w:rsid w:val="00CF2502"/>
    <w:rsid w:val="00CF2765"/>
    <w:rsid w:val="00CF2996"/>
    <w:rsid w:val="00CF2BDC"/>
    <w:rsid w:val="00CF2DC9"/>
    <w:rsid w:val="00CF31B5"/>
    <w:rsid w:val="00CF3378"/>
    <w:rsid w:val="00CF3634"/>
    <w:rsid w:val="00CF3CF9"/>
    <w:rsid w:val="00CF46C3"/>
    <w:rsid w:val="00CF46C8"/>
    <w:rsid w:val="00CF4777"/>
    <w:rsid w:val="00CF48DA"/>
    <w:rsid w:val="00CF50D7"/>
    <w:rsid w:val="00CF5287"/>
    <w:rsid w:val="00CF564A"/>
    <w:rsid w:val="00CF5652"/>
    <w:rsid w:val="00CF573D"/>
    <w:rsid w:val="00CF59B9"/>
    <w:rsid w:val="00CF5A45"/>
    <w:rsid w:val="00CF5F86"/>
    <w:rsid w:val="00CF5F9E"/>
    <w:rsid w:val="00CF6134"/>
    <w:rsid w:val="00CF6221"/>
    <w:rsid w:val="00CF6235"/>
    <w:rsid w:val="00CF6794"/>
    <w:rsid w:val="00CF67F8"/>
    <w:rsid w:val="00CF689E"/>
    <w:rsid w:val="00CF6A04"/>
    <w:rsid w:val="00CF6A2E"/>
    <w:rsid w:val="00CF6B0B"/>
    <w:rsid w:val="00CF6CAF"/>
    <w:rsid w:val="00CF6CE1"/>
    <w:rsid w:val="00CF6FE8"/>
    <w:rsid w:val="00CF7955"/>
    <w:rsid w:val="00CF7BD7"/>
    <w:rsid w:val="00CF7CB6"/>
    <w:rsid w:val="00CF7F1C"/>
    <w:rsid w:val="00CF7F27"/>
    <w:rsid w:val="00CF7F40"/>
    <w:rsid w:val="00D0008C"/>
    <w:rsid w:val="00D001ED"/>
    <w:rsid w:val="00D00215"/>
    <w:rsid w:val="00D00EC3"/>
    <w:rsid w:val="00D00F2B"/>
    <w:rsid w:val="00D00F84"/>
    <w:rsid w:val="00D01262"/>
    <w:rsid w:val="00D013CA"/>
    <w:rsid w:val="00D01821"/>
    <w:rsid w:val="00D01A1F"/>
    <w:rsid w:val="00D01CD9"/>
    <w:rsid w:val="00D01DB0"/>
    <w:rsid w:val="00D01F98"/>
    <w:rsid w:val="00D021AE"/>
    <w:rsid w:val="00D02416"/>
    <w:rsid w:val="00D0243B"/>
    <w:rsid w:val="00D026E1"/>
    <w:rsid w:val="00D026E5"/>
    <w:rsid w:val="00D027A0"/>
    <w:rsid w:val="00D02875"/>
    <w:rsid w:val="00D02DB6"/>
    <w:rsid w:val="00D030BC"/>
    <w:rsid w:val="00D03CAF"/>
    <w:rsid w:val="00D03D13"/>
    <w:rsid w:val="00D04014"/>
    <w:rsid w:val="00D0452D"/>
    <w:rsid w:val="00D05082"/>
    <w:rsid w:val="00D05AB4"/>
    <w:rsid w:val="00D06231"/>
    <w:rsid w:val="00D06418"/>
    <w:rsid w:val="00D065E1"/>
    <w:rsid w:val="00D065F1"/>
    <w:rsid w:val="00D0681B"/>
    <w:rsid w:val="00D06DA5"/>
    <w:rsid w:val="00D06E0A"/>
    <w:rsid w:val="00D070DE"/>
    <w:rsid w:val="00D07A67"/>
    <w:rsid w:val="00D07B05"/>
    <w:rsid w:val="00D07C1A"/>
    <w:rsid w:val="00D07DB3"/>
    <w:rsid w:val="00D07E51"/>
    <w:rsid w:val="00D100AC"/>
    <w:rsid w:val="00D10396"/>
    <w:rsid w:val="00D103D2"/>
    <w:rsid w:val="00D10B22"/>
    <w:rsid w:val="00D10E9E"/>
    <w:rsid w:val="00D110A8"/>
    <w:rsid w:val="00D110BF"/>
    <w:rsid w:val="00D111C6"/>
    <w:rsid w:val="00D11392"/>
    <w:rsid w:val="00D118C8"/>
    <w:rsid w:val="00D11F10"/>
    <w:rsid w:val="00D12298"/>
    <w:rsid w:val="00D122AA"/>
    <w:rsid w:val="00D128FA"/>
    <w:rsid w:val="00D12A32"/>
    <w:rsid w:val="00D12C91"/>
    <w:rsid w:val="00D130F8"/>
    <w:rsid w:val="00D13435"/>
    <w:rsid w:val="00D1354C"/>
    <w:rsid w:val="00D13573"/>
    <w:rsid w:val="00D13691"/>
    <w:rsid w:val="00D139F7"/>
    <w:rsid w:val="00D13C1C"/>
    <w:rsid w:val="00D13E3A"/>
    <w:rsid w:val="00D14DE4"/>
    <w:rsid w:val="00D14EC7"/>
    <w:rsid w:val="00D15C51"/>
    <w:rsid w:val="00D15EF9"/>
    <w:rsid w:val="00D161CF"/>
    <w:rsid w:val="00D16426"/>
    <w:rsid w:val="00D16736"/>
    <w:rsid w:val="00D169BC"/>
    <w:rsid w:val="00D16EA9"/>
    <w:rsid w:val="00D16EEC"/>
    <w:rsid w:val="00D17164"/>
    <w:rsid w:val="00D1723E"/>
    <w:rsid w:val="00D1764F"/>
    <w:rsid w:val="00D177F9"/>
    <w:rsid w:val="00D17BD9"/>
    <w:rsid w:val="00D17EE1"/>
    <w:rsid w:val="00D17F4E"/>
    <w:rsid w:val="00D200FE"/>
    <w:rsid w:val="00D203F5"/>
    <w:rsid w:val="00D20660"/>
    <w:rsid w:val="00D2099F"/>
    <w:rsid w:val="00D20B6F"/>
    <w:rsid w:val="00D20B8A"/>
    <w:rsid w:val="00D20E74"/>
    <w:rsid w:val="00D20F05"/>
    <w:rsid w:val="00D2110C"/>
    <w:rsid w:val="00D21312"/>
    <w:rsid w:val="00D2174B"/>
    <w:rsid w:val="00D21772"/>
    <w:rsid w:val="00D2177F"/>
    <w:rsid w:val="00D21949"/>
    <w:rsid w:val="00D21BEE"/>
    <w:rsid w:val="00D21C46"/>
    <w:rsid w:val="00D2213A"/>
    <w:rsid w:val="00D2214C"/>
    <w:rsid w:val="00D229D1"/>
    <w:rsid w:val="00D22A13"/>
    <w:rsid w:val="00D22BF4"/>
    <w:rsid w:val="00D22C5A"/>
    <w:rsid w:val="00D22F18"/>
    <w:rsid w:val="00D22F6C"/>
    <w:rsid w:val="00D23235"/>
    <w:rsid w:val="00D235EC"/>
    <w:rsid w:val="00D23AF5"/>
    <w:rsid w:val="00D23BB9"/>
    <w:rsid w:val="00D23BC9"/>
    <w:rsid w:val="00D23E43"/>
    <w:rsid w:val="00D23E80"/>
    <w:rsid w:val="00D240E2"/>
    <w:rsid w:val="00D2436E"/>
    <w:rsid w:val="00D24972"/>
    <w:rsid w:val="00D24D21"/>
    <w:rsid w:val="00D251FA"/>
    <w:rsid w:val="00D25376"/>
    <w:rsid w:val="00D254E9"/>
    <w:rsid w:val="00D25C9B"/>
    <w:rsid w:val="00D25CCD"/>
    <w:rsid w:val="00D25F30"/>
    <w:rsid w:val="00D267B9"/>
    <w:rsid w:val="00D268AC"/>
    <w:rsid w:val="00D26CF3"/>
    <w:rsid w:val="00D272CA"/>
    <w:rsid w:val="00D275D3"/>
    <w:rsid w:val="00D27855"/>
    <w:rsid w:val="00D27C79"/>
    <w:rsid w:val="00D27F27"/>
    <w:rsid w:val="00D27FA0"/>
    <w:rsid w:val="00D301D5"/>
    <w:rsid w:val="00D30808"/>
    <w:rsid w:val="00D30F36"/>
    <w:rsid w:val="00D311AB"/>
    <w:rsid w:val="00D31346"/>
    <w:rsid w:val="00D3139E"/>
    <w:rsid w:val="00D3162E"/>
    <w:rsid w:val="00D317F0"/>
    <w:rsid w:val="00D31DBB"/>
    <w:rsid w:val="00D31EFE"/>
    <w:rsid w:val="00D31F4D"/>
    <w:rsid w:val="00D320B7"/>
    <w:rsid w:val="00D325A8"/>
    <w:rsid w:val="00D326D9"/>
    <w:rsid w:val="00D32BDC"/>
    <w:rsid w:val="00D32DC4"/>
    <w:rsid w:val="00D32DC6"/>
    <w:rsid w:val="00D332E7"/>
    <w:rsid w:val="00D336F6"/>
    <w:rsid w:val="00D3383A"/>
    <w:rsid w:val="00D33A92"/>
    <w:rsid w:val="00D33C48"/>
    <w:rsid w:val="00D33CC0"/>
    <w:rsid w:val="00D3411D"/>
    <w:rsid w:val="00D341DF"/>
    <w:rsid w:val="00D3464E"/>
    <w:rsid w:val="00D3475E"/>
    <w:rsid w:val="00D348BB"/>
    <w:rsid w:val="00D34AE2"/>
    <w:rsid w:val="00D34C69"/>
    <w:rsid w:val="00D34C85"/>
    <w:rsid w:val="00D35039"/>
    <w:rsid w:val="00D351BD"/>
    <w:rsid w:val="00D351EC"/>
    <w:rsid w:val="00D354CE"/>
    <w:rsid w:val="00D356B5"/>
    <w:rsid w:val="00D35F3C"/>
    <w:rsid w:val="00D35FED"/>
    <w:rsid w:val="00D36161"/>
    <w:rsid w:val="00D363E6"/>
    <w:rsid w:val="00D369A7"/>
    <w:rsid w:val="00D3715D"/>
    <w:rsid w:val="00D37737"/>
    <w:rsid w:val="00D37A94"/>
    <w:rsid w:val="00D37BBA"/>
    <w:rsid w:val="00D37BD5"/>
    <w:rsid w:val="00D37E38"/>
    <w:rsid w:val="00D40744"/>
    <w:rsid w:val="00D408B9"/>
    <w:rsid w:val="00D40950"/>
    <w:rsid w:val="00D40C2B"/>
    <w:rsid w:val="00D4105F"/>
    <w:rsid w:val="00D41283"/>
    <w:rsid w:val="00D41602"/>
    <w:rsid w:val="00D41649"/>
    <w:rsid w:val="00D419B6"/>
    <w:rsid w:val="00D41A26"/>
    <w:rsid w:val="00D41DFE"/>
    <w:rsid w:val="00D421FB"/>
    <w:rsid w:val="00D42270"/>
    <w:rsid w:val="00D425DD"/>
    <w:rsid w:val="00D4273B"/>
    <w:rsid w:val="00D42843"/>
    <w:rsid w:val="00D42CE5"/>
    <w:rsid w:val="00D42E91"/>
    <w:rsid w:val="00D43438"/>
    <w:rsid w:val="00D434E4"/>
    <w:rsid w:val="00D437AF"/>
    <w:rsid w:val="00D437C5"/>
    <w:rsid w:val="00D43A79"/>
    <w:rsid w:val="00D43ABF"/>
    <w:rsid w:val="00D43D31"/>
    <w:rsid w:val="00D44152"/>
    <w:rsid w:val="00D442AD"/>
    <w:rsid w:val="00D44523"/>
    <w:rsid w:val="00D44795"/>
    <w:rsid w:val="00D449CD"/>
    <w:rsid w:val="00D44A83"/>
    <w:rsid w:val="00D44EDC"/>
    <w:rsid w:val="00D44F83"/>
    <w:rsid w:val="00D45499"/>
    <w:rsid w:val="00D4552E"/>
    <w:rsid w:val="00D45866"/>
    <w:rsid w:val="00D45A27"/>
    <w:rsid w:val="00D45D52"/>
    <w:rsid w:val="00D45DE0"/>
    <w:rsid w:val="00D46028"/>
    <w:rsid w:val="00D46979"/>
    <w:rsid w:val="00D46CD8"/>
    <w:rsid w:val="00D47355"/>
    <w:rsid w:val="00D4748B"/>
    <w:rsid w:val="00D474CE"/>
    <w:rsid w:val="00D474D0"/>
    <w:rsid w:val="00D4754C"/>
    <w:rsid w:val="00D50033"/>
    <w:rsid w:val="00D501BB"/>
    <w:rsid w:val="00D50627"/>
    <w:rsid w:val="00D508D4"/>
    <w:rsid w:val="00D50DBB"/>
    <w:rsid w:val="00D511C4"/>
    <w:rsid w:val="00D51346"/>
    <w:rsid w:val="00D5180D"/>
    <w:rsid w:val="00D51B79"/>
    <w:rsid w:val="00D51BC9"/>
    <w:rsid w:val="00D51C1C"/>
    <w:rsid w:val="00D52033"/>
    <w:rsid w:val="00D52421"/>
    <w:rsid w:val="00D5254B"/>
    <w:rsid w:val="00D526F0"/>
    <w:rsid w:val="00D5274D"/>
    <w:rsid w:val="00D52917"/>
    <w:rsid w:val="00D52918"/>
    <w:rsid w:val="00D52B5F"/>
    <w:rsid w:val="00D5306A"/>
    <w:rsid w:val="00D532A8"/>
    <w:rsid w:val="00D53547"/>
    <w:rsid w:val="00D53691"/>
    <w:rsid w:val="00D53A12"/>
    <w:rsid w:val="00D53A25"/>
    <w:rsid w:val="00D53A38"/>
    <w:rsid w:val="00D53F7E"/>
    <w:rsid w:val="00D540A3"/>
    <w:rsid w:val="00D5419D"/>
    <w:rsid w:val="00D5437C"/>
    <w:rsid w:val="00D54919"/>
    <w:rsid w:val="00D54C9F"/>
    <w:rsid w:val="00D54ED0"/>
    <w:rsid w:val="00D552A9"/>
    <w:rsid w:val="00D552BB"/>
    <w:rsid w:val="00D55381"/>
    <w:rsid w:val="00D553F2"/>
    <w:rsid w:val="00D5562E"/>
    <w:rsid w:val="00D55654"/>
    <w:rsid w:val="00D556FB"/>
    <w:rsid w:val="00D55826"/>
    <w:rsid w:val="00D55959"/>
    <w:rsid w:val="00D55B06"/>
    <w:rsid w:val="00D55CB9"/>
    <w:rsid w:val="00D55E74"/>
    <w:rsid w:val="00D55F25"/>
    <w:rsid w:val="00D56058"/>
    <w:rsid w:val="00D5618A"/>
    <w:rsid w:val="00D567C3"/>
    <w:rsid w:val="00D56A6A"/>
    <w:rsid w:val="00D56DB0"/>
    <w:rsid w:val="00D56F7D"/>
    <w:rsid w:val="00D5723F"/>
    <w:rsid w:val="00D57318"/>
    <w:rsid w:val="00D576BD"/>
    <w:rsid w:val="00D5784B"/>
    <w:rsid w:val="00D57E65"/>
    <w:rsid w:val="00D60343"/>
    <w:rsid w:val="00D61574"/>
    <w:rsid w:val="00D61804"/>
    <w:rsid w:val="00D61B87"/>
    <w:rsid w:val="00D6219B"/>
    <w:rsid w:val="00D62285"/>
    <w:rsid w:val="00D62297"/>
    <w:rsid w:val="00D62383"/>
    <w:rsid w:val="00D624C2"/>
    <w:rsid w:val="00D62A12"/>
    <w:rsid w:val="00D62F1A"/>
    <w:rsid w:val="00D630E5"/>
    <w:rsid w:val="00D633ED"/>
    <w:rsid w:val="00D635F6"/>
    <w:rsid w:val="00D636AA"/>
    <w:rsid w:val="00D638CC"/>
    <w:rsid w:val="00D63A5B"/>
    <w:rsid w:val="00D63ECA"/>
    <w:rsid w:val="00D63EFB"/>
    <w:rsid w:val="00D63F92"/>
    <w:rsid w:val="00D64251"/>
    <w:rsid w:val="00D6453C"/>
    <w:rsid w:val="00D6488E"/>
    <w:rsid w:val="00D6491A"/>
    <w:rsid w:val="00D64A51"/>
    <w:rsid w:val="00D64D38"/>
    <w:rsid w:val="00D64E86"/>
    <w:rsid w:val="00D6537D"/>
    <w:rsid w:val="00D65886"/>
    <w:rsid w:val="00D658AF"/>
    <w:rsid w:val="00D65A7E"/>
    <w:rsid w:val="00D65D69"/>
    <w:rsid w:val="00D65FC0"/>
    <w:rsid w:val="00D660A7"/>
    <w:rsid w:val="00D6635A"/>
    <w:rsid w:val="00D66421"/>
    <w:rsid w:val="00D664E5"/>
    <w:rsid w:val="00D667AF"/>
    <w:rsid w:val="00D66C88"/>
    <w:rsid w:val="00D66DF9"/>
    <w:rsid w:val="00D676B1"/>
    <w:rsid w:val="00D67A50"/>
    <w:rsid w:val="00D67DE6"/>
    <w:rsid w:val="00D67ECB"/>
    <w:rsid w:val="00D67EE2"/>
    <w:rsid w:val="00D67F14"/>
    <w:rsid w:val="00D67F95"/>
    <w:rsid w:val="00D701C7"/>
    <w:rsid w:val="00D70369"/>
    <w:rsid w:val="00D70547"/>
    <w:rsid w:val="00D709F7"/>
    <w:rsid w:val="00D709FE"/>
    <w:rsid w:val="00D70A9C"/>
    <w:rsid w:val="00D70CB3"/>
    <w:rsid w:val="00D71386"/>
    <w:rsid w:val="00D71640"/>
    <w:rsid w:val="00D718E8"/>
    <w:rsid w:val="00D71C4B"/>
    <w:rsid w:val="00D71D18"/>
    <w:rsid w:val="00D7243A"/>
    <w:rsid w:val="00D726D2"/>
    <w:rsid w:val="00D728C1"/>
    <w:rsid w:val="00D72BD0"/>
    <w:rsid w:val="00D72D88"/>
    <w:rsid w:val="00D72F07"/>
    <w:rsid w:val="00D7313E"/>
    <w:rsid w:val="00D7314A"/>
    <w:rsid w:val="00D73250"/>
    <w:rsid w:val="00D73388"/>
    <w:rsid w:val="00D7372E"/>
    <w:rsid w:val="00D739DE"/>
    <w:rsid w:val="00D73C7F"/>
    <w:rsid w:val="00D7409B"/>
    <w:rsid w:val="00D74294"/>
    <w:rsid w:val="00D7452A"/>
    <w:rsid w:val="00D7458D"/>
    <w:rsid w:val="00D748DF"/>
    <w:rsid w:val="00D74BB2"/>
    <w:rsid w:val="00D74D0C"/>
    <w:rsid w:val="00D74DF7"/>
    <w:rsid w:val="00D756B1"/>
    <w:rsid w:val="00D75711"/>
    <w:rsid w:val="00D75882"/>
    <w:rsid w:val="00D75C1D"/>
    <w:rsid w:val="00D75C39"/>
    <w:rsid w:val="00D76063"/>
    <w:rsid w:val="00D76203"/>
    <w:rsid w:val="00D768A3"/>
    <w:rsid w:val="00D7694E"/>
    <w:rsid w:val="00D77325"/>
    <w:rsid w:val="00D8000D"/>
    <w:rsid w:val="00D80011"/>
    <w:rsid w:val="00D80300"/>
    <w:rsid w:val="00D803E7"/>
    <w:rsid w:val="00D80430"/>
    <w:rsid w:val="00D8073C"/>
    <w:rsid w:val="00D809AB"/>
    <w:rsid w:val="00D809EE"/>
    <w:rsid w:val="00D80F51"/>
    <w:rsid w:val="00D811F8"/>
    <w:rsid w:val="00D81332"/>
    <w:rsid w:val="00D81392"/>
    <w:rsid w:val="00D82080"/>
    <w:rsid w:val="00D8215B"/>
    <w:rsid w:val="00D822E6"/>
    <w:rsid w:val="00D82715"/>
    <w:rsid w:val="00D828CA"/>
    <w:rsid w:val="00D82A98"/>
    <w:rsid w:val="00D82B32"/>
    <w:rsid w:val="00D832E8"/>
    <w:rsid w:val="00D83A5F"/>
    <w:rsid w:val="00D83B1E"/>
    <w:rsid w:val="00D83DE9"/>
    <w:rsid w:val="00D84039"/>
    <w:rsid w:val="00D8404B"/>
    <w:rsid w:val="00D8450D"/>
    <w:rsid w:val="00D847DA"/>
    <w:rsid w:val="00D84B76"/>
    <w:rsid w:val="00D84B92"/>
    <w:rsid w:val="00D84F89"/>
    <w:rsid w:val="00D8527E"/>
    <w:rsid w:val="00D85348"/>
    <w:rsid w:val="00D8536C"/>
    <w:rsid w:val="00D854D2"/>
    <w:rsid w:val="00D858BF"/>
    <w:rsid w:val="00D85F81"/>
    <w:rsid w:val="00D85FF9"/>
    <w:rsid w:val="00D863F9"/>
    <w:rsid w:val="00D865A1"/>
    <w:rsid w:val="00D8676A"/>
    <w:rsid w:val="00D867A0"/>
    <w:rsid w:val="00D869E4"/>
    <w:rsid w:val="00D8761C"/>
    <w:rsid w:val="00D87638"/>
    <w:rsid w:val="00D87716"/>
    <w:rsid w:val="00D87A90"/>
    <w:rsid w:val="00D87BED"/>
    <w:rsid w:val="00D87C48"/>
    <w:rsid w:val="00D87C9B"/>
    <w:rsid w:val="00D87D58"/>
    <w:rsid w:val="00D90ECE"/>
    <w:rsid w:val="00D90F60"/>
    <w:rsid w:val="00D9101E"/>
    <w:rsid w:val="00D91507"/>
    <w:rsid w:val="00D919E3"/>
    <w:rsid w:val="00D9207B"/>
    <w:rsid w:val="00D920A1"/>
    <w:rsid w:val="00D9231A"/>
    <w:rsid w:val="00D923F1"/>
    <w:rsid w:val="00D92402"/>
    <w:rsid w:val="00D92453"/>
    <w:rsid w:val="00D9261B"/>
    <w:rsid w:val="00D92A6D"/>
    <w:rsid w:val="00D92AA1"/>
    <w:rsid w:val="00D92B29"/>
    <w:rsid w:val="00D92E62"/>
    <w:rsid w:val="00D932F5"/>
    <w:rsid w:val="00D9344B"/>
    <w:rsid w:val="00D935AB"/>
    <w:rsid w:val="00D939D1"/>
    <w:rsid w:val="00D93A82"/>
    <w:rsid w:val="00D93E4E"/>
    <w:rsid w:val="00D93F6A"/>
    <w:rsid w:val="00D94125"/>
    <w:rsid w:val="00D94133"/>
    <w:rsid w:val="00D941D8"/>
    <w:rsid w:val="00D943E3"/>
    <w:rsid w:val="00D943E9"/>
    <w:rsid w:val="00D94BAC"/>
    <w:rsid w:val="00D94CB5"/>
    <w:rsid w:val="00D94EC0"/>
    <w:rsid w:val="00D94F96"/>
    <w:rsid w:val="00D953D4"/>
    <w:rsid w:val="00D95504"/>
    <w:rsid w:val="00D95AF9"/>
    <w:rsid w:val="00D95B8E"/>
    <w:rsid w:val="00D9615C"/>
    <w:rsid w:val="00D96514"/>
    <w:rsid w:val="00D967E7"/>
    <w:rsid w:val="00D9683A"/>
    <w:rsid w:val="00D969EF"/>
    <w:rsid w:val="00D96CF4"/>
    <w:rsid w:val="00D972DF"/>
    <w:rsid w:val="00D977DE"/>
    <w:rsid w:val="00D97915"/>
    <w:rsid w:val="00D97A25"/>
    <w:rsid w:val="00D97C84"/>
    <w:rsid w:val="00DA09C9"/>
    <w:rsid w:val="00DA0F47"/>
    <w:rsid w:val="00DA1114"/>
    <w:rsid w:val="00DA11CE"/>
    <w:rsid w:val="00DA1453"/>
    <w:rsid w:val="00DA1822"/>
    <w:rsid w:val="00DA199C"/>
    <w:rsid w:val="00DA1A34"/>
    <w:rsid w:val="00DA1E7E"/>
    <w:rsid w:val="00DA232D"/>
    <w:rsid w:val="00DA27D1"/>
    <w:rsid w:val="00DA2A25"/>
    <w:rsid w:val="00DA2D15"/>
    <w:rsid w:val="00DA2E22"/>
    <w:rsid w:val="00DA318E"/>
    <w:rsid w:val="00DA3605"/>
    <w:rsid w:val="00DA36F4"/>
    <w:rsid w:val="00DA3BF1"/>
    <w:rsid w:val="00DA4296"/>
    <w:rsid w:val="00DA4717"/>
    <w:rsid w:val="00DA4786"/>
    <w:rsid w:val="00DA48D7"/>
    <w:rsid w:val="00DA5496"/>
    <w:rsid w:val="00DA55E1"/>
    <w:rsid w:val="00DA5A00"/>
    <w:rsid w:val="00DA5BCB"/>
    <w:rsid w:val="00DA5E77"/>
    <w:rsid w:val="00DA6006"/>
    <w:rsid w:val="00DA64B9"/>
    <w:rsid w:val="00DA6507"/>
    <w:rsid w:val="00DA6845"/>
    <w:rsid w:val="00DA68C3"/>
    <w:rsid w:val="00DA6B48"/>
    <w:rsid w:val="00DA6B8E"/>
    <w:rsid w:val="00DA6E26"/>
    <w:rsid w:val="00DA6F2B"/>
    <w:rsid w:val="00DA6F38"/>
    <w:rsid w:val="00DA70D5"/>
    <w:rsid w:val="00DA78D7"/>
    <w:rsid w:val="00DA79F9"/>
    <w:rsid w:val="00DA7C55"/>
    <w:rsid w:val="00DB002A"/>
    <w:rsid w:val="00DB0059"/>
    <w:rsid w:val="00DB00F9"/>
    <w:rsid w:val="00DB028B"/>
    <w:rsid w:val="00DB02DB"/>
    <w:rsid w:val="00DB046E"/>
    <w:rsid w:val="00DB0D3D"/>
    <w:rsid w:val="00DB10A9"/>
    <w:rsid w:val="00DB13DC"/>
    <w:rsid w:val="00DB145C"/>
    <w:rsid w:val="00DB1836"/>
    <w:rsid w:val="00DB1BCC"/>
    <w:rsid w:val="00DB1CED"/>
    <w:rsid w:val="00DB1F8C"/>
    <w:rsid w:val="00DB1FC0"/>
    <w:rsid w:val="00DB2873"/>
    <w:rsid w:val="00DB2928"/>
    <w:rsid w:val="00DB2B60"/>
    <w:rsid w:val="00DB2BB3"/>
    <w:rsid w:val="00DB2E22"/>
    <w:rsid w:val="00DB2EDD"/>
    <w:rsid w:val="00DB3958"/>
    <w:rsid w:val="00DB3B14"/>
    <w:rsid w:val="00DB3D79"/>
    <w:rsid w:val="00DB3DDB"/>
    <w:rsid w:val="00DB42F9"/>
    <w:rsid w:val="00DB433F"/>
    <w:rsid w:val="00DB44E0"/>
    <w:rsid w:val="00DB4760"/>
    <w:rsid w:val="00DB5E1F"/>
    <w:rsid w:val="00DB61B6"/>
    <w:rsid w:val="00DB6359"/>
    <w:rsid w:val="00DB749E"/>
    <w:rsid w:val="00DB7A0C"/>
    <w:rsid w:val="00DB7FC9"/>
    <w:rsid w:val="00DC00A1"/>
    <w:rsid w:val="00DC04D4"/>
    <w:rsid w:val="00DC0623"/>
    <w:rsid w:val="00DC0782"/>
    <w:rsid w:val="00DC08C9"/>
    <w:rsid w:val="00DC14AB"/>
    <w:rsid w:val="00DC173A"/>
    <w:rsid w:val="00DC19D8"/>
    <w:rsid w:val="00DC1C8B"/>
    <w:rsid w:val="00DC1D04"/>
    <w:rsid w:val="00DC1E4C"/>
    <w:rsid w:val="00DC21D9"/>
    <w:rsid w:val="00DC2234"/>
    <w:rsid w:val="00DC25AD"/>
    <w:rsid w:val="00DC2613"/>
    <w:rsid w:val="00DC26D3"/>
    <w:rsid w:val="00DC2817"/>
    <w:rsid w:val="00DC2829"/>
    <w:rsid w:val="00DC2B6B"/>
    <w:rsid w:val="00DC2B9C"/>
    <w:rsid w:val="00DC2CCF"/>
    <w:rsid w:val="00DC2EA9"/>
    <w:rsid w:val="00DC307B"/>
    <w:rsid w:val="00DC310A"/>
    <w:rsid w:val="00DC3351"/>
    <w:rsid w:val="00DC3B2A"/>
    <w:rsid w:val="00DC3F06"/>
    <w:rsid w:val="00DC400F"/>
    <w:rsid w:val="00DC415B"/>
    <w:rsid w:val="00DC4213"/>
    <w:rsid w:val="00DC4378"/>
    <w:rsid w:val="00DC4512"/>
    <w:rsid w:val="00DC49AA"/>
    <w:rsid w:val="00DC4B6B"/>
    <w:rsid w:val="00DC4D8B"/>
    <w:rsid w:val="00DC518D"/>
    <w:rsid w:val="00DC5193"/>
    <w:rsid w:val="00DC51BD"/>
    <w:rsid w:val="00DC59E2"/>
    <w:rsid w:val="00DC5CC6"/>
    <w:rsid w:val="00DC5CF3"/>
    <w:rsid w:val="00DC5D91"/>
    <w:rsid w:val="00DC67B0"/>
    <w:rsid w:val="00DC69B8"/>
    <w:rsid w:val="00DC6BA8"/>
    <w:rsid w:val="00DC6D42"/>
    <w:rsid w:val="00DC7205"/>
    <w:rsid w:val="00DC73A5"/>
    <w:rsid w:val="00DC7557"/>
    <w:rsid w:val="00DC7A70"/>
    <w:rsid w:val="00DC7D60"/>
    <w:rsid w:val="00DC7F94"/>
    <w:rsid w:val="00DD0246"/>
    <w:rsid w:val="00DD069A"/>
    <w:rsid w:val="00DD0930"/>
    <w:rsid w:val="00DD09A5"/>
    <w:rsid w:val="00DD0AD8"/>
    <w:rsid w:val="00DD0C09"/>
    <w:rsid w:val="00DD0C32"/>
    <w:rsid w:val="00DD0DA5"/>
    <w:rsid w:val="00DD0DFA"/>
    <w:rsid w:val="00DD0ED0"/>
    <w:rsid w:val="00DD10D6"/>
    <w:rsid w:val="00DD1698"/>
    <w:rsid w:val="00DD1A10"/>
    <w:rsid w:val="00DD1FFA"/>
    <w:rsid w:val="00DD22A6"/>
    <w:rsid w:val="00DD2B8B"/>
    <w:rsid w:val="00DD2BF7"/>
    <w:rsid w:val="00DD2FFB"/>
    <w:rsid w:val="00DD34B5"/>
    <w:rsid w:val="00DD3562"/>
    <w:rsid w:val="00DD3691"/>
    <w:rsid w:val="00DD3763"/>
    <w:rsid w:val="00DD3903"/>
    <w:rsid w:val="00DD3C30"/>
    <w:rsid w:val="00DD3C82"/>
    <w:rsid w:val="00DD3D67"/>
    <w:rsid w:val="00DD3D8A"/>
    <w:rsid w:val="00DD3DD7"/>
    <w:rsid w:val="00DD41F7"/>
    <w:rsid w:val="00DD4380"/>
    <w:rsid w:val="00DD46B2"/>
    <w:rsid w:val="00DD4B38"/>
    <w:rsid w:val="00DD4B55"/>
    <w:rsid w:val="00DD4C7C"/>
    <w:rsid w:val="00DD4DA6"/>
    <w:rsid w:val="00DD4F15"/>
    <w:rsid w:val="00DD5127"/>
    <w:rsid w:val="00DD51CB"/>
    <w:rsid w:val="00DD5521"/>
    <w:rsid w:val="00DD5925"/>
    <w:rsid w:val="00DD5972"/>
    <w:rsid w:val="00DD5A0C"/>
    <w:rsid w:val="00DD5D69"/>
    <w:rsid w:val="00DD5E0F"/>
    <w:rsid w:val="00DD5E42"/>
    <w:rsid w:val="00DD5F75"/>
    <w:rsid w:val="00DD600B"/>
    <w:rsid w:val="00DD64D0"/>
    <w:rsid w:val="00DD652E"/>
    <w:rsid w:val="00DD6653"/>
    <w:rsid w:val="00DD6ABA"/>
    <w:rsid w:val="00DD6E77"/>
    <w:rsid w:val="00DD6EDD"/>
    <w:rsid w:val="00DD6F2D"/>
    <w:rsid w:val="00DD72DB"/>
    <w:rsid w:val="00DD76A9"/>
    <w:rsid w:val="00DD76EE"/>
    <w:rsid w:val="00DD77E6"/>
    <w:rsid w:val="00DD78FC"/>
    <w:rsid w:val="00DD7B09"/>
    <w:rsid w:val="00DD7BD3"/>
    <w:rsid w:val="00DD7C3E"/>
    <w:rsid w:val="00DD7E01"/>
    <w:rsid w:val="00DE046C"/>
    <w:rsid w:val="00DE08BB"/>
    <w:rsid w:val="00DE1102"/>
    <w:rsid w:val="00DE1C46"/>
    <w:rsid w:val="00DE1E26"/>
    <w:rsid w:val="00DE1E90"/>
    <w:rsid w:val="00DE2117"/>
    <w:rsid w:val="00DE22ED"/>
    <w:rsid w:val="00DE2357"/>
    <w:rsid w:val="00DE24E6"/>
    <w:rsid w:val="00DE26B2"/>
    <w:rsid w:val="00DE273C"/>
    <w:rsid w:val="00DE2BBE"/>
    <w:rsid w:val="00DE3018"/>
    <w:rsid w:val="00DE31FC"/>
    <w:rsid w:val="00DE35F7"/>
    <w:rsid w:val="00DE3766"/>
    <w:rsid w:val="00DE3BA2"/>
    <w:rsid w:val="00DE3BEC"/>
    <w:rsid w:val="00DE3EB4"/>
    <w:rsid w:val="00DE3ECC"/>
    <w:rsid w:val="00DE4465"/>
    <w:rsid w:val="00DE44DD"/>
    <w:rsid w:val="00DE454B"/>
    <w:rsid w:val="00DE45F3"/>
    <w:rsid w:val="00DE465F"/>
    <w:rsid w:val="00DE47BB"/>
    <w:rsid w:val="00DE4A0D"/>
    <w:rsid w:val="00DE4F9B"/>
    <w:rsid w:val="00DE4FC1"/>
    <w:rsid w:val="00DE4FE6"/>
    <w:rsid w:val="00DE556C"/>
    <w:rsid w:val="00DE5591"/>
    <w:rsid w:val="00DE5751"/>
    <w:rsid w:val="00DE59CD"/>
    <w:rsid w:val="00DE5A25"/>
    <w:rsid w:val="00DE5A7C"/>
    <w:rsid w:val="00DE5AB0"/>
    <w:rsid w:val="00DE621F"/>
    <w:rsid w:val="00DE6596"/>
    <w:rsid w:val="00DE6737"/>
    <w:rsid w:val="00DE674F"/>
    <w:rsid w:val="00DE6F46"/>
    <w:rsid w:val="00DE6F51"/>
    <w:rsid w:val="00DE72DF"/>
    <w:rsid w:val="00DE7322"/>
    <w:rsid w:val="00DE7563"/>
    <w:rsid w:val="00DE766B"/>
    <w:rsid w:val="00DE7735"/>
    <w:rsid w:val="00DE7A6B"/>
    <w:rsid w:val="00DE7F12"/>
    <w:rsid w:val="00DF0253"/>
    <w:rsid w:val="00DF05CC"/>
    <w:rsid w:val="00DF067D"/>
    <w:rsid w:val="00DF07AD"/>
    <w:rsid w:val="00DF09F8"/>
    <w:rsid w:val="00DF0DEF"/>
    <w:rsid w:val="00DF15A5"/>
    <w:rsid w:val="00DF166E"/>
    <w:rsid w:val="00DF17A3"/>
    <w:rsid w:val="00DF1BDB"/>
    <w:rsid w:val="00DF1E42"/>
    <w:rsid w:val="00DF206F"/>
    <w:rsid w:val="00DF217B"/>
    <w:rsid w:val="00DF220B"/>
    <w:rsid w:val="00DF22C6"/>
    <w:rsid w:val="00DF23A2"/>
    <w:rsid w:val="00DF24B3"/>
    <w:rsid w:val="00DF27EB"/>
    <w:rsid w:val="00DF2810"/>
    <w:rsid w:val="00DF2CD4"/>
    <w:rsid w:val="00DF323B"/>
    <w:rsid w:val="00DF3364"/>
    <w:rsid w:val="00DF33EC"/>
    <w:rsid w:val="00DF346F"/>
    <w:rsid w:val="00DF3ACC"/>
    <w:rsid w:val="00DF3EC2"/>
    <w:rsid w:val="00DF4332"/>
    <w:rsid w:val="00DF4380"/>
    <w:rsid w:val="00DF4548"/>
    <w:rsid w:val="00DF4610"/>
    <w:rsid w:val="00DF518F"/>
    <w:rsid w:val="00DF5389"/>
    <w:rsid w:val="00DF5604"/>
    <w:rsid w:val="00DF564B"/>
    <w:rsid w:val="00DF5667"/>
    <w:rsid w:val="00DF5901"/>
    <w:rsid w:val="00DF6079"/>
    <w:rsid w:val="00DF6158"/>
    <w:rsid w:val="00DF64F8"/>
    <w:rsid w:val="00DF6AC5"/>
    <w:rsid w:val="00DF6B4C"/>
    <w:rsid w:val="00DF700D"/>
    <w:rsid w:val="00DF7461"/>
    <w:rsid w:val="00DF748D"/>
    <w:rsid w:val="00DF79D6"/>
    <w:rsid w:val="00DF7E44"/>
    <w:rsid w:val="00DF7FB6"/>
    <w:rsid w:val="00DF7FD4"/>
    <w:rsid w:val="00E007A5"/>
    <w:rsid w:val="00E0096B"/>
    <w:rsid w:val="00E00E87"/>
    <w:rsid w:val="00E01014"/>
    <w:rsid w:val="00E018F9"/>
    <w:rsid w:val="00E01ACB"/>
    <w:rsid w:val="00E01AD4"/>
    <w:rsid w:val="00E02087"/>
    <w:rsid w:val="00E02392"/>
    <w:rsid w:val="00E025BD"/>
    <w:rsid w:val="00E0277F"/>
    <w:rsid w:val="00E0287B"/>
    <w:rsid w:val="00E02DA3"/>
    <w:rsid w:val="00E02F90"/>
    <w:rsid w:val="00E0311D"/>
    <w:rsid w:val="00E03157"/>
    <w:rsid w:val="00E03169"/>
    <w:rsid w:val="00E03FA8"/>
    <w:rsid w:val="00E03FDC"/>
    <w:rsid w:val="00E043E5"/>
    <w:rsid w:val="00E04673"/>
    <w:rsid w:val="00E047B4"/>
    <w:rsid w:val="00E04860"/>
    <w:rsid w:val="00E0494E"/>
    <w:rsid w:val="00E04BFF"/>
    <w:rsid w:val="00E04CE6"/>
    <w:rsid w:val="00E04E8B"/>
    <w:rsid w:val="00E04EBE"/>
    <w:rsid w:val="00E055BB"/>
    <w:rsid w:val="00E05E4B"/>
    <w:rsid w:val="00E05F32"/>
    <w:rsid w:val="00E0603C"/>
    <w:rsid w:val="00E0653B"/>
    <w:rsid w:val="00E06866"/>
    <w:rsid w:val="00E07058"/>
    <w:rsid w:val="00E0730D"/>
    <w:rsid w:val="00E07685"/>
    <w:rsid w:val="00E076B1"/>
    <w:rsid w:val="00E076B4"/>
    <w:rsid w:val="00E0777D"/>
    <w:rsid w:val="00E07D7D"/>
    <w:rsid w:val="00E07F3B"/>
    <w:rsid w:val="00E0B7B4"/>
    <w:rsid w:val="00E101F2"/>
    <w:rsid w:val="00E103A5"/>
    <w:rsid w:val="00E1095C"/>
    <w:rsid w:val="00E10C64"/>
    <w:rsid w:val="00E114CC"/>
    <w:rsid w:val="00E11594"/>
    <w:rsid w:val="00E11641"/>
    <w:rsid w:val="00E11988"/>
    <w:rsid w:val="00E125CE"/>
    <w:rsid w:val="00E1271B"/>
    <w:rsid w:val="00E12E17"/>
    <w:rsid w:val="00E12E53"/>
    <w:rsid w:val="00E1327D"/>
    <w:rsid w:val="00E13398"/>
    <w:rsid w:val="00E134C1"/>
    <w:rsid w:val="00E13738"/>
    <w:rsid w:val="00E137C7"/>
    <w:rsid w:val="00E141B4"/>
    <w:rsid w:val="00E14365"/>
    <w:rsid w:val="00E14647"/>
    <w:rsid w:val="00E14842"/>
    <w:rsid w:val="00E14E0A"/>
    <w:rsid w:val="00E1555A"/>
    <w:rsid w:val="00E156E0"/>
    <w:rsid w:val="00E15DA9"/>
    <w:rsid w:val="00E1605C"/>
    <w:rsid w:val="00E160FE"/>
    <w:rsid w:val="00E1622F"/>
    <w:rsid w:val="00E163A4"/>
    <w:rsid w:val="00E163D5"/>
    <w:rsid w:val="00E1681C"/>
    <w:rsid w:val="00E168D0"/>
    <w:rsid w:val="00E169ED"/>
    <w:rsid w:val="00E172A7"/>
    <w:rsid w:val="00E174B8"/>
    <w:rsid w:val="00E17774"/>
    <w:rsid w:val="00E177A5"/>
    <w:rsid w:val="00E17B3A"/>
    <w:rsid w:val="00E201D3"/>
    <w:rsid w:val="00E20257"/>
    <w:rsid w:val="00E20600"/>
    <w:rsid w:val="00E2086C"/>
    <w:rsid w:val="00E208CB"/>
    <w:rsid w:val="00E2095D"/>
    <w:rsid w:val="00E20B98"/>
    <w:rsid w:val="00E20CEE"/>
    <w:rsid w:val="00E21039"/>
    <w:rsid w:val="00E211DC"/>
    <w:rsid w:val="00E21559"/>
    <w:rsid w:val="00E216B6"/>
    <w:rsid w:val="00E21D6B"/>
    <w:rsid w:val="00E21D85"/>
    <w:rsid w:val="00E21E81"/>
    <w:rsid w:val="00E22C07"/>
    <w:rsid w:val="00E22C9D"/>
    <w:rsid w:val="00E22EC9"/>
    <w:rsid w:val="00E22F0F"/>
    <w:rsid w:val="00E2309D"/>
    <w:rsid w:val="00E239C7"/>
    <w:rsid w:val="00E23A6F"/>
    <w:rsid w:val="00E243D0"/>
    <w:rsid w:val="00E244F9"/>
    <w:rsid w:val="00E245C1"/>
    <w:rsid w:val="00E24A20"/>
    <w:rsid w:val="00E24B04"/>
    <w:rsid w:val="00E24BDC"/>
    <w:rsid w:val="00E24D0B"/>
    <w:rsid w:val="00E24E11"/>
    <w:rsid w:val="00E24E41"/>
    <w:rsid w:val="00E24F2B"/>
    <w:rsid w:val="00E2524B"/>
    <w:rsid w:val="00E252B0"/>
    <w:rsid w:val="00E25526"/>
    <w:rsid w:val="00E25794"/>
    <w:rsid w:val="00E258A6"/>
    <w:rsid w:val="00E25DF5"/>
    <w:rsid w:val="00E2611F"/>
    <w:rsid w:val="00E262D1"/>
    <w:rsid w:val="00E266EB"/>
    <w:rsid w:val="00E26A84"/>
    <w:rsid w:val="00E26C7E"/>
    <w:rsid w:val="00E26FF4"/>
    <w:rsid w:val="00E2720C"/>
    <w:rsid w:val="00E27440"/>
    <w:rsid w:val="00E2748B"/>
    <w:rsid w:val="00E2761F"/>
    <w:rsid w:val="00E279E5"/>
    <w:rsid w:val="00E27FE4"/>
    <w:rsid w:val="00E30102"/>
    <w:rsid w:val="00E30256"/>
    <w:rsid w:val="00E3032B"/>
    <w:rsid w:val="00E30414"/>
    <w:rsid w:val="00E30729"/>
    <w:rsid w:val="00E30CA9"/>
    <w:rsid w:val="00E30D21"/>
    <w:rsid w:val="00E30EB8"/>
    <w:rsid w:val="00E31177"/>
    <w:rsid w:val="00E315E2"/>
    <w:rsid w:val="00E317E6"/>
    <w:rsid w:val="00E31B4B"/>
    <w:rsid w:val="00E31C91"/>
    <w:rsid w:val="00E32064"/>
    <w:rsid w:val="00E3252E"/>
    <w:rsid w:val="00E3273B"/>
    <w:rsid w:val="00E3282A"/>
    <w:rsid w:val="00E328F9"/>
    <w:rsid w:val="00E32960"/>
    <w:rsid w:val="00E32C47"/>
    <w:rsid w:val="00E32CED"/>
    <w:rsid w:val="00E32E4F"/>
    <w:rsid w:val="00E332AE"/>
    <w:rsid w:val="00E33752"/>
    <w:rsid w:val="00E33F30"/>
    <w:rsid w:val="00E34149"/>
    <w:rsid w:val="00E34315"/>
    <w:rsid w:val="00E34713"/>
    <w:rsid w:val="00E34873"/>
    <w:rsid w:val="00E349C2"/>
    <w:rsid w:val="00E34C88"/>
    <w:rsid w:val="00E34E0E"/>
    <w:rsid w:val="00E35116"/>
    <w:rsid w:val="00E35373"/>
    <w:rsid w:val="00E358EB"/>
    <w:rsid w:val="00E35C46"/>
    <w:rsid w:val="00E35C9B"/>
    <w:rsid w:val="00E35E1A"/>
    <w:rsid w:val="00E36035"/>
    <w:rsid w:val="00E36397"/>
    <w:rsid w:val="00E365DA"/>
    <w:rsid w:val="00E3665A"/>
    <w:rsid w:val="00E366B2"/>
    <w:rsid w:val="00E3676B"/>
    <w:rsid w:val="00E367D0"/>
    <w:rsid w:val="00E36805"/>
    <w:rsid w:val="00E36CC8"/>
    <w:rsid w:val="00E36E0E"/>
    <w:rsid w:val="00E379EB"/>
    <w:rsid w:val="00E37B5C"/>
    <w:rsid w:val="00E37E71"/>
    <w:rsid w:val="00E4009F"/>
    <w:rsid w:val="00E40116"/>
    <w:rsid w:val="00E40153"/>
    <w:rsid w:val="00E40314"/>
    <w:rsid w:val="00E4052B"/>
    <w:rsid w:val="00E4074C"/>
    <w:rsid w:val="00E40750"/>
    <w:rsid w:val="00E40769"/>
    <w:rsid w:val="00E40813"/>
    <w:rsid w:val="00E4081B"/>
    <w:rsid w:val="00E409BD"/>
    <w:rsid w:val="00E40A3A"/>
    <w:rsid w:val="00E41059"/>
    <w:rsid w:val="00E415DC"/>
    <w:rsid w:val="00E417A4"/>
    <w:rsid w:val="00E41D2C"/>
    <w:rsid w:val="00E4209E"/>
    <w:rsid w:val="00E4216F"/>
    <w:rsid w:val="00E42B5E"/>
    <w:rsid w:val="00E42CEF"/>
    <w:rsid w:val="00E42E8B"/>
    <w:rsid w:val="00E42FD4"/>
    <w:rsid w:val="00E43122"/>
    <w:rsid w:val="00E43147"/>
    <w:rsid w:val="00E432D5"/>
    <w:rsid w:val="00E4348F"/>
    <w:rsid w:val="00E434AF"/>
    <w:rsid w:val="00E4369F"/>
    <w:rsid w:val="00E437A2"/>
    <w:rsid w:val="00E43980"/>
    <w:rsid w:val="00E43AE4"/>
    <w:rsid w:val="00E43F30"/>
    <w:rsid w:val="00E442CE"/>
    <w:rsid w:val="00E443C1"/>
    <w:rsid w:val="00E4460B"/>
    <w:rsid w:val="00E448B6"/>
    <w:rsid w:val="00E44A08"/>
    <w:rsid w:val="00E44B8C"/>
    <w:rsid w:val="00E44BB4"/>
    <w:rsid w:val="00E44F27"/>
    <w:rsid w:val="00E453E6"/>
    <w:rsid w:val="00E455A7"/>
    <w:rsid w:val="00E4597C"/>
    <w:rsid w:val="00E45E4D"/>
    <w:rsid w:val="00E45EAD"/>
    <w:rsid w:val="00E46455"/>
    <w:rsid w:val="00E466BA"/>
    <w:rsid w:val="00E46793"/>
    <w:rsid w:val="00E4679F"/>
    <w:rsid w:val="00E46CDA"/>
    <w:rsid w:val="00E46D9C"/>
    <w:rsid w:val="00E478E3"/>
    <w:rsid w:val="00E47E76"/>
    <w:rsid w:val="00E501D3"/>
    <w:rsid w:val="00E5038C"/>
    <w:rsid w:val="00E5042C"/>
    <w:rsid w:val="00E505ED"/>
    <w:rsid w:val="00E51096"/>
    <w:rsid w:val="00E5128D"/>
    <w:rsid w:val="00E512B5"/>
    <w:rsid w:val="00E5136F"/>
    <w:rsid w:val="00E51A0F"/>
    <w:rsid w:val="00E51C13"/>
    <w:rsid w:val="00E51E2A"/>
    <w:rsid w:val="00E52063"/>
    <w:rsid w:val="00E520AB"/>
    <w:rsid w:val="00E52250"/>
    <w:rsid w:val="00E52662"/>
    <w:rsid w:val="00E526E2"/>
    <w:rsid w:val="00E528C3"/>
    <w:rsid w:val="00E52ABF"/>
    <w:rsid w:val="00E52E33"/>
    <w:rsid w:val="00E52E38"/>
    <w:rsid w:val="00E530D5"/>
    <w:rsid w:val="00E53BF0"/>
    <w:rsid w:val="00E53CD8"/>
    <w:rsid w:val="00E53FB1"/>
    <w:rsid w:val="00E540AB"/>
    <w:rsid w:val="00E540FA"/>
    <w:rsid w:val="00E549B7"/>
    <w:rsid w:val="00E54F0F"/>
    <w:rsid w:val="00E55378"/>
    <w:rsid w:val="00E557D6"/>
    <w:rsid w:val="00E55E5A"/>
    <w:rsid w:val="00E561A5"/>
    <w:rsid w:val="00E56F60"/>
    <w:rsid w:val="00E57106"/>
    <w:rsid w:val="00E57199"/>
    <w:rsid w:val="00E57222"/>
    <w:rsid w:val="00E57229"/>
    <w:rsid w:val="00E57316"/>
    <w:rsid w:val="00E57496"/>
    <w:rsid w:val="00E576E8"/>
    <w:rsid w:val="00E576F7"/>
    <w:rsid w:val="00E57714"/>
    <w:rsid w:val="00E57A82"/>
    <w:rsid w:val="00E57B28"/>
    <w:rsid w:val="00E57E7A"/>
    <w:rsid w:val="00E57E8A"/>
    <w:rsid w:val="00E57F23"/>
    <w:rsid w:val="00E60AFF"/>
    <w:rsid w:val="00E60CB2"/>
    <w:rsid w:val="00E60F12"/>
    <w:rsid w:val="00E60F92"/>
    <w:rsid w:val="00E613CA"/>
    <w:rsid w:val="00E61B0D"/>
    <w:rsid w:val="00E61B17"/>
    <w:rsid w:val="00E61B86"/>
    <w:rsid w:val="00E61E59"/>
    <w:rsid w:val="00E62159"/>
    <w:rsid w:val="00E621F4"/>
    <w:rsid w:val="00E62491"/>
    <w:rsid w:val="00E62729"/>
    <w:rsid w:val="00E627A6"/>
    <w:rsid w:val="00E62BB2"/>
    <w:rsid w:val="00E63031"/>
    <w:rsid w:val="00E631B5"/>
    <w:rsid w:val="00E633CA"/>
    <w:rsid w:val="00E6385D"/>
    <w:rsid w:val="00E63BBE"/>
    <w:rsid w:val="00E63D82"/>
    <w:rsid w:val="00E63DC7"/>
    <w:rsid w:val="00E63DE7"/>
    <w:rsid w:val="00E63EC6"/>
    <w:rsid w:val="00E63FC1"/>
    <w:rsid w:val="00E64730"/>
    <w:rsid w:val="00E64778"/>
    <w:rsid w:val="00E6493B"/>
    <w:rsid w:val="00E64A16"/>
    <w:rsid w:val="00E64FB4"/>
    <w:rsid w:val="00E6521D"/>
    <w:rsid w:val="00E652FB"/>
    <w:rsid w:val="00E65348"/>
    <w:rsid w:val="00E65492"/>
    <w:rsid w:val="00E65A46"/>
    <w:rsid w:val="00E6620A"/>
    <w:rsid w:val="00E6666C"/>
    <w:rsid w:val="00E666DE"/>
    <w:rsid w:val="00E669FF"/>
    <w:rsid w:val="00E66C20"/>
    <w:rsid w:val="00E66F29"/>
    <w:rsid w:val="00E672E5"/>
    <w:rsid w:val="00E67614"/>
    <w:rsid w:val="00E6777A"/>
    <w:rsid w:val="00E67AFE"/>
    <w:rsid w:val="00E67BFB"/>
    <w:rsid w:val="00E67D18"/>
    <w:rsid w:val="00E70291"/>
    <w:rsid w:val="00E703B8"/>
    <w:rsid w:val="00E708ED"/>
    <w:rsid w:val="00E70A3F"/>
    <w:rsid w:val="00E70A64"/>
    <w:rsid w:val="00E70C81"/>
    <w:rsid w:val="00E711B1"/>
    <w:rsid w:val="00E71242"/>
    <w:rsid w:val="00E7137D"/>
    <w:rsid w:val="00E713DF"/>
    <w:rsid w:val="00E7149F"/>
    <w:rsid w:val="00E71C46"/>
    <w:rsid w:val="00E71FDA"/>
    <w:rsid w:val="00E72129"/>
    <w:rsid w:val="00E7241C"/>
    <w:rsid w:val="00E7244F"/>
    <w:rsid w:val="00E7277E"/>
    <w:rsid w:val="00E72866"/>
    <w:rsid w:val="00E72935"/>
    <w:rsid w:val="00E72D6D"/>
    <w:rsid w:val="00E72DD3"/>
    <w:rsid w:val="00E73259"/>
    <w:rsid w:val="00E73508"/>
    <w:rsid w:val="00E735C2"/>
    <w:rsid w:val="00E73812"/>
    <w:rsid w:val="00E738A8"/>
    <w:rsid w:val="00E741CA"/>
    <w:rsid w:val="00E742E4"/>
    <w:rsid w:val="00E746D1"/>
    <w:rsid w:val="00E74A26"/>
    <w:rsid w:val="00E74C07"/>
    <w:rsid w:val="00E74C23"/>
    <w:rsid w:val="00E74DBD"/>
    <w:rsid w:val="00E74E69"/>
    <w:rsid w:val="00E755B0"/>
    <w:rsid w:val="00E75813"/>
    <w:rsid w:val="00E75ABC"/>
    <w:rsid w:val="00E75ED2"/>
    <w:rsid w:val="00E76235"/>
    <w:rsid w:val="00E76341"/>
    <w:rsid w:val="00E76906"/>
    <w:rsid w:val="00E7727B"/>
    <w:rsid w:val="00E77502"/>
    <w:rsid w:val="00E7752B"/>
    <w:rsid w:val="00E77702"/>
    <w:rsid w:val="00E77726"/>
    <w:rsid w:val="00E77789"/>
    <w:rsid w:val="00E777D3"/>
    <w:rsid w:val="00E7790A"/>
    <w:rsid w:val="00E77A16"/>
    <w:rsid w:val="00E77BC8"/>
    <w:rsid w:val="00E77CFF"/>
    <w:rsid w:val="00E804F4"/>
    <w:rsid w:val="00E806BF"/>
    <w:rsid w:val="00E807B2"/>
    <w:rsid w:val="00E808C1"/>
    <w:rsid w:val="00E809F7"/>
    <w:rsid w:val="00E80B4E"/>
    <w:rsid w:val="00E80E79"/>
    <w:rsid w:val="00E80EF1"/>
    <w:rsid w:val="00E81047"/>
    <w:rsid w:val="00E8188F"/>
    <w:rsid w:val="00E81A0F"/>
    <w:rsid w:val="00E81D18"/>
    <w:rsid w:val="00E821CA"/>
    <w:rsid w:val="00E821DB"/>
    <w:rsid w:val="00E823ED"/>
    <w:rsid w:val="00E8280C"/>
    <w:rsid w:val="00E82C92"/>
    <w:rsid w:val="00E82FF1"/>
    <w:rsid w:val="00E83031"/>
    <w:rsid w:val="00E833CA"/>
    <w:rsid w:val="00E8354D"/>
    <w:rsid w:val="00E8392A"/>
    <w:rsid w:val="00E83E4C"/>
    <w:rsid w:val="00E83F2C"/>
    <w:rsid w:val="00E84005"/>
    <w:rsid w:val="00E8413C"/>
    <w:rsid w:val="00E8479D"/>
    <w:rsid w:val="00E84D41"/>
    <w:rsid w:val="00E84DDD"/>
    <w:rsid w:val="00E85144"/>
    <w:rsid w:val="00E852E1"/>
    <w:rsid w:val="00E85804"/>
    <w:rsid w:val="00E858EA"/>
    <w:rsid w:val="00E859C5"/>
    <w:rsid w:val="00E867A2"/>
    <w:rsid w:val="00E86B53"/>
    <w:rsid w:val="00E86F11"/>
    <w:rsid w:val="00E8719B"/>
    <w:rsid w:val="00E871A9"/>
    <w:rsid w:val="00E877EA"/>
    <w:rsid w:val="00E87DAB"/>
    <w:rsid w:val="00E904AF"/>
    <w:rsid w:val="00E90841"/>
    <w:rsid w:val="00E9084F"/>
    <w:rsid w:val="00E910C4"/>
    <w:rsid w:val="00E910CC"/>
    <w:rsid w:val="00E91149"/>
    <w:rsid w:val="00E9120B"/>
    <w:rsid w:val="00E91644"/>
    <w:rsid w:val="00E91899"/>
    <w:rsid w:val="00E91933"/>
    <w:rsid w:val="00E91BF9"/>
    <w:rsid w:val="00E91DFA"/>
    <w:rsid w:val="00E91E90"/>
    <w:rsid w:val="00E92522"/>
    <w:rsid w:val="00E92610"/>
    <w:rsid w:val="00E92827"/>
    <w:rsid w:val="00E92A81"/>
    <w:rsid w:val="00E92E58"/>
    <w:rsid w:val="00E92E7C"/>
    <w:rsid w:val="00E92ED4"/>
    <w:rsid w:val="00E9317F"/>
    <w:rsid w:val="00E933FB"/>
    <w:rsid w:val="00E933FC"/>
    <w:rsid w:val="00E93696"/>
    <w:rsid w:val="00E93784"/>
    <w:rsid w:val="00E93819"/>
    <w:rsid w:val="00E93AB8"/>
    <w:rsid w:val="00E93E77"/>
    <w:rsid w:val="00E94247"/>
    <w:rsid w:val="00E94360"/>
    <w:rsid w:val="00E944CC"/>
    <w:rsid w:val="00E9456F"/>
    <w:rsid w:val="00E9468C"/>
    <w:rsid w:val="00E946ED"/>
    <w:rsid w:val="00E94E01"/>
    <w:rsid w:val="00E950B4"/>
    <w:rsid w:val="00E95620"/>
    <w:rsid w:val="00E9566A"/>
    <w:rsid w:val="00E9575E"/>
    <w:rsid w:val="00E95848"/>
    <w:rsid w:val="00E95B04"/>
    <w:rsid w:val="00E95BFB"/>
    <w:rsid w:val="00E95EED"/>
    <w:rsid w:val="00E9612A"/>
    <w:rsid w:val="00E969B1"/>
    <w:rsid w:val="00E96C83"/>
    <w:rsid w:val="00E96D53"/>
    <w:rsid w:val="00E96ED4"/>
    <w:rsid w:val="00E96FAE"/>
    <w:rsid w:val="00E970B6"/>
    <w:rsid w:val="00E9722A"/>
    <w:rsid w:val="00E9759C"/>
    <w:rsid w:val="00E97715"/>
    <w:rsid w:val="00E979B1"/>
    <w:rsid w:val="00E97E01"/>
    <w:rsid w:val="00E97E69"/>
    <w:rsid w:val="00EA006F"/>
    <w:rsid w:val="00EA0166"/>
    <w:rsid w:val="00EA0170"/>
    <w:rsid w:val="00EA02C9"/>
    <w:rsid w:val="00EA0584"/>
    <w:rsid w:val="00EA089A"/>
    <w:rsid w:val="00EA08C9"/>
    <w:rsid w:val="00EA08CC"/>
    <w:rsid w:val="00EA0960"/>
    <w:rsid w:val="00EA0A9D"/>
    <w:rsid w:val="00EA0B34"/>
    <w:rsid w:val="00EA0DBD"/>
    <w:rsid w:val="00EA0F4E"/>
    <w:rsid w:val="00EA19DB"/>
    <w:rsid w:val="00EA1A11"/>
    <w:rsid w:val="00EA1B87"/>
    <w:rsid w:val="00EA25F7"/>
    <w:rsid w:val="00EA2747"/>
    <w:rsid w:val="00EA27EB"/>
    <w:rsid w:val="00EA288D"/>
    <w:rsid w:val="00EA2971"/>
    <w:rsid w:val="00EA2AB0"/>
    <w:rsid w:val="00EA2DAE"/>
    <w:rsid w:val="00EA34D3"/>
    <w:rsid w:val="00EA3747"/>
    <w:rsid w:val="00EA39A7"/>
    <w:rsid w:val="00EA4004"/>
    <w:rsid w:val="00EA44B5"/>
    <w:rsid w:val="00EA4839"/>
    <w:rsid w:val="00EA4948"/>
    <w:rsid w:val="00EA5146"/>
    <w:rsid w:val="00EA51AC"/>
    <w:rsid w:val="00EA5435"/>
    <w:rsid w:val="00EA5500"/>
    <w:rsid w:val="00EA571C"/>
    <w:rsid w:val="00EA57D2"/>
    <w:rsid w:val="00EA5AAC"/>
    <w:rsid w:val="00EA5DA1"/>
    <w:rsid w:val="00EA5E7D"/>
    <w:rsid w:val="00EA5F02"/>
    <w:rsid w:val="00EA5FAA"/>
    <w:rsid w:val="00EA6306"/>
    <w:rsid w:val="00EA6373"/>
    <w:rsid w:val="00EA6840"/>
    <w:rsid w:val="00EA6948"/>
    <w:rsid w:val="00EA6A89"/>
    <w:rsid w:val="00EA6AD4"/>
    <w:rsid w:val="00EA6AE1"/>
    <w:rsid w:val="00EA6EC6"/>
    <w:rsid w:val="00EA6EFF"/>
    <w:rsid w:val="00EA6FB9"/>
    <w:rsid w:val="00EA72FC"/>
    <w:rsid w:val="00EA732A"/>
    <w:rsid w:val="00EA73EB"/>
    <w:rsid w:val="00EA765B"/>
    <w:rsid w:val="00EA76E6"/>
    <w:rsid w:val="00EA78CA"/>
    <w:rsid w:val="00EA7CF2"/>
    <w:rsid w:val="00EB00BB"/>
    <w:rsid w:val="00EB0224"/>
    <w:rsid w:val="00EB0277"/>
    <w:rsid w:val="00EB0466"/>
    <w:rsid w:val="00EB05AA"/>
    <w:rsid w:val="00EB0AAE"/>
    <w:rsid w:val="00EB0C72"/>
    <w:rsid w:val="00EB0E25"/>
    <w:rsid w:val="00EB161A"/>
    <w:rsid w:val="00EB18E9"/>
    <w:rsid w:val="00EB1A50"/>
    <w:rsid w:val="00EB1DDF"/>
    <w:rsid w:val="00EB21C5"/>
    <w:rsid w:val="00EB2338"/>
    <w:rsid w:val="00EB263B"/>
    <w:rsid w:val="00EB2998"/>
    <w:rsid w:val="00EB29CA"/>
    <w:rsid w:val="00EB29F5"/>
    <w:rsid w:val="00EB2A3D"/>
    <w:rsid w:val="00EB2AFB"/>
    <w:rsid w:val="00EB2FA6"/>
    <w:rsid w:val="00EB2FF8"/>
    <w:rsid w:val="00EB3116"/>
    <w:rsid w:val="00EB3296"/>
    <w:rsid w:val="00EB3C8C"/>
    <w:rsid w:val="00EB40D9"/>
    <w:rsid w:val="00EB441B"/>
    <w:rsid w:val="00EB4638"/>
    <w:rsid w:val="00EB4789"/>
    <w:rsid w:val="00EB49D7"/>
    <w:rsid w:val="00EB49EE"/>
    <w:rsid w:val="00EB4C51"/>
    <w:rsid w:val="00EB4E96"/>
    <w:rsid w:val="00EB509D"/>
    <w:rsid w:val="00EB51D4"/>
    <w:rsid w:val="00EB5875"/>
    <w:rsid w:val="00EB58AA"/>
    <w:rsid w:val="00EB5A35"/>
    <w:rsid w:val="00EB605D"/>
    <w:rsid w:val="00EB6205"/>
    <w:rsid w:val="00EB63C5"/>
    <w:rsid w:val="00EB6552"/>
    <w:rsid w:val="00EB682F"/>
    <w:rsid w:val="00EB6B5C"/>
    <w:rsid w:val="00EB6F67"/>
    <w:rsid w:val="00EB6FF4"/>
    <w:rsid w:val="00EB71E5"/>
    <w:rsid w:val="00EB729D"/>
    <w:rsid w:val="00EB761E"/>
    <w:rsid w:val="00EB7740"/>
    <w:rsid w:val="00EB7990"/>
    <w:rsid w:val="00EB7A3F"/>
    <w:rsid w:val="00EB7EAE"/>
    <w:rsid w:val="00EB7F4C"/>
    <w:rsid w:val="00EC01E5"/>
    <w:rsid w:val="00EC0261"/>
    <w:rsid w:val="00EC0853"/>
    <w:rsid w:val="00EC0AB6"/>
    <w:rsid w:val="00EC0B98"/>
    <w:rsid w:val="00EC0E4E"/>
    <w:rsid w:val="00EC0E57"/>
    <w:rsid w:val="00EC0E65"/>
    <w:rsid w:val="00EC12C3"/>
    <w:rsid w:val="00EC1353"/>
    <w:rsid w:val="00EC14B8"/>
    <w:rsid w:val="00EC1728"/>
    <w:rsid w:val="00EC18E6"/>
    <w:rsid w:val="00EC1984"/>
    <w:rsid w:val="00EC19A2"/>
    <w:rsid w:val="00EC1C18"/>
    <w:rsid w:val="00EC1D2B"/>
    <w:rsid w:val="00EC2046"/>
    <w:rsid w:val="00EC234C"/>
    <w:rsid w:val="00EC2801"/>
    <w:rsid w:val="00EC280F"/>
    <w:rsid w:val="00EC2812"/>
    <w:rsid w:val="00EC297A"/>
    <w:rsid w:val="00EC2BEB"/>
    <w:rsid w:val="00EC2C23"/>
    <w:rsid w:val="00EC2CCE"/>
    <w:rsid w:val="00EC2EF1"/>
    <w:rsid w:val="00EC2FFF"/>
    <w:rsid w:val="00EC3490"/>
    <w:rsid w:val="00EC393F"/>
    <w:rsid w:val="00EC39BC"/>
    <w:rsid w:val="00EC43B5"/>
    <w:rsid w:val="00EC4907"/>
    <w:rsid w:val="00EC49D8"/>
    <w:rsid w:val="00EC49FD"/>
    <w:rsid w:val="00EC4DBC"/>
    <w:rsid w:val="00EC52B8"/>
    <w:rsid w:val="00EC5397"/>
    <w:rsid w:val="00EC53E1"/>
    <w:rsid w:val="00EC5499"/>
    <w:rsid w:val="00EC54DF"/>
    <w:rsid w:val="00EC5F85"/>
    <w:rsid w:val="00EC6205"/>
    <w:rsid w:val="00EC6212"/>
    <w:rsid w:val="00EC6273"/>
    <w:rsid w:val="00EC62EF"/>
    <w:rsid w:val="00EC6A26"/>
    <w:rsid w:val="00EC6CBA"/>
    <w:rsid w:val="00EC7284"/>
    <w:rsid w:val="00EC739C"/>
    <w:rsid w:val="00EC7545"/>
    <w:rsid w:val="00EC7715"/>
    <w:rsid w:val="00EC7768"/>
    <w:rsid w:val="00EC7813"/>
    <w:rsid w:val="00EC7DD9"/>
    <w:rsid w:val="00EC7E24"/>
    <w:rsid w:val="00EC7E3A"/>
    <w:rsid w:val="00EC7EFC"/>
    <w:rsid w:val="00ED0060"/>
    <w:rsid w:val="00ED0152"/>
    <w:rsid w:val="00ED0F0B"/>
    <w:rsid w:val="00ED11A0"/>
    <w:rsid w:val="00ED142F"/>
    <w:rsid w:val="00ED17A5"/>
    <w:rsid w:val="00ED1908"/>
    <w:rsid w:val="00ED1922"/>
    <w:rsid w:val="00ED1E79"/>
    <w:rsid w:val="00ED205E"/>
    <w:rsid w:val="00ED20BB"/>
    <w:rsid w:val="00ED2278"/>
    <w:rsid w:val="00ED27F6"/>
    <w:rsid w:val="00ED2A92"/>
    <w:rsid w:val="00ED2B10"/>
    <w:rsid w:val="00ED2B78"/>
    <w:rsid w:val="00ED2D2A"/>
    <w:rsid w:val="00ED30BD"/>
    <w:rsid w:val="00ED30BF"/>
    <w:rsid w:val="00ED3316"/>
    <w:rsid w:val="00ED3529"/>
    <w:rsid w:val="00ED3EFE"/>
    <w:rsid w:val="00ED4200"/>
    <w:rsid w:val="00ED4288"/>
    <w:rsid w:val="00ED42B3"/>
    <w:rsid w:val="00ED435A"/>
    <w:rsid w:val="00ED442E"/>
    <w:rsid w:val="00ED4509"/>
    <w:rsid w:val="00ED498C"/>
    <w:rsid w:val="00ED4D17"/>
    <w:rsid w:val="00ED4EB0"/>
    <w:rsid w:val="00ED5073"/>
    <w:rsid w:val="00ED50EB"/>
    <w:rsid w:val="00ED5612"/>
    <w:rsid w:val="00ED589A"/>
    <w:rsid w:val="00ED58D4"/>
    <w:rsid w:val="00ED5B04"/>
    <w:rsid w:val="00ED5CDD"/>
    <w:rsid w:val="00ED5CF1"/>
    <w:rsid w:val="00ED61B2"/>
    <w:rsid w:val="00ED6557"/>
    <w:rsid w:val="00ED675E"/>
    <w:rsid w:val="00ED6C18"/>
    <w:rsid w:val="00ED6D8D"/>
    <w:rsid w:val="00ED6FCE"/>
    <w:rsid w:val="00ED71CB"/>
    <w:rsid w:val="00ED72DE"/>
    <w:rsid w:val="00ED73BE"/>
    <w:rsid w:val="00ED7582"/>
    <w:rsid w:val="00ED7BFC"/>
    <w:rsid w:val="00EDE106"/>
    <w:rsid w:val="00EE02C6"/>
    <w:rsid w:val="00EE044C"/>
    <w:rsid w:val="00EE065C"/>
    <w:rsid w:val="00EE075F"/>
    <w:rsid w:val="00EE08EB"/>
    <w:rsid w:val="00EE09ED"/>
    <w:rsid w:val="00EE150D"/>
    <w:rsid w:val="00EE1527"/>
    <w:rsid w:val="00EE15F1"/>
    <w:rsid w:val="00EE1BBA"/>
    <w:rsid w:val="00EE1CA3"/>
    <w:rsid w:val="00EE1F79"/>
    <w:rsid w:val="00EE2262"/>
    <w:rsid w:val="00EE2412"/>
    <w:rsid w:val="00EE2596"/>
    <w:rsid w:val="00EE259B"/>
    <w:rsid w:val="00EE2871"/>
    <w:rsid w:val="00EE2922"/>
    <w:rsid w:val="00EE2F49"/>
    <w:rsid w:val="00EE30E9"/>
    <w:rsid w:val="00EE3195"/>
    <w:rsid w:val="00EE3874"/>
    <w:rsid w:val="00EE39A0"/>
    <w:rsid w:val="00EE3A0A"/>
    <w:rsid w:val="00EE3A1C"/>
    <w:rsid w:val="00EE3E8C"/>
    <w:rsid w:val="00EE3F30"/>
    <w:rsid w:val="00EE400B"/>
    <w:rsid w:val="00EE4317"/>
    <w:rsid w:val="00EE4384"/>
    <w:rsid w:val="00EE4466"/>
    <w:rsid w:val="00EE44CF"/>
    <w:rsid w:val="00EE4E56"/>
    <w:rsid w:val="00EE5025"/>
    <w:rsid w:val="00EE50AA"/>
    <w:rsid w:val="00EE55D3"/>
    <w:rsid w:val="00EE5782"/>
    <w:rsid w:val="00EE592E"/>
    <w:rsid w:val="00EE59B8"/>
    <w:rsid w:val="00EE5A23"/>
    <w:rsid w:val="00EE5B24"/>
    <w:rsid w:val="00EE5D9F"/>
    <w:rsid w:val="00EE5EDC"/>
    <w:rsid w:val="00EE6010"/>
    <w:rsid w:val="00EE6087"/>
    <w:rsid w:val="00EE62F3"/>
    <w:rsid w:val="00EE630A"/>
    <w:rsid w:val="00EE635C"/>
    <w:rsid w:val="00EE63FC"/>
    <w:rsid w:val="00EE66BE"/>
    <w:rsid w:val="00EE6B69"/>
    <w:rsid w:val="00EE6BD2"/>
    <w:rsid w:val="00EE6CD3"/>
    <w:rsid w:val="00EE700E"/>
    <w:rsid w:val="00EE7157"/>
    <w:rsid w:val="00EE7333"/>
    <w:rsid w:val="00EE750F"/>
    <w:rsid w:val="00EE767E"/>
    <w:rsid w:val="00EE76E4"/>
    <w:rsid w:val="00EE7D9C"/>
    <w:rsid w:val="00EF082B"/>
    <w:rsid w:val="00EF083D"/>
    <w:rsid w:val="00EF0EE3"/>
    <w:rsid w:val="00EF0EF8"/>
    <w:rsid w:val="00EF0FA6"/>
    <w:rsid w:val="00EF1627"/>
    <w:rsid w:val="00EF1D73"/>
    <w:rsid w:val="00EF1E12"/>
    <w:rsid w:val="00EF1EA0"/>
    <w:rsid w:val="00EF20D7"/>
    <w:rsid w:val="00EF2582"/>
    <w:rsid w:val="00EF2A45"/>
    <w:rsid w:val="00EF2EB0"/>
    <w:rsid w:val="00EF300A"/>
    <w:rsid w:val="00EF323D"/>
    <w:rsid w:val="00EF3407"/>
    <w:rsid w:val="00EF3419"/>
    <w:rsid w:val="00EF3961"/>
    <w:rsid w:val="00EF41B0"/>
    <w:rsid w:val="00EF4255"/>
    <w:rsid w:val="00EF4310"/>
    <w:rsid w:val="00EF4AA0"/>
    <w:rsid w:val="00EF4BA6"/>
    <w:rsid w:val="00EF4E1A"/>
    <w:rsid w:val="00EF5135"/>
    <w:rsid w:val="00EF5325"/>
    <w:rsid w:val="00EF537B"/>
    <w:rsid w:val="00EF5761"/>
    <w:rsid w:val="00EF5D2F"/>
    <w:rsid w:val="00EF5E27"/>
    <w:rsid w:val="00EF5F36"/>
    <w:rsid w:val="00EF6031"/>
    <w:rsid w:val="00EF60DC"/>
    <w:rsid w:val="00EF60DF"/>
    <w:rsid w:val="00EF62E2"/>
    <w:rsid w:val="00EF6463"/>
    <w:rsid w:val="00EF64AD"/>
    <w:rsid w:val="00EF67C0"/>
    <w:rsid w:val="00EF6FB3"/>
    <w:rsid w:val="00EF7333"/>
    <w:rsid w:val="00EF7534"/>
    <w:rsid w:val="00EF7557"/>
    <w:rsid w:val="00EF75CB"/>
    <w:rsid w:val="00EF7670"/>
    <w:rsid w:val="00EF7675"/>
    <w:rsid w:val="00EF7B22"/>
    <w:rsid w:val="00EF7D57"/>
    <w:rsid w:val="00F00060"/>
    <w:rsid w:val="00F00406"/>
    <w:rsid w:val="00F004EB"/>
    <w:rsid w:val="00F0054B"/>
    <w:rsid w:val="00F00550"/>
    <w:rsid w:val="00F00622"/>
    <w:rsid w:val="00F00C7E"/>
    <w:rsid w:val="00F0118E"/>
    <w:rsid w:val="00F0119C"/>
    <w:rsid w:val="00F0183D"/>
    <w:rsid w:val="00F018F8"/>
    <w:rsid w:val="00F01940"/>
    <w:rsid w:val="00F01B52"/>
    <w:rsid w:val="00F01C56"/>
    <w:rsid w:val="00F020BB"/>
    <w:rsid w:val="00F02145"/>
    <w:rsid w:val="00F0219B"/>
    <w:rsid w:val="00F02349"/>
    <w:rsid w:val="00F02687"/>
    <w:rsid w:val="00F02704"/>
    <w:rsid w:val="00F02A4F"/>
    <w:rsid w:val="00F02BDB"/>
    <w:rsid w:val="00F03120"/>
    <w:rsid w:val="00F0323C"/>
    <w:rsid w:val="00F036A3"/>
    <w:rsid w:val="00F0398F"/>
    <w:rsid w:val="00F03C63"/>
    <w:rsid w:val="00F03C74"/>
    <w:rsid w:val="00F03CF4"/>
    <w:rsid w:val="00F03CF6"/>
    <w:rsid w:val="00F03DFC"/>
    <w:rsid w:val="00F03EEB"/>
    <w:rsid w:val="00F04148"/>
    <w:rsid w:val="00F041A9"/>
    <w:rsid w:val="00F043C5"/>
    <w:rsid w:val="00F0441B"/>
    <w:rsid w:val="00F04431"/>
    <w:rsid w:val="00F047CE"/>
    <w:rsid w:val="00F04963"/>
    <w:rsid w:val="00F04BAB"/>
    <w:rsid w:val="00F04BD8"/>
    <w:rsid w:val="00F04C2E"/>
    <w:rsid w:val="00F050BF"/>
    <w:rsid w:val="00F05CFE"/>
    <w:rsid w:val="00F05F0F"/>
    <w:rsid w:val="00F0603D"/>
    <w:rsid w:val="00F06308"/>
    <w:rsid w:val="00F067EE"/>
    <w:rsid w:val="00F068B7"/>
    <w:rsid w:val="00F06C37"/>
    <w:rsid w:val="00F06C75"/>
    <w:rsid w:val="00F071D8"/>
    <w:rsid w:val="00F07290"/>
    <w:rsid w:val="00F0735C"/>
    <w:rsid w:val="00F07387"/>
    <w:rsid w:val="00F073AA"/>
    <w:rsid w:val="00F07485"/>
    <w:rsid w:val="00F07623"/>
    <w:rsid w:val="00F07763"/>
    <w:rsid w:val="00F07EB1"/>
    <w:rsid w:val="00F1036D"/>
    <w:rsid w:val="00F1094A"/>
    <w:rsid w:val="00F10BE0"/>
    <w:rsid w:val="00F10DBB"/>
    <w:rsid w:val="00F10F4C"/>
    <w:rsid w:val="00F11366"/>
    <w:rsid w:val="00F11599"/>
    <w:rsid w:val="00F11890"/>
    <w:rsid w:val="00F11AEC"/>
    <w:rsid w:val="00F11C96"/>
    <w:rsid w:val="00F11CD0"/>
    <w:rsid w:val="00F11D44"/>
    <w:rsid w:val="00F11E27"/>
    <w:rsid w:val="00F11EF2"/>
    <w:rsid w:val="00F12841"/>
    <w:rsid w:val="00F12ABB"/>
    <w:rsid w:val="00F12E73"/>
    <w:rsid w:val="00F12E74"/>
    <w:rsid w:val="00F13CE5"/>
    <w:rsid w:val="00F13D58"/>
    <w:rsid w:val="00F13E60"/>
    <w:rsid w:val="00F13F98"/>
    <w:rsid w:val="00F144CB"/>
    <w:rsid w:val="00F14CA6"/>
    <w:rsid w:val="00F14D63"/>
    <w:rsid w:val="00F14D98"/>
    <w:rsid w:val="00F14F90"/>
    <w:rsid w:val="00F1512F"/>
    <w:rsid w:val="00F15327"/>
    <w:rsid w:val="00F153B1"/>
    <w:rsid w:val="00F153BB"/>
    <w:rsid w:val="00F15604"/>
    <w:rsid w:val="00F15768"/>
    <w:rsid w:val="00F15988"/>
    <w:rsid w:val="00F15D7A"/>
    <w:rsid w:val="00F1616E"/>
    <w:rsid w:val="00F1644C"/>
    <w:rsid w:val="00F16593"/>
    <w:rsid w:val="00F1665D"/>
    <w:rsid w:val="00F16BB1"/>
    <w:rsid w:val="00F16C91"/>
    <w:rsid w:val="00F17052"/>
    <w:rsid w:val="00F17166"/>
    <w:rsid w:val="00F17242"/>
    <w:rsid w:val="00F17498"/>
    <w:rsid w:val="00F17A41"/>
    <w:rsid w:val="00F17BCA"/>
    <w:rsid w:val="00F17CE2"/>
    <w:rsid w:val="00F203B4"/>
    <w:rsid w:val="00F2048F"/>
    <w:rsid w:val="00F204BB"/>
    <w:rsid w:val="00F205F8"/>
    <w:rsid w:val="00F20867"/>
    <w:rsid w:val="00F20F8D"/>
    <w:rsid w:val="00F2150A"/>
    <w:rsid w:val="00F21D24"/>
    <w:rsid w:val="00F21F71"/>
    <w:rsid w:val="00F22070"/>
    <w:rsid w:val="00F2250B"/>
    <w:rsid w:val="00F22538"/>
    <w:rsid w:val="00F22748"/>
    <w:rsid w:val="00F22AA4"/>
    <w:rsid w:val="00F22ADF"/>
    <w:rsid w:val="00F22B9D"/>
    <w:rsid w:val="00F22CC3"/>
    <w:rsid w:val="00F22E17"/>
    <w:rsid w:val="00F22EB5"/>
    <w:rsid w:val="00F23005"/>
    <w:rsid w:val="00F23006"/>
    <w:rsid w:val="00F233A5"/>
    <w:rsid w:val="00F235E4"/>
    <w:rsid w:val="00F23808"/>
    <w:rsid w:val="00F238D4"/>
    <w:rsid w:val="00F23AC2"/>
    <w:rsid w:val="00F23B7C"/>
    <w:rsid w:val="00F23EC9"/>
    <w:rsid w:val="00F24052"/>
    <w:rsid w:val="00F24A0E"/>
    <w:rsid w:val="00F24C78"/>
    <w:rsid w:val="00F24E20"/>
    <w:rsid w:val="00F24E89"/>
    <w:rsid w:val="00F24E9D"/>
    <w:rsid w:val="00F24F00"/>
    <w:rsid w:val="00F252BB"/>
    <w:rsid w:val="00F25B36"/>
    <w:rsid w:val="00F260FD"/>
    <w:rsid w:val="00F260FF"/>
    <w:rsid w:val="00F26458"/>
    <w:rsid w:val="00F26466"/>
    <w:rsid w:val="00F26B5E"/>
    <w:rsid w:val="00F26D2F"/>
    <w:rsid w:val="00F26EA6"/>
    <w:rsid w:val="00F26F7C"/>
    <w:rsid w:val="00F27039"/>
    <w:rsid w:val="00F278BF"/>
    <w:rsid w:val="00F27C3E"/>
    <w:rsid w:val="00F27D2F"/>
    <w:rsid w:val="00F30033"/>
    <w:rsid w:val="00F3079D"/>
    <w:rsid w:val="00F307B0"/>
    <w:rsid w:val="00F30AC3"/>
    <w:rsid w:val="00F30B17"/>
    <w:rsid w:val="00F30E65"/>
    <w:rsid w:val="00F31183"/>
    <w:rsid w:val="00F3136B"/>
    <w:rsid w:val="00F3141E"/>
    <w:rsid w:val="00F314F1"/>
    <w:rsid w:val="00F31A8E"/>
    <w:rsid w:val="00F31B43"/>
    <w:rsid w:val="00F31D92"/>
    <w:rsid w:val="00F31DE1"/>
    <w:rsid w:val="00F32053"/>
    <w:rsid w:val="00F32178"/>
    <w:rsid w:val="00F323C4"/>
    <w:rsid w:val="00F32418"/>
    <w:rsid w:val="00F32524"/>
    <w:rsid w:val="00F327EA"/>
    <w:rsid w:val="00F32BE4"/>
    <w:rsid w:val="00F32D3F"/>
    <w:rsid w:val="00F32E36"/>
    <w:rsid w:val="00F330D8"/>
    <w:rsid w:val="00F33284"/>
    <w:rsid w:val="00F332C2"/>
    <w:rsid w:val="00F332DD"/>
    <w:rsid w:val="00F33641"/>
    <w:rsid w:val="00F3376F"/>
    <w:rsid w:val="00F33FC1"/>
    <w:rsid w:val="00F34A99"/>
    <w:rsid w:val="00F34EC3"/>
    <w:rsid w:val="00F35650"/>
    <w:rsid w:val="00F357C7"/>
    <w:rsid w:val="00F3582E"/>
    <w:rsid w:val="00F3591A"/>
    <w:rsid w:val="00F3598C"/>
    <w:rsid w:val="00F35AB5"/>
    <w:rsid w:val="00F35C8B"/>
    <w:rsid w:val="00F35DB5"/>
    <w:rsid w:val="00F360D0"/>
    <w:rsid w:val="00F368A0"/>
    <w:rsid w:val="00F36A7F"/>
    <w:rsid w:val="00F36B27"/>
    <w:rsid w:val="00F36E9D"/>
    <w:rsid w:val="00F37232"/>
    <w:rsid w:val="00F3746D"/>
    <w:rsid w:val="00F377BC"/>
    <w:rsid w:val="00F37C2F"/>
    <w:rsid w:val="00F37CEC"/>
    <w:rsid w:val="00F37D79"/>
    <w:rsid w:val="00F4078C"/>
    <w:rsid w:val="00F40E58"/>
    <w:rsid w:val="00F412AC"/>
    <w:rsid w:val="00F41322"/>
    <w:rsid w:val="00F415B9"/>
    <w:rsid w:val="00F415D3"/>
    <w:rsid w:val="00F41745"/>
    <w:rsid w:val="00F417F3"/>
    <w:rsid w:val="00F41A01"/>
    <w:rsid w:val="00F41AA3"/>
    <w:rsid w:val="00F42784"/>
    <w:rsid w:val="00F42842"/>
    <w:rsid w:val="00F42BFE"/>
    <w:rsid w:val="00F42CC7"/>
    <w:rsid w:val="00F430B9"/>
    <w:rsid w:val="00F435E2"/>
    <w:rsid w:val="00F436B9"/>
    <w:rsid w:val="00F43F7B"/>
    <w:rsid w:val="00F44011"/>
    <w:rsid w:val="00F4421B"/>
    <w:rsid w:val="00F443AE"/>
    <w:rsid w:val="00F44938"/>
    <w:rsid w:val="00F44D11"/>
    <w:rsid w:val="00F44DB0"/>
    <w:rsid w:val="00F44EC9"/>
    <w:rsid w:val="00F453E7"/>
    <w:rsid w:val="00F45689"/>
    <w:rsid w:val="00F458DC"/>
    <w:rsid w:val="00F45C0B"/>
    <w:rsid w:val="00F45D99"/>
    <w:rsid w:val="00F4613B"/>
    <w:rsid w:val="00F46179"/>
    <w:rsid w:val="00F461C7"/>
    <w:rsid w:val="00F4652C"/>
    <w:rsid w:val="00F4685F"/>
    <w:rsid w:val="00F46937"/>
    <w:rsid w:val="00F46AAC"/>
    <w:rsid w:val="00F46E40"/>
    <w:rsid w:val="00F46F6C"/>
    <w:rsid w:val="00F472E9"/>
    <w:rsid w:val="00F4734E"/>
    <w:rsid w:val="00F4741C"/>
    <w:rsid w:val="00F4760A"/>
    <w:rsid w:val="00F47C30"/>
    <w:rsid w:val="00F47E19"/>
    <w:rsid w:val="00F47EA1"/>
    <w:rsid w:val="00F47F7D"/>
    <w:rsid w:val="00F503A7"/>
    <w:rsid w:val="00F50486"/>
    <w:rsid w:val="00F5048A"/>
    <w:rsid w:val="00F50554"/>
    <w:rsid w:val="00F508DD"/>
    <w:rsid w:val="00F50976"/>
    <w:rsid w:val="00F509EF"/>
    <w:rsid w:val="00F50FEC"/>
    <w:rsid w:val="00F51345"/>
    <w:rsid w:val="00F51462"/>
    <w:rsid w:val="00F516AD"/>
    <w:rsid w:val="00F516C4"/>
    <w:rsid w:val="00F51929"/>
    <w:rsid w:val="00F51A78"/>
    <w:rsid w:val="00F51C78"/>
    <w:rsid w:val="00F51F12"/>
    <w:rsid w:val="00F520C3"/>
    <w:rsid w:val="00F52534"/>
    <w:rsid w:val="00F52581"/>
    <w:rsid w:val="00F5281A"/>
    <w:rsid w:val="00F528D4"/>
    <w:rsid w:val="00F52B82"/>
    <w:rsid w:val="00F52B8E"/>
    <w:rsid w:val="00F53224"/>
    <w:rsid w:val="00F534C0"/>
    <w:rsid w:val="00F53CFD"/>
    <w:rsid w:val="00F53D6D"/>
    <w:rsid w:val="00F53E16"/>
    <w:rsid w:val="00F53FEB"/>
    <w:rsid w:val="00F54162"/>
    <w:rsid w:val="00F54A96"/>
    <w:rsid w:val="00F54AF5"/>
    <w:rsid w:val="00F54D33"/>
    <w:rsid w:val="00F54D80"/>
    <w:rsid w:val="00F54F08"/>
    <w:rsid w:val="00F54FAB"/>
    <w:rsid w:val="00F55126"/>
    <w:rsid w:val="00F55263"/>
    <w:rsid w:val="00F552D9"/>
    <w:rsid w:val="00F554EB"/>
    <w:rsid w:val="00F557E3"/>
    <w:rsid w:val="00F55CB6"/>
    <w:rsid w:val="00F56603"/>
    <w:rsid w:val="00F56665"/>
    <w:rsid w:val="00F5698C"/>
    <w:rsid w:val="00F56C24"/>
    <w:rsid w:val="00F56E18"/>
    <w:rsid w:val="00F56FC0"/>
    <w:rsid w:val="00F570B2"/>
    <w:rsid w:val="00F57182"/>
    <w:rsid w:val="00F572AE"/>
    <w:rsid w:val="00F575CF"/>
    <w:rsid w:val="00F57790"/>
    <w:rsid w:val="00F57857"/>
    <w:rsid w:val="00F5790A"/>
    <w:rsid w:val="00F57D09"/>
    <w:rsid w:val="00F60614"/>
    <w:rsid w:val="00F6067B"/>
    <w:rsid w:val="00F60A17"/>
    <w:rsid w:val="00F60B53"/>
    <w:rsid w:val="00F60D17"/>
    <w:rsid w:val="00F61646"/>
    <w:rsid w:val="00F61B8B"/>
    <w:rsid w:val="00F61C33"/>
    <w:rsid w:val="00F61CA1"/>
    <w:rsid w:val="00F61DA9"/>
    <w:rsid w:val="00F61E78"/>
    <w:rsid w:val="00F620F2"/>
    <w:rsid w:val="00F6228A"/>
    <w:rsid w:val="00F62653"/>
    <w:rsid w:val="00F6286E"/>
    <w:rsid w:val="00F6287C"/>
    <w:rsid w:val="00F62E46"/>
    <w:rsid w:val="00F62E94"/>
    <w:rsid w:val="00F6309C"/>
    <w:rsid w:val="00F631B8"/>
    <w:rsid w:val="00F632E8"/>
    <w:rsid w:val="00F635C5"/>
    <w:rsid w:val="00F6362A"/>
    <w:rsid w:val="00F6378F"/>
    <w:rsid w:val="00F639A8"/>
    <w:rsid w:val="00F639DA"/>
    <w:rsid w:val="00F63AD1"/>
    <w:rsid w:val="00F63E92"/>
    <w:rsid w:val="00F64340"/>
    <w:rsid w:val="00F64467"/>
    <w:rsid w:val="00F64AAA"/>
    <w:rsid w:val="00F64AE9"/>
    <w:rsid w:val="00F64C8B"/>
    <w:rsid w:val="00F6513E"/>
    <w:rsid w:val="00F65218"/>
    <w:rsid w:val="00F655FE"/>
    <w:rsid w:val="00F658CA"/>
    <w:rsid w:val="00F65956"/>
    <w:rsid w:val="00F65CC8"/>
    <w:rsid w:val="00F65F27"/>
    <w:rsid w:val="00F65F9A"/>
    <w:rsid w:val="00F65F9D"/>
    <w:rsid w:val="00F660AC"/>
    <w:rsid w:val="00F6641D"/>
    <w:rsid w:val="00F6661B"/>
    <w:rsid w:val="00F66841"/>
    <w:rsid w:val="00F66D95"/>
    <w:rsid w:val="00F66DA9"/>
    <w:rsid w:val="00F675E3"/>
    <w:rsid w:val="00F67C69"/>
    <w:rsid w:val="00F67F7E"/>
    <w:rsid w:val="00F6EDC0"/>
    <w:rsid w:val="00F70064"/>
    <w:rsid w:val="00F702A2"/>
    <w:rsid w:val="00F70650"/>
    <w:rsid w:val="00F7091B"/>
    <w:rsid w:val="00F70B16"/>
    <w:rsid w:val="00F70B33"/>
    <w:rsid w:val="00F70CBC"/>
    <w:rsid w:val="00F7119F"/>
    <w:rsid w:val="00F711F1"/>
    <w:rsid w:val="00F714FE"/>
    <w:rsid w:val="00F7190F"/>
    <w:rsid w:val="00F71C7E"/>
    <w:rsid w:val="00F71C95"/>
    <w:rsid w:val="00F71F48"/>
    <w:rsid w:val="00F720A2"/>
    <w:rsid w:val="00F72105"/>
    <w:rsid w:val="00F7244D"/>
    <w:rsid w:val="00F72479"/>
    <w:rsid w:val="00F72B8D"/>
    <w:rsid w:val="00F73039"/>
    <w:rsid w:val="00F733AC"/>
    <w:rsid w:val="00F734B7"/>
    <w:rsid w:val="00F734D1"/>
    <w:rsid w:val="00F736E3"/>
    <w:rsid w:val="00F73857"/>
    <w:rsid w:val="00F73A89"/>
    <w:rsid w:val="00F73AF2"/>
    <w:rsid w:val="00F73AF8"/>
    <w:rsid w:val="00F73C05"/>
    <w:rsid w:val="00F74373"/>
    <w:rsid w:val="00F7464B"/>
    <w:rsid w:val="00F74B49"/>
    <w:rsid w:val="00F74E39"/>
    <w:rsid w:val="00F74FBD"/>
    <w:rsid w:val="00F7521C"/>
    <w:rsid w:val="00F7526A"/>
    <w:rsid w:val="00F752CB"/>
    <w:rsid w:val="00F75450"/>
    <w:rsid w:val="00F757A5"/>
    <w:rsid w:val="00F7599D"/>
    <w:rsid w:val="00F75C55"/>
    <w:rsid w:val="00F75F7E"/>
    <w:rsid w:val="00F761BC"/>
    <w:rsid w:val="00F761BF"/>
    <w:rsid w:val="00F763A3"/>
    <w:rsid w:val="00F767E8"/>
    <w:rsid w:val="00F767FE"/>
    <w:rsid w:val="00F76929"/>
    <w:rsid w:val="00F76939"/>
    <w:rsid w:val="00F76EF8"/>
    <w:rsid w:val="00F7734A"/>
    <w:rsid w:val="00F77D38"/>
    <w:rsid w:val="00F77DEC"/>
    <w:rsid w:val="00F8009C"/>
    <w:rsid w:val="00F80398"/>
    <w:rsid w:val="00F80664"/>
    <w:rsid w:val="00F8087F"/>
    <w:rsid w:val="00F80A77"/>
    <w:rsid w:val="00F80AFC"/>
    <w:rsid w:val="00F80F6A"/>
    <w:rsid w:val="00F80FF8"/>
    <w:rsid w:val="00F810F0"/>
    <w:rsid w:val="00F81861"/>
    <w:rsid w:val="00F81B48"/>
    <w:rsid w:val="00F81F03"/>
    <w:rsid w:val="00F820B8"/>
    <w:rsid w:val="00F8228C"/>
    <w:rsid w:val="00F822BD"/>
    <w:rsid w:val="00F822FF"/>
    <w:rsid w:val="00F82546"/>
    <w:rsid w:val="00F82748"/>
    <w:rsid w:val="00F82C89"/>
    <w:rsid w:val="00F82D75"/>
    <w:rsid w:val="00F82D89"/>
    <w:rsid w:val="00F82E16"/>
    <w:rsid w:val="00F830BD"/>
    <w:rsid w:val="00F83230"/>
    <w:rsid w:val="00F8335D"/>
    <w:rsid w:val="00F835D7"/>
    <w:rsid w:val="00F83841"/>
    <w:rsid w:val="00F83A89"/>
    <w:rsid w:val="00F83B22"/>
    <w:rsid w:val="00F83C05"/>
    <w:rsid w:val="00F83C59"/>
    <w:rsid w:val="00F83CC0"/>
    <w:rsid w:val="00F83DE8"/>
    <w:rsid w:val="00F83F2B"/>
    <w:rsid w:val="00F8415B"/>
    <w:rsid w:val="00F84765"/>
    <w:rsid w:val="00F84979"/>
    <w:rsid w:val="00F84AF9"/>
    <w:rsid w:val="00F85052"/>
    <w:rsid w:val="00F852D7"/>
    <w:rsid w:val="00F85747"/>
    <w:rsid w:val="00F8585B"/>
    <w:rsid w:val="00F85A08"/>
    <w:rsid w:val="00F85CFD"/>
    <w:rsid w:val="00F85E42"/>
    <w:rsid w:val="00F860BF"/>
    <w:rsid w:val="00F861AC"/>
    <w:rsid w:val="00F861F0"/>
    <w:rsid w:val="00F862B1"/>
    <w:rsid w:val="00F862F1"/>
    <w:rsid w:val="00F865AC"/>
    <w:rsid w:val="00F86684"/>
    <w:rsid w:val="00F867CF"/>
    <w:rsid w:val="00F86A3F"/>
    <w:rsid w:val="00F874CD"/>
    <w:rsid w:val="00F879C5"/>
    <w:rsid w:val="00F87B69"/>
    <w:rsid w:val="00F87DD0"/>
    <w:rsid w:val="00F87E69"/>
    <w:rsid w:val="00F9017F"/>
    <w:rsid w:val="00F90309"/>
    <w:rsid w:val="00F903B0"/>
    <w:rsid w:val="00F90581"/>
    <w:rsid w:val="00F9085C"/>
    <w:rsid w:val="00F90B1F"/>
    <w:rsid w:val="00F90BD8"/>
    <w:rsid w:val="00F9101F"/>
    <w:rsid w:val="00F910E6"/>
    <w:rsid w:val="00F9110F"/>
    <w:rsid w:val="00F91157"/>
    <w:rsid w:val="00F91233"/>
    <w:rsid w:val="00F91297"/>
    <w:rsid w:val="00F9133B"/>
    <w:rsid w:val="00F91A96"/>
    <w:rsid w:val="00F91AAF"/>
    <w:rsid w:val="00F91C20"/>
    <w:rsid w:val="00F91C63"/>
    <w:rsid w:val="00F91E99"/>
    <w:rsid w:val="00F91EBB"/>
    <w:rsid w:val="00F91FDC"/>
    <w:rsid w:val="00F921AB"/>
    <w:rsid w:val="00F922D3"/>
    <w:rsid w:val="00F92629"/>
    <w:rsid w:val="00F92A4A"/>
    <w:rsid w:val="00F93736"/>
    <w:rsid w:val="00F9373D"/>
    <w:rsid w:val="00F93D52"/>
    <w:rsid w:val="00F93E9D"/>
    <w:rsid w:val="00F941C4"/>
    <w:rsid w:val="00F94307"/>
    <w:rsid w:val="00F94775"/>
    <w:rsid w:val="00F950A1"/>
    <w:rsid w:val="00F950D3"/>
    <w:rsid w:val="00F95653"/>
    <w:rsid w:val="00F95AD4"/>
    <w:rsid w:val="00F95BCD"/>
    <w:rsid w:val="00F95D26"/>
    <w:rsid w:val="00F95EB2"/>
    <w:rsid w:val="00F96048"/>
    <w:rsid w:val="00F96782"/>
    <w:rsid w:val="00F969FB"/>
    <w:rsid w:val="00F96EF4"/>
    <w:rsid w:val="00F96F48"/>
    <w:rsid w:val="00F96FC4"/>
    <w:rsid w:val="00F97730"/>
    <w:rsid w:val="00F9782E"/>
    <w:rsid w:val="00F97A68"/>
    <w:rsid w:val="00F97BF2"/>
    <w:rsid w:val="00FA007F"/>
    <w:rsid w:val="00FA022E"/>
    <w:rsid w:val="00FA03B6"/>
    <w:rsid w:val="00FA054D"/>
    <w:rsid w:val="00FA0F20"/>
    <w:rsid w:val="00FA1251"/>
    <w:rsid w:val="00FA1630"/>
    <w:rsid w:val="00FA1A53"/>
    <w:rsid w:val="00FA1BA8"/>
    <w:rsid w:val="00FA1E6C"/>
    <w:rsid w:val="00FA2088"/>
    <w:rsid w:val="00FA2094"/>
    <w:rsid w:val="00FA2914"/>
    <w:rsid w:val="00FA2B04"/>
    <w:rsid w:val="00FA2BBF"/>
    <w:rsid w:val="00FA2F94"/>
    <w:rsid w:val="00FA319F"/>
    <w:rsid w:val="00FA334F"/>
    <w:rsid w:val="00FA36C3"/>
    <w:rsid w:val="00FA39B9"/>
    <w:rsid w:val="00FA3AE6"/>
    <w:rsid w:val="00FA44D3"/>
    <w:rsid w:val="00FA4578"/>
    <w:rsid w:val="00FA4892"/>
    <w:rsid w:val="00FA4A75"/>
    <w:rsid w:val="00FA4B8C"/>
    <w:rsid w:val="00FA4DE6"/>
    <w:rsid w:val="00FA5258"/>
    <w:rsid w:val="00FA5271"/>
    <w:rsid w:val="00FA5469"/>
    <w:rsid w:val="00FA5607"/>
    <w:rsid w:val="00FA56E9"/>
    <w:rsid w:val="00FA5719"/>
    <w:rsid w:val="00FA6193"/>
    <w:rsid w:val="00FA6485"/>
    <w:rsid w:val="00FA650D"/>
    <w:rsid w:val="00FA6511"/>
    <w:rsid w:val="00FA68C3"/>
    <w:rsid w:val="00FA6924"/>
    <w:rsid w:val="00FA6E4F"/>
    <w:rsid w:val="00FA7049"/>
    <w:rsid w:val="00FA71BB"/>
    <w:rsid w:val="00FA799F"/>
    <w:rsid w:val="00FA7CCB"/>
    <w:rsid w:val="00FA7E07"/>
    <w:rsid w:val="00FB03A0"/>
    <w:rsid w:val="00FB0435"/>
    <w:rsid w:val="00FB0623"/>
    <w:rsid w:val="00FB0CD9"/>
    <w:rsid w:val="00FB141D"/>
    <w:rsid w:val="00FB153A"/>
    <w:rsid w:val="00FB1656"/>
    <w:rsid w:val="00FB16FB"/>
    <w:rsid w:val="00FB1812"/>
    <w:rsid w:val="00FB1826"/>
    <w:rsid w:val="00FB1AAE"/>
    <w:rsid w:val="00FB1F5E"/>
    <w:rsid w:val="00FB20B7"/>
    <w:rsid w:val="00FB236B"/>
    <w:rsid w:val="00FB282A"/>
    <w:rsid w:val="00FB2868"/>
    <w:rsid w:val="00FB2979"/>
    <w:rsid w:val="00FB29BF"/>
    <w:rsid w:val="00FB2A52"/>
    <w:rsid w:val="00FB2D35"/>
    <w:rsid w:val="00FB2F94"/>
    <w:rsid w:val="00FB3108"/>
    <w:rsid w:val="00FB3291"/>
    <w:rsid w:val="00FB32A4"/>
    <w:rsid w:val="00FB33A7"/>
    <w:rsid w:val="00FB3A55"/>
    <w:rsid w:val="00FB4824"/>
    <w:rsid w:val="00FB49EF"/>
    <w:rsid w:val="00FB51E1"/>
    <w:rsid w:val="00FB56B7"/>
    <w:rsid w:val="00FB5727"/>
    <w:rsid w:val="00FB594D"/>
    <w:rsid w:val="00FB5A5C"/>
    <w:rsid w:val="00FB5F3F"/>
    <w:rsid w:val="00FB6813"/>
    <w:rsid w:val="00FB69B2"/>
    <w:rsid w:val="00FB6ACC"/>
    <w:rsid w:val="00FB6B4C"/>
    <w:rsid w:val="00FB70D7"/>
    <w:rsid w:val="00FB7440"/>
    <w:rsid w:val="00FB7582"/>
    <w:rsid w:val="00FB78D7"/>
    <w:rsid w:val="00FB7AAB"/>
    <w:rsid w:val="00FB7D11"/>
    <w:rsid w:val="00FB7F8E"/>
    <w:rsid w:val="00FC019A"/>
    <w:rsid w:val="00FC026C"/>
    <w:rsid w:val="00FC032F"/>
    <w:rsid w:val="00FC0384"/>
    <w:rsid w:val="00FC03D7"/>
    <w:rsid w:val="00FC0C7F"/>
    <w:rsid w:val="00FC0FD7"/>
    <w:rsid w:val="00FC13BE"/>
    <w:rsid w:val="00FC1447"/>
    <w:rsid w:val="00FC1558"/>
    <w:rsid w:val="00FC1884"/>
    <w:rsid w:val="00FC1895"/>
    <w:rsid w:val="00FC1ACC"/>
    <w:rsid w:val="00FC1ACF"/>
    <w:rsid w:val="00FC1C81"/>
    <w:rsid w:val="00FC1CC1"/>
    <w:rsid w:val="00FC1E88"/>
    <w:rsid w:val="00FC230C"/>
    <w:rsid w:val="00FC2373"/>
    <w:rsid w:val="00FC2491"/>
    <w:rsid w:val="00FC2592"/>
    <w:rsid w:val="00FC25F6"/>
    <w:rsid w:val="00FC2704"/>
    <w:rsid w:val="00FC29B3"/>
    <w:rsid w:val="00FC2DDA"/>
    <w:rsid w:val="00FC2E6E"/>
    <w:rsid w:val="00FC3722"/>
    <w:rsid w:val="00FC3EE1"/>
    <w:rsid w:val="00FC409B"/>
    <w:rsid w:val="00FC42EB"/>
    <w:rsid w:val="00FC477C"/>
    <w:rsid w:val="00FC49BB"/>
    <w:rsid w:val="00FC4A2D"/>
    <w:rsid w:val="00FC4B42"/>
    <w:rsid w:val="00FC4D80"/>
    <w:rsid w:val="00FC4FB5"/>
    <w:rsid w:val="00FC5130"/>
    <w:rsid w:val="00FC5386"/>
    <w:rsid w:val="00FC552C"/>
    <w:rsid w:val="00FC58B1"/>
    <w:rsid w:val="00FC5A3C"/>
    <w:rsid w:val="00FC5A84"/>
    <w:rsid w:val="00FC5F48"/>
    <w:rsid w:val="00FC5F9B"/>
    <w:rsid w:val="00FC637F"/>
    <w:rsid w:val="00FC6742"/>
    <w:rsid w:val="00FC6811"/>
    <w:rsid w:val="00FC68AE"/>
    <w:rsid w:val="00FC68C2"/>
    <w:rsid w:val="00FC6F2F"/>
    <w:rsid w:val="00FC701F"/>
    <w:rsid w:val="00FC710A"/>
    <w:rsid w:val="00FC7C87"/>
    <w:rsid w:val="00FD00BE"/>
    <w:rsid w:val="00FD01A8"/>
    <w:rsid w:val="00FD0208"/>
    <w:rsid w:val="00FD030B"/>
    <w:rsid w:val="00FD0887"/>
    <w:rsid w:val="00FD0BCC"/>
    <w:rsid w:val="00FD0CA4"/>
    <w:rsid w:val="00FD12BF"/>
    <w:rsid w:val="00FD17F5"/>
    <w:rsid w:val="00FD1AC7"/>
    <w:rsid w:val="00FD1CE4"/>
    <w:rsid w:val="00FD200F"/>
    <w:rsid w:val="00FD2061"/>
    <w:rsid w:val="00FD21C3"/>
    <w:rsid w:val="00FD22EB"/>
    <w:rsid w:val="00FD2DFC"/>
    <w:rsid w:val="00FD2F15"/>
    <w:rsid w:val="00FD364E"/>
    <w:rsid w:val="00FD375B"/>
    <w:rsid w:val="00FD3800"/>
    <w:rsid w:val="00FD3ADA"/>
    <w:rsid w:val="00FD3D0E"/>
    <w:rsid w:val="00FD45D8"/>
    <w:rsid w:val="00FD462A"/>
    <w:rsid w:val="00FD4E0C"/>
    <w:rsid w:val="00FD4FD5"/>
    <w:rsid w:val="00FD51CD"/>
    <w:rsid w:val="00FD5371"/>
    <w:rsid w:val="00FD60F1"/>
    <w:rsid w:val="00FD616B"/>
    <w:rsid w:val="00FD61FF"/>
    <w:rsid w:val="00FD642F"/>
    <w:rsid w:val="00FD6558"/>
    <w:rsid w:val="00FD65E9"/>
    <w:rsid w:val="00FD66BD"/>
    <w:rsid w:val="00FD6BE1"/>
    <w:rsid w:val="00FD6CCC"/>
    <w:rsid w:val="00FD710D"/>
    <w:rsid w:val="00FD7282"/>
    <w:rsid w:val="00FD7427"/>
    <w:rsid w:val="00FD766C"/>
    <w:rsid w:val="00FD76FB"/>
    <w:rsid w:val="00FD7E58"/>
    <w:rsid w:val="00FD7EE0"/>
    <w:rsid w:val="00FE0025"/>
    <w:rsid w:val="00FE05B1"/>
    <w:rsid w:val="00FE0833"/>
    <w:rsid w:val="00FE0C28"/>
    <w:rsid w:val="00FE1494"/>
    <w:rsid w:val="00FE1A4D"/>
    <w:rsid w:val="00FE1B5B"/>
    <w:rsid w:val="00FE1C24"/>
    <w:rsid w:val="00FE1E56"/>
    <w:rsid w:val="00FE1E91"/>
    <w:rsid w:val="00FE2187"/>
    <w:rsid w:val="00FE2214"/>
    <w:rsid w:val="00FE2610"/>
    <w:rsid w:val="00FE2728"/>
    <w:rsid w:val="00FE2850"/>
    <w:rsid w:val="00FE2BB3"/>
    <w:rsid w:val="00FE2C40"/>
    <w:rsid w:val="00FE2CDB"/>
    <w:rsid w:val="00FE2E02"/>
    <w:rsid w:val="00FE3273"/>
    <w:rsid w:val="00FE367F"/>
    <w:rsid w:val="00FE3931"/>
    <w:rsid w:val="00FE3DED"/>
    <w:rsid w:val="00FE3F3C"/>
    <w:rsid w:val="00FE405A"/>
    <w:rsid w:val="00FE464D"/>
    <w:rsid w:val="00FE4FC0"/>
    <w:rsid w:val="00FE55E3"/>
    <w:rsid w:val="00FE564D"/>
    <w:rsid w:val="00FE5669"/>
    <w:rsid w:val="00FE5AB5"/>
    <w:rsid w:val="00FE5C67"/>
    <w:rsid w:val="00FE5F1D"/>
    <w:rsid w:val="00FE5FDD"/>
    <w:rsid w:val="00FE6436"/>
    <w:rsid w:val="00FE6524"/>
    <w:rsid w:val="00FE66EE"/>
    <w:rsid w:val="00FE6701"/>
    <w:rsid w:val="00FE686B"/>
    <w:rsid w:val="00FE687A"/>
    <w:rsid w:val="00FE68EA"/>
    <w:rsid w:val="00FE722C"/>
    <w:rsid w:val="00FE762E"/>
    <w:rsid w:val="00FE768D"/>
    <w:rsid w:val="00FE79CB"/>
    <w:rsid w:val="00FF0473"/>
    <w:rsid w:val="00FF0FC4"/>
    <w:rsid w:val="00FF10FE"/>
    <w:rsid w:val="00FF1140"/>
    <w:rsid w:val="00FF1D63"/>
    <w:rsid w:val="00FF1E2F"/>
    <w:rsid w:val="00FF2313"/>
    <w:rsid w:val="00FF239E"/>
    <w:rsid w:val="00FF23AA"/>
    <w:rsid w:val="00FF2754"/>
    <w:rsid w:val="00FF2843"/>
    <w:rsid w:val="00FF29DC"/>
    <w:rsid w:val="00FF2A9E"/>
    <w:rsid w:val="00FF2AE7"/>
    <w:rsid w:val="00FF2BE2"/>
    <w:rsid w:val="00FF2E15"/>
    <w:rsid w:val="00FF31D5"/>
    <w:rsid w:val="00FF36F8"/>
    <w:rsid w:val="00FF3C3E"/>
    <w:rsid w:val="00FF4235"/>
    <w:rsid w:val="00FF4328"/>
    <w:rsid w:val="00FF482D"/>
    <w:rsid w:val="00FF504D"/>
    <w:rsid w:val="00FF5276"/>
    <w:rsid w:val="00FF5455"/>
    <w:rsid w:val="00FF5810"/>
    <w:rsid w:val="00FF5A93"/>
    <w:rsid w:val="00FF5B42"/>
    <w:rsid w:val="00FF5BB5"/>
    <w:rsid w:val="00FF5D44"/>
    <w:rsid w:val="00FF5F4B"/>
    <w:rsid w:val="00FF6112"/>
    <w:rsid w:val="00FF6754"/>
    <w:rsid w:val="00FF68A1"/>
    <w:rsid w:val="00FF6AC9"/>
    <w:rsid w:val="00FF6B14"/>
    <w:rsid w:val="00FF701A"/>
    <w:rsid w:val="00FF7115"/>
    <w:rsid w:val="00FF72F2"/>
    <w:rsid w:val="00FF77BF"/>
    <w:rsid w:val="00FF77ED"/>
    <w:rsid w:val="00FF79D8"/>
    <w:rsid w:val="0114E94E"/>
    <w:rsid w:val="011687F1"/>
    <w:rsid w:val="011799ED"/>
    <w:rsid w:val="012F5051"/>
    <w:rsid w:val="013B1C8A"/>
    <w:rsid w:val="01841E41"/>
    <w:rsid w:val="019A5C1C"/>
    <w:rsid w:val="019C7CDA"/>
    <w:rsid w:val="01C1258E"/>
    <w:rsid w:val="01CE0BFD"/>
    <w:rsid w:val="01F377EE"/>
    <w:rsid w:val="01FB17EB"/>
    <w:rsid w:val="02124937"/>
    <w:rsid w:val="021BD49C"/>
    <w:rsid w:val="021C0462"/>
    <w:rsid w:val="02203A38"/>
    <w:rsid w:val="022C99FA"/>
    <w:rsid w:val="022D9CD7"/>
    <w:rsid w:val="0241EFFA"/>
    <w:rsid w:val="02733629"/>
    <w:rsid w:val="027414B5"/>
    <w:rsid w:val="02795581"/>
    <w:rsid w:val="027D03E7"/>
    <w:rsid w:val="0284BBB3"/>
    <w:rsid w:val="029F638C"/>
    <w:rsid w:val="02A2B780"/>
    <w:rsid w:val="02CD7C07"/>
    <w:rsid w:val="02D6D92B"/>
    <w:rsid w:val="02D92481"/>
    <w:rsid w:val="02DBD20A"/>
    <w:rsid w:val="03058475"/>
    <w:rsid w:val="031585CE"/>
    <w:rsid w:val="031F4346"/>
    <w:rsid w:val="032D281C"/>
    <w:rsid w:val="032ECB44"/>
    <w:rsid w:val="0330E1C2"/>
    <w:rsid w:val="0347A646"/>
    <w:rsid w:val="03623A40"/>
    <w:rsid w:val="036BB744"/>
    <w:rsid w:val="037C8300"/>
    <w:rsid w:val="038476F2"/>
    <w:rsid w:val="038F14E4"/>
    <w:rsid w:val="039D89D0"/>
    <w:rsid w:val="03A6AEA1"/>
    <w:rsid w:val="03B4BB22"/>
    <w:rsid w:val="03B7BBC5"/>
    <w:rsid w:val="03B9C439"/>
    <w:rsid w:val="03C26836"/>
    <w:rsid w:val="03C6ADEE"/>
    <w:rsid w:val="03CDCC2F"/>
    <w:rsid w:val="03CE59C1"/>
    <w:rsid w:val="03D65032"/>
    <w:rsid w:val="03E15427"/>
    <w:rsid w:val="03F5D72C"/>
    <w:rsid w:val="03F942CE"/>
    <w:rsid w:val="03FFB906"/>
    <w:rsid w:val="0400732C"/>
    <w:rsid w:val="0401512C"/>
    <w:rsid w:val="0414973F"/>
    <w:rsid w:val="0450D736"/>
    <w:rsid w:val="0454303A"/>
    <w:rsid w:val="04597A4E"/>
    <w:rsid w:val="045ED1B7"/>
    <w:rsid w:val="0474DF6C"/>
    <w:rsid w:val="0485700A"/>
    <w:rsid w:val="049E7091"/>
    <w:rsid w:val="04A3D9EB"/>
    <w:rsid w:val="04B0F175"/>
    <w:rsid w:val="04B96E75"/>
    <w:rsid w:val="04BC3ADC"/>
    <w:rsid w:val="04C41ED8"/>
    <w:rsid w:val="04CC83E1"/>
    <w:rsid w:val="04D941AE"/>
    <w:rsid w:val="04DBA2DF"/>
    <w:rsid w:val="05017D7E"/>
    <w:rsid w:val="050642B8"/>
    <w:rsid w:val="05066964"/>
    <w:rsid w:val="051EA081"/>
    <w:rsid w:val="0542B41E"/>
    <w:rsid w:val="0544AEA3"/>
    <w:rsid w:val="0548AA56"/>
    <w:rsid w:val="0551C4B2"/>
    <w:rsid w:val="0552CCE7"/>
    <w:rsid w:val="0556B2CB"/>
    <w:rsid w:val="055F57D7"/>
    <w:rsid w:val="0563DB2C"/>
    <w:rsid w:val="056442FA"/>
    <w:rsid w:val="0566CA97"/>
    <w:rsid w:val="056D4CD7"/>
    <w:rsid w:val="056DC27B"/>
    <w:rsid w:val="05B9EB4E"/>
    <w:rsid w:val="05C5967F"/>
    <w:rsid w:val="05C5EA13"/>
    <w:rsid w:val="05C60F8F"/>
    <w:rsid w:val="05E15F49"/>
    <w:rsid w:val="05F09A5E"/>
    <w:rsid w:val="05F3DF51"/>
    <w:rsid w:val="05F7115F"/>
    <w:rsid w:val="05FBCBD9"/>
    <w:rsid w:val="06082F0E"/>
    <w:rsid w:val="061FA133"/>
    <w:rsid w:val="062F16B4"/>
    <w:rsid w:val="06396AA5"/>
    <w:rsid w:val="063D6DF8"/>
    <w:rsid w:val="06449611"/>
    <w:rsid w:val="064988AD"/>
    <w:rsid w:val="064FE891"/>
    <w:rsid w:val="0658FECD"/>
    <w:rsid w:val="065B9ECD"/>
    <w:rsid w:val="067C35D2"/>
    <w:rsid w:val="06822C10"/>
    <w:rsid w:val="06868341"/>
    <w:rsid w:val="068C1BAB"/>
    <w:rsid w:val="069339C9"/>
    <w:rsid w:val="069D4C36"/>
    <w:rsid w:val="06AD8AEE"/>
    <w:rsid w:val="06BFC5A4"/>
    <w:rsid w:val="06C19866"/>
    <w:rsid w:val="06DE696E"/>
    <w:rsid w:val="06E237AB"/>
    <w:rsid w:val="07025C18"/>
    <w:rsid w:val="070EEA88"/>
    <w:rsid w:val="07157C2E"/>
    <w:rsid w:val="0716EAE3"/>
    <w:rsid w:val="071DC06D"/>
    <w:rsid w:val="07378ADA"/>
    <w:rsid w:val="074A9185"/>
    <w:rsid w:val="0757A426"/>
    <w:rsid w:val="07591836"/>
    <w:rsid w:val="075C36CE"/>
    <w:rsid w:val="0771FF8E"/>
    <w:rsid w:val="077363A3"/>
    <w:rsid w:val="077E355A"/>
    <w:rsid w:val="078B5EC0"/>
    <w:rsid w:val="07A3A722"/>
    <w:rsid w:val="07C00866"/>
    <w:rsid w:val="07C67AFF"/>
    <w:rsid w:val="07C774CC"/>
    <w:rsid w:val="07D1E933"/>
    <w:rsid w:val="07D4E2A7"/>
    <w:rsid w:val="07D56FEF"/>
    <w:rsid w:val="07D7ABE9"/>
    <w:rsid w:val="07DC6A19"/>
    <w:rsid w:val="07DFB20A"/>
    <w:rsid w:val="07E5EDA5"/>
    <w:rsid w:val="07F4F140"/>
    <w:rsid w:val="08063B25"/>
    <w:rsid w:val="081D46BE"/>
    <w:rsid w:val="08210FFC"/>
    <w:rsid w:val="0828520D"/>
    <w:rsid w:val="08340429"/>
    <w:rsid w:val="08368F6D"/>
    <w:rsid w:val="0839E82F"/>
    <w:rsid w:val="0844DB03"/>
    <w:rsid w:val="0847FAC9"/>
    <w:rsid w:val="085318E7"/>
    <w:rsid w:val="087B8A4B"/>
    <w:rsid w:val="08827AB7"/>
    <w:rsid w:val="0884B159"/>
    <w:rsid w:val="08850547"/>
    <w:rsid w:val="089672B5"/>
    <w:rsid w:val="0897878E"/>
    <w:rsid w:val="089D2AA5"/>
    <w:rsid w:val="08A0FABD"/>
    <w:rsid w:val="08A7AD96"/>
    <w:rsid w:val="08AC281E"/>
    <w:rsid w:val="08C663C8"/>
    <w:rsid w:val="08EBEDC1"/>
    <w:rsid w:val="09201513"/>
    <w:rsid w:val="0949521B"/>
    <w:rsid w:val="096EB097"/>
    <w:rsid w:val="098EC741"/>
    <w:rsid w:val="099C0179"/>
    <w:rsid w:val="09A957F5"/>
    <w:rsid w:val="09AAFB4D"/>
    <w:rsid w:val="09D8154B"/>
    <w:rsid w:val="09DC924B"/>
    <w:rsid w:val="09DEF28C"/>
    <w:rsid w:val="0A07545E"/>
    <w:rsid w:val="0A0BE0D8"/>
    <w:rsid w:val="0A1096EA"/>
    <w:rsid w:val="0A14DEE1"/>
    <w:rsid w:val="0A1824F5"/>
    <w:rsid w:val="0A1E4B18"/>
    <w:rsid w:val="0A1FA69E"/>
    <w:rsid w:val="0A219EC6"/>
    <w:rsid w:val="0A3357EF"/>
    <w:rsid w:val="0A44CD4B"/>
    <w:rsid w:val="0A4E6884"/>
    <w:rsid w:val="0A523F27"/>
    <w:rsid w:val="0A5319C1"/>
    <w:rsid w:val="0A7FB939"/>
    <w:rsid w:val="0A8A0272"/>
    <w:rsid w:val="0A97FFAA"/>
    <w:rsid w:val="0A9AACD6"/>
    <w:rsid w:val="0AB711B9"/>
    <w:rsid w:val="0AC299EA"/>
    <w:rsid w:val="0ACF1206"/>
    <w:rsid w:val="0AF08783"/>
    <w:rsid w:val="0AFA6957"/>
    <w:rsid w:val="0AFBE59E"/>
    <w:rsid w:val="0B0376C3"/>
    <w:rsid w:val="0B18A656"/>
    <w:rsid w:val="0B1D8813"/>
    <w:rsid w:val="0B2C85C3"/>
    <w:rsid w:val="0B2F5271"/>
    <w:rsid w:val="0B39A7A0"/>
    <w:rsid w:val="0B44B8A4"/>
    <w:rsid w:val="0B469F72"/>
    <w:rsid w:val="0B7F37F0"/>
    <w:rsid w:val="0B7FA85A"/>
    <w:rsid w:val="0B819DB2"/>
    <w:rsid w:val="0B99E31A"/>
    <w:rsid w:val="0B9E1004"/>
    <w:rsid w:val="0BAF911A"/>
    <w:rsid w:val="0BB605D2"/>
    <w:rsid w:val="0BB84565"/>
    <w:rsid w:val="0BC23675"/>
    <w:rsid w:val="0BD6CD4A"/>
    <w:rsid w:val="0BEC1224"/>
    <w:rsid w:val="0BEEF6F8"/>
    <w:rsid w:val="0BF9E864"/>
    <w:rsid w:val="0C180125"/>
    <w:rsid w:val="0C1F6044"/>
    <w:rsid w:val="0C277D5E"/>
    <w:rsid w:val="0C27C45B"/>
    <w:rsid w:val="0C32A03C"/>
    <w:rsid w:val="0C3CFD56"/>
    <w:rsid w:val="0C583335"/>
    <w:rsid w:val="0C5E81FB"/>
    <w:rsid w:val="0C631FC6"/>
    <w:rsid w:val="0C633099"/>
    <w:rsid w:val="0C64925A"/>
    <w:rsid w:val="0C713A02"/>
    <w:rsid w:val="0C7A817B"/>
    <w:rsid w:val="0C82DF30"/>
    <w:rsid w:val="0C8A67A0"/>
    <w:rsid w:val="0CC06E01"/>
    <w:rsid w:val="0CC09D13"/>
    <w:rsid w:val="0CC1A1B5"/>
    <w:rsid w:val="0CD3C9F6"/>
    <w:rsid w:val="0CE7B0E3"/>
    <w:rsid w:val="0CFA5704"/>
    <w:rsid w:val="0CFBF0D2"/>
    <w:rsid w:val="0D167DC0"/>
    <w:rsid w:val="0D1E9211"/>
    <w:rsid w:val="0D1F4CAA"/>
    <w:rsid w:val="0D1F7ABC"/>
    <w:rsid w:val="0D30D0FA"/>
    <w:rsid w:val="0D35E456"/>
    <w:rsid w:val="0D54979A"/>
    <w:rsid w:val="0D5917DA"/>
    <w:rsid w:val="0D5FCC72"/>
    <w:rsid w:val="0D6C0EF1"/>
    <w:rsid w:val="0D6D7B66"/>
    <w:rsid w:val="0D79BC05"/>
    <w:rsid w:val="0D8F25BC"/>
    <w:rsid w:val="0D9BA9B6"/>
    <w:rsid w:val="0DAF5D9E"/>
    <w:rsid w:val="0DB8F47B"/>
    <w:rsid w:val="0DC444B2"/>
    <w:rsid w:val="0DCC4E96"/>
    <w:rsid w:val="0DDF044A"/>
    <w:rsid w:val="0DE306EE"/>
    <w:rsid w:val="0DEDE3FA"/>
    <w:rsid w:val="0DEDFB4F"/>
    <w:rsid w:val="0E2D5FED"/>
    <w:rsid w:val="0E3693AD"/>
    <w:rsid w:val="0E3B70A6"/>
    <w:rsid w:val="0E504BD7"/>
    <w:rsid w:val="0E5EF239"/>
    <w:rsid w:val="0E63DE80"/>
    <w:rsid w:val="0E7DD4B3"/>
    <w:rsid w:val="0E940F17"/>
    <w:rsid w:val="0E9B96FB"/>
    <w:rsid w:val="0EABB751"/>
    <w:rsid w:val="0EB8326F"/>
    <w:rsid w:val="0EB83763"/>
    <w:rsid w:val="0EB8D59D"/>
    <w:rsid w:val="0EC7AEE5"/>
    <w:rsid w:val="0ECCF1A5"/>
    <w:rsid w:val="0ED2E1E8"/>
    <w:rsid w:val="0ED4636D"/>
    <w:rsid w:val="0ED498CA"/>
    <w:rsid w:val="0ED4B4A7"/>
    <w:rsid w:val="0EF2111B"/>
    <w:rsid w:val="0F00CC35"/>
    <w:rsid w:val="0F062784"/>
    <w:rsid w:val="0F18792B"/>
    <w:rsid w:val="0F29EA4E"/>
    <w:rsid w:val="0F2C7545"/>
    <w:rsid w:val="0F2FFB28"/>
    <w:rsid w:val="0F3BE5F0"/>
    <w:rsid w:val="0F41544E"/>
    <w:rsid w:val="0F442FCA"/>
    <w:rsid w:val="0F5915BC"/>
    <w:rsid w:val="0F5E9140"/>
    <w:rsid w:val="0F66868D"/>
    <w:rsid w:val="0F7398AB"/>
    <w:rsid w:val="0F83A237"/>
    <w:rsid w:val="0F83DA68"/>
    <w:rsid w:val="0F89463C"/>
    <w:rsid w:val="0F8A6328"/>
    <w:rsid w:val="0F8BE054"/>
    <w:rsid w:val="0F921A44"/>
    <w:rsid w:val="0F93E0EF"/>
    <w:rsid w:val="0F9980DF"/>
    <w:rsid w:val="0FACF88D"/>
    <w:rsid w:val="0FB228B8"/>
    <w:rsid w:val="0FB98EB3"/>
    <w:rsid w:val="0FBA605A"/>
    <w:rsid w:val="0FBC8A41"/>
    <w:rsid w:val="10077E98"/>
    <w:rsid w:val="1010C78D"/>
    <w:rsid w:val="1015DA3C"/>
    <w:rsid w:val="102EBABB"/>
    <w:rsid w:val="1035B656"/>
    <w:rsid w:val="104CE550"/>
    <w:rsid w:val="1051DECD"/>
    <w:rsid w:val="105B7940"/>
    <w:rsid w:val="1073AC36"/>
    <w:rsid w:val="108FA8F4"/>
    <w:rsid w:val="109B46DB"/>
    <w:rsid w:val="10A065CE"/>
    <w:rsid w:val="10AA8ABD"/>
    <w:rsid w:val="10B6570D"/>
    <w:rsid w:val="10BAA7FE"/>
    <w:rsid w:val="10C05680"/>
    <w:rsid w:val="10D3254F"/>
    <w:rsid w:val="10E4CFC8"/>
    <w:rsid w:val="1105D4CB"/>
    <w:rsid w:val="1105F1AA"/>
    <w:rsid w:val="113378CC"/>
    <w:rsid w:val="11428528"/>
    <w:rsid w:val="11436A01"/>
    <w:rsid w:val="114AC3CD"/>
    <w:rsid w:val="115650DF"/>
    <w:rsid w:val="1158A1DA"/>
    <w:rsid w:val="115BEF0A"/>
    <w:rsid w:val="1182E09B"/>
    <w:rsid w:val="118C65F9"/>
    <w:rsid w:val="118D2ECA"/>
    <w:rsid w:val="118E8901"/>
    <w:rsid w:val="11A02432"/>
    <w:rsid w:val="11A1D26B"/>
    <w:rsid w:val="11A93D36"/>
    <w:rsid w:val="11B07EB4"/>
    <w:rsid w:val="11B2DE27"/>
    <w:rsid w:val="11B9C140"/>
    <w:rsid w:val="11C69778"/>
    <w:rsid w:val="11DC2A81"/>
    <w:rsid w:val="11ECEA43"/>
    <w:rsid w:val="120A5A5F"/>
    <w:rsid w:val="120E8F2D"/>
    <w:rsid w:val="1216AE89"/>
    <w:rsid w:val="122BB5B1"/>
    <w:rsid w:val="123F62B3"/>
    <w:rsid w:val="12597C6D"/>
    <w:rsid w:val="125B3343"/>
    <w:rsid w:val="125B6875"/>
    <w:rsid w:val="12767F54"/>
    <w:rsid w:val="128FC34D"/>
    <w:rsid w:val="12939D20"/>
    <w:rsid w:val="1294F827"/>
    <w:rsid w:val="129923AF"/>
    <w:rsid w:val="129EB201"/>
    <w:rsid w:val="12B1F3FF"/>
    <w:rsid w:val="12CAEA39"/>
    <w:rsid w:val="12D08F41"/>
    <w:rsid w:val="12D220D0"/>
    <w:rsid w:val="12D38E36"/>
    <w:rsid w:val="12E0E669"/>
    <w:rsid w:val="12F9DFF9"/>
    <w:rsid w:val="1301FA29"/>
    <w:rsid w:val="1320D484"/>
    <w:rsid w:val="133C376E"/>
    <w:rsid w:val="1343F128"/>
    <w:rsid w:val="134535E4"/>
    <w:rsid w:val="1349CFBF"/>
    <w:rsid w:val="13635F2C"/>
    <w:rsid w:val="13647F57"/>
    <w:rsid w:val="136A51EB"/>
    <w:rsid w:val="138A7996"/>
    <w:rsid w:val="138B632E"/>
    <w:rsid w:val="13AB0600"/>
    <w:rsid w:val="13AFF14C"/>
    <w:rsid w:val="13D01C93"/>
    <w:rsid w:val="13D16AB1"/>
    <w:rsid w:val="13DE4BEC"/>
    <w:rsid w:val="13FFCF49"/>
    <w:rsid w:val="1408D00D"/>
    <w:rsid w:val="14188A4E"/>
    <w:rsid w:val="141966E6"/>
    <w:rsid w:val="14205D0E"/>
    <w:rsid w:val="14328A17"/>
    <w:rsid w:val="1447580A"/>
    <w:rsid w:val="14578F0F"/>
    <w:rsid w:val="146284A3"/>
    <w:rsid w:val="146DE38A"/>
    <w:rsid w:val="147807EA"/>
    <w:rsid w:val="1478E1CC"/>
    <w:rsid w:val="1479338B"/>
    <w:rsid w:val="1479772C"/>
    <w:rsid w:val="148E265F"/>
    <w:rsid w:val="149B7FC4"/>
    <w:rsid w:val="149D4E7C"/>
    <w:rsid w:val="14ABD39B"/>
    <w:rsid w:val="14AE3E6E"/>
    <w:rsid w:val="14B68D77"/>
    <w:rsid w:val="14BCA8A6"/>
    <w:rsid w:val="14D25617"/>
    <w:rsid w:val="14D28767"/>
    <w:rsid w:val="14DD31D0"/>
    <w:rsid w:val="14E97867"/>
    <w:rsid w:val="14F3D50F"/>
    <w:rsid w:val="14F877FC"/>
    <w:rsid w:val="15004A53"/>
    <w:rsid w:val="150D294A"/>
    <w:rsid w:val="151D19DE"/>
    <w:rsid w:val="151D3329"/>
    <w:rsid w:val="151F42ED"/>
    <w:rsid w:val="15256029"/>
    <w:rsid w:val="152E27CD"/>
    <w:rsid w:val="152F23E6"/>
    <w:rsid w:val="154BCD6D"/>
    <w:rsid w:val="15590AF9"/>
    <w:rsid w:val="15656AFB"/>
    <w:rsid w:val="15931464"/>
    <w:rsid w:val="15A0D86F"/>
    <w:rsid w:val="15A5FB42"/>
    <w:rsid w:val="15A6BFD2"/>
    <w:rsid w:val="15AD00F7"/>
    <w:rsid w:val="15AEA0A7"/>
    <w:rsid w:val="15AF08E5"/>
    <w:rsid w:val="15BCE82D"/>
    <w:rsid w:val="15C0A6A4"/>
    <w:rsid w:val="15CAE419"/>
    <w:rsid w:val="15D86347"/>
    <w:rsid w:val="15F15F1D"/>
    <w:rsid w:val="15FF2A27"/>
    <w:rsid w:val="16209E7E"/>
    <w:rsid w:val="162215B4"/>
    <w:rsid w:val="1630D830"/>
    <w:rsid w:val="1633A3A8"/>
    <w:rsid w:val="164ABEBD"/>
    <w:rsid w:val="165A1E54"/>
    <w:rsid w:val="1666AFCD"/>
    <w:rsid w:val="1671C29E"/>
    <w:rsid w:val="167485E4"/>
    <w:rsid w:val="167979F5"/>
    <w:rsid w:val="1683C8C0"/>
    <w:rsid w:val="1685AA7F"/>
    <w:rsid w:val="1688CFB7"/>
    <w:rsid w:val="16A0A80D"/>
    <w:rsid w:val="16A299D0"/>
    <w:rsid w:val="16A5D4C2"/>
    <w:rsid w:val="16A5DFFF"/>
    <w:rsid w:val="16AFAAB2"/>
    <w:rsid w:val="16BD2418"/>
    <w:rsid w:val="16DAE05B"/>
    <w:rsid w:val="16F35896"/>
    <w:rsid w:val="16FF2F92"/>
    <w:rsid w:val="17104F04"/>
    <w:rsid w:val="1733DD5C"/>
    <w:rsid w:val="1734EF80"/>
    <w:rsid w:val="17424410"/>
    <w:rsid w:val="1752E9ED"/>
    <w:rsid w:val="1753A521"/>
    <w:rsid w:val="1758EF07"/>
    <w:rsid w:val="176EC291"/>
    <w:rsid w:val="177CC45E"/>
    <w:rsid w:val="177EB528"/>
    <w:rsid w:val="1796A146"/>
    <w:rsid w:val="17978DCC"/>
    <w:rsid w:val="179B9AC3"/>
    <w:rsid w:val="17A2056C"/>
    <w:rsid w:val="17B85EDC"/>
    <w:rsid w:val="17CB308E"/>
    <w:rsid w:val="17E3177B"/>
    <w:rsid w:val="17E52C7D"/>
    <w:rsid w:val="17EDDB12"/>
    <w:rsid w:val="17F3F954"/>
    <w:rsid w:val="17F593C5"/>
    <w:rsid w:val="17FAF2CF"/>
    <w:rsid w:val="180AECD5"/>
    <w:rsid w:val="180C8BFE"/>
    <w:rsid w:val="18110C8A"/>
    <w:rsid w:val="1819CEC2"/>
    <w:rsid w:val="182D4087"/>
    <w:rsid w:val="183120FB"/>
    <w:rsid w:val="183A0EBD"/>
    <w:rsid w:val="1861C1CF"/>
    <w:rsid w:val="186EC0E9"/>
    <w:rsid w:val="1878C974"/>
    <w:rsid w:val="18C2C98E"/>
    <w:rsid w:val="18E05CAF"/>
    <w:rsid w:val="18E2156A"/>
    <w:rsid w:val="18EAED63"/>
    <w:rsid w:val="18F6A04C"/>
    <w:rsid w:val="18FCEF83"/>
    <w:rsid w:val="191745CD"/>
    <w:rsid w:val="191AC649"/>
    <w:rsid w:val="19248548"/>
    <w:rsid w:val="194A8ED2"/>
    <w:rsid w:val="19508DB6"/>
    <w:rsid w:val="196700EF"/>
    <w:rsid w:val="19810A01"/>
    <w:rsid w:val="19994EF5"/>
    <w:rsid w:val="199C95CD"/>
    <w:rsid w:val="19AD87E3"/>
    <w:rsid w:val="19C51291"/>
    <w:rsid w:val="19CD9FFC"/>
    <w:rsid w:val="19CE4B21"/>
    <w:rsid w:val="19CE561C"/>
    <w:rsid w:val="19D1B7DE"/>
    <w:rsid w:val="19D67C61"/>
    <w:rsid w:val="19D9E454"/>
    <w:rsid w:val="19E03BEE"/>
    <w:rsid w:val="19F1171D"/>
    <w:rsid w:val="19F57A2E"/>
    <w:rsid w:val="1A0976F0"/>
    <w:rsid w:val="1A09F567"/>
    <w:rsid w:val="1A0E900B"/>
    <w:rsid w:val="1A1B10CA"/>
    <w:rsid w:val="1A2402EB"/>
    <w:rsid w:val="1A28743A"/>
    <w:rsid w:val="1A34AC4B"/>
    <w:rsid w:val="1A522931"/>
    <w:rsid w:val="1A52B6BB"/>
    <w:rsid w:val="1A624145"/>
    <w:rsid w:val="1A6753CE"/>
    <w:rsid w:val="1A70DB93"/>
    <w:rsid w:val="1A785075"/>
    <w:rsid w:val="1A81C296"/>
    <w:rsid w:val="1A84CDBD"/>
    <w:rsid w:val="1A8C2852"/>
    <w:rsid w:val="1A8EBFD5"/>
    <w:rsid w:val="1A91CBDE"/>
    <w:rsid w:val="1A980636"/>
    <w:rsid w:val="1AA1F1A0"/>
    <w:rsid w:val="1AB9E516"/>
    <w:rsid w:val="1ACD0064"/>
    <w:rsid w:val="1AD32183"/>
    <w:rsid w:val="1ADDC0A3"/>
    <w:rsid w:val="1AEB20BB"/>
    <w:rsid w:val="1AF61461"/>
    <w:rsid w:val="1AF69FB2"/>
    <w:rsid w:val="1AFFF5DD"/>
    <w:rsid w:val="1B0BBDD2"/>
    <w:rsid w:val="1B259401"/>
    <w:rsid w:val="1B4309A6"/>
    <w:rsid w:val="1B51105B"/>
    <w:rsid w:val="1B5E4ADF"/>
    <w:rsid w:val="1B65E656"/>
    <w:rsid w:val="1B6E40C0"/>
    <w:rsid w:val="1B9DEF90"/>
    <w:rsid w:val="1B9DFD72"/>
    <w:rsid w:val="1B9EFBD6"/>
    <w:rsid w:val="1BA37F2A"/>
    <w:rsid w:val="1BAC96A1"/>
    <w:rsid w:val="1BB1A61A"/>
    <w:rsid w:val="1BB386E0"/>
    <w:rsid w:val="1BB59F1D"/>
    <w:rsid w:val="1BBF752E"/>
    <w:rsid w:val="1BC2F358"/>
    <w:rsid w:val="1BC57E55"/>
    <w:rsid w:val="1BCC8D23"/>
    <w:rsid w:val="1BDA6CC3"/>
    <w:rsid w:val="1BF7C6B1"/>
    <w:rsid w:val="1BFE5866"/>
    <w:rsid w:val="1C10D67D"/>
    <w:rsid w:val="1C10FE4F"/>
    <w:rsid w:val="1C1CD9F3"/>
    <w:rsid w:val="1C2BB7B8"/>
    <w:rsid w:val="1C2D6D08"/>
    <w:rsid w:val="1C2FDFCC"/>
    <w:rsid w:val="1C314C71"/>
    <w:rsid w:val="1C3B2746"/>
    <w:rsid w:val="1C41F17D"/>
    <w:rsid w:val="1C44B379"/>
    <w:rsid w:val="1C460E37"/>
    <w:rsid w:val="1C4AB7E9"/>
    <w:rsid w:val="1C686ED8"/>
    <w:rsid w:val="1C74D502"/>
    <w:rsid w:val="1C886EAC"/>
    <w:rsid w:val="1C8AE205"/>
    <w:rsid w:val="1CA027F6"/>
    <w:rsid w:val="1CA71431"/>
    <w:rsid w:val="1CA87D74"/>
    <w:rsid w:val="1CA8BD24"/>
    <w:rsid w:val="1CA9CBDE"/>
    <w:rsid w:val="1CAF1CDD"/>
    <w:rsid w:val="1CB00184"/>
    <w:rsid w:val="1CB7DADE"/>
    <w:rsid w:val="1CC23CA0"/>
    <w:rsid w:val="1CC4A99E"/>
    <w:rsid w:val="1CD8F46F"/>
    <w:rsid w:val="1CE1A316"/>
    <w:rsid w:val="1CF30A44"/>
    <w:rsid w:val="1CF42CEE"/>
    <w:rsid w:val="1D0D5DF8"/>
    <w:rsid w:val="1D124771"/>
    <w:rsid w:val="1D1B4BF8"/>
    <w:rsid w:val="1D1EFFED"/>
    <w:rsid w:val="1D305C04"/>
    <w:rsid w:val="1D345968"/>
    <w:rsid w:val="1D424935"/>
    <w:rsid w:val="1D55155D"/>
    <w:rsid w:val="1D62F596"/>
    <w:rsid w:val="1D72DAAF"/>
    <w:rsid w:val="1D741110"/>
    <w:rsid w:val="1D7D4B76"/>
    <w:rsid w:val="1D9F78E7"/>
    <w:rsid w:val="1DA3F1AB"/>
    <w:rsid w:val="1DA558C3"/>
    <w:rsid w:val="1DA5B9B2"/>
    <w:rsid w:val="1DA98980"/>
    <w:rsid w:val="1DB0B386"/>
    <w:rsid w:val="1DB1ECB9"/>
    <w:rsid w:val="1DB313AB"/>
    <w:rsid w:val="1DB5A4B2"/>
    <w:rsid w:val="1DC433A2"/>
    <w:rsid w:val="1DC6E9F6"/>
    <w:rsid w:val="1DCA7CA3"/>
    <w:rsid w:val="1DD7286A"/>
    <w:rsid w:val="1DDB5BEF"/>
    <w:rsid w:val="1DE8F18B"/>
    <w:rsid w:val="1E08EDF8"/>
    <w:rsid w:val="1E0D333A"/>
    <w:rsid w:val="1E1A2C52"/>
    <w:rsid w:val="1E1C9F85"/>
    <w:rsid w:val="1E23AE59"/>
    <w:rsid w:val="1E362516"/>
    <w:rsid w:val="1E3C1C1D"/>
    <w:rsid w:val="1E3D9B45"/>
    <w:rsid w:val="1E3E93D5"/>
    <w:rsid w:val="1E471C62"/>
    <w:rsid w:val="1E4FA77B"/>
    <w:rsid w:val="1E6AAE29"/>
    <w:rsid w:val="1E6D18D2"/>
    <w:rsid w:val="1E6D535A"/>
    <w:rsid w:val="1E701314"/>
    <w:rsid w:val="1E733A25"/>
    <w:rsid w:val="1E8178A6"/>
    <w:rsid w:val="1E855623"/>
    <w:rsid w:val="1E8D2552"/>
    <w:rsid w:val="1E8F588B"/>
    <w:rsid w:val="1E8FFD4F"/>
    <w:rsid w:val="1E93A724"/>
    <w:rsid w:val="1E951296"/>
    <w:rsid w:val="1E9EA8FC"/>
    <w:rsid w:val="1EAC3A76"/>
    <w:rsid w:val="1EAFA518"/>
    <w:rsid w:val="1EB3B210"/>
    <w:rsid w:val="1EB7DDB4"/>
    <w:rsid w:val="1EB9AEEE"/>
    <w:rsid w:val="1EBF651D"/>
    <w:rsid w:val="1ED3C927"/>
    <w:rsid w:val="1EDD1925"/>
    <w:rsid w:val="1EE1470A"/>
    <w:rsid w:val="1F132177"/>
    <w:rsid w:val="1F13933F"/>
    <w:rsid w:val="1F23FA34"/>
    <w:rsid w:val="1F50FCB4"/>
    <w:rsid w:val="1F52F3D5"/>
    <w:rsid w:val="1F63014F"/>
    <w:rsid w:val="1F740DCE"/>
    <w:rsid w:val="1F752FF5"/>
    <w:rsid w:val="1F84E2D9"/>
    <w:rsid w:val="1F85D2F8"/>
    <w:rsid w:val="1F8AF82E"/>
    <w:rsid w:val="1F9192B6"/>
    <w:rsid w:val="1F962176"/>
    <w:rsid w:val="1F9971A4"/>
    <w:rsid w:val="1FA65B75"/>
    <w:rsid w:val="1FA94064"/>
    <w:rsid w:val="1FC07200"/>
    <w:rsid w:val="1FD06FFB"/>
    <w:rsid w:val="1FD32ADF"/>
    <w:rsid w:val="1FF3F90E"/>
    <w:rsid w:val="1FF8F1B6"/>
    <w:rsid w:val="1FFD5A84"/>
    <w:rsid w:val="20016307"/>
    <w:rsid w:val="200C6BA9"/>
    <w:rsid w:val="202674A2"/>
    <w:rsid w:val="202F44FB"/>
    <w:rsid w:val="2036AAAF"/>
    <w:rsid w:val="20410A21"/>
    <w:rsid w:val="20524214"/>
    <w:rsid w:val="205EB437"/>
    <w:rsid w:val="20777801"/>
    <w:rsid w:val="207AE730"/>
    <w:rsid w:val="20817DC8"/>
    <w:rsid w:val="20818CA6"/>
    <w:rsid w:val="2083A1F4"/>
    <w:rsid w:val="20F8B97D"/>
    <w:rsid w:val="20FA97BE"/>
    <w:rsid w:val="21084C7D"/>
    <w:rsid w:val="210B5540"/>
    <w:rsid w:val="21113206"/>
    <w:rsid w:val="2126F566"/>
    <w:rsid w:val="212C8D46"/>
    <w:rsid w:val="213558C1"/>
    <w:rsid w:val="213AB470"/>
    <w:rsid w:val="213B935E"/>
    <w:rsid w:val="214BC468"/>
    <w:rsid w:val="214DF1A5"/>
    <w:rsid w:val="2157D413"/>
    <w:rsid w:val="21706E41"/>
    <w:rsid w:val="21725B1E"/>
    <w:rsid w:val="217E3B0E"/>
    <w:rsid w:val="2185AD90"/>
    <w:rsid w:val="21A50790"/>
    <w:rsid w:val="21B90331"/>
    <w:rsid w:val="21C139E9"/>
    <w:rsid w:val="21D49812"/>
    <w:rsid w:val="21E1C1F1"/>
    <w:rsid w:val="21E6AD6F"/>
    <w:rsid w:val="21E72349"/>
    <w:rsid w:val="21F42BB8"/>
    <w:rsid w:val="21FB8DDA"/>
    <w:rsid w:val="22027123"/>
    <w:rsid w:val="220B5C6E"/>
    <w:rsid w:val="221478F8"/>
    <w:rsid w:val="223875D5"/>
    <w:rsid w:val="223B2CA9"/>
    <w:rsid w:val="223FF101"/>
    <w:rsid w:val="22424C83"/>
    <w:rsid w:val="2249F7B2"/>
    <w:rsid w:val="225F1572"/>
    <w:rsid w:val="227131CA"/>
    <w:rsid w:val="2274CCBA"/>
    <w:rsid w:val="227FFD57"/>
    <w:rsid w:val="22820FCB"/>
    <w:rsid w:val="228C8996"/>
    <w:rsid w:val="229169F0"/>
    <w:rsid w:val="2294C201"/>
    <w:rsid w:val="2299FA8E"/>
    <w:rsid w:val="229B1AF5"/>
    <w:rsid w:val="229BB26D"/>
    <w:rsid w:val="22BE2E3C"/>
    <w:rsid w:val="22C39285"/>
    <w:rsid w:val="22C3D312"/>
    <w:rsid w:val="22E22A1C"/>
    <w:rsid w:val="22E37C2D"/>
    <w:rsid w:val="22F9DEEF"/>
    <w:rsid w:val="23109AB5"/>
    <w:rsid w:val="231BF073"/>
    <w:rsid w:val="23259B4C"/>
    <w:rsid w:val="233D086F"/>
    <w:rsid w:val="2341258D"/>
    <w:rsid w:val="2360D8B4"/>
    <w:rsid w:val="23610B85"/>
    <w:rsid w:val="236AEB22"/>
    <w:rsid w:val="236DCB5B"/>
    <w:rsid w:val="237569F0"/>
    <w:rsid w:val="23764EF1"/>
    <w:rsid w:val="2381EEE8"/>
    <w:rsid w:val="238DF621"/>
    <w:rsid w:val="239A7E40"/>
    <w:rsid w:val="23A59D09"/>
    <w:rsid w:val="23B2302B"/>
    <w:rsid w:val="23B67B9F"/>
    <w:rsid w:val="23B9AA23"/>
    <w:rsid w:val="23C378F3"/>
    <w:rsid w:val="23CE0084"/>
    <w:rsid w:val="23CEFD96"/>
    <w:rsid w:val="23CFC6BA"/>
    <w:rsid w:val="23EB9B73"/>
    <w:rsid w:val="23ED6ECE"/>
    <w:rsid w:val="2401C3E0"/>
    <w:rsid w:val="242DCF7F"/>
    <w:rsid w:val="24347B22"/>
    <w:rsid w:val="244157D3"/>
    <w:rsid w:val="24635160"/>
    <w:rsid w:val="246A4D0A"/>
    <w:rsid w:val="246C85A4"/>
    <w:rsid w:val="246CF48F"/>
    <w:rsid w:val="246DB8F7"/>
    <w:rsid w:val="246E5555"/>
    <w:rsid w:val="2470AAFC"/>
    <w:rsid w:val="248C0186"/>
    <w:rsid w:val="24A9123C"/>
    <w:rsid w:val="24AF97C6"/>
    <w:rsid w:val="24B24F00"/>
    <w:rsid w:val="24B2F35D"/>
    <w:rsid w:val="24C360DA"/>
    <w:rsid w:val="24D03B88"/>
    <w:rsid w:val="24E241DA"/>
    <w:rsid w:val="24EEF50A"/>
    <w:rsid w:val="24FD34B2"/>
    <w:rsid w:val="2519E8D2"/>
    <w:rsid w:val="25206990"/>
    <w:rsid w:val="252790E4"/>
    <w:rsid w:val="253730B6"/>
    <w:rsid w:val="253F5441"/>
    <w:rsid w:val="254E4A77"/>
    <w:rsid w:val="256677EF"/>
    <w:rsid w:val="257A7FB4"/>
    <w:rsid w:val="257C8720"/>
    <w:rsid w:val="2587643A"/>
    <w:rsid w:val="25912EC2"/>
    <w:rsid w:val="25992D3A"/>
    <w:rsid w:val="25C01153"/>
    <w:rsid w:val="25C11E94"/>
    <w:rsid w:val="25C86C4D"/>
    <w:rsid w:val="25F23AC0"/>
    <w:rsid w:val="25F53DEB"/>
    <w:rsid w:val="25F5CC87"/>
    <w:rsid w:val="25F6A358"/>
    <w:rsid w:val="26071F91"/>
    <w:rsid w:val="2615D27F"/>
    <w:rsid w:val="2620B5BC"/>
    <w:rsid w:val="2621CED4"/>
    <w:rsid w:val="2637EB69"/>
    <w:rsid w:val="2645B91D"/>
    <w:rsid w:val="2667E91E"/>
    <w:rsid w:val="2671A67E"/>
    <w:rsid w:val="267679B4"/>
    <w:rsid w:val="267E9451"/>
    <w:rsid w:val="267FB6BB"/>
    <w:rsid w:val="26834E23"/>
    <w:rsid w:val="26865BE6"/>
    <w:rsid w:val="26912463"/>
    <w:rsid w:val="26975BCB"/>
    <w:rsid w:val="269814CF"/>
    <w:rsid w:val="26A4BA4A"/>
    <w:rsid w:val="26B451C6"/>
    <w:rsid w:val="26BC18BE"/>
    <w:rsid w:val="26C2E5C1"/>
    <w:rsid w:val="26C77AC9"/>
    <w:rsid w:val="26DAE0AF"/>
    <w:rsid w:val="26DD48A1"/>
    <w:rsid w:val="26E65A0A"/>
    <w:rsid w:val="26ECBD96"/>
    <w:rsid w:val="26FC55D0"/>
    <w:rsid w:val="27011AC8"/>
    <w:rsid w:val="27057EA4"/>
    <w:rsid w:val="271B17DA"/>
    <w:rsid w:val="2723B891"/>
    <w:rsid w:val="27299807"/>
    <w:rsid w:val="2729F834"/>
    <w:rsid w:val="27336A2E"/>
    <w:rsid w:val="27404BA5"/>
    <w:rsid w:val="2746C418"/>
    <w:rsid w:val="27490BE2"/>
    <w:rsid w:val="27495D12"/>
    <w:rsid w:val="274BC818"/>
    <w:rsid w:val="2759C4EC"/>
    <w:rsid w:val="276347E9"/>
    <w:rsid w:val="27643630"/>
    <w:rsid w:val="2772E2FF"/>
    <w:rsid w:val="278DDE10"/>
    <w:rsid w:val="27918515"/>
    <w:rsid w:val="2799F616"/>
    <w:rsid w:val="279F8A9B"/>
    <w:rsid w:val="27AB9055"/>
    <w:rsid w:val="27B2A8F7"/>
    <w:rsid w:val="27B33DA2"/>
    <w:rsid w:val="27DA32E7"/>
    <w:rsid w:val="27EC5C69"/>
    <w:rsid w:val="27F690AD"/>
    <w:rsid w:val="27FAF6D5"/>
    <w:rsid w:val="28074C55"/>
    <w:rsid w:val="280ED04D"/>
    <w:rsid w:val="2810E166"/>
    <w:rsid w:val="282D356F"/>
    <w:rsid w:val="2832D743"/>
    <w:rsid w:val="283C3188"/>
    <w:rsid w:val="286211A2"/>
    <w:rsid w:val="28701F50"/>
    <w:rsid w:val="2870B688"/>
    <w:rsid w:val="28809CC7"/>
    <w:rsid w:val="28993840"/>
    <w:rsid w:val="289A7E38"/>
    <w:rsid w:val="289DC4DD"/>
    <w:rsid w:val="28A4E2EE"/>
    <w:rsid w:val="28DEEC99"/>
    <w:rsid w:val="28E66AAE"/>
    <w:rsid w:val="28FE9892"/>
    <w:rsid w:val="2909AAB9"/>
    <w:rsid w:val="29352465"/>
    <w:rsid w:val="29390E28"/>
    <w:rsid w:val="2941E0C4"/>
    <w:rsid w:val="2961AC46"/>
    <w:rsid w:val="296BC2ED"/>
    <w:rsid w:val="297BB473"/>
    <w:rsid w:val="298BFA16"/>
    <w:rsid w:val="299631AC"/>
    <w:rsid w:val="29A307E7"/>
    <w:rsid w:val="29D121EA"/>
    <w:rsid w:val="29F01136"/>
    <w:rsid w:val="29F65525"/>
    <w:rsid w:val="29FAC86A"/>
    <w:rsid w:val="2A00FE24"/>
    <w:rsid w:val="2A05A251"/>
    <w:rsid w:val="2A05B3A0"/>
    <w:rsid w:val="2A060BF7"/>
    <w:rsid w:val="2A06F774"/>
    <w:rsid w:val="2A0C2256"/>
    <w:rsid w:val="2A1A2AE9"/>
    <w:rsid w:val="2A1E47F1"/>
    <w:rsid w:val="2A22FD92"/>
    <w:rsid w:val="2A452A06"/>
    <w:rsid w:val="2A4AC993"/>
    <w:rsid w:val="2A52883F"/>
    <w:rsid w:val="2A5BCFE7"/>
    <w:rsid w:val="2A5E30CF"/>
    <w:rsid w:val="2A760403"/>
    <w:rsid w:val="2A829FB6"/>
    <w:rsid w:val="2A921DE3"/>
    <w:rsid w:val="2A97D484"/>
    <w:rsid w:val="2AADE204"/>
    <w:rsid w:val="2AB1935E"/>
    <w:rsid w:val="2AC00CA9"/>
    <w:rsid w:val="2AC16169"/>
    <w:rsid w:val="2AC21088"/>
    <w:rsid w:val="2AC796A5"/>
    <w:rsid w:val="2ACB4957"/>
    <w:rsid w:val="2AF375F6"/>
    <w:rsid w:val="2B0DF7E3"/>
    <w:rsid w:val="2B20CEF7"/>
    <w:rsid w:val="2B41E755"/>
    <w:rsid w:val="2B47C41E"/>
    <w:rsid w:val="2B4A7D90"/>
    <w:rsid w:val="2B5A756E"/>
    <w:rsid w:val="2B60B095"/>
    <w:rsid w:val="2B62C8E3"/>
    <w:rsid w:val="2B634AB9"/>
    <w:rsid w:val="2B6A9159"/>
    <w:rsid w:val="2B6D8FDF"/>
    <w:rsid w:val="2B6EAD65"/>
    <w:rsid w:val="2B80A89C"/>
    <w:rsid w:val="2B883E4A"/>
    <w:rsid w:val="2B9ADB2D"/>
    <w:rsid w:val="2B9CD341"/>
    <w:rsid w:val="2BDE31F4"/>
    <w:rsid w:val="2BE1966C"/>
    <w:rsid w:val="2BE2E5A8"/>
    <w:rsid w:val="2BE70119"/>
    <w:rsid w:val="2BF6363C"/>
    <w:rsid w:val="2BF7FD35"/>
    <w:rsid w:val="2C10B4BD"/>
    <w:rsid w:val="2C150522"/>
    <w:rsid w:val="2C17E23A"/>
    <w:rsid w:val="2C1E4FDB"/>
    <w:rsid w:val="2C23B6C3"/>
    <w:rsid w:val="2C4EE8A1"/>
    <w:rsid w:val="2C5B42D8"/>
    <w:rsid w:val="2C656F08"/>
    <w:rsid w:val="2C6E3167"/>
    <w:rsid w:val="2C7CFEA2"/>
    <w:rsid w:val="2C7ED2E7"/>
    <w:rsid w:val="2C88C0ED"/>
    <w:rsid w:val="2C8C1396"/>
    <w:rsid w:val="2C914EDF"/>
    <w:rsid w:val="2CA03D74"/>
    <w:rsid w:val="2CA4E67C"/>
    <w:rsid w:val="2CB267F0"/>
    <w:rsid w:val="2CBAB788"/>
    <w:rsid w:val="2CBF11EB"/>
    <w:rsid w:val="2CCA1556"/>
    <w:rsid w:val="2CCA9A9D"/>
    <w:rsid w:val="2CE2E368"/>
    <w:rsid w:val="2CF64930"/>
    <w:rsid w:val="2D04D601"/>
    <w:rsid w:val="2D22B00E"/>
    <w:rsid w:val="2D241508"/>
    <w:rsid w:val="2D2A2964"/>
    <w:rsid w:val="2D3D40B0"/>
    <w:rsid w:val="2D3DFC85"/>
    <w:rsid w:val="2D537F34"/>
    <w:rsid w:val="2D5BEE47"/>
    <w:rsid w:val="2D5D38DF"/>
    <w:rsid w:val="2D6D7A8C"/>
    <w:rsid w:val="2D6F250C"/>
    <w:rsid w:val="2D70F25C"/>
    <w:rsid w:val="2D896061"/>
    <w:rsid w:val="2D9E806E"/>
    <w:rsid w:val="2DA60BFF"/>
    <w:rsid w:val="2DABE581"/>
    <w:rsid w:val="2DB02E0A"/>
    <w:rsid w:val="2DBC937A"/>
    <w:rsid w:val="2DBFD01E"/>
    <w:rsid w:val="2DC16290"/>
    <w:rsid w:val="2DCD517B"/>
    <w:rsid w:val="2DCD7A2E"/>
    <w:rsid w:val="2DCE8878"/>
    <w:rsid w:val="2DD4A162"/>
    <w:rsid w:val="2DEB5216"/>
    <w:rsid w:val="2DFABC66"/>
    <w:rsid w:val="2DFB31B3"/>
    <w:rsid w:val="2E0627D3"/>
    <w:rsid w:val="2E0DD0C0"/>
    <w:rsid w:val="2E2A88D2"/>
    <w:rsid w:val="2E5A6036"/>
    <w:rsid w:val="2E6D4EB7"/>
    <w:rsid w:val="2E8B617F"/>
    <w:rsid w:val="2E95AFA9"/>
    <w:rsid w:val="2E964767"/>
    <w:rsid w:val="2EA711DA"/>
    <w:rsid w:val="2EACEBF5"/>
    <w:rsid w:val="2ED99D34"/>
    <w:rsid w:val="2EDC9484"/>
    <w:rsid w:val="2EF5589D"/>
    <w:rsid w:val="2F001A4A"/>
    <w:rsid w:val="2F099206"/>
    <w:rsid w:val="2F0E0280"/>
    <w:rsid w:val="2F14693B"/>
    <w:rsid w:val="2F38879C"/>
    <w:rsid w:val="2F4E87D0"/>
    <w:rsid w:val="2F58E6AC"/>
    <w:rsid w:val="2F598534"/>
    <w:rsid w:val="2F659F53"/>
    <w:rsid w:val="2F8C6A09"/>
    <w:rsid w:val="2F8D7678"/>
    <w:rsid w:val="2F8FFED4"/>
    <w:rsid w:val="2FADE1F1"/>
    <w:rsid w:val="2FB88E91"/>
    <w:rsid w:val="2FB932A5"/>
    <w:rsid w:val="2FBA8701"/>
    <w:rsid w:val="2FC738E9"/>
    <w:rsid w:val="2FCE2BEA"/>
    <w:rsid w:val="2FD51B85"/>
    <w:rsid w:val="2FDB2B66"/>
    <w:rsid w:val="2FDFFEB7"/>
    <w:rsid w:val="2FE29CAF"/>
    <w:rsid w:val="2FE50D55"/>
    <w:rsid w:val="2FEC9FD2"/>
    <w:rsid w:val="2FEE9351"/>
    <w:rsid w:val="2FF0A51B"/>
    <w:rsid w:val="2FF7EF75"/>
    <w:rsid w:val="300CFC39"/>
    <w:rsid w:val="300DC168"/>
    <w:rsid w:val="300F5CF1"/>
    <w:rsid w:val="3021CD7D"/>
    <w:rsid w:val="30340356"/>
    <w:rsid w:val="30468F3A"/>
    <w:rsid w:val="3046C435"/>
    <w:rsid w:val="3059AACA"/>
    <w:rsid w:val="306F9D3D"/>
    <w:rsid w:val="307B30F5"/>
    <w:rsid w:val="30927332"/>
    <w:rsid w:val="309F70BB"/>
    <w:rsid w:val="30B17DCF"/>
    <w:rsid w:val="30C5E21F"/>
    <w:rsid w:val="30EDE006"/>
    <w:rsid w:val="30F0D38A"/>
    <w:rsid w:val="30F55595"/>
    <w:rsid w:val="310AF472"/>
    <w:rsid w:val="310E7DF2"/>
    <w:rsid w:val="31121B0C"/>
    <w:rsid w:val="3118911C"/>
    <w:rsid w:val="31193987"/>
    <w:rsid w:val="3144EF29"/>
    <w:rsid w:val="3149B168"/>
    <w:rsid w:val="314D8D87"/>
    <w:rsid w:val="315CF5D7"/>
    <w:rsid w:val="3174693C"/>
    <w:rsid w:val="317D2C6E"/>
    <w:rsid w:val="319F92ED"/>
    <w:rsid w:val="31AD6FE5"/>
    <w:rsid w:val="31B54CAC"/>
    <w:rsid w:val="31B6548B"/>
    <w:rsid w:val="31C9ABC9"/>
    <w:rsid w:val="31CD8882"/>
    <w:rsid w:val="31D9F1B4"/>
    <w:rsid w:val="31E2281C"/>
    <w:rsid w:val="31EAECC5"/>
    <w:rsid w:val="32093151"/>
    <w:rsid w:val="320FDCCA"/>
    <w:rsid w:val="3219C4EC"/>
    <w:rsid w:val="321B7B5D"/>
    <w:rsid w:val="32262F86"/>
    <w:rsid w:val="322D6191"/>
    <w:rsid w:val="322FEE12"/>
    <w:rsid w:val="323D625A"/>
    <w:rsid w:val="32401497"/>
    <w:rsid w:val="324B9517"/>
    <w:rsid w:val="32505A9A"/>
    <w:rsid w:val="3258E79C"/>
    <w:rsid w:val="325C02C3"/>
    <w:rsid w:val="3260A47F"/>
    <w:rsid w:val="3266B38D"/>
    <w:rsid w:val="32743DE7"/>
    <w:rsid w:val="3274964A"/>
    <w:rsid w:val="327652BF"/>
    <w:rsid w:val="328D346B"/>
    <w:rsid w:val="32A400EA"/>
    <w:rsid w:val="32AE197F"/>
    <w:rsid w:val="32AFC4C6"/>
    <w:rsid w:val="32B1110D"/>
    <w:rsid w:val="32B54B87"/>
    <w:rsid w:val="32B6DD33"/>
    <w:rsid w:val="32EBF8F1"/>
    <w:rsid w:val="32EC8A82"/>
    <w:rsid w:val="32FC8EA2"/>
    <w:rsid w:val="32FD58EB"/>
    <w:rsid w:val="331052B4"/>
    <w:rsid w:val="33219F99"/>
    <w:rsid w:val="332D7ACA"/>
    <w:rsid w:val="333E8FE3"/>
    <w:rsid w:val="334C8308"/>
    <w:rsid w:val="334FBC44"/>
    <w:rsid w:val="3358C5FA"/>
    <w:rsid w:val="3372BDDF"/>
    <w:rsid w:val="337A9342"/>
    <w:rsid w:val="3386D64C"/>
    <w:rsid w:val="33962757"/>
    <w:rsid w:val="339896E1"/>
    <w:rsid w:val="3399D897"/>
    <w:rsid w:val="33B9647E"/>
    <w:rsid w:val="33CD0C2C"/>
    <w:rsid w:val="33D35FFA"/>
    <w:rsid w:val="33E59299"/>
    <w:rsid w:val="33F518E0"/>
    <w:rsid w:val="3404863C"/>
    <w:rsid w:val="3407BFA2"/>
    <w:rsid w:val="3410382C"/>
    <w:rsid w:val="3416F124"/>
    <w:rsid w:val="34192794"/>
    <w:rsid w:val="34316E5D"/>
    <w:rsid w:val="344323EA"/>
    <w:rsid w:val="344EB314"/>
    <w:rsid w:val="34593AD5"/>
    <w:rsid w:val="34595FB7"/>
    <w:rsid w:val="345A0B99"/>
    <w:rsid w:val="34763D79"/>
    <w:rsid w:val="34786466"/>
    <w:rsid w:val="347B8E31"/>
    <w:rsid w:val="347C6CB9"/>
    <w:rsid w:val="348A1212"/>
    <w:rsid w:val="34A11676"/>
    <w:rsid w:val="34A8004E"/>
    <w:rsid w:val="34B1110E"/>
    <w:rsid w:val="34B2B36C"/>
    <w:rsid w:val="34B64225"/>
    <w:rsid w:val="34B7DEFF"/>
    <w:rsid w:val="34BEF8F9"/>
    <w:rsid w:val="34C169DB"/>
    <w:rsid w:val="34C3FDAD"/>
    <w:rsid w:val="34D30FFD"/>
    <w:rsid w:val="34D8E578"/>
    <w:rsid w:val="34E70B74"/>
    <w:rsid w:val="34E909E5"/>
    <w:rsid w:val="34FCB701"/>
    <w:rsid w:val="350084EC"/>
    <w:rsid w:val="3501A05E"/>
    <w:rsid w:val="351B66DA"/>
    <w:rsid w:val="351E25C9"/>
    <w:rsid w:val="3522F7F1"/>
    <w:rsid w:val="3528E001"/>
    <w:rsid w:val="35297A5D"/>
    <w:rsid w:val="353A2031"/>
    <w:rsid w:val="353FCFCC"/>
    <w:rsid w:val="355041DB"/>
    <w:rsid w:val="3551D993"/>
    <w:rsid w:val="355A4C40"/>
    <w:rsid w:val="35632635"/>
    <w:rsid w:val="356AF458"/>
    <w:rsid w:val="356E8B08"/>
    <w:rsid w:val="357DCBB8"/>
    <w:rsid w:val="357E4CA9"/>
    <w:rsid w:val="35863DF3"/>
    <w:rsid w:val="3586BFDD"/>
    <w:rsid w:val="35885834"/>
    <w:rsid w:val="3589949B"/>
    <w:rsid w:val="358C4811"/>
    <w:rsid w:val="358D770D"/>
    <w:rsid w:val="35A44744"/>
    <w:rsid w:val="35B0F4BB"/>
    <w:rsid w:val="35B2B3AD"/>
    <w:rsid w:val="35BF6DD4"/>
    <w:rsid w:val="35CFB970"/>
    <w:rsid w:val="35D15A8E"/>
    <w:rsid w:val="35DA6B9E"/>
    <w:rsid w:val="35F40128"/>
    <w:rsid w:val="35F5B9A2"/>
    <w:rsid w:val="35FF07EE"/>
    <w:rsid w:val="360BB97C"/>
    <w:rsid w:val="36148073"/>
    <w:rsid w:val="36177474"/>
    <w:rsid w:val="3632A60E"/>
    <w:rsid w:val="3636D05F"/>
    <w:rsid w:val="36454F69"/>
    <w:rsid w:val="36464FD5"/>
    <w:rsid w:val="36560B2D"/>
    <w:rsid w:val="36631837"/>
    <w:rsid w:val="366480F5"/>
    <w:rsid w:val="36700A52"/>
    <w:rsid w:val="367198D3"/>
    <w:rsid w:val="3673E356"/>
    <w:rsid w:val="36778DBD"/>
    <w:rsid w:val="369339E6"/>
    <w:rsid w:val="36A2D123"/>
    <w:rsid w:val="36AA6BD5"/>
    <w:rsid w:val="36B0E21F"/>
    <w:rsid w:val="36C4A907"/>
    <w:rsid w:val="36D39FAC"/>
    <w:rsid w:val="36D47041"/>
    <w:rsid w:val="36D4BD15"/>
    <w:rsid w:val="36D4E7BF"/>
    <w:rsid w:val="36FA7F6F"/>
    <w:rsid w:val="36FCE883"/>
    <w:rsid w:val="370814BB"/>
    <w:rsid w:val="371D0BA5"/>
    <w:rsid w:val="37200F52"/>
    <w:rsid w:val="37231EA6"/>
    <w:rsid w:val="372380B8"/>
    <w:rsid w:val="372490C8"/>
    <w:rsid w:val="374319EE"/>
    <w:rsid w:val="374E2D3F"/>
    <w:rsid w:val="37529C91"/>
    <w:rsid w:val="3754DF06"/>
    <w:rsid w:val="3762BFDE"/>
    <w:rsid w:val="37993E95"/>
    <w:rsid w:val="37A84D1D"/>
    <w:rsid w:val="37AA606A"/>
    <w:rsid w:val="37BCE212"/>
    <w:rsid w:val="37DBCBEB"/>
    <w:rsid w:val="37DF5AE7"/>
    <w:rsid w:val="37E46F88"/>
    <w:rsid w:val="37FB1A1B"/>
    <w:rsid w:val="3802130F"/>
    <w:rsid w:val="38148A91"/>
    <w:rsid w:val="38249882"/>
    <w:rsid w:val="3825C55D"/>
    <w:rsid w:val="38263978"/>
    <w:rsid w:val="3830F8FC"/>
    <w:rsid w:val="384A484E"/>
    <w:rsid w:val="38652251"/>
    <w:rsid w:val="387B8C87"/>
    <w:rsid w:val="387BFEAA"/>
    <w:rsid w:val="387C41C5"/>
    <w:rsid w:val="3891EE0E"/>
    <w:rsid w:val="38965B90"/>
    <w:rsid w:val="38C79CAF"/>
    <w:rsid w:val="38CAADF2"/>
    <w:rsid w:val="38CE38F6"/>
    <w:rsid w:val="38D149DA"/>
    <w:rsid w:val="38E58A5D"/>
    <w:rsid w:val="38F6C286"/>
    <w:rsid w:val="38FD579C"/>
    <w:rsid w:val="39073E04"/>
    <w:rsid w:val="3922CD3A"/>
    <w:rsid w:val="3924D83A"/>
    <w:rsid w:val="3925D280"/>
    <w:rsid w:val="3930AD1F"/>
    <w:rsid w:val="3936CBD1"/>
    <w:rsid w:val="3979ABCD"/>
    <w:rsid w:val="3989646A"/>
    <w:rsid w:val="39942845"/>
    <w:rsid w:val="39B01F32"/>
    <w:rsid w:val="39B1D56D"/>
    <w:rsid w:val="39D74F7A"/>
    <w:rsid w:val="39D91031"/>
    <w:rsid w:val="39DE24AE"/>
    <w:rsid w:val="39F88D7E"/>
    <w:rsid w:val="39FE076A"/>
    <w:rsid w:val="3A017723"/>
    <w:rsid w:val="3A06D5D3"/>
    <w:rsid w:val="3A07624D"/>
    <w:rsid w:val="3A18100B"/>
    <w:rsid w:val="3A2A2E1B"/>
    <w:rsid w:val="3A31F611"/>
    <w:rsid w:val="3A3A94BA"/>
    <w:rsid w:val="3A456E9D"/>
    <w:rsid w:val="3A4B15BD"/>
    <w:rsid w:val="3A4BAADF"/>
    <w:rsid w:val="3A4D2B40"/>
    <w:rsid w:val="3A4DA79C"/>
    <w:rsid w:val="3A5773BD"/>
    <w:rsid w:val="3A5CA2D0"/>
    <w:rsid w:val="3A653821"/>
    <w:rsid w:val="3A6FA5C3"/>
    <w:rsid w:val="3A7BCDC5"/>
    <w:rsid w:val="3A7D67C4"/>
    <w:rsid w:val="3A806354"/>
    <w:rsid w:val="3A83B9C3"/>
    <w:rsid w:val="3AA306BB"/>
    <w:rsid w:val="3AB10A1A"/>
    <w:rsid w:val="3ACF9EB9"/>
    <w:rsid w:val="3AD01B31"/>
    <w:rsid w:val="3AE5A99B"/>
    <w:rsid w:val="3AF1F21D"/>
    <w:rsid w:val="3AF4E77B"/>
    <w:rsid w:val="3B06288C"/>
    <w:rsid w:val="3B13F11E"/>
    <w:rsid w:val="3B219EB8"/>
    <w:rsid w:val="3B21FC95"/>
    <w:rsid w:val="3B28B340"/>
    <w:rsid w:val="3B291A16"/>
    <w:rsid w:val="3B326DCE"/>
    <w:rsid w:val="3B35436F"/>
    <w:rsid w:val="3B4B9B57"/>
    <w:rsid w:val="3B4E7FF0"/>
    <w:rsid w:val="3B4F9D7A"/>
    <w:rsid w:val="3B54A087"/>
    <w:rsid w:val="3B6190F3"/>
    <w:rsid w:val="3B7C9F6B"/>
    <w:rsid w:val="3B8EEDF0"/>
    <w:rsid w:val="3BAB56D9"/>
    <w:rsid w:val="3BDC46FA"/>
    <w:rsid w:val="3BE01813"/>
    <w:rsid w:val="3BFCACD5"/>
    <w:rsid w:val="3C03614A"/>
    <w:rsid w:val="3C1A3D60"/>
    <w:rsid w:val="3C2063B2"/>
    <w:rsid w:val="3C279F75"/>
    <w:rsid w:val="3C323601"/>
    <w:rsid w:val="3C39F4A8"/>
    <w:rsid w:val="3C4C7B86"/>
    <w:rsid w:val="3C587FB7"/>
    <w:rsid w:val="3C68B37B"/>
    <w:rsid w:val="3C6B95E6"/>
    <w:rsid w:val="3C7DFB4A"/>
    <w:rsid w:val="3C83D901"/>
    <w:rsid w:val="3C8974A5"/>
    <w:rsid w:val="3C970259"/>
    <w:rsid w:val="3CA63089"/>
    <w:rsid w:val="3CA89033"/>
    <w:rsid w:val="3CAAEB01"/>
    <w:rsid w:val="3CACDF2E"/>
    <w:rsid w:val="3CB314AB"/>
    <w:rsid w:val="3CD6EF97"/>
    <w:rsid w:val="3CDE1D6C"/>
    <w:rsid w:val="3CE08387"/>
    <w:rsid w:val="3CFDD79C"/>
    <w:rsid w:val="3D17F9A1"/>
    <w:rsid w:val="3D280EE4"/>
    <w:rsid w:val="3D2F96C8"/>
    <w:rsid w:val="3D30E37E"/>
    <w:rsid w:val="3D43A310"/>
    <w:rsid w:val="3D4A69A3"/>
    <w:rsid w:val="3D59FDEF"/>
    <w:rsid w:val="3D6773D2"/>
    <w:rsid w:val="3D7FD1E6"/>
    <w:rsid w:val="3D81708A"/>
    <w:rsid w:val="3D878C9B"/>
    <w:rsid w:val="3D8F8A6B"/>
    <w:rsid w:val="3D946CE3"/>
    <w:rsid w:val="3DA00581"/>
    <w:rsid w:val="3DA63EA0"/>
    <w:rsid w:val="3DA6C427"/>
    <w:rsid w:val="3DB0CBD5"/>
    <w:rsid w:val="3DBB7F6D"/>
    <w:rsid w:val="3DC38912"/>
    <w:rsid w:val="3DCD9533"/>
    <w:rsid w:val="3DD7FFDD"/>
    <w:rsid w:val="3DDA26F9"/>
    <w:rsid w:val="3DE1099F"/>
    <w:rsid w:val="3DE1BA70"/>
    <w:rsid w:val="3DE7D0CF"/>
    <w:rsid w:val="3DEE0A0C"/>
    <w:rsid w:val="3DF0E18E"/>
    <w:rsid w:val="3DFA7D2B"/>
    <w:rsid w:val="3E187B2F"/>
    <w:rsid w:val="3E1FE768"/>
    <w:rsid w:val="3E2AF4A6"/>
    <w:rsid w:val="3E2F4B07"/>
    <w:rsid w:val="3E4411B4"/>
    <w:rsid w:val="3E4CE35F"/>
    <w:rsid w:val="3E512186"/>
    <w:rsid w:val="3E546D97"/>
    <w:rsid w:val="3E62F137"/>
    <w:rsid w:val="3E759973"/>
    <w:rsid w:val="3E7EB154"/>
    <w:rsid w:val="3E85893A"/>
    <w:rsid w:val="3EA13733"/>
    <w:rsid w:val="3EB718F4"/>
    <w:rsid w:val="3EC2034E"/>
    <w:rsid w:val="3ECE8164"/>
    <w:rsid w:val="3EE8EED4"/>
    <w:rsid w:val="3EEA9B5E"/>
    <w:rsid w:val="3EEF4BB6"/>
    <w:rsid w:val="3F0BEA34"/>
    <w:rsid w:val="3F125413"/>
    <w:rsid w:val="3F267341"/>
    <w:rsid w:val="3F51C5C5"/>
    <w:rsid w:val="3F5551FF"/>
    <w:rsid w:val="3F6C9BCC"/>
    <w:rsid w:val="3F7CCD6A"/>
    <w:rsid w:val="3F8FD30C"/>
    <w:rsid w:val="3F916251"/>
    <w:rsid w:val="3F946598"/>
    <w:rsid w:val="3F9DBE22"/>
    <w:rsid w:val="3FA0A4EA"/>
    <w:rsid w:val="3FA8C4E8"/>
    <w:rsid w:val="3FB06DE8"/>
    <w:rsid w:val="3FB4286F"/>
    <w:rsid w:val="3FC7A826"/>
    <w:rsid w:val="3FD618C6"/>
    <w:rsid w:val="3FDEC502"/>
    <w:rsid w:val="3FF1AD80"/>
    <w:rsid w:val="3FFC9B85"/>
    <w:rsid w:val="401A692F"/>
    <w:rsid w:val="40662E78"/>
    <w:rsid w:val="4079C518"/>
    <w:rsid w:val="407A5880"/>
    <w:rsid w:val="407C3FF1"/>
    <w:rsid w:val="407D3E3D"/>
    <w:rsid w:val="4081AA4C"/>
    <w:rsid w:val="408DD5AF"/>
    <w:rsid w:val="40A0FFAF"/>
    <w:rsid w:val="40A38AAC"/>
    <w:rsid w:val="40AB0273"/>
    <w:rsid w:val="40B59B6D"/>
    <w:rsid w:val="40B61A8A"/>
    <w:rsid w:val="40E51223"/>
    <w:rsid w:val="40F4E426"/>
    <w:rsid w:val="40F546F9"/>
    <w:rsid w:val="40FF1FA1"/>
    <w:rsid w:val="40FF6591"/>
    <w:rsid w:val="41004A25"/>
    <w:rsid w:val="4117A3B1"/>
    <w:rsid w:val="4121938B"/>
    <w:rsid w:val="412559CE"/>
    <w:rsid w:val="4129892B"/>
    <w:rsid w:val="415AA2E9"/>
    <w:rsid w:val="415E7430"/>
    <w:rsid w:val="418E871B"/>
    <w:rsid w:val="4197281A"/>
    <w:rsid w:val="41A5E2E1"/>
    <w:rsid w:val="41C1F571"/>
    <w:rsid w:val="41CD4BC8"/>
    <w:rsid w:val="41E295CB"/>
    <w:rsid w:val="41E9CE7C"/>
    <w:rsid w:val="41F0392F"/>
    <w:rsid w:val="42184A10"/>
    <w:rsid w:val="421E4A60"/>
    <w:rsid w:val="42367A70"/>
    <w:rsid w:val="4238F269"/>
    <w:rsid w:val="4241C59D"/>
    <w:rsid w:val="42593FBF"/>
    <w:rsid w:val="425E1215"/>
    <w:rsid w:val="4261F815"/>
    <w:rsid w:val="42653740"/>
    <w:rsid w:val="426D9E30"/>
    <w:rsid w:val="4287B48A"/>
    <w:rsid w:val="42880F35"/>
    <w:rsid w:val="42A79C8B"/>
    <w:rsid w:val="42A7AA63"/>
    <w:rsid w:val="42AD64DF"/>
    <w:rsid w:val="42BB699D"/>
    <w:rsid w:val="42CA9AFC"/>
    <w:rsid w:val="42D148DB"/>
    <w:rsid w:val="42DC4F0B"/>
    <w:rsid w:val="42ECA152"/>
    <w:rsid w:val="42F4C79D"/>
    <w:rsid w:val="430CF316"/>
    <w:rsid w:val="4316042E"/>
    <w:rsid w:val="43193399"/>
    <w:rsid w:val="432EB768"/>
    <w:rsid w:val="4343E129"/>
    <w:rsid w:val="434784EB"/>
    <w:rsid w:val="4347D988"/>
    <w:rsid w:val="434F21F1"/>
    <w:rsid w:val="43559E46"/>
    <w:rsid w:val="436C6ADB"/>
    <w:rsid w:val="436CDFA7"/>
    <w:rsid w:val="437C5612"/>
    <w:rsid w:val="437F4E42"/>
    <w:rsid w:val="43842A00"/>
    <w:rsid w:val="43A58004"/>
    <w:rsid w:val="43BA6C78"/>
    <w:rsid w:val="43BB7847"/>
    <w:rsid w:val="43C30B06"/>
    <w:rsid w:val="43D6A592"/>
    <w:rsid w:val="43DC18D8"/>
    <w:rsid w:val="43E06120"/>
    <w:rsid w:val="43E4A13B"/>
    <w:rsid w:val="43E59FDE"/>
    <w:rsid w:val="43E774BE"/>
    <w:rsid w:val="43E77861"/>
    <w:rsid w:val="43E9233A"/>
    <w:rsid w:val="44085DD9"/>
    <w:rsid w:val="4411DDD1"/>
    <w:rsid w:val="442F8CA4"/>
    <w:rsid w:val="44470EBF"/>
    <w:rsid w:val="444BEFC5"/>
    <w:rsid w:val="44515B9C"/>
    <w:rsid w:val="44712105"/>
    <w:rsid w:val="448802E8"/>
    <w:rsid w:val="448AF391"/>
    <w:rsid w:val="449C8EF2"/>
    <w:rsid w:val="44AED598"/>
    <w:rsid w:val="44CF9B09"/>
    <w:rsid w:val="44D05115"/>
    <w:rsid w:val="44D0D32B"/>
    <w:rsid w:val="44D12B4C"/>
    <w:rsid w:val="44D73B13"/>
    <w:rsid w:val="44E2639C"/>
    <w:rsid w:val="44F443BA"/>
    <w:rsid w:val="44FB44BB"/>
    <w:rsid w:val="450604E2"/>
    <w:rsid w:val="450CF06F"/>
    <w:rsid w:val="452CB9E7"/>
    <w:rsid w:val="45365AE5"/>
    <w:rsid w:val="45461515"/>
    <w:rsid w:val="454A09EE"/>
    <w:rsid w:val="4556FC9C"/>
    <w:rsid w:val="456C6FDE"/>
    <w:rsid w:val="45805CE0"/>
    <w:rsid w:val="4590BF9E"/>
    <w:rsid w:val="4598F25A"/>
    <w:rsid w:val="459D3DCE"/>
    <w:rsid w:val="45B36C01"/>
    <w:rsid w:val="45B93D9C"/>
    <w:rsid w:val="45C5E9FC"/>
    <w:rsid w:val="45E30754"/>
    <w:rsid w:val="45E533B2"/>
    <w:rsid w:val="45E9BCA1"/>
    <w:rsid w:val="45EBD036"/>
    <w:rsid w:val="45FF2314"/>
    <w:rsid w:val="460CEBD9"/>
    <w:rsid w:val="46137755"/>
    <w:rsid w:val="462022CB"/>
    <w:rsid w:val="462255A1"/>
    <w:rsid w:val="4628D93B"/>
    <w:rsid w:val="462D6E21"/>
    <w:rsid w:val="463A042C"/>
    <w:rsid w:val="46427C79"/>
    <w:rsid w:val="466B2413"/>
    <w:rsid w:val="466BC78E"/>
    <w:rsid w:val="46721E9A"/>
    <w:rsid w:val="468FCF4E"/>
    <w:rsid w:val="4692E3E0"/>
    <w:rsid w:val="469615A6"/>
    <w:rsid w:val="46B20358"/>
    <w:rsid w:val="46C36ADC"/>
    <w:rsid w:val="46D74868"/>
    <w:rsid w:val="46DBD13E"/>
    <w:rsid w:val="46DCA02C"/>
    <w:rsid w:val="46F8662E"/>
    <w:rsid w:val="471B6467"/>
    <w:rsid w:val="472018A3"/>
    <w:rsid w:val="47220CC2"/>
    <w:rsid w:val="472E1B14"/>
    <w:rsid w:val="4733FE44"/>
    <w:rsid w:val="473AF0E1"/>
    <w:rsid w:val="47402B09"/>
    <w:rsid w:val="475B38DC"/>
    <w:rsid w:val="476EC6C4"/>
    <w:rsid w:val="477017AB"/>
    <w:rsid w:val="477393A2"/>
    <w:rsid w:val="4784A4B9"/>
    <w:rsid w:val="478ADC3F"/>
    <w:rsid w:val="4791F6E0"/>
    <w:rsid w:val="4795A272"/>
    <w:rsid w:val="47979CBA"/>
    <w:rsid w:val="479C1282"/>
    <w:rsid w:val="47A7FC7B"/>
    <w:rsid w:val="47AB82EA"/>
    <w:rsid w:val="47AEA7FA"/>
    <w:rsid w:val="47CCFBD1"/>
    <w:rsid w:val="47CE8FC4"/>
    <w:rsid w:val="47E3A128"/>
    <w:rsid w:val="47F35D2B"/>
    <w:rsid w:val="48075A5F"/>
    <w:rsid w:val="48096E1E"/>
    <w:rsid w:val="4811460F"/>
    <w:rsid w:val="48188BBD"/>
    <w:rsid w:val="482CA0F0"/>
    <w:rsid w:val="482DFCFF"/>
    <w:rsid w:val="48378FF8"/>
    <w:rsid w:val="4840DE44"/>
    <w:rsid w:val="48497772"/>
    <w:rsid w:val="486544FF"/>
    <w:rsid w:val="486B3CAF"/>
    <w:rsid w:val="486FD0A7"/>
    <w:rsid w:val="4878F127"/>
    <w:rsid w:val="487F786E"/>
    <w:rsid w:val="4883D7BD"/>
    <w:rsid w:val="48957747"/>
    <w:rsid w:val="489DD165"/>
    <w:rsid w:val="48BAC2FF"/>
    <w:rsid w:val="48BC10C1"/>
    <w:rsid w:val="48D31703"/>
    <w:rsid w:val="48D8CD6D"/>
    <w:rsid w:val="48E58B78"/>
    <w:rsid w:val="48F02408"/>
    <w:rsid w:val="492D6075"/>
    <w:rsid w:val="4930347B"/>
    <w:rsid w:val="4939712C"/>
    <w:rsid w:val="49448C9B"/>
    <w:rsid w:val="4960C602"/>
    <w:rsid w:val="496C1280"/>
    <w:rsid w:val="497604DB"/>
    <w:rsid w:val="497C6F6A"/>
    <w:rsid w:val="49983BE2"/>
    <w:rsid w:val="49A1A812"/>
    <w:rsid w:val="49C582D4"/>
    <w:rsid w:val="49EC545D"/>
    <w:rsid w:val="49F60287"/>
    <w:rsid w:val="4A0D4948"/>
    <w:rsid w:val="4A0F4853"/>
    <w:rsid w:val="4A235C07"/>
    <w:rsid w:val="4A2E186A"/>
    <w:rsid w:val="4A343EA6"/>
    <w:rsid w:val="4A3ACFE0"/>
    <w:rsid w:val="4A3B2C47"/>
    <w:rsid w:val="4A54C476"/>
    <w:rsid w:val="4A6F1497"/>
    <w:rsid w:val="4A6F82D5"/>
    <w:rsid w:val="4A7AF22C"/>
    <w:rsid w:val="4A9F4858"/>
    <w:rsid w:val="4A9FB454"/>
    <w:rsid w:val="4AA83B1B"/>
    <w:rsid w:val="4AAD20B8"/>
    <w:rsid w:val="4AB9D1AD"/>
    <w:rsid w:val="4AF713C7"/>
    <w:rsid w:val="4AF774A6"/>
    <w:rsid w:val="4AFDB976"/>
    <w:rsid w:val="4B035E3B"/>
    <w:rsid w:val="4B2CD838"/>
    <w:rsid w:val="4B359FD2"/>
    <w:rsid w:val="4B37F553"/>
    <w:rsid w:val="4B3DF23C"/>
    <w:rsid w:val="4B44A800"/>
    <w:rsid w:val="4B59B768"/>
    <w:rsid w:val="4B615A7A"/>
    <w:rsid w:val="4B8789A2"/>
    <w:rsid w:val="4B8EF343"/>
    <w:rsid w:val="4BA3F389"/>
    <w:rsid w:val="4BAA2059"/>
    <w:rsid w:val="4BF8F65F"/>
    <w:rsid w:val="4C05BEA4"/>
    <w:rsid w:val="4C0E3AAA"/>
    <w:rsid w:val="4C190944"/>
    <w:rsid w:val="4C1C1C0B"/>
    <w:rsid w:val="4C21E09C"/>
    <w:rsid w:val="4C328E0E"/>
    <w:rsid w:val="4C33A990"/>
    <w:rsid w:val="4C38E05A"/>
    <w:rsid w:val="4C3D88A7"/>
    <w:rsid w:val="4C417479"/>
    <w:rsid w:val="4C4DEC67"/>
    <w:rsid w:val="4C56F285"/>
    <w:rsid w:val="4C7D4CEC"/>
    <w:rsid w:val="4C866F49"/>
    <w:rsid w:val="4C918F5E"/>
    <w:rsid w:val="4C92667C"/>
    <w:rsid w:val="4C936008"/>
    <w:rsid w:val="4CA1E430"/>
    <w:rsid w:val="4CAA7DE9"/>
    <w:rsid w:val="4CABA6FD"/>
    <w:rsid w:val="4CC6DC3C"/>
    <w:rsid w:val="4CCDCA7A"/>
    <w:rsid w:val="4CDB0806"/>
    <w:rsid w:val="4CDDFBA7"/>
    <w:rsid w:val="4D083DDE"/>
    <w:rsid w:val="4D1FDDF2"/>
    <w:rsid w:val="4D5897EA"/>
    <w:rsid w:val="4D5A27D1"/>
    <w:rsid w:val="4D5ABCC1"/>
    <w:rsid w:val="4D5E385D"/>
    <w:rsid w:val="4D6C4763"/>
    <w:rsid w:val="4DC49746"/>
    <w:rsid w:val="4DC49E99"/>
    <w:rsid w:val="4DCBFDC4"/>
    <w:rsid w:val="4DD18215"/>
    <w:rsid w:val="4DE0BF60"/>
    <w:rsid w:val="4DF4CC6E"/>
    <w:rsid w:val="4DFFA939"/>
    <w:rsid w:val="4E196DE9"/>
    <w:rsid w:val="4E252706"/>
    <w:rsid w:val="4E256D82"/>
    <w:rsid w:val="4E26D499"/>
    <w:rsid w:val="4E2F06CD"/>
    <w:rsid w:val="4E30C186"/>
    <w:rsid w:val="4E405015"/>
    <w:rsid w:val="4E43882C"/>
    <w:rsid w:val="4E496949"/>
    <w:rsid w:val="4E5D83E9"/>
    <w:rsid w:val="4E5D93FD"/>
    <w:rsid w:val="4E5DA657"/>
    <w:rsid w:val="4E63F7E5"/>
    <w:rsid w:val="4E742D60"/>
    <w:rsid w:val="4E87C1F1"/>
    <w:rsid w:val="4E8CEFC1"/>
    <w:rsid w:val="4E8DC4FC"/>
    <w:rsid w:val="4E917421"/>
    <w:rsid w:val="4EA01D51"/>
    <w:rsid w:val="4EA31FC9"/>
    <w:rsid w:val="4EA400DD"/>
    <w:rsid w:val="4EA5F3F4"/>
    <w:rsid w:val="4EAE919D"/>
    <w:rsid w:val="4EB0BF1E"/>
    <w:rsid w:val="4EC6C51F"/>
    <w:rsid w:val="4EC9FA7F"/>
    <w:rsid w:val="4ED81FF0"/>
    <w:rsid w:val="4EDEE02C"/>
    <w:rsid w:val="4EE97879"/>
    <w:rsid w:val="4EEA6E21"/>
    <w:rsid w:val="4EEC984D"/>
    <w:rsid w:val="4EED34C4"/>
    <w:rsid w:val="4EF68FAA"/>
    <w:rsid w:val="4F05B018"/>
    <w:rsid w:val="4F5D7C8F"/>
    <w:rsid w:val="4F753B76"/>
    <w:rsid w:val="4F7DF452"/>
    <w:rsid w:val="4FB53B41"/>
    <w:rsid w:val="4FB86FFD"/>
    <w:rsid w:val="4FC4A490"/>
    <w:rsid w:val="4FDEF271"/>
    <w:rsid w:val="4FE46830"/>
    <w:rsid w:val="50120ACC"/>
    <w:rsid w:val="5015E58C"/>
    <w:rsid w:val="502BAD18"/>
    <w:rsid w:val="50322023"/>
    <w:rsid w:val="5044FCD9"/>
    <w:rsid w:val="5045DC2F"/>
    <w:rsid w:val="505400B4"/>
    <w:rsid w:val="5072F4FA"/>
    <w:rsid w:val="50758621"/>
    <w:rsid w:val="50817842"/>
    <w:rsid w:val="5096C070"/>
    <w:rsid w:val="509F0149"/>
    <w:rsid w:val="50A68A59"/>
    <w:rsid w:val="50B4C2F8"/>
    <w:rsid w:val="50B83941"/>
    <w:rsid w:val="50DB4F2C"/>
    <w:rsid w:val="50DF1001"/>
    <w:rsid w:val="50EBC29E"/>
    <w:rsid w:val="50F6F1D4"/>
    <w:rsid w:val="50F94AA5"/>
    <w:rsid w:val="510D3053"/>
    <w:rsid w:val="511CB640"/>
    <w:rsid w:val="511D7BCA"/>
    <w:rsid w:val="5126B769"/>
    <w:rsid w:val="5127B9AF"/>
    <w:rsid w:val="5138BB93"/>
    <w:rsid w:val="514F1697"/>
    <w:rsid w:val="514FB8B2"/>
    <w:rsid w:val="515DA66F"/>
    <w:rsid w:val="516316EA"/>
    <w:rsid w:val="517C0DA4"/>
    <w:rsid w:val="5186E1CA"/>
    <w:rsid w:val="519B8BD4"/>
    <w:rsid w:val="519F72B6"/>
    <w:rsid w:val="51A0A3BE"/>
    <w:rsid w:val="51A3AED0"/>
    <w:rsid w:val="51C4DF78"/>
    <w:rsid w:val="51C7373A"/>
    <w:rsid w:val="51D025FD"/>
    <w:rsid w:val="51E1C983"/>
    <w:rsid w:val="51F37018"/>
    <w:rsid w:val="520A822F"/>
    <w:rsid w:val="520E17A3"/>
    <w:rsid w:val="521E6AAE"/>
    <w:rsid w:val="5223D468"/>
    <w:rsid w:val="522860E9"/>
    <w:rsid w:val="522B297B"/>
    <w:rsid w:val="52373926"/>
    <w:rsid w:val="5240A31E"/>
    <w:rsid w:val="52449E52"/>
    <w:rsid w:val="524F2A9C"/>
    <w:rsid w:val="52595F97"/>
    <w:rsid w:val="526A5116"/>
    <w:rsid w:val="526EB910"/>
    <w:rsid w:val="528B52F7"/>
    <w:rsid w:val="5290558D"/>
    <w:rsid w:val="52B7DD2E"/>
    <w:rsid w:val="52C27A1E"/>
    <w:rsid w:val="52D390CB"/>
    <w:rsid w:val="52E2B261"/>
    <w:rsid w:val="5303AF16"/>
    <w:rsid w:val="530485C0"/>
    <w:rsid w:val="5314F907"/>
    <w:rsid w:val="531E6B32"/>
    <w:rsid w:val="532E93AE"/>
    <w:rsid w:val="533B3F34"/>
    <w:rsid w:val="53460316"/>
    <w:rsid w:val="5349E5EF"/>
    <w:rsid w:val="5351C124"/>
    <w:rsid w:val="53551686"/>
    <w:rsid w:val="535D6066"/>
    <w:rsid w:val="5373E384"/>
    <w:rsid w:val="537B35C6"/>
    <w:rsid w:val="5388DBCB"/>
    <w:rsid w:val="539FC2D5"/>
    <w:rsid w:val="53C2C2D8"/>
    <w:rsid w:val="53C2E35B"/>
    <w:rsid w:val="53CD46FC"/>
    <w:rsid w:val="53DDA7CC"/>
    <w:rsid w:val="5406E9E1"/>
    <w:rsid w:val="540CD85B"/>
    <w:rsid w:val="540FEF1E"/>
    <w:rsid w:val="54131907"/>
    <w:rsid w:val="5414FE6D"/>
    <w:rsid w:val="542B5AC8"/>
    <w:rsid w:val="54442084"/>
    <w:rsid w:val="544AE04D"/>
    <w:rsid w:val="544EA0D9"/>
    <w:rsid w:val="5455F6C8"/>
    <w:rsid w:val="54631BDD"/>
    <w:rsid w:val="54706BAC"/>
    <w:rsid w:val="5485721F"/>
    <w:rsid w:val="5489388C"/>
    <w:rsid w:val="54AD76BA"/>
    <w:rsid w:val="54BB503A"/>
    <w:rsid w:val="54C58C31"/>
    <w:rsid w:val="54C8581A"/>
    <w:rsid w:val="54CB9309"/>
    <w:rsid w:val="54EBCFC6"/>
    <w:rsid w:val="54EC008F"/>
    <w:rsid w:val="54F7785B"/>
    <w:rsid w:val="550762B3"/>
    <w:rsid w:val="5522E5DD"/>
    <w:rsid w:val="552611D0"/>
    <w:rsid w:val="55281FE7"/>
    <w:rsid w:val="552FAA81"/>
    <w:rsid w:val="553877D0"/>
    <w:rsid w:val="553A0BDC"/>
    <w:rsid w:val="555573F8"/>
    <w:rsid w:val="555C1AAE"/>
    <w:rsid w:val="55709387"/>
    <w:rsid w:val="55791860"/>
    <w:rsid w:val="5580AC37"/>
    <w:rsid w:val="558A44DF"/>
    <w:rsid w:val="558EAF86"/>
    <w:rsid w:val="559453E9"/>
    <w:rsid w:val="55973316"/>
    <w:rsid w:val="559CF8D2"/>
    <w:rsid w:val="55AACBCD"/>
    <w:rsid w:val="55B57EB3"/>
    <w:rsid w:val="55E2181A"/>
    <w:rsid w:val="55E37611"/>
    <w:rsid w:val="55EE5E14"/>
    <w:rsid w:val="55FD1CBF"/>
    <w:rsid w:val="5617C768"/>
    <w:rsid w:val="561A13E2"/>
    <w:rsid w:val="561F9E2A"/>
    <w:rsid w:val="5636092C"/>
    <w:rsid w:val="564B68D1"/>
    <w:rsid w:val="565CDB5F"/>
    <w:rsid w:val="5665DA53"/>
    <w:rsid w:val="567E6FAD"/>
    <w:rsid w:val="568D6391"/>
    <w:rsid w:val="56A80B8B"/>
    <w:rsid w:val="56C8FF70"/>
    <w:rsid w:val="56CE6F5A"/>
    <w:rsid w:val="56DBFCD0"/>
    <w:rsid w:val="571CD37D"/>
    <w:rsid w:val="57261540"/>
    <w:rsid w:val="572A68DD"/>
    <w:rsid w:val="573486C4"/>
    <w:rsid w:val="5743F753"/>
    <w:rsid w:val="57519EB9"/>
    <w:rsid w:val="575A27CD"/>
    <w:rsid w:val="576C5554"/>
    <w:rsid w:val="577E1BD2"/>
    <w:rsid w:val="57B54D94"/>
    <w:rsid w:val="57CB1577"/>
    <w:rsid w:val="57D4FA40"/>
    <w:rsid w:val="57DDB14F"/>
    <w:rsid w:val="57EB3F53"/>
    <w:rsid w:val="57F16FB4"/>
    <w:rsid w:val="57FCCDE8"/>
    <w:rsid w:val="581B5587"/>
    <w:rsid w:val="582AFB7F"/>
    <w:rsid w:val="582E1C9E"/>
    <w:rsid w:val="584E5347"/>
    <w:rsid w:val="58571A01"/>
    <w:rsid w:val="58685403"/>
    <w:rsid w:val="586906C8"/>
    <w:rsid w:val="586DB0E1"/>
    <w:rsid w:val="587155D5"/>
    <w:rsid w:val="588B2D65"/>
    <w:rsid w:val="589A8EB0"/>
    <w:rsid w:val="58A8E309"/>
    <w:rsid w:val="58B3EC19"/>
    <w:rsid w:val="58C756AF"/>
    <w:rsid w:val="58CA7322"/>
    <w:rsid w:val="58CE7DE6"/>
    <w:rsid w:val="58CF41BA"/>
    <w:rsid w:val="58CFE1BF"/>
    <w:rsid w:val="58EA55C3"/>
    <w:rsid w:val="58F727FE"/>
    <w:rsid w:val="590846D4"/>
    <w:rsid w:val="5928D3F4"/>
    <w:rsid w:val="593459FF"/>
    <w:rsid w:val="59364075"/>
    <w:rsid w:val="593CCC65"/>
    <w:rsid w:val="59521F81"/>
    <w:rsid w:val="595F0A04"/>
    <w:rsid w:val="59689775"/>
    <w:rsid w:val="59722B9D"/>
    <w:rsid w:val="5992ECED"/>
    <w:rsid w:val="59976F59"/>
    <w:rsid w:val="599BEB4F"/>
    <w:rsid w:val="59A36C08"/>
    <w:rsid w:val="59B16226"/>
    <w:rsid w:val="59B782CE"/>
    <w:rsid w:val="59C83C6A"/>
    <w:rsid w:val="59C9A3C4"/>
    <w:rsid w:val="59D1165F"/>
    <w:rsid w:val="59D6A4CC"/>
    <w:rsid w:val="59E0471C"/>
    <w:rsid w:val="59F49286"/>
    <w:rsid w:val="5A1C2FE2"/>
    <w:rsid w:val="5A1E15DA"/>
    <w:rsid w:val="5A246DB4"/>
    <w:rsid w:val="5A267D92"/>
    <w:rsid w:val="5A29CD40"/>
    <w:rsid w:val="5A319BC5"/>
    <w:rsid w:val="5A370D79"/>
    <w:rsid w:val="5A40040B"/>
    <w:rsid w:val="5A5BB680"/>
    <w:rsid w:val="5A5E5F61"/>
    <w:rsid w:val="5A73F924"/>
    <w:rsid w:val="5A7596BF"/>
    <w:rsid w:val="5A7795FE"/>
    <w:rsid w:val="5A7A2220"/>
    <w:rsid w:val="5A85D6EC"/>
    <w:rsid w:val="5A8FD917"/>
    <w:rsid w:val="5A9CF858"/>
    <w:rsid w:val="5AB3196D"/>
    <w:rsid w:val="5AB48503"/>
    <w:rsid w:val="5AB95DCB"/>
    <w:rsid w:val="5AC33EB1"/>
    <w:rsid w:val="5AC883CD"/>
    <w:rsid w:val="5ACB206A"/>
    <w:rsid w:val="5ACD20C5"/>
    <w:rsid w:val="5AEB8769"/>
    <w:rsid w:val="5AEEE043"/>
    <w:rsid w:val="5AF05B06"/>
    <w:rsid w:val="5AF5E293"/>
    <w:rsid w:val="5AFB1797"/>
    <w:rsid w:val="5AFC0955"/>
    <w:rsid w:val="5B0E472B"/>
    <w:rsid w:val="5B1325FE"/>
    <w:rsid w:val="5B16A31E"/>
    <w:rsid w:val="5B1D0DDA"/>
    <w:rsid w:val="5B27EFD1"/>
    <w:rsid w:val="5B33D732"/>
    <w:rsid w:val="5B39E9FD"/>
    <w:rsid w:val="5B4DB476"/>
    <w:rsid w:val="5B4FFFA9"/>
    <w:rsid w:val="5B643EE6"/>
    <w:rsid w:val="5B67951F"/>
    <w:rsid w:val="5B6B769C"/>
    <w:rsid w:val="5B6FA203"/>
    <w:rsid w:val="5B79BD41"/>
    <w:rsid w:val="5B81C86C"/>
    <w:rsid w:val="5B858755"/>
    <w:rsid w:val="5B88C965"/>
    <w:rsid w:val="5B8B4296"/>
    <w:rsid w:val="5B92393D"/>
    <w:rsid w:val="5BA31927"/>
    <w:rsid w:val="5BE0DBDB"/>
    <w:rsid w:val="5BE3B87E"/>
    <w:rsid w:val="5BE65027"/>
    <w:rsid w:val="5BED011A"/>
    <w:rsid w:val="5BEDA242"/>
    <w:rsid w:val="5BEFF97B"/>
    <w:rsid w:val="5BF55D3D"/>
    <w:rsid w:val="5C0A4EAC"/>
    <w:rsid w:val="5C156640"/>
    <w:rsid w:val="5C1AAAC2"/>
    <w:rsid w:val="5C24202C"/>
    <w:rsid w:val="5C293979"/>
    <w:rsid w:val="5C2EC8C0"/>
    <w:rsid w:val="5C3381FA"/>
    <w:rsid w:val="5C3E9585"/>
    <w:rsid w:val="5C61489C"/>
    <w:rsid w:val="5C6321DB"/>
    <w:rsid w:val="5C6AA9BF"/>
    <w:rsid w:val="5C6B6349"/>
    <w:rsid w:val="5C6C2A7F"/>
    <w:rsid w:val="5C6ED278"/>
    <w:rsid w:val="5C7293C2"/>
    <w:rsid w:val="5C74E341"/>
    <w:rsid w:val="5C75525D"/>
    <w:rsid w:val="5C8313BD"/>
    <w:rsid w:val="5C9B282D"/>
    <w:rsid w:val="5CA27A73"/>
    <w:rsid w:val="5CA9BCAB"/>
    <w:rsid w:val="5CB6A52F"/>
    <w:rsid w:val="5CBB5865"/>
    <w:rsid w:val="5CC57AF0"/>
    <w:rsid w:val="5CC6662C"/>
    <w:rsid w:val="5CC7BBFE"/>
    <w:rsid w:val="5CC8B727"/>
    <w:rsid w:val="5CD2D132"/>
    <w:rsid w:val="5CD7D016"/>
    <w:rsid w:val="5CE7EF8D"/>
    <w:rsid w:val="5CE855E7"/>
    <w:rsid w:val="5CE95018"/>
    <w:rsid w:val="5CF35B23"/>
    <w:rsid w:val="5CFD6413"/>
    <w:rsid w:val="5D29D68D"/>
    <w:rsid w:val="5D4A0C0D"/>
    <w:rsid w:val="5D4CA9C9"/>
    <w:rsid w:val="5D5B0720"/>
    <w:rsid w:val="5D77A1A9"/>
    <w:rsid w:val="5D872D36"/>
    <w:rsid w:val="5D92FF58"/>
    <w:rsid w:val="5D9BB8B8"/>
    <w:rsid w:val="5D9D2BC4"/>
    <w:rsid w:val="5DA08864"/>
    <w:rsid w:val="5DB3104F"/>
    <w:rsid w:val="5DB90F76"/>
    <w:rsid w:val="5DBB5D94"/>
    <w:rsid w:val="5DC692ED"/>
    <w:rsid w:val="5DC8F4A3"/>
    <w:rsid w:val="5DD7E907"/>
    <w:rsid w:val="5DFBB900"/>
    <w:rsid w:val="5E06BAC4"/>
    <w:rsid w:val="5E0F5A5A"/>
    <w:rsid w:val="5E141BB7"/>
    <w:rsid w:val="5E1A595F"/>
    <w:rsid w:val="5E35581C"/>
    <w:rsid w:val="5E3D19CA"/>
    <w:rsid w:val="5E4E9D8E"/>
    <w:rsid w:val="5E660725"/>
    <w:rsid w:val="5E80BBBF"/>
    <w:rsid w:val="5E8483D5"/>
    <w:rsid w:val="5E9F3531"/>
    <w:rsid w:val="5EA58CB1"/>
    <w:rsid w:val="5EB924C4"/>
    <w:rsid w:val="5ECB7929"/>
    <w:rsid w:val="5ECE7A79"/>
    <w:rsid w:val="5ED4CDED"/>
    <w:rsid w:val="5ED4D7BF"/>
    <w:rsid w:val="5EF24F8D"/>
    <w:rsid w:val="5EF86456"/>
    <w:rsid w:val="5EFBF0A4"/>
    <w:rsid w:val="5F195798"/>
    <w:rsid w:val="5F1A1DC9"/>
    <w:rsid w:val="5F3BC835"/>
    <w:rsid w:val="5F4C151F"/>
    <w:rsid w:val="5F5B7B52"/>
    <w:rsid w:val="5F9DC574"/>
    <w:rsid w:val="5FA9E991"/>
    <w:rsid w:val="5FB5C790"/>
    <w:rsid w:val="5FB91EC7"/>
    <w:rsid w:val="5FC51784"/>
    <w:rsid w:val="5FD80DA5"/>
    <w:rsid w:val="5FEFAD5C"/>
    <w:rsid w:val="5FFE2C9E"/>
    <w:rsid w:val="60058D43"/>
    <w:rsid w:val="6012E40D"/>
    <w:rsid w:val="602F3483"/>
    <w:rsid w:val="6035EE18"/>
    <w:rsid w:val="6044090D"/>
    <w:rsid w:val="604C8824"/>
    <w:rsid w:val="606065AC"/>
    <w:rsid w:val="6062C64D"/>
    <w:rsid w:val="606692A0"/>
    <w:rsid w:val="6072B00E"/>
    <w:rsid w:val="6075E3EC"/>
    <w:rsid w:val="608467FC"/>
    <w:rsid w:val="6099FDF0"/>
    <w:rsid w:val="60A1E440"/>
    <w:rsid w:val="60AC613C"/>
    <w:rsid w:val="60C686AF"/>
    <w:rsid w:val="60DB4C01"/>
    <w:rsid w:val="60DE0358"/>
    <w:rsid w:val="60E16EFE"/>
    <w:rsid w:val="60EC614C"/>
    <w:rsid w:val="60F55699"/>
    <w:rsid w:val="61076FD9"/>
    <w:rsid w:val="611BB504"/>
    <w:rsid w:val="613B7824"/>
    <w:rsid w:val="61402013"/>
    <w:rsid w:val="61480C31"/>
    <w:rsid w:val="61588F6F"/>
    <w:rsid w:val="61751F15"/>
    <w:rsid w:val="618D3311"/>
    <w:rsid w:val="61DCC1FC"/>
    <w:rsid w:val="61DE0FC5"/>
    <w:rsid w:val="61E607F7"/>
    <w:rsid w:val="61ECCB30"/>
    <w:rsid w:val="61EE9B6A"/>
    <w:rsid w:val="61F4C8D9"/>
    <w:rsid w:val="61F5BFCC"/>
    <w:rsid w:val="620002BA"/>
    <w:rsid w:val="62017446"/>
    <w:rsid w:val="6206A2EF"/>
    <w:rsid w:val="6207B324"/>
    <w:rsid w:val="6228085B"/>
    <w:rsid w:val="62324699"/>
    <w:rsid w:val="6236A531"/>
    <w:rsid w:val="6236B605"/>
    <w:rsid w:val="6237E26C"/>
    <w:rsid w:val="62398938"/>
    <w:rsid w:val="62423E9F"/>
    <w:rsid w:val="6248AB24"/>
    <w:rsid w:val="6250C2AF"/>
    <w:rsid w:val="625E003B"/>
    <w:rsid w:val="625F3FFE"/>
    <w:rsid w:val="626C126B"/>
    <w:rsid w:val="6271ECE0"/>
    <w:rsid w:val="62802FAA"/>
    <w:rsid w:val="628625B3"/>
    <w:rsid w:val="6286CE9D"/>
    <w:rsid w:val="62992751"/>
    <w:rsid w:val="629B4D48"/>
    <w:rsid w:val="62A1C949"/>
    <w:rsid w:val="62B0E8D5"/>
    <w:rsid w:val="62B6C287"/>
    <w:rsid w:val="62B7DFEE"/>
    <w:rsid w:val="62BF6C54"/>
    <w:rsid w:val="62C6CC51"/>
    <w:rsid w:val="62CD8B2B"/>
    <w:rsid w:val="62CE9926"/>
    <w:rsid w:val="62D58BCF"/>
    <w:rsid w:val="62E0BB3E"/>
    <w:rsid w:val="62E62BBE"/>
    <w:rsid w:val="62E67B9F"/>
    <w:rsid w:val="63044741"/>
    <w:rsid w:val="63111BB0"/>
    <w:rsid w:val="6312A53B"/>
    <w:rsid w:val="6324F66E"/>
    <w:rsid w:val="633FA4B5"/>
    <w:rsid w:val="63449B61"/>
    <w:rsid w:val="6345AE41"/>
    <w:rsid w:val="635F6DFB"/>
    <w:rsid w:val="63613DD8"/>
    <w:rsid w:val="63699005"/>
    <w:rsid w:val="63705933"/>
    <w:rsid w:val="637CB658"/>
    <w:rsid w:val="638870D9"/>
    <w:rsid w:val="63895F09"/>
    <w:rsid w:val="638C5366"/>
    <w:rsid w:val="63929ECA"/>
    <w:rsid w:val="63A288AC"/>
    <w:rsid w:val="63AF1622"/>
    <w:rsid w:val="63B04610"/>
    <w:rsid w:val="63B79A30"/>
    <w:rsid w:val="63C85CEC"/>
    <w:rsid w:val="63CA0D56"/>
    <w:rsid w:val="63CC4703"/>
    <w:rsid w:val="63D1B4A5"/>
    <w:rsid w:val="63FA575B"/>
    <w:rsid w:val="64058794"/>
    <w:rsid w:val="640BA969"/>
    <w:rsid w:val="6413A842"/>
    <w:rsid w:val="6437BFA2"/>
    <w:rsid w:val="6463791B"/>
    <w:rsid w:val="64735DC4"/>
    <w:rsid w:val="648F505D"/>
    <w:rsid w:val="649FC0C1"/>
    <w:rsid w:val="64A2DB38"/>
    <w:rsid w:val="64B6E64A"/>
    <w:rsid w:val="64BA705B"/>
    <w:rsid w:val="64DBA19D"/>
    <w:rsid w:val="64E0482B"/>
    <w:rsid w:val="64E3A31D"/>
    <w:rsid w:val="64E96499"/>
    <w:rsid w:val="64FAED3D"/>
    <w:rsid w:val="651B715A"/>
    <w:rsid w:val="651E70D4"/>
    <w:rsid w:val="652D6A5D"/>
    <w:rsid w:val="65312EF8"/>
    <w:rsid w:val="654A8FD1"/>
    <w:rsid w:val="6556647F"/>
    <w:rsid w:val="6558CFA5"/>
    <w:rsid w:val="6574131D"/>
    <w:rsid w:val="65788F2F"/>
    <w:rsid w:val="6579277A"/>
    <w:rsid w:val="65A8F766"/>
    <w:rsid w:val="65B76D92"/>
    <w:rsid w:val="65C313B8"/>
    <w:rsid w:val="65C4A790"/>
    <w:rsid w:val="65E02CD2"/>
    <w:rsid w:val="65E5373B"/>
    <w:rsid w:val="65E9DE3A"/>
    <w:rsid w:val="65ED5329"/>
    <w:rsid w:val="663118E1"/>
    <w:rsid w:val="6633489B"/>
    <w:rsid w:val="663A6D34"/>
    <w:rsid w:val="663C5E1C"/>
    <w:rsid w:val="6658E545"/>
    <w:rsid w:val="6667C070"/>
    <w:rsid w:val="668B362C"/>
    <w:rsid w:val="668DA73A"/>
    <w:rsid w:val="66A276F8"/>
    <w:rsid w:val="66A9326B"/>
    <w:rsid w:val="66B8F620"/>
    <w:rsid w:val="66BF2EC8"/>
    <w:rsid w:val="66C1B8CF"/>
    <w:rsid w:val="66C1F72B"/>
    <w:rsid w:val="66C24477"/>
    <w:rsid w:val="66D8C667"/>
    <w:rsid w:val="66D9D236"/>
    <w:rsid w:val="66E3C9D6"/>
    <w:rsid w:val="66F63893"/>
    <w:rsid w:val="66FBA0A5"/>
    <w:rsid w:val="66FE9466"/>
    <w:rsid w:val="670C306A"/>
    <w:rsid w:val="6728C706"/>
    <w:rsid w:val="672AF82A"/>
    <w:rsid w:val="673FFA81"/>
    <w:rsid w:val="674B49BA"/>
    <w:rsid w:val="674E44D7"/>
    <w:rsid w:val="675D2E0E"/>
    <w:rsid w:val="67764F11"/>
    <w:rsid w:val="677C2AAB"/>
    <w:rsid w:val="678D3905"/>
    <w:rsid w:val="67905CA2"/>
    <w:rsid w:val="679DBDAE"/>
    <w:rsid w:val="67A2B6B0"/>
    <w:rsid w:val="67A90377"/>
    <w:rsid w:val="67AC92BC"/>
    <w:rsid w:val="67C7816A"/>
    <w:rsid w:val="67CE5E77"/>
    <w:rsid w:val="67D57F09"/>
    <w:rsid w:val="67EB1D41"/>
    <w:rsid w:val="67F1F44D"/>
    <w:rsid w:val="6807577D"/>
    <w:rsid w:val="6814E052"/>
    <w:rsid w:val="6815F191"/>
    <w:rsid w:val="683D4B2B"/>
    <w:rsid w:val="68461C8A"/>
    <w:rsid w:val="6851BF78"/>
    <w:rsid w:val="68525BD1"/>
    <w:rsid w:val="685972CF"/>
    <w:rsid w:val="685CADFE"/>
    <w:rsid w:val="685CBC16"/>
    <w:rsid w:val="685DC78C"/>
    <w:rsid w:val="6861D890"/>
    <w:rsid w:val="68658BCD"/>
    <w:rsid w:val="686B37AC"/>
    <w:rsid w:val="687312E1"/>
    <w:rsid w:val="687463F7"/>
    <w:rsid w:val="6875E047"/>
    <w:rsid w:val="6886226F"/>
    <w:rsid w:val="68900EAE"/>
    <w:rsid w:val="68A92CD1"/>
    <w:rsid w:val="68ACA285"/>
    <w:rsid w:val="68B0C10E"/>
    <w:rsid w:val="68C5EAA8"/>
    <w:rsid w:val="68D27FEC"/>
    <w:rsid w:val="68DC38E0"/>
    <w:rsid w:val="68E40C3C"/>
    <w:rsid w:val="69001F7E"/>
    <w:rsid w:val="6900D6DA"/>
    <w:rsid w:val="69081E30"/>
    <w:rsid w:val="690BACFD"/>
    <w:rsid w:val="690CB70A"/>
    <w:rsid w:val="691FE473"/>
    <w:rsid w:val="692E4158"/>
    <w:rsid w:val="6935966B"/>
    <w:rsid w:val="693749B9"/>
    <w:rsid w:val="69383C4F"/>
    <w:rsid w:val="69385198"/>
    <w:rsid w:val="69468B8B"/>
    <w:rsid w:val="695EF2DC"/>
    <w:rsid w:val="695F45CC"/>
    <w:rsid w:val="6968C930"/>
    <w:rsid w:val="696B8D29"/>
    <w:rsid w:val="698D6F9A"/>
    <w:rsid w:val="69938481"/>
    <w:rsid w:val="69B57EBB"/>
    <w:rsid w:val="69C3739F"/>
    <w:rsid w:val="69EB1F9D"/>
    <w:rsid w:val="69F42153"/>
    <w:rsid w:val="69FEB86D"/>
    <w:rsid w:val="6A0847CD"/>
    <w:rsid w:val="6A0BB3A8"/>
    <w:rsid w:val="6A1765B9"/>
    <w:rsid w:val="6A22B930"/>
    <w:rsid w:val="6A4532A5"/>
    <w:rsid w:val="6A4656FA"/>
    <w:rsid w:val="6A4D9319"/>
    <w:rsid w:val="6A666A6B"/>
    <w:rsid w:val="6A71D0AE"/>
    <w:rsid w:val="6A77C92E"/>
    <w:rsid w:val="6A8F0E7D"/>
    <w:rsid w:val="6AC13FD4"/>
    <w:rsid w:val="6AC39D9E"/>
    <w:rsid w:val="6ADDE6DE"/>
    <w:rsid w:val="6AED1372"/>
    <w:rsid w:val="6AF17A69"/>
    <w:rsid w:val="6B0B72A0"/>
    <w:rsid w:val="6B0D32DF"/>
    <w:rsid w:val="6B0F6D4F"/>
    <w:rsid w:val="6B12D617"/>
    <w:rsid w:val="6B1AC1C8"/>
    <w:rsid w:val="6B333445"/>
    <w:rsid w:val="6B350A8C"/>
    <w:rsid w:val="6B391984"/>
    <w:rsid w:val="6B45F9DD"/>
    <w:rsid w:val="6B489ED5"/>
    <w:rsid w:val="6B797EAB"/>
    <w:rsid w:val="6BA1E8E0"/>
    <w:rsid w:val="6BA8683E"/>
    <w:rsid w:val="6BAA1C2B"/>
    <w:rsid w:val="6BC6A0DD"/>
    <w:rsid w:val="6BCB2540"/>
    <w:rsid w:val="6BD7D446"/>
    <w:rsid w:val="6BE303BF"/>
    <w:rsid w:val="6BE8D435"/>
    <w:rsid w:val="6BF4676C"/>
    <w:rsid w:val="6BFF1A58"/>
    <w:rsid w:val="6C10C5B3"/>
    <w:rsid w:val="6C17D307"/>
    <w:rsid w:val="6C2A03EF"/>
    <w:rsid w:val="6C3CD39E"/>
    <w:rsid w:val="6C49C034"/>
    <w:rsid w:val="6C648E1B"/>
    <w:rsid w:val="6C67D2FE"/>
    <w:rsid w:val="6C7B8296"/>
    <w:rsid w:val="6C96579A"/>
    <w:rsid w:val="6C9D9A28"/>
    <w:rsid w:val="6CA47CBF"/>
    <w:rsid w:val="6CAF33FD"/>
    <w:rsid w:val="6CBA53AA"/>
    <w:rsid w:val="6CC86BB9"/>
    <w:rsid w:val="6CCECF0A"/>
    <w:rsid w:val="6CCFDBB1"/>
    <w:rsid w:val="6CD7BB7A"/>
    <w:rsid w:val="6CFFC8C5"/>
    <w:rsid w:val="6D1C6D44"/>
    <w:rsid w:val="6D22C05F"/>
    <w:rsid w:val="6D231849"/>
    <w:rsid w:val="6D496168"/>
    <w:rsid w:val="6D53AD6A"/>
    <w:rsid w:val="6D53E03B"/>
    <w:rsid w:val="6D75E215"/>
    <w:rsid w:val="6D7C7908"/>
    <w:rsid w:val="6D8187F4"/>
    <w:rsid w:val="6D8DD7D8"/>
    <w:rsid w:val="6D8F18A4"/>
    <w:rsid w:val="6D923957"/>
    <w:rsid w:val="6D9F3EE0"/>
    <w:rsid w:val="6DC69888"/>
    <w:rsid w:val="6DE2D0CC"/>
    <w:rsid w:val="6DEBA9C5"/>
    <w:rsid w:val="6E040D05"/>
    <w:rsid w:val="6E0BE7B4"/>
    <w:rsid w:val="6E153AC2"/>
    <w:rsid w:val="6E2E50C0"/>
    <w:rsid w:val="6E314DE2"/>
    <w:rsid w:val="6E398E04"/>
    <w:rsid w:val="6E483C43"/>
    <w:rsid w:val="6E4DC8CB"/>
    <w:rsid w:val="6E502731"/>
    <w:rsid w:val="6E582FE9"/>
    <w:rsid w:val="6E6B67C6"/>
    <w:rsid w:val="6E7A4976"/>
    <w:rsid w:val="6E8C945A"/>
    <w:rsid w:val="6EA0026F"/>
    <w:rsid w:val="6EA9EF23"/>
    <w:rsid w:val="6EB25B53"/>
    <w:rsid w:val="6EC40204"/>
    <w:rsid w:val="6EC9358E"/>
    <w:rsid w:val="6EDA1703"/>
    <w:rsid w:val="6EFDE497"/>
    <w:rsid w:val="6EFE5CCC"/>
    <w:rsid w:val="6F0AAEB0"/>
    <w:rsid w:val="6F0D38B4"/>
    <w:rsid w:val="6F197C58"/>
    <w:rsid w:val="6F205F48"/>
    <w:rsid w:val="6F2695FD"/>
    <w:rsid w:val="6F280D13"/>
    <w:rsid w:val="6F308531"/>
    <w:rsid w:val="6F39824A"/>
    <w:rsid w:val="6F406F49"/>
    <w:rsid w:val="6F418718"/>
    <w:rsid w:val="6F4EECF4"/>
    <w:rsid w:val="6F60734C"/>
    <w:rsid w:val="6F7D23D4"/>
    <w:rsid w:val="6F852189"/>
    <w:rsid w:val="6F9C8A14"/>
    <w:rsid w:val="6FA03031"/>
    <w:rsid w:val="6FA73374"/>
    <w:rsid w:val="6FAFB172"/>
    <w:rsid w:val="6FB6C1CE"/>
    <w:rsid w:val="7005ECAB"/>
    <w:rsid w:val="702ED0C5"/>
    <w:rsid w:val="704E6C01"/>
    <w:rsid w:val="70522456"/>
    <w:rsid w:val="7052E551"/>
    <w:rsid w:val="705DDB44"/>
    <w:rsid w:val="7086E649"/>
    <w:rsid w:val="708AF678"/>
    <w:rsid w:val="708E7623"/>
    <w:rsid w:val="70B708AD"/>
    <w:rsid w:val="70B84BAE"/>
    <w:rsid w:val="70C84BF9"/>
    <w:rsid w:val="70C85890"/>
    <w:rsid w:val="70D575CC"/>
    <w:rsid w:val="710FC626"/>
    <w:rsid w:val="7117C8EF"/>
    <w:rsid w:val="714A4E50"/>
    <w:rsid w:val="7159BB7B"/>
    <w:rsid w:val="715BAF53"/>
    <w:rsid w:val="715E6BEB"/>
    <w:rsid w:val="7165EF6F"/>
    <w:rsid w:val="716F1433"/>
    <w:rsid w:val="71785D0E"/>
    <w:rsid w:val="717A0832"/>
    <w:rsid w:val="717B578E"/>
    <w:rsid w:val="71A9C7A9"/>
    <w:rsid w:val="71AA87C9"/>
    <w:rsid w:val="71BA4459"/>
    <w:rsid w:val="71BAD314"/>
    <w:rsid w:val="71C2F6CB"/>
    <w:rsid w:val="71DA419D"/>
    <w:rsid w:val="71EA7A1B"/>
    <w:rsid w:val="7200A7A4"/>
    <w:rsid w:val="7206F4F1"/>
    <w:rsid w:val="720D2940"/>
    <w:rsid w:val="72333FAA"/>
    <w:rsid w:val="72368864"/>
    <w:rsid w:val="723F073B"/>
    <w:rsid w:val="724DF0BD"/>
    <w:rsid w:val="72592B8D"/>
    <w:rsid w:val="725CF2DD"/>
    <w:rsid w:val="7261F24F"/>
    <w:rsid w:val="728B2D27"/>
    <w:rsid w:val="728E74A5"/>
    <w:rsid w:val="7299C75E"/>
    <w:rsid w:val="729BAE84"/>
    <w:rsid w:val="729E5D6E"/>
    <w:rsid w:val="729F470F"/>
    <w:rsid w:val="72B23497"/>
    <w:rsid w:val="72B32691"/>
    <w:rsid w:val="72BDF124"/>
    <w:rsid w:val="72CCDF57"/>
    <w:rsid w:val="72E00FC0"/>
    <w:rsid w:val="72E75CBD"/>
    <w:rsid w:val="72F4A199"/>
    <w:rsid w:val="73121718"/>
    <w:rsid w:val="73176C00"/>
    <w:rsid w:val="733695BE"/>
    <w:rsid w:val="735AC897"/>
    <w:rsid w:val="7361E355"/>
    <w:rsid w:val="736E3EBA"/>
    <w:rsid w:val="736EE837"/>
    <w:rsid w:val="73873456"/>
    <w:rsid w:val="73880060"/>
    <w:rsid w:val="73892DA0"/>
    <w:rsid w:val="73899342"/>
    <w:rsid w:val="738D075F"/>
    <w:rsid w:val="7390A211"/>
    <w:rsid w:val="7391E381"/>
    <w:rsid w:val="73A6E9AE"/>
    <w:rsid w:val="73ABAC09"/>
    <w:rsid w:val="73BEFA46"/>
    <w:rsid w:val="73D226EF"/>
    <w:rsid w:val="73D966BD"/>
    <w:rsid w:val="73E49F67"/>
    <w:rsid w:val="73E67D07"/>
    <w:rsid w:val="73E82723"/>
    <w:rsid w:val="73E8D65B"/>
    <w:rsid w:val="73EBB81D"/>
    <w:rsid w:val="73EEE517"/>
    <w:rsid w:val="74016B5D"/>
    <w:rsid w:val="740A97B6"/>
    <w:rsid w:val="7417E0DB"/>
    <w:rsid w:val="7436F16D"/>
    <w:rsid w:val="743E41F5"/>
    <w:rsid w:val="743F9B33"/>
    <w:rsid w:val="7450F89B"/>
    <w:rsid w:val="7454DECC"/>
    <w:rsid w:val="746BA1C2"/>
    <w:rsid w:val="7488C88A"/>
    <w:rsid w:val="749BA712"/>
    <w:rsid w:val="749E8591"/>
    <w:rsid w:val="74AA62DC"/>
    <w:rsid w:val="74B0D06F"/>
    <w:rsid w:val="74B3089D"/>
    <w:rsid w:val="74B4EAC5"/>
    <w:rsid w:val="74B582F1"/>
    <w:rsid w:val="74BCDA83"/>
    <w:rsid w:val="74D0E1E8"/>
    <w:rsid w:val="74DADE8E"/>
    <w:rsid w:val="74DD142C"/>
    <w:rsid w:val="74DF0AF3"/>
    <w:rsid w:val="74EE521B"/>
    <w:rsid w:val="74FC1796"/>
    <w:rsid w:val="75166300"/>
    <w:rsid w:val="752C51F4"/>
    <w:rsid w:val="752F4C32"/>
    <w:rsid w:val="75388FEC"/>
    <w:rsid w:val="754007B8"/>
    <w:rsid w:val="7540AD67"/>
    <w:rsid w:val="7547F59B"/>
    <w:rsid w:val="754EA8CD"/>
    <w:rsid w:val="75502575"/>
    <w:rsid w:val="7552B06A"/>
    <w:rsid w:val="756C2C31"/>
    <w:rsid w:val="756FE59B"/>
    <w:rsid w:val="757C37A3"/>
    <w:rsid w:val="7580C092"/>
    <w:rsid w:val="7584261C"/>
    <w:rsid w:val="759D04F7"/>
    <w:rsid w:val="75ADBE14"/>
    <w:rsid w:val="75B2615F"/>
    <w:rsid w:val="75BEF6D3"/>
    <w:rsid w:val="75C585E2"/>
    <w:rsid w:val="75CAF412"/>
    <w:rsid w:val="75DCB3D1"/>
    <w:rsid w:val="75E25D95"/>
    <w:rsid w:val="75E9C511"/>
    <w:rsid w:val="75EB3A12"/>
    <w:rsid w:val="75F5EBF5"/>
    <w:rsid w:val="75FA119D"/>
    <w:rsid w:val="76126B8F"/>
    <w:rsid w:val="761275A9"/>
    <w:rsid w:val="76143A65"/>
    <w:rsid w:val="76478012"/>
    <w:rsid w:val="764BF67D"/>
    <w:rsid w:val="7667C38D"/>
    <w:rsid w:val="7669780B"/>
    <w:rsid w:val="766C6304"/>
    <w:rsid w:val="76994657"/>
    <w:rsid w:val="76AC1BB1"/>
    <w:rsid w:val="76C9AF37"/>
    <w:rsid w:val="76CD1029"/>
    <w:rsid w:val="76CE49A0"/>
    <w:rsid w:val="76D0B893"/>
    <w:rsid w:val="76DF34D0"/>
    <w:rsid w:val="76E73498"/>
    <w:rsid w:val="76F217A0"/>
    <w:rsid w:val="76F94AC7"/>
    <w:rsid w:val="76FCED54"/>
    <w:rsid w:val="77023FCD"/>
    <w:rsid w:val="7704E241"/>
    <w:rsid w:val="770CEFD5"/>
    <w:rsid w:val="7723E580"/>
    <w:rsid w:val="772B6F65"/>
    <w:rsid w:val="77417772"/>
    <w:rsid w:val="775D69C1"/>
    <w:rsid w:val="77645A2D"/>
    <w:rsid w:val="7769770E"/>
    <w:rsid w:val="778A93BE"/>
    <w:rsid w:val="77A7C7AA"/>
    <w:rsid w:val="77B99A6C"/>
    <w:rsid w:val="77C8BB79"/>
    <w:rsid w:val="77E90618"/>
    <w:rsid w:val="77FD27E5"/>
    <w:rsid w:val="77FDF22E"/>
    <w:rsid w:val="77FF7DB6"/>
    <w:rsid w:val="7808406C"/>
    <w:rsid w:val="781A1149"/>
    <w:rsid w:val="781AA540"/>
    <w:rsid w:val="78220840"/>
    <w:rsid w:val="7838C082"/>
    <w:rsid w:val="783DE5CD"/>
    <w:rsid w:val="783FD23A"/>
    <w:rsid w:val="784A84B6"/>
    <w:rsid w:val="7857929B"/>
    <w:rsid w:val="78618473"/>
    <w:rsid w:val="786C0B86"/>
    <w:rsid w:val="78725C7E"/>
    <w:rsid w:val="787D2D1C"/>
    <w:rsid w:val="78809BE2"/>
    <w:rsid w:val="7894BBA7"/>
    <w:rsid w:val="789E259D"/>
    <w:rsid w:val="78A29EA0"/>
    <w:rsid w:val="78A60076"/>
    <w:rsid w:val="78A82894"/>
    <w:rsid w:val="78DF378E"/>
    <w:rsid w:val="78E1464E"/>
    <w:rsid w:val="78FAD0D0"/>
    <w:rsid w:val="78FB90B6"/>
    <w:rsid w:val="78FFC0B8"/>
    <w:rsid w:val="790C5643"/>
    <w:rsid w:val="790D2C46"/>
    <w:rsid w:val="79114AA7"/>
    <w:rsid w:val="79116BF9"/>
    <w:rsid w:val="792D4ABC"/>
    <w:rsid w:val="793568EB"/>
    <w:rsid w:val="793C4531"/>
    <w:rsid w:val="793F9E34"/>
    <w:rsid w:val="794086B2"/>
    <w:rsid w:val="794BBBB4"/>
    <w:rsid w:val="7966C5B2"/>
    <w:rsid w:val="798D055F"/>
    <w:rsid w:val="7991450A"/>
    <w:rsid w:val="7994DB0E"/>
    <w:rsid w:val="79ACE638"/>
    <w:rsid w:val="79B4E89E"/>
    <w:rsid w:val="79BC84BF"/>
    <w:rsid w:val="79BEF40F"/>
    <w:rsid w:val="79C2368D"/>
    <w:rsid w:val="79E44BAD"/>
    <w:rsid w:val="7A017638"/>
    <w:rsid w:val="7A050FFE"/>
    <w:rsid w:val="7A116F5E"/>
    <w:rsid w:val="7A23A55E"/>
    <w:rsid w:val="7A365C81"/>
    <w:rsid w:val="7A5CB859"/>
    <w:rsid w:val="7A64BF88"/>
    <w:rsid w:val="7A680E61"/>
    <w:rsid w:val="7A6B7701"/>
    <w:rsid w:val="7A71F2CD"/>
    <w:rsid w:val="7A7990CC"/>
    <w:rsid w:val="7A818253"/>
    <w:rsid w:val="7A97C6E0"/>
    <w:rsid w:val="7A993868"/>
    <w:rsid w:val="7A9DECDC"/>
    <w:rsid w:val="7AAD7E10"/>
    <w:rsid w:val="7ACCC58F"/>
    <w:rsid w:val="7ADAD0C8"/>
    <w:rsid w:val="7B059D09"/>
    <w:rsid w:val="7B0A4104"/>
    <w:rsid w:val="7B0FCD3B"/>
    <w:rsid w:val="7B28F5B0"/>
    <w:rsid w:val="7B2F629E"/>
    <w:rsid w:val="7B53558E"/>
    <w:rsid w:val="7B5AAB39"/>
    <w:rsid w:val="7B5F5578"/>
    <w:rsid w:val="7B69FE7F"/>
    <w:rsid w:val="7B6AB783"/>
    <w:rsid w:val="7B93DADE"/>
    <w:rsid w:val="7B95DE53"/>
    <w:rsid w:val="7B97BF86"/>
    <w:rsid w:val="7BA55398"/>
    <w:rsid w:val="7BA5CF5B"/>
    <w:rsid w:val="7BCC4BB0"/>
    <w:rsid w:val="7BE2A526"/>
    <w:rsid w:val="7BF6A578"/>
    <w:rsid w:val="7BF7A553"/>
    <w:rsid w:val="7BF88FA2"/>
    <w:rsid w:val="7BFB2A1E"/>
    <w:rsid w:val="7C027FB9"/>
    <w:rsid w:val="7C0666A0"/>
    <w:rsid w:val="7C14CE7A"/>
    <w:rsid w:val="7C21F7C6"/>
    <w:rsid w:val="7C392C7C"/>
    <w:rsid w:val="7C6ACE64"/>
    <w:rsid w:val="7C6C1625"/>
    <w:rsid w:val="7C7FDF26"/>
    <w:rsid w:val="7C8A83A0"/>
    <w:rsid w:val="7C96866C"/>
    <w:rsid w:val="7CAC6A5E"/>
    <w:rsid w:val="7CBB39C0"/>
    <w:rsid w:val="7CC2C084"/>
    <w:rsid w:val="7CCCD77F"/>
    <w:rsid w:val="7CCED624"/>
    <w:rsid w:val="7CD034BA"/>
    <w:rsid w:val="7CDD96BB"/>
    <w:rsid w:val="7CFA3BF5"/>
    <w:rsid w:val="7CFC0BA3"/>
    <w:rsid w:val="7CFCB997"/>
    <w:rsid w:val="7D001882"/>
    <w:rsid w:val="7D2D2C72"/>
    <w:rsid w:val="7D302D55"/>
    <w:rsid w:val="7D3EE741"/>
    <w:rsid w:val="7D439A4E"/>
    <w:rsid w:val="7D496183"/>
    <w:rsid w:val="7D4C3030"/>
    <w:rsid w:val="7D5461BD"/>
    <w:rsid w:val="7D67926B"/>
    <w:rsid w:val="7D6DB1C2"/>
    <w:rsid w:val="7D70F471"/>
    <w:rsid w:val="7D87D75A"/>
    <w:rsid w:val="7D9DBC97"/>
    <w:rsid w:val="7D9FBBF2"/>
    <w:rsid w:val="7DB0D1A6"/>
    <w:rsid w:val="7DBD106B"/>
    <w:rsid w:val="7DCD551C"/>
    <w:rsid w:val="7DCFFD05"/>
    <w:rsid w:val="7DF7047B"/>
    <w:rsid w:val="7DFB04DE"/>
    <w:rsid w:val="7DFCB03B"/>
    <w:rsid w:val="7DFE7AAA"/>
    <w:rsid w:val="7E1AFB85"/>
    <w:rsid w:val="7E20662A"/>
    <w:rsid w:val="7E5C2A6C"/>
    <w:rsid w:val="7E643317"/>
    <w:rsid w:val="7E82945F"/>
    <w:rsid w:val="7E8CD793"/>
    <w:rsid w:val="7E9387E8"/>
    <w:rsid w:val="7E969193"/>
    <w:rsid w:val="7EA17DD3"/>
    <w:rsid w:val="7EA2A48C"/>
    <w:rsid w:val="7EB24C9E"/>
    <w:rsid w:val="7EB59A57"/>
    <w:rsid w:val="7ECB4333"/>
    <w:rsid w:val="7ECFC7BD"/>
    <w:rsid w:val="7ED225E3"/>
    <w:rsid w:val="7EDE7C1C"/>
    <w:rsid w:val="7EEF177E"/>
    <w:rsid w:val="7EF519B2"/>
    <w:rsid w:val="7EF7E1AA"/>
    <w:rsid w:val="7EF9436B"/>
    <w:rsid w:val="7F183DEA"/>
    <w:rsid w:val="7F1944E4"/>
    <w:rsid w:val="7F1AD87B"/>
    <w:rsid w:val="7F48AD39"/>
    <w:rsid w:val="7F4CE870"/>
    <w:rsid w:val="7F533C81"/>
    <w:rsid w:val="7F55CD32"/>
    <w:rsid w:val="7F67467B"/>
    <w:rsid w:val="7F67F40B"/>
    <w:rsid w:val="7F729D0F"/>
    <w:rsid w:val="7F80D563"/>
    <w:rsid w:val="7F8F0940"/>
    <w:rsid w:val="7FA09A66"/>
    <w:rsid w:val="7FA13B77"/>
    <w:rsid w:val="7FAB4CFB"/>
    <w:rsid w:val="7FAD4D20"/>
    <w:rsid w:val="7FBB6F4D"/>
    <w:rsid w:val="7FBF964B"/>
    <w:rsid w:val="7FD38544"/>
    <w:rsid w:val="7FD3FF3E"/>
    <w:rsid w:val="7FD51AF6"/>
    <w:rsid w:val="7FDEBFE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0EF4F"/>
  <w15:docId w15:val="{25C05F5E-4DBA-4ABB-AFD6-18E60729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455"/>
    <w:rPr>
      <w:rFonts w:ascii="Cambria" w:hAnsi="Cambria"/>
      <w:lang w:eastAsia="en-US"/>
    </w:rPr>
  </w:style>
  <w:style w:type="paragraph" w:styleId="Heading1">
    <w:name w:val="heading 1"/>
    <w:next w:val="DHHSbody"/>
    <w:link w:val="Heading1Char"/>
    <w:uiPriority w:val="9"/>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
    <w:qFormat/>
    <w:rsid w:val="00032BA9"/>
    <w:pPr>
      <w:keepNext/>
      <w:keepLines/>
      <w:spacing w:before="240" w:after="90" w:line="320" w:lineRule="atLeast"/>
      <w:outlineLvl w:val="1"/>
    </w:pPr>
    <w:rPr>
      <w:rFonts w:ascii="Arial" w:hAnsi="Arial"/>
      <w:b/>
      <w:color w:val="004EA8"/>
      <w:sz w:val="32"/>
      <w:szCs w:val="28"/>
      <w:lang w:eastAsia="en-US"/>
    </w:rPr>
  </w:style>
  <w:style w:type="paragraph" w:styleId="Heading3">
    <w:name w:val="heading 3"/>
    <w:next w:val="DHHSbody"/>
    <w:link w:val="Heading3Char"/>
    <w:uiPriority w:val="9"/>
    <w:qFormat/>
    <w:rsid w:val="00032BA9"/>
    <w:pPr>
      <w:keepNext/>
      <w:keepLines/>
      <w:spacing w:before="280" w:after="120" w:line="280" w:lineRule="atLeast"/>
      <w:outlineLvl w:val="2"/>
    </w:pPr>
    <w:rPr>
      <w:rFonts w:ascii="Arial" w:eastAsia="MS Gothic" w:hAnsi="Arial"/>
      <w:bCs/>
      <w:sz w:val="30"/>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41"/>
    <w:rPr>
      <w:rFonts w:ascii="Arial" w:hAnsi="Arial"/>
      <w:bCs/>
      <w:color w:val="004EA8"/>
      <w:sz w:val="44"/>
      <w:szCs w:val="44"/>
      <w:lang w:eastAsia="en-US"/>
    </w:rPr>
  </w:style>
  <w:style w:type="character" w:customStyle="1" w:styleId="Heading2Char">
    <w:name w:val="Heading 2 Char"/>
    <w:link w:val="Heading2"/>
    <w:uiPriority w:val="9"/>
    <w:rsid w:val="00032BA9"/>
    <w:rPr>
      <w:rFonts w:ascii="Arial" w:hAnsi="Arial"/>
      <w:b/>
      <w:color w:val="004EA8"/>
      <w:sz w:val="32"/>
      <w:szCs w:val="28"/>
      <w:lang w:eastAsia="en-US"/>
    </w:rPr>
  </w:style>
  <w:style w:type="character" w:customStyle="1" w:styleId="Heading3Char">
    <w:name w:val="Heading 3 Char"/>
    <w:link w:val="Heading3"/>
    <w:uiPriority w:val="9"/>
    <w:rsid w:val="00032BA9"/>
    <w:rPr>
      <w:rFonts w:ascii="Arial" w:eastAsia="MS Gothic" w:hAnsi="Arial"/>
      <w:bCs/>
      <w:sz w:val="30"/>
      <w:szCs w:val="26"/>
      <w:lang w:eastAsia="en-US"/>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DHHSheader"/>
    <w:link w:val="HeaderChar"/>
    <w:uiPriority w:val="99"/>
    <w:rsid w:val="00D7458D"/>
    <w:rPr>
      <w:color w:val="53565A"/>
    </w:rPr>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0D0B9B"/>
    <w:pPr>
      <w:keepNext/>
      <w:keepLines/>
      <w:tabs>
        <w:tab w:val="right" w:leader="dot" w:pos="9299"/>
      </w:tabs>
      <w:spacing w:before="160" w:after="60" w:line="270" w:lineRule="atLeast"/>
      <w:ind w:right="680"/>
    </w:pPr>
    <w:rPr>
      <w:rFonts w:ascii="Arial" w:hAnsi="Arial"/>
      <w:b/>
      <w:noProof/>
      <w:sz w:val="21"/>
    </w:rPr>
  </w:style>
  <w:style w:type="paragraph" w:styleId="TOC2">
    <w:name w:val="toc 2"/>
    <w:basedOn w:val="Normal"/>
    <w:next w:val="Normal"/>
    <w:uiPriority w:val="39"/>
    <w:rsid w:val="000D0B9B"/>
    <w:pPr>
      <w:keepNext/>
      <w:keepLines/>
      <w:tabs>
        <w:tab w:val="right" w:leader="dot" w:pos="9299"/>
      </w:tabs>
      <w:spacing w:after="60" w:line="270" w:lineRule="atLeast"/>
      <w:ind w:right="680"/>
    </w:pPr>
    <w:rPr>
      <w:rFonts w:ascii="Arial" w:hAnsi="Arial"/>
      <w:noProof/>
      <w:sz w:val="21"/>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13"/>
      </w:numPr>
      <w:tabs>
        <w:tab w:val="clear" w:pos="397"/>
        <w:tab w:val="num" w:pos="360"/>
      </w:tabs>
      <w:ind w:left="0" w:firstLine="0"/>
    </w:pPr>
  </w:style>
  <w:style w:type="paragraph" w:customStyle="1" w:styleId="DHHSnumberloweralphaindent">
    <w:name w:val="DHHS number lower alpha indent"/>
    <w:basedOn w:val="DHHSbody"/>
    <w:uiPriority w:val="3"/>
    <w:rsid w:val="00CF7CB6"/>
    <w:pPr>
      <w:numPr>
        <w:ilvl w:val="3"/>
        <w:numId w:val="13"/>
      </w:numPr>
      <w:tabs>
        <w:tab w:val="clear" w:pos="794"/>
        <w:tab w:val="num" w:pos="360"/>
      </w:tabs>
      <w:ind w:left="0" w:firstLine="0"/>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tabs>
        <w:tab w:val="num" w:pos="397"/>
      </w:tabs>
      <w:spacing w:after="40"/>
      <w:ind w:left="2520" w:hanging="283"/>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13"/>
      </w:numPr>
      <w:tabs>
        <w:tab w:val="clear" w:pos="681"/>
        <w:tab w:val="num" w:pos="360"/>
        <w:tab w:val="num" w:pos="397"/>
      </w:tabs>
      <w:ind w:left="0" w:firstLine="0"/>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numId w:val="0"/>
      </w:numPr>
      <w:tabs>
        <w:tab w:val="num" w:pos="794"/>
      </w:tabs>
      <w:spacing w:after="120"/>
      <w:ind w:left="2520" w:hanging="397"/>
    </w:pPr>
  </w:style>
  <w:style w:type="paragraph" w:customStyle="1" w:styleId="DHHSbullet2lastline">
    <w:name w:val="DHHS bullet 2 last line"/>
    <w:basedOn w:val="DHHSbullet2"/>
    <w:uiPriority w:val="2"/>
    <w:qFormat/>
    <w:rsid w:val="00CF7CB6"/>
    <w:pPr>
      <w:spacing w:after="120"/>
      <w:ind w:left="3240"/>
    </w:pPr>
  </w:style>
  <w:style w:type="paragraph" w:customStyle="1" w:styleId="DHHStablebullet">
    <w:name w:val="DHHS table bullet"/>
    <w:basedOn w:val="DHHStabletext"/>
    <w:uiPriority w:val="3"/>
    <w:qFormat/>
    <w:rsid w:val="00CF7CB6"/>
    <w:pPr>
      <w:numPr>
        <w:ilvl w:val="6"/>
        <w:numId w:val="13"/>
      </w:numPr>
      <w:tabs>
        <w:tab w:val="num" w:pos="360"/>
      </w:tabs>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13"/>
      </w:numPr>
      <w:tabs>
        <w:tab w:val="clear" w:pos="397"/>
        <w:tab w:val="num" w:pos="360"/>
      </w:tabs>
      <w:ind w:left="0" w:firstLine="0"/>
    </w:pPr>
  </w:style>
  <w:style w:type="paragraph" w:customStyle="1" w:styleId="DHHSnumberlowerromanindent">
    <w:name w:val="DHHS number lower roman indent"/>
    <w:basedOn w:val="DHHSbody"/>
    <w:uiPriority w:val="3"/>
    <w:rsid w:val="00CF7CB6"/>
    <w:pPr>
      <w:numPr>
        <w:ilvl w:val="5"/>
        <w:numId w:val="13"/>
      </w:numPr>
      <w:tabs>
        <w:tab w:val="clear" w:pos="794"/>
        <w:tab w:val="num" w:pos="360"/>
      </w:tabs>
      <w:ind w:left="0" w:firstLine="0"/>
    </w:pPr>
  </w:style>
  <w:style w:type="paragraph" w:customStyle="1" w:styleId="DHHSnumberdigitindent">
    <w:name w:val="DHHS number digit indent"/>
    <w:basedOn w:val="DHHSnumberloweralphaindent"/>
    <w:uiPriority w:val="3"/>
    <w:rsid w:val="00CF7CB6"/>
    <w:pPr>
      <w:numPr>
        <w:ilvl w:val="1"/>
      </w:numPr>
      <w:tabs>
        <w:tab w:val="clear" w:pos="794"/>
        <w:tab w:val="num" w:pos="360"/>
      </w:tabs>
      <w:ind w:left="0" w:firstLine="0"/>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8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4"/>
    <w:rPr>
      <w:rFonts w:ascii="Segoe UI" w:hAnsi="Segoe UI" w:cs="Segoe UI"/>
      <w:sz w:val="18"/>
      <w:szCs w:val="18"/>
      <w:lang w:eastAsia="en-US"/>
    </w:rPr>
  </w:style>
  <w:style w:type="character" w:customStyle="1" w:styleId="normaltextrun">
    <w:name w:val="normaltextrun"/>
    <w:basedOn w:val="DefaultParagraphFont"/>
    <w:rsid w:val="00381B2F"/>
  </w:style>
  <w:style w:type="character" w:customStyle="1" w:styleId="FootnoteTextChar">
    <w:name w:val="Footnote Text Char"/>
    <w:basedOn w:val="DefaultParagraphFont"/>
    <w:link w:val="FootnoteText"/>
    <w:uiPriority w:val="99"/>
    <w:rsid w:val="00381B2F"/>
    <w:rPr>
      <w:rFonts w:ascii="Arial" w:eastAsia="MS Gothic" w:hAnsi="Arial" w:cs="Arial"/>
      <w:sz w:val="16"/>
      <w:szCs w:val="16"/>
      <w:lang w:eastAsia="en-US"/>
    </w:rPr>
  </w:style>
  <w:style w:type="paragraph" w:customStyle="1" w:styleId="paragraph">
    <w:name w:val="paragraph"/>
    <w:basedOn w:val="Normal"/>
    <w:rsid w:val="00381B2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381B2F"/>
  </w:style>
  <w:style w:type="paragraph" w:styleId="ListParagraph">
    <w:name w:val="List Paragraph"/>
    <w:basedOn w:val="Normal"/>
    <w:uiPriority w:val="34"/>
    <w:qFormat/>
    <w:rsid w:val="00381B2F"/>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458D"/>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381B2F"/>
    <w:rPr>
      <w:rFonts w:ascii="Arial" w:hAnsi="Arial" w:cs="Arial"/>
      <w:sz w:val="18"/>
      <w:szCs w:val="18"/>
      <w:lang w:eastAsia="en-US"/>
    </w:rPr>
  </w:style>
  <w:style w:type="character" w:styleId="CommentReference">
    <w:name w:val="annotation reference"/>
    <w:basedOn w:val="DefaultParagraphFont"/>
    <w:uiPriority w:val="99"/>
    <w:semiHidden/>
    <w:unhideWhenUsed/>
    <w:rsid w:val="00381B2F"/>
    <w:rPr>
      <w:sz w:val="16"/>
      <w:szCs w:val="16"/>
    </w:rPr>
  </w:style>
  <w:style w:type="paragraph" w:styleId="CommentText">
    <w:name w:val="annotation text"/>
    <w:basedOn w:val="Normal"/>
    <w:link w:val="CommentTextChar"/>
    <w:uiPriority w:val="99"/>
    <w:unhideWhenUsed/>
    <w:rsid w:val="00381B2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1B2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81B2F"/>
    <w:rPr>
      <w:b/>
      <w:bCs/>
    </w:rPr>
  </w:style>
  <w:style w:type="character" w:customStyle="1" w:styleId="CommentSubjectChar">
    <w:name w:val="Comment Subject Char"/>
    <w:basedOn w:val="CommentTextChar"/>
    <w:link w:val="CommentSubject"/>
    <w:uiPriority w:val="99"/>
    <w:semiHidden/>
    <w:rsid w:val="00381B2F"/>
    <w:rPr>
      <w:rFonts w:asciiTheme="minorHAnsi" w:eastAsiaTheme="minorHAnsi" w:hAnsiTheme="minorHAnsi" w:cstheme="minorBidi"/>
      <w:b/>
      <w:bCs/>
      <w:lang w:eastAsia="en-US"/>
    </w:rPr>
  </w:style>
  <w:style w:type="character" w:styleId="Mention">
    <w:name w:val="Mention"/>
    <w:basedOn w:val="DefaultParagraphFont"/>
    <w:uiPriority w:val="99"/>
    <w:unhideWhenUsed/>
    <w:rsid w:val="00381B2F"/>
    <w:rPr>
      <w:color w:val="2B579A"/>
      <w:shd w:val="clear" w:color="auto" w:fill="E6E6E6"/>
    </w:rPr>
  </w:style>
  <w:style w:type="character" w:styleId="UnresolvedMention">
    <w:name w:val="Unresolved Mention"/>
    <w:basedOn w:val="DefaultParagraphFont"/>
    <w:uiPriority w:val="99"/>
    <w:unhideWhenUsed/>
    <w:rsid w:val="00381B2F"/>
    <w:rPr>
      <w:color w:val="605E5C"/>
      <w:shd w:val="clear" w:color="auto" w:fill="E1DFDD"/>
    </w:rPr>
  </w:style>
  <w:style w:type="paragraph" w:styleId="Revision">
    <w:name w:val="Revision"/>
    <w:hidden/>
    <w:uiPriority w:val="99"/>
    <w:semiHidden/>
    <w:rsid w:val="00381B2F"/>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381B2F"/>
    <w:pPr>
      <w:spacing w:before="100" w:beforeAutospacing="1" w:after="100" w:afterAutospacing="1"/>
    </w:pPr>
    <w:rPr>
      <w:rFonts w:ascii="Times New Roman" w:hAnsi="Times New Roman"/>
      <w:sz w:val="24"/>
      <w:szCs w:val="24"/>
      <w:lang w:eastAsia="en-AU"/>
    </w:rPr>
  </w:style>
  <w:style w:type="character" w:customStyle="1" w:styleId="spellingerror">
    <w:name w:val="spellingerror"/>
    <w:basedOn w:val="DefaultParagraphFont"/>
    <w:rsid w:val="00DD0930"/>
  </w:style>
  <w:style w:type="character" w:customStyle="1" w:styleId="contextualspellingandgrammarerror">
    <w:name w:val="contextualspellingandgrammarerror"/>
    <w:basedOn w:val="DefaultParagraphFont"/>
    <w:rsid w:val="00DD0930"/>
  </w:style>
  <w:style w:type="paragraph" w:customStyle="1" w:styleId="Body">
    <w:name w:val="Body"/>
    <w:basedOn w:val="Normal"/>
    <w:rsid w:val="00643556"/>
    <w:pPr>
      <w:spacing w:after="160" w:line="280" w:lineRule="atLeast"/>
    </w:pPr>
    <w:rPr>
      <w:rFonts w:ascii="Arial" w:eastAsia="Times" w:hAnsi="Arial"/>
      <w:sz w:val="21"/>
      <w:szCs w:val="21"/>
    </w:rPr>
  </w:style>
  <w:style w:type="paragraph" w:customStyle="1" w:styleId="Bullet1">
    <w:name w:val="Bullet 1"/>
    <w:basedOn w:val="DHHSbullet1"/>
    <w:rsid w:val="00643556"/>
    <w:pPr>
      <w:spacing w:line="280" w:lineRule="atLeast"/>
    </w:pPr>
    <w:rPr>
      <w:sz w:val="21"/>
      <w:szCs w:val="21"/>
    </w:rPr>
  </w:style>
  <w:style w:type="paragraph" w:customStyle="1" w:styleId="Bodyafterbullets">
    <w:name w:val="Body after bullets"/>
    <w:basedOn w:val="Body"/>
    <w:rsid w:val="00643556"/>
    <w:pPr>
      <w:spacing w:before="160"/>
    </w:pPr>
  </w:style>
  <w:style w:type="paragraph" w:customStyle="1" w:styleId="Tabletext">
    <w:name w:val="Table text"/>
    <w:basedOn w:val="DHHStabletext"/>
    <w:rsid w:val="000D0B9B"/>
    <w:rPr>
      <w:sz w:val="21"/>
      <w:szCs w:val="21"/>
      <w:lang w:val="en-US"/>
    </w:rPr>
  </w:style>
  <w:style w:type="paragraph" w:customStyle="1" w:styleId="Tablecolhead">
    <w:name w:val="Table col head"/>
    <w:basedOn w:val="DHHStablecolhead"/>
    <w:rsid w:val="000D0B9B"/>
    <w:rPr>
      <w:sz w:val="21"/>
      <w:szCs w:val="21"/>
    </w:rPr>
  </w:style>
  <w:style w:type="paragraph" w:customStyle="1" w:styleId="Tablecaption">
    <w:name w:val="Table caption"/>
    <w:basedOn w:val="DHHStablecaption"/>
    <w:rsid w:val="000D0B9B"/>
    <w:rPr>
      <w:sz w:val="21"/>
      <w:szCs w:val="21"/>
    </w:rPr>
  </w:style>
  <w:style w:type="paragraph" w:customStyle="1" w:styleId="Figurecaption">
    <w:name w:val="Figure caption"/>
    <w:basedOn w:val="Tablecaption"/>
    <w:rsid w:val="007B2175"/>
    <w:rPr>
      <w:lang w:val="en-US"/>
    </w:rPr>
  </w:style>
  <w:style w:type="paragraph" w:customStyle="1" w:styleId="Bodyaftertable">
    <w:name w:val="Body after table"/>
    <w:basedOn w:val="Bodyafterbullets"/>
    <w:rsid w:val="00643556"/>
    <w:pPr>
      <w:spacing w:before="200"/>
    </w:pPr>
  </w:style>
  <w:style w:type="paragraph" w:customStyle="1" w:styleId="Tablefigurenote">
    <w:name w:val="Table/figure note"/>
    <w:basedOn w:val="DHHStablefigurenote"/>
    <w:rsid w:val="00643556"/>
    <w:rPr>
      <w:rFonts w:eastAsia="Arial"/>
      <w:i w:val="0"/>
      <w:iCs/>
      <w:lang w:val="en-US"/>
    </w:rPr>
  </w:style>
  <w:style w:type="paragraph" w:customStyle="1" w:styleId="Bodynospace">
    <w:name w:val="Body no space"/>
    <w:basedOn w:val="Body"/>
    <w:rsid w:val="00D40C2B"/>
    <w:pPr>
      <w:spacing w:after="0"/>
    </w:pPr>
  </w:style>
  <w:style w:type="paragraph" w:customStyle="1" w:styleId="Boxtitle">
    <w:name w:val="Box title"/>
    <w:basedOn w:val="Body"/>
    <w:rsid w:val="00BF3C21"/>
    <w:pPr>
      <w:spacing w:before="120"/>
    </w:pPr>
    <w:rPr>
      <w:b/>
      <w:bCs/>
    </w:rPr>
  </w:style>
  <w:style w:type="paragraph" w:customStyle="1" w:styleId="Documenttitle">
    <w:name w:val="Document title"/>
    <w:uiPriority w:val="8"/>
    <w:rsid w:val="00B41C39"/>
    <w:pPr>
      <w:spacing w:after="240" w:line="560" w:lineRule="atLeast"/>
    </w:pPr>
    <w:rPr>
      <w:rFonts w:ascii="Arial" w:hAnsi="Arial"/>
      <w:b/>
      <w:color w:val="201547"/>
      <w:sz w:val="48"/>
      <w:szCs w:val="50"/>
      <w:lang w:eastAsia="en-US"/>
    </w:rPr>
  </w:style>
  <w:style w:type="paragraph" w:customStyle="1" w:styleId="Documentsubtitle">
    <w:name w:val="Document subtitle"/>
    <w:uiPriority w:val="8"/>
    <w:rsid w:val="00B41C39"/>
    <w:pPr>
      <w:spacing w:after="120"/>
    </w:pPr>
    <w:rPr>
      <w:rFonts w:ascii="Arial" w:hAnsi="Arial"/>
      <w:color w:val="53565A"/>
      <w:sz w:val="28"/>
      <w:szCs w:val="24"/>
      <w:lang w:eastAsia="en-US"/>
    </w:rPr>
  </w:style>
  <w:style w:type="paragraph" w:customStyle="1" w:styleId="Bannermarking">
    <w:name w:val="Banner marking"/>
    <w:basedOn w:val="Normal"/>
    <w:uiPriority w:val="11"/>
    <w:rsid w:val="00B41C39"/>
    <w:pPr>
      <w:spacing w:line="280" w:lineRule="atLeast"/>
    </w:pPr>
    <w:rPr>
      <w:rFonts w:ascii="Arial" w:eastAsia="Times" w:hAnsi="Arial"/>
      <w:b/>
      <w:b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721">
      <w:bodyDiv w:val="1"/>
      <w:marLeft w:val="0"/>
      <w:marRight w:val="0"/>
      <w:marTop w:val="0"/>
      <w:marBottom w:val="0"/>
      <w:divBdr>
        <w:top w:val="none" w:sz="0" w:space="0" w:color="auto"/>
        <w:left w:val="none" w:sz="0" w:space="0" w:color="auto"/>
        <w:bottom w:val="none" w:sz="0" w:space="0" w:color="auto"/>
        <w:right w:val="none" w:sz="0" w:space="0" w:color="auto"/>
      </w:divBdr>
    </w:div>
    <w:div w:id="148599909">
      <w:bodyDiv w:val="1"/>
      <w:marLeft w:val="0"/>
      <w:marRight w:val="0"/>
      <w:marTop w:val="0"/>
      <w:marBottom w:val="0"/>
      <w:divBdr>
        <w:top w:val="none" w:sz="0" w:space="0" w:color="auto"/>
        <w:left w:val="none" w:sz="0" w:space="0" w:color="auto"/>
        <w:bottom w:val="none" w:sz="0" w:space="0" w:color="auto"/>
        <w:right w:val="none" w:sz="0" w:space="0" w:color="auto"/>
      </w:divBdr>
      <w:divsChild>
        <w:div w:id="750003138">
          <w:marLeft w:val="0"/>
          <w:marRight w:val="0"/>
          <w:marTop w:val="0"/>
          <w:marBottom w:val="0"/>
          <w:divBdr>
            <w:top w:val="none" w:sz="0" w:space="0" w:color="auto"/>
            <w:left w:val="none" w:sz="0" w:space="0" w:color="auto"/>
            <w:bottom w:val="none" w:sz="0" w:space="0" w:color="auto"/>
            <w:right w:val="none" w:sz="0" w:space="0" w:color="auto"/>
          </w:divBdr>
          <w:divsChild>
            <w:div w:id="1503274224">
              <w:marLeft w:val="-75"/>
              <w:marRight w:val="0"/>
              <w:marTop w:val="30"/>
              <w:marBottom w:val="30"/>
              <w:divBdr>
                <w:top w:val="none" w:sz="0" w:space="0" w:color="auto"/>
                <w:left w:val="none" w:sz="0" w:space="0" w:color="auto"/>
                <w:bottom w:val="none" w:sz="0" w:space="0" w:color="auto"/>
                <w:right w:val="none" w:sz="0" w:space="0" w:color="auto"/>
              </w:divBdr>
              <w:divsChild>
                <w:div w:id="102263204">
                  <w:marLeft w:val="0"/>
                  <w:marRight w:val="0"/>
                  <w:marTop w:val="0"/>
                  <w:marBottom w:val="0"/>
                  <w:divBdr>
                    <w:top w:val="none" w:sz="0" w:space="0" w:color="auto"/>
                    <w:left w:val="none" w:sz="0" w:space="0" w:color="auto"/>
                    <w:bottom w:val="none" w:sz="0" w:space="0" w:color="auto"/>
                    <w:right w:val="none" w:sz="0" w:space="0" w:color="auto"/>
                  </w:divBdr>
                  <w:divsChild>
                    <w:div w:id="998117127">
                      <w:marLeft w:val="0"/>
                      <w:marRight w:val="0"/>
                      <w:marTop w:val="0"/>
                      <w:marBottom w:val="0"/>
                      <w:divBdr>
                        <w:top w:val="none" w:sz="0" w:space="0" w:color="auto"/>
                        <w:left w:val="none" w:sz="0" w:space="0" w:color="auto"/>
                        <w:bottom w:val="none" w:sz="0" w:space="0" w:color="auto"/>
                        <w:right w:val="none" w:sz="0" w:space="0" w:color="auto"/>
                      </w:divBdr>
                    </w:div>
                  </w:divsChild>
                </w:div>
                <w:div w:id="147400104">
                  <w:marLeft w:val="0"/>
                  <w:marRight w:val="0"/>
                  <w:marTop w:val="0"/>
                  <w:marBottom w:val="0"/>
                  <w:divBdr>
                    <w:top w:val="none" w:sz="0" w:space="0" w:color="auto"/>
                    <w:left w:val="none" w:sz="0" w:space="0" w:color="auto"/>
                    <w:bottom w:val="none" w:sz="0" w:space="0" w:color="auto"/>
                    <w:right w:val="none" w:sz="0" w:space="0" w:color="auto"/>
                  </w:divBdr>
                  <w:divsChild>
                    <w:div w:id="1329358498">
                      <w:marLeft w:val="0"/>
                      <w:marRight w:val="0"/>
                      <w:marTop w:val="0"/>
                      <w:marBottom w:val="0"/>
                      <w:divBdr>
                        <w:top w:val="none" w:sz="0" w:space="0" w:color="auto"/>
                        <w:left w:val="none" w:sz="0" w:space="0" w:color="auto"/>
                        <w:bottom w:val="none" w:sz="0" w:space="0" w:color="auto"/>
                        <w:right w:val="none" w:sz="0" w:space="0" w:color="auto"/>
                      </w:divBdr>
                    </w:div>
                  </w:divsChild>
                </w:div>
                <w:div w:id="167135860">
                  <w:marLeft w:val="0"/>
                  <w:marRight w:val="0"/>
                  <w:marTop w:val="0"/>
                  <w:marBottom w:val="0"/>
                  <w:divBdr>
                    <w:top w:val="none" w:sz="0" w:space="0" w:color="auto"/>
                    <w:left w:val="none" w:sz="0" w:space="0" w:color="auto"/>
                    <w:bottom w:val="none" w:sz="0" w:space="0" w:color="auto"/>
                    <w:right w:val="none" w:sz="0" w:space="0" w:color="auto"/>
                  </w:divBdr>
                  <w:divsChild>
                    <w:div w:id="1835534146">
                      <w:marLeft w:val="0"/>
                      <w:marRight w:val="0"/>
                      <w:marTop w:val="0"/>
                      <w:marBottom w:val="0"/>
                      <w:divBdr>
                        <w:top w:val="none" w:sz="0" w:space="0" w:color="auto"/>
                        <w:left w:val="none" w:sz="0" w:space="0" w:color="auto"/>
                        <w:bottom w:val="none" w:sz="0" w:space="0" w:color="auto"/>
                        <w:right w:val="none" w:sz="0" w:space="0" w:color="auto"/>
                      </w:divBdr>
                    </w:div>
                  </w:divsChild>
                </w:div>
                <w:div w:id="191110502">
                  <w:marLeft w:val="0"/>
                  <w:marRight w:val="0"/>
                  <w:marTop w:val="0"/>
                  <w:marBottom w:val="0"/>
                  <w:divBdr>
                    <w:top w:val="none" w:sz="0" w:space="0" w:color="auto"/>
                    <w:left w:val="none" w:sz="0" w:space="0" w:color="auto"/>
                    <w:bottom w:val="none" w:sz="0" w:space="0" w:color="auto"/>
                    <w:right w:val="none" w:sz="0" w:space="0" w:color="auto"/>
                  </w:divBdr>
                  <w:divsChild>
                    <w:div w:id="1625574552">
                      <w:marLeft w:val="0"/>
                      <w:marRight w:val="0"/>
                      <w:marTop w:val="0"/>
                      <w:marBottom w:val="0"/>
                      <w:divBdr>
                        <w:top w:val="none" w:sz="0" w:space="0" w:color="auto"/>
                        <w:left w:val="none" w:sz="0" w:space="0" w:color="auto"/>
                        <w:bottom w:val="none" w:sz="0" w:space="0" w:color="auto"/>
                        <w:right w:val="none" w:sz="0" w:space="0" w:color="auto"/>
                      </w:divBdr>
                    </w:div>
                  </w:divsChild>
                </w:div>
                <w:div w:id="215627772">
                  <w:marLeft w:val="0"/>
                  <w:marRight w:val="0"/>
                  <w:marTop w:val="0"/>
                  <w:marBottom w:val="0"/>
                  <w:divBdr>
                    <w:top w:val="none" w:sz="0" w:space="0" w:color="auto"/>
                    <w:left w:val="none" w:sz="0" w:space="0" w:color="auto"/>
                    <w:bottom w:val="none" w:sz="0" w:space="0" w:color="auto"/>
                    <w:right w:val="none" w:sz="0" w:space="0" w:color="auto"/>
                  </w:divBdr>
                  <w:divsChild>
                    <w:div w:id="886064563">
                      <w:marLeft w:val="0"/>
                      <w:marRight w:val="0"/>
                      <w:marTop w:val="0"/>
                      <w:marBottom w:val="0"/>
                      <w:divBdr>
                        <w:top w:val="none" w:sz="0" w:space="0" w:color="auto"/>
                        <w:left w:val="none" w:sz="0" w:space="0" w:color="auto"/>
                        <w:bottom w:val="none" w:sz="0" w:space="0" w:color="auto"/>
                        <w:right w:val="none" w:sz="0" w:space="0" w:color="auto"/>
                      </w:divBdr>
                    </w:div>
                  </w:divsChild>
                </w:div>
                <w:div w:id="216161676">
                  <w:marLeft w:val="0"/>
                  <w:marRight w:val="0"/>
                  <w:marTop w:val="0"/>
                  <w:marBottom w:val="0"/>
                  <w:divBdr>
                    <w:top w:val="none" w:sz="0" w:space="0" w:color="auto"/>
                    <w:left w:val="none" w:sz="0" w:space="0" w:color="auto"/>
                    <w:bottom w:val="none" w:sz="0" w:space="0" w:color="auto"/>
                    <w:right w:val="none" w:sz="0" w:space="0" w:color="auto"/>
                  </w:divBdr>
                  <w:divsChild>
                    <w:div w:id="176047319">
                      <w:marLeft w:val="0"/>
                      <w:marRight w:val="0"/>
                      <w:marTop w:val="0"/>
                      <w:marBottom w:val="0"/>
                      <w:divBdr>
                        <w:top w:val="none" w:sz="0" w:space="0" w:color="auto"/>
                        <w:left w:val="none" w:sz="0" w:space="0" w:color="auto"/>
                        <w:bottom w:val="none" w:sz="0" w:space="0" w:color="auto"/>
                        <w:right w:val="none" w:sz="0" w:space="0" w:color="auto"/>
                      </w:divBdr>
                    </w:div>
                  </w:divsChild>
                </w:div>
                <w:div w:id="262107346">
                  <w:marLeft w:val="0"/>
                  <w:marRight w:val="0"/>
                  <w:marTop w:val="0"/>
                  <w:marBottom w:val="0"/>
                  <w:divBdr>
                    <w:top w:val="none" w:sz="0" w:space="0" w:color="auto"/>
                    <w:left w:val="none" w:sz="0" w:space="0" w:color="auto"/>
                    <w:bottom w:val="none" w:sz="0" w:space="0" w:color="auto"/>
                    <w:right w:val="none" w:sz="0" w:space="0" w:color="auto"/>
                  </w:divBdr>
                  <w:divsChild>
                    <w:div w:id="702050752">
                      <w:marLeft w:val="0"/>
                      <w:marRight w:val="0"/>
                      <w:marTop w:val="0"/>
                      <w:marBottom w:val="0"/>
                      <w:divBdr>
                        <w:top w:val="none" w:sz="0" w:space="0" w:color="auto"/>
                        <w:left w:val="none" w:sz="0" w:space="0" w:color="auto"/>
                        <w:bottom w:val="none" w:sz="0" w:space="0" w:color="auto"/>
                        <w:right w:val="none" w:sz="0" w:space="0" w:color="auto"/>
                      </w:divBdr>
                    </w:div>
                  </w:divsChild>
                </w:div>
                <w:div w:id="290551613">
                  <w:marLeft w:val="0"/>
                  <w:marRight w:val="0"/>
                  <w:marTop w:val="0"/>
                  <w:marBottom w:val="0"/>
                  <w:divBdr>
                    <w:top w:val="none" w:sz="0" w:space="0" w:color="auto"/>
                    <w:left w:val="none" w:sz="0" w:space="0" w:color="auto"/>
                    <w:bottom w:val="none" w:sz="0" w:space="0" w:color="auto"/>
                    <w:right w:val="none" w:sz="0" w:space="0" w:color="auto"/>
                  </w:divBdr>
                  <w:divsChild>
                    <w:div w:id="1197767435">
                      <w:marLeft w:val="0"/>
                      <w:marRight w:val="0"/>
                      <w:marTop w:val="0"/>
                      <w:marBottom w:val="0"/>
                      <w:divBdr>
                        <w:top w:val="none" w:sz="0" w:space="0" w:color="auto"/>
                        <w:left w:val="none" w:sz="0" w:space="0" w:color="auto"/>
                        <w:bottom w:val="none" w:sz="0" w:space="0" w:color="auto"/>
                        <w:right w:val="none" w:sz="0" w:space="0" w:color="auto"/>
                      </w:divBdr>
                    </w:div>
                  </w:divsChild>
                </w:div>
                <w:div w:id="320159777">
                  <w:marLeft w:val="0"/>
                  <w:marRight w:val="0"/>
                  <w:marTop w:val="0"/>
                  <w:marBottom w:val="0"/>
                  <w:divBdr>
                    <w:top w:val="none" w:sz="0" w:space="0" w:color="auto"/>
                    <w:left w:val="none" w:sz="0" w:space="0" w:color="auto"/>
                    <w:bottom w:val="none" w:sz="0" w:space="0" w:color="auto"/>
                    <w:right w:val="none" w:sz="0" w:space="0" w:color="auto"/>
                  </w:divBdr>
                  <w:divsChild>
                    <w:div w:id="1704136799">
                      <w:marLeft w:val="0"/>
                      <w:marRight w:val="0"/>
                      <w:marTop w:val="0"/>
                      <w:marBottom w:val="0"/>
                      <w:divBdr>
                        <w:top w:val="none" w:sz="0" w:space="0" w:color="auto"/>
                        <w:left w:val="none" w:sz="0" w:space="0" w:color="auto"/>
                        <w:bottom w:val="none" w:sz="0" w:space="0" w:color="auto"/>
                        <w:right w:val="none" w:sz="0" w:space="0" w:color="auto"/>
                      </w:divBdr>
                    </w:div>
                  </w:divsChild>
                </w:div>
                <w:div w:id="518276237">
                  <w:marLeft w:val="0"/>
                  <w:marRight w:val="0"/>
                  <w:marTop w:val="0"/>
                  <w:marBottom w:val="0"/>
                  <w:divBdr>
                    <w:top w:val="none" w:sz="0" w:space="0" w:color="auto"/>
                    <w:left w:val="none" w:sz="0" w:space="0" w:color="auto"/>
                    <w:bottom w:val="none" w:sz="0" w:space="0" w:color="auto"/>
                    <w:right w:val="none" w:sz="0" w:space="0" w:color="auto"/>
                  </w:divBdr>
                  <w:divsChild>
                    <w:div w:id="1488008400">
                      <w:marLeft w:val="0"/>
                      <w:marRight w:val="0"/>
                      <w:marTop w:val="0"/>
                      <w:marBottom w:val="0"/>
                      <w:divBdr>
                        <w:top w:val="none" w:sz="0" w:space="0" w:color="auto"/>
                        <w:left w:val="none" w:sz="0" w:space="0" w:color="auto"/>
                        <w:bottom w:val="none" w:sz="0" w:space="0" w:color="auto"/>
                        <w:right w:val="none" w:sz="0" w:space="0" w:color="auto"/>
                      </w:divBdr>
                    </w:div>
                  </w:divsChild>
                </w:div>
                <w:div w:id="553124415">
                  <w:marLeft w:val="0"/>
                  <w:marRight w:val="0"/>
                  <w:marTop w:val="0"/>
                  <w:marBottom w:val="0"/>
                  <w:divBdr>
                    <w:top w:val="none" w:sz="0" w:space="0" w:color="auto"/>
                    <w:left w:val="none" w:sz="0" w:space="0" w:color="auto"/>
                    <w:bottom w:val="none" w:sz="0" w:space="0" w:color="auto"/>
                    <w:right w:val="none" w:sz="0" w:space="0" w:color="auto"/>
                  </w:divBdr>
                  <w:divsChild>
                    <w:div w:id="2070837571">
                      <w:marLeft w:val="0"/>
                      <w:marRight w:val="0"/>
                      <w:marTop w:val="0"/>
                      <w:marBottom w:val="0"/>
                      <w:divBdr>
                        <w:top w:val="none" w:sz="0" w:space="0" w:color="auto"/>
                        <w:left w:val="none" w:sz="0" w:space="0" w:color="auto"/>
                        <w:bottom w:val="none" w:sz="0" w:space="0" w:color="auto"/>
                        <w:right w:val="none" w:sz="0" w:space="0" w:color="auto"/>
                      </w:divBdr>
                    </w:div>
                  </w:divsChild>
                </w:div>
                <w:div w:id="612782312">
                  <w:marLeft w:val="0"/>
                  <w:marRight w:val="0"/>
                  <w:marTop w:val="0"/>
                  <w:marBottom w:val="0"/>
                  <w:divBdr>
                    <w:top w:val="none" w:sz="0" w:space="0" w:color="auto"/>
                    <w:left w:val="none" w:sz="0" w:space="0" w:color="auto"/>
                    <w:bottom w:val="none" w:sz="0" w:space="0" w:color="auto"/>
                    <w:right w:val="none" w:sz="0" w:space="0" w:color="auto"/>
                  </w:divBdr>
                  <w:divsChild>
                    <w:div w:id="250117917">
                      <w:marLeft w:val="0"/>
                      <w:marRight w:val="0"/>
                      <w:marTop w:val="0"/>
                      <w:marBottom w:val="0"/>
                      <w:divBdr>
                        <w:top w:val="none" w:sz="0" w:space="0" w:color="auto"/>
                        <w:left w:val="none" w:sz="0" w:space="0" w:color="auto"/>
                        <w:bottom w:val="none" w:sz="0" w:space="0" w:color="auto"/>
                        <w:right w:val="none" w:sz="0" w:space="0" w:color="auto"/>
                      </w:divBdr>
                    </w:div>
                  </w:divsChild>
                </w:div>
                <w:div w:id="700983297">
                  <w:marLeft w:val="0"/>
                  <w:marRight w:val="0"/>
                  <w:marTop w:val="0"/>
                  <w:marBottom w:val="0"/>
                  <w:divBdr>
                    <w:top w:val="none" w:sz="0" w:space="0" w:color="auto"/>
                    <w:left w:val="none" w:sz="0" w:space="0" w:color="auto"/>
                    <w:bottom w:val="none" w:sz="0" w:space="0" w:color="auto"/>
                    <w:right w:val="none" w:sz="0" w:space="0" w:color="auto"/>
                  </w:divBdr>
                  <w:divsChild>
                    <w:div w:id="650213515">
                      <w:marLeft w:val="0"/>
                      <w:marRight w:val="0"/>
                      <w:marTop w:val="0"/>
                      <w:marBottom w:val="0"/>
                      <w:divBdr>
                        <w:top w:val="none" w:sz="0" w:space="0" w:color="auto"/>
                        <w:left w:val="none" w:sz="0" w:space="0" w:color="auto"/>
                        <w:bottom w:val="none" w:sz="0" w:space="0" w:color="auto"/>
                        <w:right w:val="none" w:sz="0" w:space="0" w:color="auto"/>
                      </w:divBdr>
                    </w:div>
                  </w:divsChild>
                </w:div>
                <w:div w:id="839543003">
                  <w:marLeft w:val="0"/>
                  <w:marRight w:val="0"/>
                  <w:marTop w:val="0"/>
                  <w:marBottom w:val="0"/>
                  <w:divBdr>
                    <w:top w:val="none" w:sz="0" w:space="0" w:color="auto"/>
                    <w:left w:val="none" w:sz="0" w:space="0" w:color="auto"/>
                    <w:bottom w:val="none" w:sz="0" w:space="0" w:color="auto"/>
                    <w:right w:val="none" w:sz="0" w:space="0" w:color="auto"/>
                  </w:divBdr>
                  <w:divsChild>
                    <w:div w:id="664285692">
                      <w:marLeft w:val="0"/>
                      <w:marRight w:val="0"/>
                      <w:marTop w:val="0"/>
                      <w:marBottom w:val="0"/>
                      <w:divBdr>
                        <w:top w:val="none" w:sz="0" w:space="0" w:color="auto"/>
                        <w:left w:val="none" w:sz="0" w:space="0" w:color="auto"/>
                        <w:bottom w:val="none" w:sz="0" w:space="0" w:color="auto"/>
                        <w:right w:val="none" w:sz="0" w:space="0" w:color="auto"/>
                      </w:divBdr>
                    </w:div>
                  </w:divsChild>
                </w:div>
                <w:div w:id="887566009">
                  <w:marLeft w:val="0"/>
                  <w:marRight w:val="0"/>
                  <w:marTop w:val="0"/>
                  <w:marBottom w:val="0"/>
                  <w:divBdr>
                    <w:top w:val="none" w:sz="0" w:space="0" w:color="auto"/>
                    <w:left w:val="none" w:sz="0" w:space="0" w:color="auto"/>
                    <w:bottom w:val="none" w:sz="0" w:space="0" w:color="auto"/>
                    <w:right w:val="none" w:sz="0" w:space="0" w:color="auto"/>
                  </w:divBdr>
                  <w:divsChild>
                    <w:div w:id="1399589903">
                      <w:marLeft w:val="0"/>
                      <w:marRight w:val="0"/>
                      <w:marTop w:val="0"/>
                      <w:marBottom w:val="0"/>
                      <w:divBdr>
                        <w:top w:val="none" w:sz="0" w:space="0" w:color="auto"/>
                        <w:left w:val="none" w:sz="0" w:space="0" w:color="auto"/>
                        <w:bottom w:val="none" w:sz="0" w:space="0" w:color="auto"/>
                        <w:right w:val="none" w:sz="0" w:space="0" w:color="auto"/>
                      </w:divBdr>
                    </w:div>
                  </w:divsChild>
                </w:div>
                <w:div w:id="896816266">
                  <w:marLeft w:val="0"/>
                  <w:marRight w:val="0"/>
                  <w:marTop w:val="0"/>
                  <w:marBottom w:val="0"/>
                  <w:divBdr>
                    <w:top w:val="none" w:sz="0" w:space="0" w:color="auto"/>
                    <w:left w:val="none" w:sz="0" w:space="0" w:color="auto"/>
                    <w:bottom w:val="none" w:sz="0" w:space="0" w:color="auto"/>
                    <w:right w:val="none" w:sz="0" w:space="0" w:color="auto"/>
                  </w:divBdr>
                  <w:divsChild>
                    <w:div w:id="2022927082">
                      <w:marLeft w:val="0"/>
                      <w:marRight w:val="0"/>
                      <w:marTop w:val="0"/>
                      <w:marBottom w:val="0"/>
                      <w:divBdr>
                        <w:top w:val="none" w:sz="0" w:space="0" w:color="auto"/>
                        <w:left w:val="none" w:sz="0" w:space="0" w:color="auto"/>
                        <w:bottom w:val="none" w:sz="0" w:space="0" w:color="auto"/>
                        <w:right w:val="none" w:sz="0" w:space="0" w:color="auto"/>
                      </w:divBdr>
                    </w:div>
                  </w:divsChild>
                </w:div>
                <w:div w:id="954409802">
                  <w:marLeft w:val="0"/>
                  <w:marRight w:val="0"/>
                  <w:marTop w:val="0"/>
                  <w:marBottom w:val="0"/>
                  <w:divBdr>
                    <w:top w:val="none" w:sz="0" w:space="0" w:color="auto"/>
                    <w:left w:val="none" w:sz="0" w:space="0" w:color="auto"/>
                    <w:bottom w:val="none" w:sz="0" w:space="0" w:color="auto"/>
                    <w:right w:val="none" w:sz="0" w:space="0" w:color="auto"/>
                  </w:divBdr>
                  <w:divsChild>
                    <w:div w:id="70279863">
                      <w:marLeft w:val="0"/>
                      <w:marRight w:val="0"/>
                      <w:marTop w:val="0"/>
                      <w:marBottom w:val="0"/>
                      <w:divBdr>
                        <w:top w:val="none" w:sz="0" w:space="0" w:color="auto"/>
                        <w:left w:val="none" w:sz="0" w:space="0" w:color="auto"/>
                        <w:bottom w:val="none" w:sz="0" w:space="0" w:color="auto"/>
                        <w:right w:val="none" w:sz="0" w:space="0" w:color="auto"/>
                      </w:divBdr>
                    </w:div>
                  </w:divsChild>
                </w:div>
                <w:div w:id="960495790">
                  <w:marLeft w:val="0"/>
                  <w:marRight w:val="0"/>
                  <w:marTop w:val="0"/>
                  <w:marBottom w:val="0"/>
                  <w:divBdr>
                    <w:top w:val="none" w:sz="0" w:space="0" w:color="auto"/>
                    <w:left w:val="none" w:sz="0" w:space="0" w:color="auto"/>
                    <w:bottom w:val="none" w:sz="0" w:space="0" w:color="auto"/>
                    <w:right w:val="none" w:sz="0" w:space="0" w:color="auto"/>
                  </w:divBdr>
                  <w:divsChild>
                    <w:div w:id="762839835">
                      <w:marLeft w:val="0"/>
                      <w:marRight w:val="0"/>
                      <w:marTop w:val="0"/>
                      <w:marBottom w:val="0"/>
                      <w:divBdr>
                        <w:top w:val="none" w:sz="0" w:space="0" w:color="auto"/>
                        <w:left w:val="none" w:sz="0" w:space="0" w:color="auto"/>
                        <w:bottom w:val="none" w:sz="0" w:space="0" w:color="auto"/>
                        <w:right w:val="none" w:sz="0" w:space="0" w:color="auto"/>
                      </w:divBdr>
                    </w:div>
                  </w:divsChild>
                </w:div>
                <w:div w:id="991179482">
                  <w:marLeft w:val="0"/>
                  <w:marRight w:val="0"/>
                  <w:marTop w:val="0"/>
                  <w:marBottom w:val="0"/>
                  <w:divBdr>
                    <w:top w:val="none" w:sz="0" w:space="0" w:color="auto"/>
                    <w:left w:val="none" w:sz="0" w:space="0" w:color="auto"/>
                    <w:bottom w:val="none" w:sz="0" w:space="0" w:color="auto"/>
                    <w:right w:val="none" w:sz="0" w:space="0" w:color="auto"/>
                  </w:divBdr>
                  <w:divsChild>
                    <w:div w:id="1941403554">
                      <w:marLeft w:val="0"/>
                      <w:marRight w:val="0"/>
                      <w:marTop w:val="0"/>
                      <w:marBottom w:val="0"/>
                      <w:divBdr>
                        <w:top w:val="none" w:sz="0" w:space="0" w:color="auto"/>
                        <w:left w:val="none" w:sz="0" w:space="0" w:color="auto"/>
                        <w:bottom w:val="none" w:sz="0" w:space="0" w:color="auto"/>
                        <w:right w:val="none" w:sz="0" w:space="0" w:color="auto"/>
                      </w:divBdr>
                    </w:div>
                  </w:divsChild>
                </w:div>
                <w:div w:id="1118991412">
                  <w:marLeft w:val="0"/>
                  <w:marRight w:val="0"/>
                  <w:marTop w:val="0"/>
                  <w:marBottom w:val="0"/>
                  <w:divBdr>
                    <w:top w:val="none" w:sz="0" w:space="0" w:color="auto"/>
                    <w:left w:val="none" w:sz="0" w:space="0" w:color="auto"/>
                    <w:bottom w:val="none" w:sz="0" w:space="0" w:color="auto"/>
                    <w:right w:val="none" w:sz="0" w:space="0" w:color="auto"/>
                  </w:divBdr>
                  <w:divsChild>
                    <w:div w:id="1464301628">
                      <w:marLeft w:val="0"/>
                      <w:marRight w:val="0"/>
                      <w:marTop w:val="0"/>
                      <w:marBottom w:val="0"/>
                      <w:divBdr>
                        <w:top w:val="none" w:sz="0" w:space="0" w:color="auto"/>
                        <w:left w:val="none" w:sz="0" w:space="0" w:color="auto"/>
                        <w:bottom w:val="none" w:sz="0" w:space="0" w:color="auto"/>
                        <w:right w:val="none" w:sz="0" w:space="0" w:color="auto"/>
                      </w:divBdr>
                    </w:div>
                  </w:divsChild>
                </w:div>
                <w:div w:id="1158573712">
                  <w:marLeft w:val="0"/>
                  <w:marRight w:val="0"/>
                  <w:marTop w:val="0"/>
                  <w:marBottom w:val="0"/>
                  <w:divBdr>
                    <w:top w:val="none" w:sz="0" w:space="0" w:color="auto"/>
                    <w:left w:val="none" w:sz="0" w:space="0" w:color="auto"/>
                    <w:bottom w:val="none" w:sz="0" w:space="0" w:color="auto"/>
                    <w:right w:val="none" w:sz="0" w:space="0" w:color="auto"/>
                  </w:divBdr>
                  <w:divsChild>
                    <w:div w:id="1512259163">
                      <w:marLeft w:val="0"/>
                      <w:marRight w:val="0"/>
                      <w:marTop w:val="0"/>
                      <w:marBottom w:val="0"/>
                      <w:divBdr>
                        <w:top w:val="none" w:sz="0" w:space="0" w:color="auto"/>
                        <w:left w:val="none" w:sz="0" w:space="0" w:color="auto"/>
                        <w:bottom w:val="none" w:sz="0" w:space="0" w:color="auto"/>
                        <w:right w:val="none" w:sz="0" w:space="0" w:color="auto"/>
                      </w:divBdr>
                    </w:div>
                  </w:divsChild>
                </w:div>
                <w:div w:id="1170409778">
                  <w:marLeft w:val="0"/>
                  <w:marRight w:val="0"/>
                  <w:marTop w:val="0"/>
                  <w:marBottom w:val="0"/>
                  <w:divBdr>
                    <w:top w:val="none" w:sz="0" w:space="0" w:color="auto"/>
                    <w:left w:val="none" w:sz="0" w:space="0" w:color="auto"/>
                    <w:bottom w:val="none" w:sz="0" w:space="0" w:color="auto"/>
                    <w:right w:val="none" w:sz="0" w:space="0" w:color="auto"/>
                  </w:divBdr>
                  <w:divsChild>
                    <w:div w:id="990869060">
                      <w:marLeft w:val="0"/>
                      <w:marRight w:val="0"/>
                      <w:marTop w:val="0"/>
                      <w:marBottom w:val="0"/>
                      <w:divBdr>
                        <w:top w:val="none" w:sz="0" w:space="0" w:color="auto"/>
                        <w:left w:val="none" w:sz="0" w:space="0" w:color="auto"/>
                        <w:bottom w:val="none" w:sz="0" w:space="0" w:color="auto"/>
                        <w:right w:val="none" w:sz="0" w:space="0" w:color="auto"/>
                      </w:divBdr>
                    </w:div>
                  </w:divsChild>
                </w:div>
                <w:div w:id="1339578444">
                  <w:marLeft w:val="0"/>
                  <w:marRight w:val="0"/>
                  <w:marTop w:val="0"/>
                  <w:marBottom w:val="0"/>
                  <w:divBdr>
                    <w:top w:val="none" w:sz="0" w:space="0" w:color="auto"/>
                    <w:left w:val="none" w:sz="0" w:space="0" w:color="auto"/>
                    <w:bottom w:val="none" w:sz="0" w:space="0" w:color="auto"/>
                    <w:right w:val="none" w:sz="0" w:space="0" w:color="auto"/>
                  </w:divBdr>
                  <w:divsChild>
                    <w:div w:id="1165248849">
                      <w:marLeft w:val="0"/>
                      <w:marRight w:val="0"/>
                      <w:marTop w:val="0"/>
                      <w:marBottom w:val="0"/>
                      <w:divBdr>
                        <w:top w:val="none" w:sz="0" w:space="0" w:color="auto"/>
                        <w:left w:val="none" w:sz="0" w:space="0" w:color="auto"/>
                        <w:bottom w:val="none" w:sz="0" w:space="0" w:color="auto"/>
                        <w:right w:val="none" w:sz="0" w:space="0" w:color="auto"/>
                      </w:divBdr>
                    </w:div>
                  </w:divsChild>
                </w:div>
                <w:div w:id="1358966440">
                  <w:marLeft w:val="0"/>
                  <w:marRight w:val="0"/>
                  <w:marTop w:val="0"/>
                  <w:marBottom w:val="0"/>
                  <w:divBdr>
                    <w:top w:val="none" w:sz="0" w:space="0" w:color="auto"/>
                    <w:left w:val="none" w:sz="0" w:space="0" w:color="auto"/>
                    <w:bottom w:val="none" w:sz="0" w:space="0" w:color="auto"/>
                    <w:right w:val="none" w:sz="0" w:space="0" w:color="auto"/>
                  </w:divBdr>
                  <w:divsChild>
                    <w:div w:id="1677613121">
                      <w:marLeft w:val="0"/>
                      <w:marRight w:val="0"/>
                      <w:marTop w:val="0"/>
                      <w:marBottom w:val="0"/>
                      <w:divBdr>
                        <w:top w:val="none" w:sz="0" w:space="0" w:color="auto"/>
                        <w:left w:val="none" w:sz="0" w:space="0" w:color="auto"/>
                        <w:bottom w:val="none" w:sz="0" w:space="0" w:color="auto"/>
                        <w:right w:val="none" w:sz="0" w:space="0" w:color="auto"/>
                      </w:divBdr>
                    </w:div>
                  </w:divsChild>
                </w:div>
                <w:div w:id="1360204186">
                  <w:marLeft w:val="0"/>
                  <w:marRight w:val="0"/>
                  <w:marTop w:val="0"/>
                  <w:marBottom w:val="0"/>
                  <w:divBdr>
                    <w:top w:val="none" w:sz="0" w:space="0" w:color="auto"/>
                    <w:left w:val="none" w:sz="0" w:space="0" w:color="auto"/>
                    <w:bottom w:val="none" w:sz="0" w:space="0" w:color="auto"/>
                    <w:right w:val="none" w:sz="0" w:space="0" w:color="auto"/>
                  </w:divBdr>
                  <w:divsChild>
                    <w:div w:id="1223640344">
                      <w:marLeft w:val="0"/>
                      <w:marRight w:val="0"/>
                      <w:marTop w:val="0"/>
                      <w:marBottom w:val="0"/>
                      <w:divBdr>
                        <w:top w:val="none" w:sz="0" w:space="0" w:color="auto"/>
                        <w:left w:val="none" w:sz="0" w:space="0" w:color="auto"/>
                        <w:bottom w:val="none" w:sz="0" w:space="0" w:color="auto"/>
                        <w:right w:val="none" w:sz="0" w:space="0" w:color="auto"/>
                      </w:divBdr>
                    </w:div>
                  </w:divsChild>
                </w:div>
                <w:div w:id="1380936129">
                  <w:marLeft w:val="0"/>
                  <w:marRight w:val="0"/>
                  <w:marTop w:val="0"/>
                  <w:marBottom w:val="0"/>
                  <w:divBdr>
                    <w:top w:val="none" w:sz="0" w:space="0" w:color="auto"/>
                    <w:left w:val="none" w:sz="0" w:space="0" w:color="auto"/>
                    <w:bottom w:val="none" w:sz="0" w:space="0" w:color="auto"/>
                    <w:right w:val="none" w:sz="0" w:space="0" w:color="auto"/>
                  </w:divBdr>
                  <w:divsChild>
                    <w:div w:id="1305157543">
                      <w:marLeft w:val="0"/>
                      <w:marRight w:val="0"/>
                      <w:marTop w:val="0"/>
                      <w:marBottom w:val="0"/>
                      <w:divBdr>
                        <w:top w:val="none" w:sz="0" w:space="0" w:color="auto"/>
                        <w:left w:val="none" w:sz="0" w:space="0" w:color="auto"/>
                        <w:bottom w:val="none" w:sz="0" w:space="0" w:color="auto"/>
                        <w:right w:val="none" w:sz="0" w:space="0" w:color="auto"/>
                      </w:divBdr>
                    </w:div>
                  </w:divsChild>
                </w:div>
                <w:div w:id="1545674195">
                  <w:marLeft w:val="0"/>
                  <w:marRight w:val="0"/>
                  <w:marTop w:val="0"/>
                  <w:marBottom w:val="0"/>
                  <w:divBdr>
                    <w:top w:val="none" w:sz="0" w:space="0" w:color="auto"/>
                    <w:left w:val="none" w:sz="0" w:space="0" w:color="auto"/>
                    <w:bottom w:val="none" w:sz="0" w:space="0" w:color="auto"/>
                    <w:right w:val="none" w:sz="0" w:space="0" w:color="auto"/>
                  </w:divBdr>
                  <w:divsChild>
                    <w:div w:id="581062544">
                      <w:marLeft w:val="0"/>
                      <w:marRight w:val="0"/>
                      <w:marTop w:val="0"/>
                      <w:marBottom w:val="0"/>
                      <w:divBdr>
                        <w:top w:val="none" w:sz="0" w:space="0" w:color="auto"/>
                        <w:left w:val="none" w:sz="0" w:space="0" w:color="auto"/>
                        <w:bottom w:val="none" w:sz="0" w:space="0" w:color="auto"/>
                        <w:right w:val="none" w:sz="0" w:space="0" w:color="auto"/>
                      </w:divBdr>
                    </w:div>
                  </w:divsChild>
                </w:div>
                <w:div w:id="1626159629">
                  <w:marLeft w:val="0"/>
                  <w:marRight w:val="0"/>
                  <w:marTop w:val="0"/>
                  <w:marBottom w:val="0"/>
                  <w:divBdr>
                    <w:top w:val="none" w:sz="0" w:space="0" w:color="auto"/>
                    <w:left w:val="none" w:sz="0" w:space="0" w:color="auto"/>
                    <w:bottom w:val="none" w:sz="0" w:space="0" w:color="auto"/>
                    <w:right w:val="none" w:sz="0" w:space="0" w:color="auto"/>
                  </w:divBdr>
                  <w:divsChild>
                    <w:div w:id="1906334722">
                      <w:marLeft w:val="0"/>
                      <w:marRight w:val="0"/>
                      <w:marTop w:val="0"/>
                      <w:marBottom w:val="0"/>
                      <w:divBdr>
                        <w:top w:val="none" w:sz="0" w:space="0" w:color="auto"/>
                        <w:left w:val="none" w:sz="0" w:space="0" w:color="auto"/>
                        <w:bottom w:val="none" w:sz="0" w:space="0" w:color="auto"/>
                        <w:right w:val="none" w:sz="0" w:space="0" w:color="auto"/>
                      </w:divBdr>
                    </w:div>
                  </w:divsChild>
                </w:div>
                <w:div w:id="1748264688">
                  <w:marLeft w:val="0"/>
                  <w:marRight w:val="0"/>
                  <w:marTop w:val="0"/>
                  <w:marBottom w:val="0"/>
                  <w:divBdr>
                    <w:top w:val="none" w:sz="0" w:space="0" w:color="auto"/>
                    <w:left w:val="none" w:sz="0" w:space="0" w:color="auto"/>
                    <w:bottom w:val="none" w:sz="0" w:space="0" w:color="auto"/>
                    <w:right w:val="none" w:sz="0" w:space="0" w:color="auto"/>
                  </w:divBdr>
                  <w:divsChild>
                    <w:div w:id="1109741596">
                      <w:marLeft w:val="0"/>
                      <w:marRight w:val="0"/>
                      <w:marTop w:val="0"/>
                      <w:marBottom w:val="0"/>
                      <w:divBdr>
                        <w:top w:val="none" w:sz="0" w:space="0" w:color="auto"/>
                        <w:left w:val="none" w:sz="0" w:space="0" w:color="auto"/>
                        <w:bottom w:val="none" w:sz="0" w:space="0" w:color="auto"/>
                        <w:right w:val="none" w:sz="0" w:space="0" w:color="auto"/>
                      </w:divBdr>
                    </w:div>
                  </w:divsChild>
                </w:div>
                <w:div w:id="2051610937">
                  <w:marLeft w:val="0"/>
                  <w:marRight w:val="0"/>
                  <w:marTop w:val="0"/>
                  <w:marBottom w:val="0"/>
                  <w:divBdr>
                    <w:top w:val="none" w:sz="0" w:space="0" w:color="auto"/>
                    <w:left w:val="none" w:sz="0" w:space="0" w:color="auto"/>
                    <w:bottom w:val="none" w:sz="0" w:space="0" w:color="auto"/>
                    <w:right w:val="none" w:sz="0" w:space="0" w:color="auto"/>
                  </w:divBdr>
                  <w:divsChild>
                    <w:div w:id="6378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5999">
          <w:marLeft w:val="0"/>
          <w:marRight w:val="0"/>
          <w:marTop w:val="0"/>
          <w:marBottom w:val="0"/>
          <w:divBdr>
            <w:top w:val="none" w:sz="0" w:space="0" w:color="auto"/>
            <w:left w:val="none" w:sz="0" w:space="0" w:color="auto"/>
            <w:bottom w:val="none" w:sz="0" w:space="0" w:color="auto"/>
            <w:right w:val="none" w:sz="0" w:space="0" w:color="auto"/>
          </w:divBdr>
        </w:div>
        <w:div w:id="1341156226">
          <w:marLeft w:val="0"/>
          <w:marRight w:val="0"/>
          <w:marTop w:val="0"/>
          <w:marBottom w:val="0"/>
          <w:divBdr>
            <w:top w:val="none" w:sz="0" w:space="0" w:color="auto"/>
            <w:left w:val="none" w:sz="0" w:space="0" w:color="auto"/>
            <w:bottom w:val="none" w:sz="0" w:space="0" w:color="auto"/>
            <w:right w:val="none" w:sz="0" w:space="0" w:color="auto"/>
          </w:divBdr>
        </w:div>
      </w:divsChild>
    </w:div>
    <w:div w:id="211502881">
      <w:bodyDiv w:val="1"/>
      <w:marLeft w:val="0"/>
      <w:marRight w:val="0"/>
      <w:marTop w:val="0"/>
      <w:marBottom w:val="0"/>
      <w:divBdr>
        <w:top w:val="none" w:sz="0" w:space="0" w:color="auto"/>
        <w:left w:val="none" w:sz="0" w:space="0" w:color="auto"/>
        <w:bottom w:val="none" w:sz="0" w:space="0" w:color="auto"/>
        <w:right w:val="none" w:sz="0" w:space="0" w:color="auto"/>
      </w:divBdr>
    </w:div>
    <w:div w:id="464661765">
      <w:bodyDiv w:val="1"/>
      <w:marLeft w:val="0"/>
      <w:marRight w:val="0"/>
      <w:marTop w:val="0"/>
      <w:marBottom w:val="0"/>
      <w:divBdr>
        <w:top w:val="none" w:sz="0" w:space="0" w:color="auto"/>
        <w:left w:val="none" w:sz="0" w:space="0" w:color="auto"/>
        <w:bottom w:val="none" w:sz="0" w:space="0" w:color="auto"/>
        <w:right w:val="none" w:sz="0" w:space="0" w:color="auto"/>
      </w:divBdr>
    </w:div>
    <w:div w:id="520166956">
      <w:bodyDiv w:val="1"/>
      <w:marLeft w:val="0"/>
      <w:marRight w:val="0"/>
      <w:marTop w:val="0"/>
      <w:marBottom w:val="0"/>
      <w:divBdr>
        <w:top w:val="none" w:sz="0" w:space="0" w:color="auto"/>
        <w:left w:val="none" w:sz="0" w:space="0" w:color="auto"/>
        <w:bottom w:val="none" w:sz="0" w:space="0" w:color="auto"/>
        <w:right w:val="none" w:sz="0" w:space="0" w:color="auto"/>
      </w:divBdr>
    </w:div>
    <w:div w:id="815029022">
      <w:bodyDiv w:val="1"/>
      <w:marLeft w:val="0"/>
      <w:marRight w:val="0"/>
      <w:marTop w:val="0"/>
      <w:marBottom w:val="0"/>
      <w:divBdr>
        <w:top w:val="none" w:sz="0" w:space="0" w:color="auto"/>
        <w:left w:val="none" w:sz="0" w:space="0" w:color="auto"/>
        <w:bottom w:val="none" w:sz="0" w:space="0" w:color="auto"/>
        <w:right w:val="none" w:sz="0" w:space="0" w:color="auto"/>
      </w:divBdr>
      <w:divsChild>
        <w:div w:id="688533579">
          <w:marLeft w:val="0"/>
          <w:marRight w:val="0"/>
          <w:marTop w:val="0"/>
          <w:marBottom w:val="0"/>
          <w:divBdr>
            <w:top w:val="none" w:sz="0" w:space="0" w:color="auto"/>
            <w:left w:val="none" w:sz="0" w:space="0" w:color="auto"/>
            <w:bottom w:val="none" w:sz="0" w:space="0" w:color="auto"/>
            <w:right w:val="none" w:sz="0" w:space="0" w:color="auto"/>
          </w:divBdr>
        </w:div>
        <w:div w:id="1029795506">
          <w:marLeft w:val="0"/>
          <w:marRight w:val="0"/>
          <w:marTop w:val="0"/>
          <w:marBottom w:val="0"/>
          <w:divBdr>
            <w:top w:val="none" w:sz="0" w:space="0" w:color="auto"/>
            <w:left w:val="none" w:sz="0" w:space="0" w:color="auto"/>
            <w:bottom w:val="none" w:sz="0" w:space="0" w:color="auto"/>
            <w:right w:val="none" w:sz="0" w:space="0" w:color="auto"/>
          </w:divBdr>
        </w:div>
        <w:div w:id="1086804016">
          <w:marLeft w:val="0"/>
          <w:marRight w:val="0"/>
          <w:marTop w:val="0"/>
          <w:marBottom w:val="0"/>
          <w:divBdr>
            <w:top w:val="none" w:sz="0" w:space="0" w:color="auto"/>
            <w:left w:val="none" w:sz="0" w:space="0" w:color="auto"/>
            <w:bottom w:val="none" w:sz="0" w:space="0" w:color="auto"/>
            <w:right w:val="none" w:sz="0" w:space="0" w:color="auto"/>
          </w:divBdr>
          <w:divsChild>
            <w:div w:id="1503937239">
              <w:marLeft w:val="-75"/>
              <w:marRight w:val="0"/>
              <w:marTop w:val="30"/>
              <w:marBottom w:val="30"/>
              <w:divBdr>
                <w:top w:val="none" w:sz="0" w:space="0" w:color="auto"/>
                <w:left w:val="none" w:sz="0" w:space="0" w:color="auto"/>
                <w:bottom w:val="none" w:sz="0" w:space="0" w:color="auto"/>
                <w:right w:val="none" w:sz="0" w:space="0" w:color="auto"/>
              </w:divBdr>
              <w:divsChild>
                <w:div w:id="51580256">
                  <w:marLeft w:val="0"/>
                  <w:marRight w:val="0"/>
                  <w:marTop w:val="0"/>
                  <w:marBottom w:val="0"/>
                  <w:divBdr>
                    <w:top w:val="none" w:sz="0" w:space="0" w:color="auto"/>
                    <w:left w:val="none" w:sz="0" w:space="0" w:color="auto"/>
                    <w:bottom w:val="none" w:sz="0" w:space="0" w:color="auto"/>
                    <w:right w:val="none" w:sz="0" w:space="0" w:color="auto"/>
                  </w:divBdr>
                  <w:divsChild>
                    <w:div w:id="1700231784">
                      <w:marLeft w:val="0"/>
                      <w:marRight w:val="0"/>
                      <w:marTop w:val="0"/>
                      <w:marBottom w:val="0"/>
                      <w:divBdr>
                        <w:top w:val="none" w:sz="0" w:space="0" w:color="auto"/>
                        <w:left w:val="none" w:sz="0" w:space="0" w:color="auto"/>
                        <w:bottom w:val="none" w:sz="0" w:space="0" w:color="auto"/>
                        <w:right w:val="none" w:sz="0" w:space="0" w:color="auto"/>
                      </w:divBdr>
                    </w:div>
                  </w:divsChild>
                </w:div>
                <w:div w:id="152338019">
                  <w:marLeft w:val="0"/>
                  <w:marRight w:val="0"/>
                  <w:marTop w:val="0"/>
                  <w:marBottom w:val="0"/>
                  <w:divBdr>
                    <w:top w:val="none" w:sz="0" w:space="0" w:color="auto"/>
                    <w:left w:val="none" w:sz="0" w:space="0" w:color="auto"/>
                    <w:bottom w:val="none" w:sz="0" w:space="0" w:color="auto"/>
                    <w:right w:val="none" w:sz="0" w:space="0" w:color="auto"/>
                  </w:divBdr>
                  <w:divsChild>
                    <w:div w:id="37363080">
                      <w:marLeft w:val="0"/>
                      <w:marRight w:val="0"/>
                      <w:marTop w:val="0"/>
                      <w:marBottom w:val="0"/>
                      <w:divBdr>
                        <w:top w:val="none" w:sz="0" w:space="0" w:color="auto"/>
                        <w:left w:val="none" w:sz="0" w:space="0" w:color="auto"/>
                        <w:bottom w:val="none" w:sz="0" w:space="0" w:color="auto"/>
                        <w:right w:val="none" w:sz="0" w:space="0" w:color="auto"/>
                      </w:divBdr>
                    </w:div>
                  </w:divsChild>
                </w:div>
                <w:div w:id="204609947">
                  <w:marLeft w:val="0"/>
                  <w:marRight w:val="0"/>
                  <w:marTop w:val="0"/>
                  <w:marBottom w:val="0"/>
                  <w:divBdr>
                    <w:top w:val="none" w:sz="0" w:space="0" w:color="auto"/>
                    <w:left w:val="none" w:sz="0" w:space="0" w:color="auto"/>
                    <w:bottom w:val="none" w:sz="0" w:space="0" w:color="auto"/>
                    <w:right w:val="none" w:sz="0" w:space="0" w:color="auto"/>
                  </w:divBdr>
                  <w:divsChild>
                    <w:div w:id="1271740307">
                      <w:marLeft w:val="0"/>
                      <w:marRight w:val="0"/>
                      <w:marTop w:val="0"/>
                      <w:marBottom w:val="0"/>
                      <w:divBdr>
                        <w:top w:val="none" w:sz="0" w:space="0" w:color="auto"/>
                        <w:left w:val="none" w:sz="0" w:space="0" w:color="auto"/>
                        <w:bottom w:val="none" w:sz="0" w:space="0" w:color="auto"/>
                        <w:right w:val="none" w:sz="0" w:space="0" w:color="auto"/>
                      </w:divBdr>
                    </w:div>
                  </w:divsChild>
                </w:div>
                <w:div w:id="324358046">
                  <w:marLeft w:val="0"/>
                  <w:marRight w:val="0"/>
                  <w:marTop w:val="0"/>
                  <w:marBottom w:val="0"/>
                  <w:divBdr>
                    <w:top w:val="none" w:sz="0" w:space="0" w:color="auto"/>
                    <w:left w:val="none" w:sz="0" w:space="0" w:color="auto"/>
                    <w:bottom w:val="none" w:sz="0" w:space="0" w:color="auto"/>
                    <w:right w:val="none" w:sz="0" w:space="0" w:color="auto"/>
                  </w:divBdr>
                  <w:divsChild>
                    <w:div w:id="1402142900">
                      <w:marLeft w:val="0"/>
                      <w:marRight w:val="0"/>
                      <w:marTop w:val="0"/>
                      <w:marBottom w:val="0"/>
                      <w:divBdr>
                        <w:top w:val="none" w:sz="0" w:space="0" w:color="auto"/>
                        <w:left w:val="none" w:sz="0" w:space="0" w:color="auto"/>
                        <w:bottom w:val="none" w:sz="0" w:space="0" w:color="auto"/>
                        <w:right w:val="none" w:sz="0" w:space="0" w:color="auto"/>
                      </w:divBdr>
                    </w:div>
                  </w:divsChild>
                </w:div>
                <w:div w:id="529996779">
                  <w:marLeft w:val="0"/>
                  <w:marRight w:val="0"/>
                  <w:marTop w:val="0"/>
                  <w:marBottom w:val="0"/>
                  <w:divBdr>
                    <w:top w:val="none" w:sz="0" w:space="0" w:color="auto"/>
                    <w:left w:val="none" w:sz="0" w:space="0" w:color="auto"/>
                    <w:bottom w:val="none" w:sz="0" w:space="0" w:color="auto"/>
                    <w:right w:val="none" w:sz="0" w:space="0" w:color="auto"/>
                  </w:divBdr>
                  <w:divsChild>
                    <w:div w:id="1903328202">
                      <w:marLeft w:val="0"/>
                      <w:marRight w:val="0"/>
                      <w:marTop w:val="0"/>
                      <w:marBottom w:val="0"/>
                      <w:divBdr>
                        <w:top w:val="none" w:sz="0" w:space="0" w:color="auto"/>
                        <w:left w:val="none" w:sz="0" w:space="0" w:color="auto"/>
                        <w:bottom w:val="none" w:sz="0" w:space="0" w:color="auto"/>
                        <w:right w:val="none" w:sz="0" w:space="0" w:color="auto"/>
                      </w:divBdr>
                    </w:div>
                  </w:divsChild>
                </w:div>
                <w:div w:id="637884749">
                  <w:marLeft w:val="0"/>
                  <w:marRight w:val="0"/>
                  <w:marTop w:val="0"/>
                  <w:marBottom w:val="0"/>
                  <w:divBdr>
                    <w:top w:val="none" w:sz="0" w:space="0" w:color="auto"/>
                    <w:left w:val="none" w:sz="0" w:space="0" w:color="auto"/>
                    <w:bottom w:val="none" w:sz="0" w:space="0" w:color="auto"/>
                    <w:right w:val="none" w:sz="0" w:space="0" w:color="auto"/>
                  </w:divBdr>
                  <w:divsChild>
                    <w:div w:id="676543526">
                      <w:marLeft w:val="0"/>
                      <w:marRight w:val="0"/>
                      <w:marTop w:val="0"/>
                      <w:marBottom w:val="0"/>
                      <w:divBdr>
                        <w:top w:val="none" w:sz="0" w:space="0" w:color="auto"/>
                        <w:left w:val="none" w:sz="0" w:space="0" w:color="auto"/>
                        <w:bottom w:val="none" w:sz="0" w:space="0" w:color="auto"/>
                        <w:right w:val="none" w:sz="0" w:space="0" w:color="auto"/>
                      </w:divBdr>
                    </w:div>
                  </w:divsChild>
                </w:div>
                <w:div w:id="710688896">
                  <w:marLeft w:val="0"/>
                  <w:marRight w:val="0"/>
                  <w:marTop w:val="0"/>
                  <w:marBottom w:val="0"/>
                  <w:divBdr>
                    <w:top w:val="none" w:sz="0" w:space="0" w:color="auto"/>
                    <w:left w:val="none" w:sz="0" w:space="0" w:color="auto"/>
                    <w:bottom w:val="none" w:sz="0" w:space="0" w:color="auto"/>
                    <w:right w:val="none" w:sz="0" w:space="0" w:color="auto"/>
                  </w:divBdr>
                  <w:divsChild>
                    <w:div w:id="956832954">
                      <w:marLeft w:val="0"/>
                      <w:marRight w:val="0"/>
                      <w:marTop w:val="0"/>
                      <w:marBottom w:val="0"/>
                      <w:divBdr>
                        <w:top w:val="none" w:sz="0" w:space="0" w:color="auto"/>
                        <w:left w:val="none" w:sz="0" w:space="0" w:color="auto"/>
                        <w:bottom w:val="none" w:sz="0" w:space="0" w:color="auto"/>
                        <w:right w:val="none" w:sz="0" w:space="0" w:color="auto"/>
                      </w:divBdr>
                    </w:div>
                  </w:divsChild>
                </w:div>
                <w:div w:id="756901018">
                  <w:marLeft w:val="0"/>
                  <w:marRight w:val="0"/>
                  <w:marTop w:val="0"/>
                  <w:marBottom w:val="0"/>
                  <w:divBdr>
                    <w:top w:val="none" w:sz="0" w:space="0" w:color="auto"/>
                    <w:left w:val="none" w:sz="0" w:space="0" w:color="auto"/>
                    <w:bottom w:val="none" w:sz="0" w:space="0" w:color="auto"/>
                    <w:right w:val="none" w:sz="0" w:space="0" w:color="auto"/>
                  </w:divBdr>
                  <w:divsChild>
                    <w:div w:id="310257251">
                      <w:marLeft w:val="0"/>
                      <w:marRight w:val="0"/>
                      <w:marTop w:val="0"/>
                      <w:marBottom w:val="0"/>
                      <w:divBdr>
                        <w:top w:val="none" w:sz="0" w:space="0" w:color="auto"/>
                        <w:left w:val="none" w:sz="0" w:space="0" w:color="auto"/>
                        <w:bottom w:val="none" w:sz="0" w:space="0" w:color="auto"/>
                        <w:right w:val="none" w:sz="0" w:space="0" w:color="auto"/>
                      </w:divBdr>
                    </w:div>
                  </w:divsChild>
                </w:div>
                <w:div w:id="774251797">
                  <w:marLeft w:val="0"/>
                  <w:marRight w:val="0"/>
                  <w:marTop w:val="0"/>
                  <w:marBottom w:val="0"/>
                  <w:divBdr>
                    <w:top w:val="none" w:sz="0" w:space="0" w:color="auto"/>
                    <w:left w:val="none" w:sz="0" w:space="0" w:color="auto"/>
                    <w:bottom w:val="none" w:sz="0" w:space="0" w:color="auto"/>
                    <w:right w:val="none" w:sz="0" w:space="0" w:color="auto"/>
                  </w:divBdr>
                  <w:divsChild>
                    <w:div w:id="1502312261">
                      <w:marLeft w:val="0"/>
                      <w:marRight w:val="0"/>
                      <w:marTop w:val="0"/>
                      <w:marBottom w:val="0"/>
                      <w:divBdr>
                        <w:top w:val="none" w:sz="0" w:space="0" w:color="auto"/>
                        <w:left w:val="none" w:sz="0" w:space="0" w:color="auto"/>
                        <w:bottom w:val="none" w:sz="0" w:space="0" w:color="auto"/>
                        <w:right w:val="none" w:sz="0" w:space="0" w:color="auto"/>
                      </w:divBdr>
                    </w:div>
                  </w:divsChild>
                </w:div>
                <w:div w:id="774449381">
                  <w:marLeft w:val="0"/>
                  <w:marRight w:val="0"/>
                  <w:marTop w:val="0"/>
                  <w:marBottom w:val="0"/>
                  <w:divBdr>
                    <w:top w:val="none" w:sz="0" w:space="0" w:color="auto"/>
                    <w:left w:val="none" w:sz="0" w:space="0" w:color="auto"/>
                    <w:bottom w:val="none" w:sz="0" w:space="0" w:color="auto"/>
                    <w:right w:val="none" w:sz="0" w:space="0" w:color="auto"/>
                  </w:divBdr>
                  <w:divsChild>
                    <w:div w:id="2019458245">
                      <w:marLeft w:val="0"/>
                      <w:marRight w:val="0"/>
                      <w:marTop w:val="0"/>
                      <w:marBottom w:val="0"/>
                      <w:divBdr>
                        <w:top w:val="none" w:sz="0" w:space="0" w:color="auto"/>
                        <w:left w:val="none" w:sz="0" w:space="0" w:color="auto"/>
                        <w:bottom w:val="none" w:sz="0" w:space="0" w:color="auto"/>
                        <w:right w:val="none" w:sz="0" w:space="0" w:color="auto"/>
                      </w:divBdr>
                    </w:div>
                  </w:divsChild>
                </w:div>
                <w:div w:id="898327312">
                  <w:marLeft w:val="0"/>
                  <w:marRight w:val="0"/>
                  <w:marTop w:val="0"/>
                  <w:marBottom w:val="0"/>
                  <w:divBdr>
                    <w:top w:val="none" w:sz="0" w:space="0" w:color="auto"/>
                    <w:left w:val="none" w:sz="0" w:space="0" w:color="auto"/>
                    <w:bottom w:val="none" w:sz="0" w:space="0" w:color="auto"/>
                    <w:right w:val="none" w:sz="0" w:space="0" w:color="auto"/>
                  </w:divBdr>
                  <w:divsChild>
                    <w:div w:id="2098362658">
                      <w:marLeft w:val="0"/>
                      <w:marRight w:val="0"/>
                      <w:marTop w:val="0"/>
                      <w:marBottom w:val="0"/>
                      <w:divBdr>
                        <w:top w:val="none" w:sz="0" w:space="0" w:color="auto"/>
                        <w:left w:val="none" w:sz="0" w:space="0" w:color="auto"/>
                        <w:bottom w:val="none" w:sz="0" w:space="0" w:color="auto"/>
                        <w:right w:val="none" w:sz="0" w:space="0" w:color="auto"/>
                      </w:divBdr>
                    </w:div>
                  </w:divsChild>
                </w:div>
                <w:div w:id="954675128">
                  <w:marLeft w:val="0"/>
                  <w:marRight w:val="0"/>
                  <w:marTop w:val="0"/>
                  <w:marBottom w:val="0"/>
                  <w:divBdr>
                    <w:top w:val="none" w:sz="0" w:space="0" w:color="auto"/>
                    <w:left w:val="none" w:sz="0" w:space="0" w:color="auto"/>
                    <w:bottom w:val="none" w:sz="0" w:space="0" w:color="auto"/>
                    <w:right w:val="none" w:sz="0" w:space="0" w:color="auto"/>
                  </w:divBdr>
                  <w:divsChild>
                    <w:div w:id="1040209177">
                      <w:marLeft w:val="0"/>
                      <w:marRight w:val="0"/>
                      <w:marTop w:val="0"/>
                      <w:marBottom w:val="0"/>
                      <w:divBdr>
                        <w:top w:val="none" w:sz="0" w:space="0" w:color="auto"/>
                        <w:left w:val="none" w:sz="0" w:space="0" w:color="auto"/>
                        <w:bottom w:val="none" w:sz="0" w:space="0" w:color="auto"/>
                        <w:right w:val="none" w:sz="0" w:space="0" w:color="auto"/>
                      </w:divBdr>
                    </w:div>
                  </w:divsChild>
                </w:div>
                <w:div w:id="975451764">
                  <w:marLeft w:val="0"/>
                  <w:marRight w:val="0"/>
                  <w:marTop w:val="0"/>
                  <w:marBottom w:val="0"/>
                  <w:divBdr>
                    <w:top w:val="none" w:sz="0" w:space="0" w:color="auto"/>
                    <w:left w:val="none" w:sz="0" w:space="0" w:color="auto"/>
                    <w:bottom w:val="none" w:sz="0" w:space="0" w:color="auto"/>
                    <w:right w:val="none" w:sz="0" w:space="0" w:color="auto"/>
                  </w:divBdr>
                  <w:divsChild>
                    <w:div w:id="2025276402">
                      <w:marLeft w:val="0"/>
                      <w:marRight w:val="0"/>
                      <w:marTop w:val="0"/>
                      <w:marBottom w:val="0"/>
                      <w:divBdr>
                        <w:top w:val="none" w:sz="0" w:space="0" w:color="auto"/>
                        <w:left w:val="none" w:sz="0" w:space="0" w:color="auto"/>
                        <w:bottom w:val="none" w:sz="0" w:space="0" w:color="auto"/>
                        <w:right w:val="none" w:sz="0" w:space="0" w:color="auto"/>
                      </w:divBdr>
                    </w:div>
                  </w:divsChild>
                </w:div>
                <w:div w:id="985939391">
                  <w:marLeft w:val="0"/>
                  <w:marRight w:val="0"/>
                  <w:marTop w:val="0"/>
                  <w:marBottom w:val="0"/>
                  <w:divBdr>
                    <w:top w:val="none" w:sz="0" w:space="0" w:color="auto"/>
                    <w:left w:val="none" w:sz="0" w:space="0" w:color="auto"/>
                    <w:bottom w:val="none" w:sz="0" w:space="0" w:color="auto"/>
                    <w:right w:val="none" w:sz="0" w:space="0" w:color="auto"/>
                  </w:divBdr>
                  <w:divsChild>
                    <w:div w:id="1895655293">
                      <w:marLeft w:val="0"/>
                      <w:marRight w:val="0"/>
                      <w:marTop w:val="0"/>
                      <w:marBottom w:val="0"/>
                      <w:divBdr>
                        <w:top w:val="none" w:sz="0" w:space="0" w:color="auto"/>
                        <w:left w:val="none" w:sz="0" w:space="0" w:color="auto"/>
                        <w:bottom w:val="none" w:sz="0" w:space="0" w:color="auto"/>
                        <w:right w:val="none" w:sz="0" w:space="0" w:color="auto"/>
                      </w:divBdr>
                    </w:div>
                  </w:divsChild>
                </w:div>
                <w:div w:id="1136525397">
                  <w:marLeft w:val="0"/>
                  <w:marRight w:val="0"/>
                  <w:marTop w:val="0"/>
                  <w:marBottom w:val="0"/>
                  <w:divBdr>
                    <w:top w:val="none" w:sz="0" w:space="0" w:color="auto"/>
                    <w:left w:val="none" w:sz="0" w:space="0" w:color="auto"/>
                    <w:bottom w:val="none" w:sz="0" w:space="0" w:color="auto"/>
                    <w:right w:val="none" w:sz="0" w:space="0" w:color="auto"/>
                  </w:divBdr>
                  <w:divsChild>
                    <w:div w:id="1905992044">
                      <w:marLeft w:val="0"/>
                      <w:marRight w:val="0"/>
                      <w:marTop w:val="0"/>
                      <w:marBottom w:val="0"/>
                      <w:divBdr>
                        <w:top w:val="none" w:sz="0" w:space="0" w:color="auto"/>
                        <w:left w:val="none" w:sz="0" w:space="0" w:color="auto"/>
                        <w:bottom w:val="none" w:sz="0" w:space="0" w:color="auto"/>
                        <w:right w:val="none" w:sz="0" w:space="0" w:color="auto"/>
                      </w:divBdr>
                    </w:div>
                  </w:divsChild>
                </w:div>
                <w:div w:id="1143691577">
                  <w:marLeft w:val="0"/>
                  <w:marRight w:val="0"/>
                  <w:marTop w:val="0"/>
                  <w:marBottom w:val="0"/>
                  <w:divBdr>
                    <w:top w:val="none" w:sz="0" w:space="0" w:color="auto"/>
                    <w:left w:val="none" w:sz="0" w:space="0" w:color="auto"/>
                    <w:bottom w:val="none" w:sz="0" w:space="0" w:color="auto"/>
                    <w:right w:val="none" w:sz="0" w:space="0" w:color="auto"/>
                  </w:divBdr>
                  <w:divsChild>
                    <w:div w:id="862017734">
                      <w:marLeft w:val="0"/>
                      <w:marRight w:val="0"/>
                      <w:marTop w:val="0"/>
                      <w:marBottom w:val="0"/>
                      <w:divBdr>
                        <w:top w:val="none" w:sz="0" w:space="0" w:color="auto"/>
                        <w:left w:val="none" w:sz="0" w:space="0" w:color="auto"/>
                        <w:bottom w:val="none" w:sz="0" w:space="0" w:color="auto"/>
                        <w:right w:val="none" w:sz="0" w:space="0" w:color="auto"/>
                      </w:divBdr>
                    </w:div>
                  </w:divsChild>
                </w:div>
                <w:div w:id="1193417647">
                  <w:marLeft w:val="0"/>
                  <w:marRight w:val="0"/>
                  <w:marTop w:val="0"/>
                  <w:marBottom w:val="0"/>
                  <w:divBdr>
                    <w:top w:val="none" w:sz="0" w:space="0" w:color="auto"/>
                    <w:left w:val="none" w:sz="0" w:space="0" w:color="auto"/>
                    <w:bottom w:val="none" w:sz="0" w:space="0" w:color="auto"/>
                    <w:right w:val="none" w:sz="0" w:space="0" w:color="auto"/>
                  </w:divBdr>
                  <w:divsChild>
                    <w:div w:id="244539280">
                      <w:marLeft w:val="0"/>
                      <w:marRight w:val="0"/>
                      <w:marTop w:val="0"/>
                      <w:marBottom w:val="0"/>
                      <w:divBdr>
                        <w:top w:val="none" w:sz="0" w:space="0" w:color="auto"/>
                        <w:left w:val="none" w:sz="0" w:space="0" w:color="auto"/>
                        <w:bottom w:val="none" w:sz="0" w:space="0" w:color="auto"/>
                        <w:right w:val="none" w:sz="0" w:space="0" w:color="auto"/>
                      </w:divBdr>
                    </w:div>
                  </w:divsChild>
                </w:div>
                <w:div w:id="1243300354">
                  <w:marLeft w:val="0"/>
                  <w:marRight w:val="0"/>
                  <w:marTop w:val="0"/>
                  <w:marBottom w:val="0"/>
                  <w:divBdr>
                    <w:top w:val="none" w:sz="0" w:space="0" w:color="auto"/>
                    <w:left w:val="none" w:sz="0" w:space="0" w:color="auto"/>
                    <w:bottom w:val="none" w:sz="0" w:space="0" w:color="auto"/>
                    <w:right w:val="none" w:sz="0" w:space="0" w:color="auto"/>
                  </w:divBdr>
                  <w:divsChild>
                    <w:div w:id="544828826">
                      <w:marLeft w:val="0"/>
                      <w:marRight w:val="0"/>
                      <w:marTop w:val="0"/>
                      <w:marBottom w:val="0"/>
                      <w:divBdr>
                        <w:top w:val="none" w:sz="0" w:space="0" w:color="auto"/>
                        <w:left w:val="none" w:sz="0" w:space="0" w:color="auto"/>
                        <w:bottom w:val="none" w:sz="0" w:space="0" w:color="auto"/>
                        <w:right w:val="none" w:sz="0" w:space="0" w:color="auto"/>
                      </w:divBdr>
                    </w:div>
                  </w:divsChild>
                </w:div>
                <w:div w:id="1281186125">
                  <w:marLeft w:val="0"/>
                  <w:marRight w:val="0"/>
                  <w:marTop w:val="0"/>
                  <w:marBottom w:val="0"/>
                  <w:divBdr>
                    <w:top w:val="none" w:sz="0" w:space="0" w:color="auto"/>
                    <w:left w:val="none" w:sz="0" w:space="0" w:color="auto"/>
                    <w:bottom w:val="none" w:sz="0" w:space="0" w:color="auto"/>
                    <w:right w:val="none" w:sz="0" w:space="0" w:color="auto"/>
                  </w:divBdr>
                  <w:divsChild>
                    <w:div w:id="775903440">
                      <w:marLeft w:val="0"/>
                      <w:marRight w:val="0"/>
                      <w:marTop w:val="0"/>
                      <w:marBottom w:val="0"/>
                      <w:divBdr>
                        <w:top w:val="none" w:sz="0" w:space="0" w:color="auto"/>
                        <w:left w:val="none" w:sz="0" w:space="0" w:color="auto"/>
                        <w:bottom w:val="none" w:sz="0" w:space="0" w:color="auto"/>
                        <w:right w:val="none" w:sz="0" w:space="0" w:color="auto"/>
                      </w:divBdr>
                    </w:div>
                  </w:divsChild>
                </w:div>
                <w:div w:id="1302344467">
                  <w:marLeft w:val="0"/>
                  <w:marRight w:val="0"/>
                  <w:marTop w:val="0"/>
                  <w:marBottom w:val="0"/>
                  <w:divBdr>
                    <w:top w:val="none" w:sz="0" w:space="0" w:color="auto"/>
                    <w:left w:val="none" w:sz="0" w:space="0" w:color="auto"/>
                    <w:bottom w:val="none" w:sz="0" w:space="0" w:color="auto"/>
                    <w:right w:val="none" w:sz="0" w:space="0" w:color="auto"/>
                  </w:divBdr>
                  <w:divsChild>
                    <w:div w:id="433986841">
                      <w:marLeft w:val="0"/>
                      <w:marRight w:val="0"/>
                      <w:marTop w:val="0"/>
                      <w:marBottom w:val="0"/>
                      <w:divBdr>
                        <w:top w:val="none" w:sz="0" w:space="0" w:color="auto"/>
                        <w:left w:val="none" w:sz="0" w:space="0" w:color="auto"/>
                        <w:bottom w:val="none" w:sz="0" w:space="0" w:color="auto"/>
                        <w:right w:val="none" w:sz="0" w:space="0" w:color="auto"/>
                      </w:divBdr>
                    </w:div>
                  </w:divsChild>
                </w:div>
                <w:div w:id="1498033273">
                  <w:marLeft w:val="0"/>
                  <w:marRight w:val="0"/>
                  <w:marTop w:val="0"/>
                  <w:marBottom w:val="0"/>
                  <w:divBdr>
                    <w:top w:val="none" w:sz="0" w:space="0" w:color="auto"/>
                    <w:left w:val="none" w:sz="0" w:space="0" w:color="auto"/>
                    <w:bottom w:val="none" w:sz="0" w:space="0" w:color="auto"/>
                    <w:right w:val="none" w:sz="0" w:space="0" w:color="auto"/>
                  </w:divBdr>
                  <w:divsChild>
                    <w:div w:id="1400637896">
                      <w:marLeft w:val="0"/>
                      <w:marRight w:val="0"/>
                      <w:marTop w:val="0"/>
                      <w:marBottom w:val="0"/>
                      <w:divBdr>
                        <w:top w:val="none" w:sz="0" w:space="0" w:color="auto"/>
                        <w:left w:val="none" w:sz="0" w:space="0" w:color="auto"/>
                        <w:bottom w:val="none" w:sz="0" w:space="0" w:color="auto"/>
                        <w:right w:val="none" w:sz="0" w:space="0" w:color="auto"/>
                      </w:divBdr>
                    </w:div>
                  </w:divsChild>
                </w:div>
                <w:div w:id="1501309324">
                  <w:marLeft w:val="0"/>
                  <w:marRight w:val="0"/>
                  <w:marTop w:val="0"/>
                  <w:marBottom w:val="0"/>
                  <w:divBdr>
                    <w:top w:val="none" w:sz="0" w:space="0" w:color="auto"/>
                    <w:left w:val="none" w:sz="0" w:space="0" w:color="auto"/>
                    <w:bottom w:val="none" w:sz="0" w:space="0" w:color="auto"/>
                    <w:right w:val="none" w:sz="0" w:space="0" w:color="auto"/>
                  </w:divBdr>
                  <w:divsChild>
                    <w:div w:id="464591329">
                      <w:marLeft w:val="0"/>
                      <w:marRight w:val="0"/>
                      <w:marTop w:val="0"/>
                      <w:marBottom w:val="0"/>
                      <w:divBdr>
                        <w:top w:val="none" w:sz="0" w:space="0" w:color="auto"/>
                        <w:left w:val="none" w:sz="0" w:space="0" w:color="auto"/>
                        <w:bottom w:val="none" w:sz="0" w:space="0" w:color="auto"/>
                        <w:right w:val="none" w:sz="0" w:space="0" w:color="auto"/>
                      </w:divBdr>
                    </w:div>
                  </w:divsChild>
                </w:div>
                <w:div w:id="1510439398">
                  <w:marLeft w:val="0"/>
                  <w:marRight w:val="0"/>
                  <w:marTop w:val="0"/>
                  <w:marBottom w:val="0"/>
                  <w:divBdr>
                    <w:top w:val="none" w:sz="0" w:space="0" w:color="auto"/>
                    <w:left w:val="none" w:sz="0" w:space="0" w:color="auto"/>
                    <w:bottom w:val="none" w:sz="0" w:space="0" w:color="auto"/>
                    <w:right w:val="none" w:sz="0" w:space="0" w:color="auto"/>
                  </w:divBdr>
                  <w:divsChild>
                    <w:div w:id="224264301">
                      <w:marLeft w:val="0"/>
                      <w:marRight w:val="0"/>
                      <w:marTop w:val="0"/>
                      <w:marBottom w:val="0"/>
                      <w:divBdr>
                        <w:top w:val="none" w:sz="0" w:space="0" w:color="auto"/>
                        <w:left w:val="none" w:sz="0" w:space="0" w:color="auto"/>
                        <w:bottom w:val="none" w:sz="0" w:space="0" w:color="auto"/>
                        <w:right w:val="none" w:sz="0" w:space="0" w:color="auto"/>
                      </w:divBdr>
                    </w:div>
                  </w:divsChild>
                </w:div>
                <w:div w:id="1812676258">
                  <w:marLeft w:val="0"/>
                  <w:marRight w:val="0"/>
                  <w:marTop w:val="0"/>
                  <w:marBottom w:val="0"/>
                  <w:divBdr>
                    <w:top w:val="none" w:sz="0" w:space="0" w:color="auto"/>
                    <w:left w:val="none" w:sz="0" w:space="0" w:color="auto"/>
                    <w:bottom w:val="none" w:sz="0" w:space="0" w:color="auto"/>
                    <w:right w:val="none" w:sz="0" w:space="0" w:color="auto"/>
                  </w:divBdr>
                  <w:divsChild>
                    <w:div w:id="2083983941">
                      <w:marLeft w:val="0"/>
                      <w:marRight w:val="0"/>
                      <w:marTop w:val="0"/>
                      <w:marBottom w:val="0"/>
                      <w:divBdr>
                        <w:top w:val="none" w:sz="0" w:space="0" w:color="auto"/>
                        <w:left w:val="none" w:sz="0" w:space="0" w:color="auto"/>
                        <w:bottom w:val="none" w:sz="0" w:space="0" w:color="auto"/>
                        <w:right w:val="none" w:sz="0" w:space="0" w:color="auto"/>
                      </w:divBdr>
                    </w:div>
                  </w:divsChild>
                </w:div>
                <w:div w:id="1889294644">
                  <w:marLeft w:val="0"/>
                  <w:marRight w:val="0"/>
                  <w:marTop w:val="0"/>
                  <w:marBottom w:val="0"/>
                  <w:divBdr>
                    <w:top w:val="none" w:sz="0" w:space="0" w:color="auto"/>
                    <w:left w:val="none" w:sz="0" w:space="0" w:color="auto"/>
                    <w:bottom w:val="none" w:sz="0" w:space="0" w:color="auto"/>
                    <w:right w:val="none" w:sz="0" w:space="0" w:color="auto"/>
                  </w:divBdr>
                  <w:divsChild>
                    <w:div w:id="1984116673">
                      <w:marLeft w:val="0"/>
                      <w:marRight w:val="0"/>
                      <w:marTop w:val="0"/>
                      <w:marBottom w:val="0"/>
                      <w:divBdr>
                        <w:top w:val="none" w:sz="0" w:space="0" w:color="auto"/>
                        <w:left w:val="none" w:sz="0" w:space="0" w:color="auto"/>
                        <w:bottom w:val="none" w:sz="0" w:space="0" w:color="auto"/>
                        <w:right w:val="none" w:sz="0" w:space="0" w:color="auto"/>
                      </w:divBdr>
                    </w:div>
                  </w:divsChild>
                </w:div>
                <w:div w:id="2007391942">
                  <w:marLeft w:val="0"/>
                  <w:marRight w:val="0"/>
                  <w:marTop w:val="0"/>
                  <w:marBottom w:val="0"/>
                  <w:divBdr>
                    <w:top w:val="none" w:sz="0" w:space="0" w:color="auto"/>
                    <w:left w:val="none" w:sz="0" w:space="0" w:color="auto"/>
                    <w:bottom w:val="none" w:sz="0" w:space="0" w:color="auto"/>
                    <w:right w:val="none" w:sz="0" w:space="0" w:color="auto"/>
                  </w:divBdr>
                  <w:divsChild>
                    <w:div w:id="426853417">
                      <w:marLeft w:val="0"/>
                      <w:marRight w:val="0"/>
                      <w:marTop w:val="0"/>
                      <w:marBottom w:val="0"/>
                      <w:divBdr>
                        <w:top w:val="none" w:sz="0" w:space="0" w:color="auto"/>
                        <w:left w:val="none" w:sz="0" w:space="0" w:color="auto"/>
                        <w:bottom w:val="none" w:sz="0" w:space="0" w:color="auto"/>
                        <w:right w:val="none" w:sz="0" w:space="0" w:color="auto"/>
                      </w:divBdr>
                    </w:div>
                  </w:divsChild>
                </w:div>
                <w:div w:id="2060006048">
                  <w:marLeft w:val="0"/>
                  <w:marRight w:val="0"/>
                  <w:marTop w:val="0"/>
                  <w:marBottom w:val="0"/>
                  <w:divBdr>
                    <w:top w:val="none" w:sz="0" w:space="0" w:color="auto"/>
                    <w:left w:val="none" w:sz="0" w:space="0" w:color="auto"/>
                    <w:bottom w:val="none" w:sz="0" w:space="0" w:color="auto"/>
                    <w:right w:val="none" w:sz="0" w:space="0" w:color="auto"/>
                  </w:divBdr>
                  <w:divsChild>
                    <w:div w:id="2976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6222">
          <w:marLeft w:val="0"/>
          <w:marRight w:val="0"/>
          <w:marTop w:val="0"/>
          <w:marBottom w:val="0"/>
          <w:divBdr>
            <w:top w:val="none" w:sz="0" w:space="0" w:color="auto"/>
            <w:left w:val="none" w:sz="0" w:space="0" w:color="auto"/>
            <w:bottom w:val="none" w:sz="0" w:space="0" w:color="auto"/>
            <w:right w:val="none" w:sz="0" w:space="0" w:color="auto"/>
          </w:divBdr>
        </w:div>
        <w:div w:id="1535121408">
          <w:marLeft w:val="0"/>
          <w:marRight w:val="0"/>
          <w:marTop w:val="0"/>
          <w:marBottom w:val="0"/>
          <w:divBdr>
            <w:top w:val="none" w:sz="0" w:space="0" w:color="auto"/>
            <w:left w:val="none" w:sz="0" w:space="0" w:color="auto"/>
            <w:bottom w:val="none" w:sz="0" w:space="0" w:color="auto"/>
            <w:right w:val="none" w:sz="0" w:space="0" w:color="auto"/>
          </w:divBdr>
        </w:div>
        <w:div w:id="1733457953">
          <w:marLeft w:val="0"/>
          <w:marRight w:val="0"/>
          <w:marTop w:val="0"/>
          <w:marBottom w:val="0"/>
          <w:divBdr>
            <w:top w:val="none" w:sz="0" w:space="0" w:color="auto"/>
            <w:left w:val="none" w:sz="0" w:space="0" w:color="auto"/>
            <w:bottom w:val="none" w:sz="0" w:space="0" w:color="auto"/>
            <w:right w:val="none" w:sz="0" w:space="0" w:color="auto"/>
          </w:divBdr>
        </w:div>
        <w:div w:id="2014912147">
          <w:marLeft w:val="0"/>
          <w:marRight w:val="0"/>
          <w:marTop w:val="0"/>
          <w:marBottom w:val="0"/>
          <w:divBdr>
            <w:top w:val="none" w:sz="0" w:space="0" w:color="auto"/>
            <w:left w:val="none" w:sz="0" w:space="0" w:color="auto"/>
            <w:bottom w:val="none" w:sz="0" w:space="0" w:color="auto"/>
            <w:right w:val="none" w:sz="0" w:space="0" w:color="auto"/>
          </w:divBdr>
        </w:div>
      </w:divsChild>
    </w:div>
    <w:div w:id="932278119">
      <w:bodyDiv w:val="1"/>
      <w:marLeft w:val="0"/>
      <w:marRight w:val="0"/>
      <w:marTop w:val="0"/>
      <w:marBottom w:val="0"/>
      <w:divBdr>
        <w:top w:val="none" w:sz="0" w:space="0" w:color="auto"/>
        <w:left w:val="none" w:sz="0" w:space="0" w:color="auto"/>
        <w:bottom w:val="none" w:sz="0" w:space="0" w:color="auto"/>
        <w:right w:val="none" w:sz="0" w:space="0" w:color="auto"/>
      </w:divBdr>
    </w:div>
    <w:div w:id="1205750100">
      <w:bodyDiv w:val="1"/>
      <w:marLeft w:val="0"/>
      <w:marRight w:val="0"/>
      <w:marTop w:val="0"/>
      <w:marBottom w:val="0"/>
      <w:divBdr>
        <w:top w:val="none" w:sz="0" w:space="0" w:color="auto"/>
        <w:left w:val="none" w:sz="0" w:space="0" w:color="auto"/>
        <w:bottom w:val="none" w:sz="0" w:space="0" w:color="auto"/>
        <w:right w:val="none" w:sz="0" w:space="0" w:color="auto"/>
      </w:divBdr>
    </w:div>
    <w:div w:id="1223247435">
      <w:bodyDiv w:val="1"/>
      <w:marLeft w:val="0"/>
      <w:marRight w:val="0"/>
      <w:marTop w:val="0"/>
      <w:marBottom w:val="0"/>
      <w:divBdr>
        <w:top w:val="none" w:sz="0" w:space="0" w:color="auto"/>
        <w:left w:val="none" w:sz="0" w:space="0" w:color="auto"/>
        <w:bottom w:val="none" w:sz="0" w:space="0" w:color="auto"/>
        <w:right w:val="none" w:sz="0" w:space="0" w:color="auto"/>
      </w:divBdr>
    </w:div>
    <w:div w:id="1481384193">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79470975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15826838">
      <w:bodyDiv w:val="1"/>
      <w:marLeft w:val="0"/>
      <w:marRight w:val="0"/>
      <w:marTop w:val="0"/>
      <w:marBottom w:val="0"/>
      <w:divBdr>
        <w:top w:val="none" w:sz="0" w:space="0" w:color="auto"/>
        <w:left w:val="none" w:sz="0" w:space="0" w:color="auto"/>
        <w:bottom w:val="none" w:sz="0" w:space="0" w:color="auto"/>
        <w:right w:val="none" w:sz="0" w:space="0" w:color="auto"/>
      </w:divBdr>
    </w:div>
    <w:div w:id="2113014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health.vic.gov.au/practice-and-service-quality/mental-health-act-201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key-staff/publications-from-the-chief-psychiatris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p@dhhs.vic.gov.au" TargetMode="Externa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oleObject" Target="https://dhhsvicgovau.sharepoint.com/sites/OfficeoftheChiefPsychiatrist-DHHS-GRP/Shared%20Documents/Annual%20Reports/CP's%20Annual%20Report%202022-23/Reportable%20Deaths%20pivot%20table%20for%20Annual%20Reprt%202022-23%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Pivot!$B$66</c:f>
              <c:strCache>
                <c:ptCount val="1"/>
                <c:pt idx="0">
                  <c:v>Community deaths</c:v>
                </c:pt>
              </c:strCache>
            </c:strRef>
          </c:tx>
          <c:spPr>
            <a:solidFill>
              <a:schemeClr val="accent5">
                <a:lumMod val="60000"/>
                <a:lumOff val="40000"/>
              </a:schemeClr>
            </a:solidFill>
            <a:ln w="12700" cap="flat" cmpd="sng" algn="ctr">
              <a:solidFill>
                <a:schemeClr val="accent5">
                  <a:lumMod val="60000"/>
                  <a:lumOff val="40000"/>
                </a:schemeClr>
              </a:solidFill>
              <a:prstDash val="solid"/>
              <a:miter lim="800000"/>
            </a:ln>
            <a:effectLst/>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68-45B8-A056-EBE4E3FEC62A}"/>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68-45B8-A056-EBE4E3FEC62A}"/>
                </c:ext>
              </c:extLst>
            </c:dLbl>
            <c:dLbl>
              <c:idx val="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68-45B8-A056-EBE4E3FEC62A}"/>
                </c:ext>
              </c:extLst>
            </c:dLbl>
            <c:dLbl>
              <c:idx val="3"/>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68-45B8-A056-EBE4E3FEC62A}"/>
                </c:ext>
              </c:extLst>
            </c:dLbl>
            <c:dLbl>
              <c:idx val="4"/>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68-45B8-A056-EBE4E3FEC6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Pivot!$A$67:$A$71</c:f>
              <c:strCache>
                <c:ptCount val="5"/>
                <c:pt idx="0">
                  <c:v>2018–19</c:v>
                </c:pt>
                <c:pt idx="1">
                  <c:v>2019–20</c:v>
                </c:pt>
                <c:pt idx="2">
                  <c:v>2020–21</c:v>
                </c:pt>
                <c:pt idx="3">
                  <c:v>2021–22</c:v>
                </c:pt>
                <c:pt idx="4">
                  <c:v>2022–23</c:v>
                </c:pt>
              </c:strCache>
            </c:strRef>
          </c:cat>
          <c:val>
            <c:numRef>
              <c:f>Pivot!$B$67:$B$71</c:f>
              <c:numCache>
                <c:formatCode>0.00</c:formatCode>
                <c:ptCount val="5"/>
                <c:pt idx="0">
                  <c:v>6.5043569336369096</c:v>
                </c:pt>
                <c:pt idx="1">
                  <c:v>5.4237791853186472</c:v>
                </c:pt>
                <c:pt idx="2">
                  <c:v>4.4156711732744345</c:v>
                </c:pt>
                <c:pt idx="3">
                  <c:v>4.5625233757810104</c:v>
                </c:pt>
                <c:pt idx="4">
                  <c:v>5.0280312699999996</c:v>
                </c:pt>
              </c:numCache>
            </c:numRef>
          </c:val>
          <c:extLst>
            <c:ext xmlns:c16="http://schemas.microsoft.com/office/drawing/2014/chart" uri="{C3380CC4-5D6E-409C-BE32-E72D297353CC}">
              <c16:uniqueId val="{00000000-7E1D-4776-94C1-889C3EC13410}"/>
            </c:ext>
          </c:extLst>
        </c:ser>
        <c:ser>
          <c:idx val="1"/>
          <c:order val="1"/>
          <c:tx>
            <c:strRef>
              <c:f>Pivot!$C$66</c:f>
              <c:strCache>
                <c:ptCount val="1"/>
                <c:pt idx="0">
                  <c:v>Inpatient deaths</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Pivot!$A$67:$A$71</c:f>
              <c:strCache>
                <c:ptCount val="5"/>
                <c:pt idx="0">
                  <c:v>2018–19</c:v>
                </c:pt>
                <c:pt idx="1">
                  <c:v>2019–20</c:v>
                </c:pt>
                <c:pt idx="2">
                  <c:v>2020–21</c:v>
                </c:pt>
                <c:pt idx="3">
                  <c:v>2021–22</c:v>
                </c:pt>
                <c:pt idx="4">
                  <c:v>2022–23</c:v>
                </c:pt>
              </c:strCache>
            </c:strRef>
          </c:cat>
          <c:val>
            <c:numRef>
              <c:f>Pivot!$C$67:$C$71</c:f>
              <c:numCache>
                <c:formatCode>0.00</c:formatCode>
                <c:ptCount val="5"/>
                <c:pt idx="0">
                  <c:v>0.36388010817549149</c:v>
                </c:pt>
                <c:pt idx="1">
                  <c:v>0.62410609803666628</c:v>
                </c:pt>
                <c:pt idx="2">
                  <c:v>0.24774392721341712</c:v>
                </c:pt>
                <c:pt idx="3">
                  <c:v>0.24314387896011652</c:v>
                </c:pt>
                <c:pt idx="4">
                  <c:v>0.26685081999999999</c:v>
                </c:pt>
              </c:numCache>
            </c:numRef>
          </c:val>
          <c:extLst>
            <c:ext xmlns:c16="http://schemas.microsoft.com/office/drawing/2014/chart" uri="{C3380CC4-5D6E-409C-BE32-E72D297353CC}">
              <c16:uniqueId val="{00000001-7E1D-4776-94C1-889C3EC13410}"/>
            </c:ext>
          </c:extLst>
        </c:ser>
        <c:dLbls>
          <c:showLegendKey val="0"/>
          <c:showVal val="0"/>
          <c:showCatName val="0"/>
          <c:showSerName val="0"/>
          <c:showPercent val="0"/>
          <c:showBubbleSize val="0"/>
        </c:dLbls>
        <c:gapWidth val="100"/>
        <c:overlap val="-20"/>
        <c:axId val="831249704"/>
        <c:axId val="831255280"/>
      </c:barChart>
      <c:lineChart>
        <c:grouping val="standard"/>
        <c:varyColors val="0"/>
        <c:ser>
          <c:idx val="2"/>
          <c:order val="2"/>
          <c:tx>
            <c:strRef>
              <c:f>Pivot!$D$66</c:f>
              <c:strCache>
                <c:ptCount val="1"/>
                <c:pt idx="0">
                  <c:v>All deaths</c:v>
                </c:pt>
              </c:strCache>
            </c:strRef>
          </c:tx>
          <c:spPr>
            <a:ln w="12700" cap="flat" cmpd="sng" algn="ctr">
              <a:solidFill>
                <a:schemeClr val="accent6">
                  <a:lumMod val="60000"/>
                  <a:lumOff val="40000"/>
                </a:schemeClr>
              </a:solidFill>
              <a:prstDash val="solid"/>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Pivot!$A$67:$A$71</c:f>
              <c:strCache>
                <c:ptCount val="5"/>
                <c:pt idx="0">
                  <c:v>2018–19</c:v>
                </c:pt>
                <c:pt idx="1">
                  <c:v>2019–20</c:v>
                </c:pt>
                <c:pt idx="2">
                  <c:v>2020–21</c:v>
                </c:pt>
                <c:pt idx="3">
                  <c:v>2021–22</c:v>
                </c:pt>
                <c:pt idx="4">
                  <c:v>2022–23</c:v>
                </c:pt>
              </c:strCache>
            </c:strRef>
          </c:cat>
          <c:val>
            <c:numRef>
              <c:f>Pivot!$D$67:$D$71</c:f>
              <c:numCache>
                <c:formatCode>0.00</c:formatCode>
                <c:ptCount val="5"/>
                <c:pt idx="0">
                  <c:v>6.8682370418124004</c:v>
                </c:pt>
                <c:pt idx="1">
                  <c:v>6.0478852833553134</c:v>
                </c:pt>
                <c:pt idx="2">
                  <c:v>4.6634151004878515</c:v>
                </c:pt>
                <c:pt idx="3">
                  <c:v>4.8056672547411274</c:v>
                </c:pt>
                <c:pt idx="4">
                  <c:v>5.2948820999999997</c:v>
                </c:pt>
              </c:numCache>
            </c:numRef>
          </c:val>
          <c:smooth val="0"/>
          <c:extLst>
            <c:ext xmlns:c16="http://schemas.microsoft.com/office/drawing/2014/chart" uri="{C3380CC4-5D6E-409C-BE32-E72D297353CC}">
              <c16:uniqueId val="{00000002-7E1D-4776-94C1-889C3EC13410}"/>
            </c:ext>
          </c:extLst>
        </c:ser>
        <c:dLbls>
          <c:showLegendKey val="0"/>
          <c:showVal val="0"/>
          <c:showCatName val="0"/>
          <c:showSerName val="0"/>
          <c:showPercent val="0"/>
          <c:showBubbleSize val="0"/>
        </c:dLbls>
        <c:marker val="1"/>
        <c:smooth val="0"/>
        <c:axId val="831249704"/>
        <c:axId val="831255280"/>
      </c:lineChart>
      <c:catAx>
        <c:axId val="83124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255280"/>
        <c:crosses val="autoZero"/>
        <c:auto val="1"/>
        <c:lblAlgn val="ctr"/>
        <c:lblOffset val="100"/>
        <c:noMultiLvlLbl val="0"/>
      </c:catAx>
      <c:valAx>
        <c:axId val="831255280"/>
        <c:scaling>
          <c:orientation val="minMax"/>
        </c:scaling>
        <c:delete val="1"/>
        <c:axPos val="l"/>
        <c:numFmt formatCode="0.00" sourceLinked="1"/>
        <c:majorTickMark val="none"/>
        <c:minorTickMark val="none"/>
        <c:tickLblPos val="nextTo"/>
        <c:crossAx val="83124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DFBD24AB-9B49-40A6-AB9E-E9B8B7BAA370}">
    <t:Anchor>
      <t:Comment id="879000353"/>
    </t:Anchor>
    <t:History>
      <t:Event id="{CCD2DAE6-BD14-4352-AE53-D1DAF3B87485}" time="2021-09-09T09:17:32.58Z">
        <t:Attribution userId="S::dom.baetens@health.vic.gov.au::1ae88f1b-ff41-49c4-bbe0-b9fcb19c29c6" userProvider="AD" userName="Dom Baetens (Health)"/>
        <t:Anchor>
          <t:Comment id="879000353"/>
        </t:Anchor>
        <t:Create/>
      </t:Event>
      <t:Event id="{5B37B73B-5D66-4270-8D9A-D4D65A7F0526}" time="2021-09-09T09:17:32.58Z">
        <t:Attribution userId="S::dom.baetens@health.vic.gov.au::1ae88f1b-ff41-49c4-bbe0-b9fcb19c29c6" userProvider="AD" userName="Dom Baetens (Health)"/>
        <t:Anchor>
          <t:Comment id="879000353"/>
        </t:Anchor>
        <t:Assign userId="S::george.vasilev@health.vic.gov.au::1fd56ff2-e84f-4951-9a67-8831ffd1fae9" userProvider="AD" userName="George Vasilev (Health)"/>
      </t:Event>
      <t:Event id="{54BECB28-0306-41A7-999C-495FCA7B8485}" time="2021-09-09T09:17:32.58Z">
        <t:Attribution userId="S::dom.baetens@health.vic.gov.au::1ae88f1b-ff41-49c4-bbe0-b9fcb19c29c6" userProvider="AD" userName="Dom Baetens (Health)"/>
        <t:Anchor>
          <t:Comment id="879000353"/>
        </t:Anchor>
        <t:SetTitle title="@George Vasilev (Health) - did you want us to provide examples George?"/>
      </t:Event>
    </t:History>
  </t:Task>
  <t:Task id="{F4D80087-C819-4413-B080-4DAD87E8FB99}">
    <t:Anchor>
      <t:Comment id="651527358"/>
    </t:Anchor>
    <t:History>
      <t:Event id="{A7AFF0C6-485A-40EC-A509-F153FBC4E71F}" time="2022-09-21T03:00:21.123Z">
        <t:Attribution userId="S::maria.rivas.priday@health.vic.gov.au::faa4bf08-de3f-4f92-ade7-d52e46c29560" userProvider="AD" userName="Maria M Rivas Priday (Health)"/>
        <t:Anchor>
          <t:Comment id="302936485"/>
        </t:Anchor>
        <t:Create/>
      </t:Event>
      <t:Event id="{D75234F7-E448-4C1B-B786-2ACAB84DDE6B}" time="2022-09-21T03:00:21.123Z">
        <t:Attribution userId="S::maria.rivas.priday@health.vic.gov.au::faa4bf08-de3f-4f92-ade7-d52e46c29560" userProvider="AD" userName="Maria M Rivas Priday (Health)"/>
        <t:Anchor>
          <t:Comment id="302936485"/>
        </t:Anchor>
        <t:Assign userId="S::george.vasilev@health.vic.gov.au::1fd56ff2-e84f-4951-9a67-8831ffd1fae9" userProvider="AD" userName="George Vasilev (Health)"/>
      </t:Event>
      <t:Event id="{C2A691A3-6932-4116-87B9-26CEA472B4CF}" time="2022-09-21T03:00:21.123Z">
        <t:Attribution userId="S::maria.rivas.priday@health.vic.gov.au::faa4bf08-de3f-4f92-ade7-d52e46c29560" userProvider="AD" userName="Maria M Rivas Priday (Health)"/>
        <t:Anchor>
          <t:Comment id="302936485"/>
        </t:Anchor>
        <t:SetTitle title="@George Vasilev (Health) Yes I do. Are the 12 out of scope last year's number?"/>
      </t:Event>
    </t:History>
  </t:Task>
  <t:Task id="{877ACF5D-DCF3-47CA-86B1-2AB5FB3FA331}">
    <t:Anchor>
      <t:Comment id="175961191"/>
    </t:Anchor>
    <t:History>
      <t:Event id="{CF76EF5A-389A-4222-9E88-73784738BFA1}" time="2021-09-09T09:36:54.149Z">
        <t:Attribution userId="S::dom.baetens@health.vic.gov.au::1ae88f1b-ff41-49c4-bbe0-b9fcb19c29c6" userProvider="AD" userName="Dom Baetens (Health)"/>
        <t:Anchor>
          <t:Comment id="175961191"/>
        </t:Anchor>
        <t:Create/>
      </t:Event>
      <t:Event id="{FA6D0FE7-A63C-41A7-B98D-4CA7C6A15A9D}" time="2021-09-09T09:36:54.149Z">
        <t:Attribution userId="S::dom.baetens@health.vic.gov.au::1ae88f1b-ff41-49c4-bbe0-b9fcb19c29c6" userProvider="AD" userName="Dom Baetens (Health)"/>
        <t:Anchor>
          <t:Comment id="175961191"/>
        </t:Anchor>
        <t:Assign userId="S::Neil.Coventry@health.vic.gov.au::d8e1249d-d624-41f4-8fbe-d1c32b993ca5" userProvider="AD" userName="Neil Coventry (Health)"/>
      </t:Event>
      <t:Event id="{03ED069C-E3A6-4FF1-BB8A-26158A4B8EB0}" time="2021-09-09T09:36:54.149Z">
        <t:Attribution userId="S::dom.baetens@health.vic.gov.au::1ae88f1b-ff41-49c4-bbe0-b9fcb19c29c6" userProvider="AD" userName="Dom Baetens (Health)"/>
        <t:Anchor>
          <t:Comment id="175961191"/>
        </t:Anchor>
        <t:SetTitle title="@Katherine Utry (Health) @Neil Coventry (Health) @David K Huppert (Health) @Sathya Rao (Health) - dare we comment on increased presentations and contact related to subsections of the community e.g. youth, eating disorders? We would need to cross …"/>
      </t:Event>
    </t:History>
  </t:Task>
  <t:Task id="{DA7B9AF3-C4C7-4771-B50C-323C2494CC4E}">
    <t:Anchor>
      <t:Comment id="139863397"/>
    </t:Anchor>
    <t:History>
      <t:Event id="{EEF28B1D-DC35-4ACC-A93E-7C367F37E7F1}" time="2021-09-09T11:10:09.783Z">
        <t:Attribution userId="S::dom.baetens@health.vic.gov.au::1ae88f1b-ff41-49c4-bbe0-b9fcb19c29c6" userProvider="AD" userName="Dom Baetens (Health)"/>
        <t:Anchor>
          <t:Comment id="139863397"/>
        </t:Anchor>
        <t:Create/>
      </t:Event>
      <t:Event id="{F2ADD898-8973-4E46-A73C-66668871610A}" time="2021-09-09T11:10:09.783Z">
        <t:Attribution userId="S::dom.baetens@health.vic.gov.au::1ae88f1b-ff41-49c4-bbe0-b9fcb19c29c6" userProvider="AD" userName="Dom Baetens (Health)"/>
        <t:Anchor>
          <t:Comment id="139863397"/>
        </t:Anchor>
        <t:Assign userId="S::David.k.Huppert@health.vic.gov.au::60f882b0-90e0-4459-851f-3b16fb018b60" userProvider="AD" userName="David K Huppert (Health)"/>
      </t:Event>
      <t:Event id="{A7891B83-4F59-4106-A53A-A7BDF418CAF3}" time="2021-09-09T11:10:09.783Z">
        <t:Attribution userId="S::dom.baetens@health.vic.gov.au::1ae88f1b-ff41-49c4-bbe0-b9fcb19c29c6" userProvider="AD" userName="Dom Baetens (Health)"/>
        <t:Anchor>
          <t:Comment id="139863397"/>
        </t:Anchor>
        <t:SetTitle title="@David K Huppert (Health) when did we get Forensicare to change its reporting around seclusion in terms of ongoing seclusion? Would that impact on this data?"/>
      </t:Event>
    </t:History>
  </t:Task>
  <t:Task id="{036154BB-2211-4C80-A970-55DF4CFC51FC}">
    <t:Anchor>
      <t:Comment id="651527595"/>
    </t:Anchor>
    <t:History>
      <t:Event id="{04B24055-2D2E-4DF3-B531-89FDCB8A4B3F}" time="2022-09-21T02:58:05.695Z">
        <t:Attribution userId="S::maria.rivas.priday@health.vic.gov.au::faa4bf08-de3f-4f92-ade7-d52e46c29560" userProvider="AD" userName="Maria M Rivas Priday (Health)"/>
        <t:Anchor>
          <t:Comment id="1257094410"/>
        </t:Anchor>
        <t:Create/>
      </t:Event>
      <t:Event id="{30A5139D-63F4-4FBD-8F84-AFFEFA92918A}" time="2022-09-21T02:58:05.695Z">
        <t:Attribution userId="S::maria.rivas.priday@health.vic.gov.au::faa4bf08-de3f-4f92-ade7-d52e46c29560" userProvider="AD" userName="Maria M Rivas Priday (Health)"/>
        <t:Anchor>
          <t:Comment id="1257094410"/>
        </t:Anchor>
        <t:Assign userId="S::george.vasilev@health.vic.gov.au::1fd56ff2-e84f-4951-9a67-8831ffd1fae9" userProvider="AD" userName="George Vasilev (Health)"/>
      </t:Event>
      <t:Event id="{4A055083-0391-4549-AD2E-CFBFF7A0A3A0}" time="2022-09-21T02:58:05.695Z">
        <t:Attribution userId="S::maria.rivas.priday@health.vic.gov.au::faa4bf08-de3f-4f92-ade7-d52e46c29560" userProvider="AD" userName="Maria M Rivas Priday (Health)"/>
        <t:Anchor>
          <t:Comment id="1257094410"/>
        </t:Anchor>
        <t:SetTitle title="@George Vasilev (Health), I'm currently auditing the 64 Inpatient deaths to ensure they have been classified correctly this number will most likely change and decrease. Once I finish I will send them to David for him to do the final check. Sorry it 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6" ma:contentTypeDescription="Create a new document." ma:contentTypeScope="" ma:versionID="02858959b7e373211fb5f6d28e1ccd91">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0118a5d8bf21f8a339897943ab7ff536"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1ce4eaa-4cb8-4908-9479-89279dfc8e74">
      <UserInfo>
        <DisplayName>Daniel W O'Connor (DHHS)</DisplayName>
        <AccountId>22</AccountId>
        <AccountType/>
      </UserInfo>
      <UserInfo>
        <DisplayName>David K Huppert (Health)</DisplayName>
        <AccountId>16</AccountId>
        <AccountType/>
      </UserInfo>
      <UserInfo>
        <DisplayName>Dom Baetens (Health)</DisplayName>
        <AccountId>68</AccountId>
        <AccountType/>
      </UserInfo>
      <UserInfo>
        <DisplayName>Sathya Rao (Health)</DisplayName>
        <AccountId>126</AccountId>
        <AccountType/>
      </UserInfo>
      <UserInfo>
        <DisplayName>Sayesha Hasija (Health)</DisplayName>
        <AccountId>123</AccountId>
        <AccountType/>
      </UserInfo>
      <UserInfo>
        <DisplayName>Maria M Rivas Priday (Health)</DisplayName>
        <AccountId>20</AccountId>
        <AccountType/>
      </UserInfo>
      <UserInfo>
        <DisplayName>Moses Abbatangelo (Health)</DisplayName>
        <AccountId>71</AccountId>
        <AccountType/>
      </UserInfo>
      <UserInfo>
        <DisplayName>Katherine Utry (Health)</DisplayName>
        <AccountId>14</AccountId>
        <AccountType/>
      </UserInfo>
      <UserInfo>
        <DisplayName>Neil Coventry (Health)</DisplayName>
        <AccountId>42</AccountId>
        <AccountType/>
      </UserInfo>
      <UserInfo>
        <DisplayName>Ruth De Sa (Health)</DisplayName>
        <AccountId>17</AccountId>
        <AccountType/>
      </UserInfo>
      <UserInfo>
        <DisplayName>George Vasilev (Health)</DisplayName>
        <AccountId>93</AccountId>
        <AccountType/>
      </UserInfo>
      <UserInfo>
        <DisplayName>Dana Emmanouilidis (Health)</DisplayName>
        <AccountId>142</AccountId>
        <AccountType/>
      </UserInfo>
      <UserInfo>
        <DisplayName>Luke Pinney (Health)</DisplayName>
        <AccountId>21</AccountId>
        <AccountType/>
      </UserInfo>
      <UserInfo>
        <DisplayName>Wendy Lawrence (Health)</DisplayName>
        <AccountId>284</AccountId>
        <AccountType/>
      </UserInfo>
    </SharedWithUsers>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17F82-9592-46E3-AB87-6FCAB8C5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B5B52-5AA8-47A7-A5D8-49E282B6E3D3}">
  <ds:schemaRefs>
    <ds:schemaRef ds:uri="http://schemas.openxmlformats.org/officeDocument/2006/bibliography"/>
  </ds:schemaRefs>
</ds:datastoreItem>
</file>

<file path=customXml/itemProps3.xml><?xml version="1.0" encoding="utf-8"?>
<ds:datastoreItem xmlns:ds="http://schemas.openxmlformats.org/officeDocument/2006/customXml" ds:itemID="{51D92642-FCF0-4B26-9B07-968FA704AF7B}">
  <ds:schemaRefs>
    <ds:schemaRef ds:uri="3fdefc27-9daa-4412-9bc3-ba173f0af375"/>
    <ds:schemaRef ds:uri="81ce4eaa-4cb8-4908-9479-89279dfc8e74"/>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ce0f2b5-5be5-4508-bce9-d7011ece0659"/>
    <ds:schemaRef ds:uri="http://www.w3.org/XML/1998/namespace"/>
  </ds:schemaRefs>
</ds:datastoreItem>
</file>

<file path=customXml/itemProps4.xml><?xml version="1.0" encoding="utf-8"?>
<ds:datastoreItem xmlns:ds="http://schemas.openxmlformats.org/officeDocument/2006/customXml" ds:itemID="{C5C979ED-22C3-47D1-A084-A6111F03D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6054</Words>
  <Characters>33127</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Chief Psychiatrist’s annual report 2022–23</vt:lpstr>
    </vt:vector>
  </TitlesOfParts>
  <Company>State Government of Victoria, Department of Health</Company>
  <LinksUpToDate>false</LinksUpToDate>
  <CharactersWithSpaces>39103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Psychiatrist’s annual report 2022–23</dc:title>
  <dc:subject>Chief Psychiatrist’s annual report 2022–23</dc:subject>
  <dc:creator>Mental Health Branch</dc:creator>
  <cp:keywords>Chief Psychiatrist, annual report, 2022–23, mental health, victoria</cp:keywords>
  <cp:lastModifiedBy>George Vasilev (Health)</cp:lastModifiedBy>
  <cp:revision>3</cp:revision>
  <cp:lastPrinted>2015-08-26T05:33:00Z</cp:lastPrinted>
  <dcterms:created xsi:type="dcterms:W3CDTF">2023-10-24T23:49:00Z</dcterms:created>
  <dcterms:modified xsi:type="dcterms:W3CDTF">2023-10-25T00:05:00Z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MSIP_Label_f20f9b25-8d0c-4146-9c91-3f0a3637bd09_Enabled">
    <vt:lpwstr>true</vt:lpwstr>
  </property>
  <property fmtid="{D5CDD505-2E9C-101B-9397-08002B2CF9AE}" pid="5" name="MSIP_Label_f20f9b25-8d0c-4146-9c91-3f0a3637bd09_SetDate">
    <vt:lpwstr>2021-09-24T03:31:13Z</vt:lpwstr>
  </property>
  <property fmtid="{D5CDD505-2E9C-101B-9397-08002B2CF9AE}" pid="6" name="MSIP_Label_f20f9b25-8d0c-4146-9c91-3f0a3637bd09_Method">
    <vt:lpwstr>Standard</vt:lpwstr>
  </property>
  <property fmtid="{D5CDD505-2E9C-101B-9397-08002B2CF9AE}" pid="7" name="MSIP_Label_f20f9b25-8d0c-4146-9c91-3f0a3637bd09_Name">
    <vt:lpwstr>f20f9b25-8d0c-4146-9c91-3f0a3637bd09</vt:lpwstr>
  </property>
  <property fmtid="{D5CDD505-2E9C-101B-9397-08002B2CF9AE}" pid="8" name="MSIP_Label_f20f9b25-8d0c-4146-9c91-3f0a3637bd09_SiteId">
    <vt:lpwstr>c0e0601f-0fac-449c-9c88-a104c4eb9f28</vt:lpwstr>
  </property>
  <property fmtid="{D5CDD505-2E9C-101B-9397-08002B2CF9AE}" pid="9" name="MSIP_Label_f20f9b25-8d0c-4146-9c91-3f0a3637bd09_ActionId">
    <vt:lpwstr>78f992ff-8633-4a38-92be-4bed48e9b69f</vt:lpwstr>
  </property>
  <property fmtid="{D5CDD505-2E9C-101B-9397-08002B2CF9AE}" pid="10" name="MSIP_Label_f20f9b25-8d0c-4146-9c91-3f0a3637bd09_ContentBits">
    <vt:lpwstr>2</vt:lpwstr>
  </property>
  <property fmtid="{D5CDD505-2E9C-101B-9397-08002B2CF9AE}" pid="11" name="MediaServiceImageTags">
    <vt:lpwstr/>
  </property>
</Properties>
</file>