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03749A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047181F4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236DDB">
              <w:rPr>
                <w:color w:val="365F91" w:themeColor="accent1" w:themeShade="BF"/>
              </w:rPr>
              <w:t>79</w:t>
            </w:r>
          </w:p>
        </w:tc>
      </w:tr>
      <w:tr w:rsidR="003B5733" w14:paraId="02FE8311" w14:textId="77777777" w:rsidTr="00B07FF7">
        <w:tc>
          <w:tcPr>
            <w:tcW w:w="10348" w:type="dxa"/>
          </w:tcPr>
          <w:p w14:paraId="44120960" w14:textId="7D5438EB" w:rsidR="003B5733" w:rsidRPr="00A1389F" w:rsidRDefault="00E57760" w:rsidP="005F44C0">
            <w:pPr>
              <w:pStyle w:val="Documentsubtitle"/>
            </w:pPr>
            <w:r>
              <w:t>Putting Families First (PFF)</w:t>
            </w:r>
          </w:p>
        </w:tc>
      </w:tr>
      <w:tr w:rsidR="003B5733" w14:paraId="30E8F298" w14:textId="77777777" w:rsidTr="00B07FF7">
        <w:tc>
          <w:tcPr>
            <w:tcW w:w="10348" w:type="dxa"/>
          </w:tcPr>
          <w:p w14:paraId="78F6D8D2" w14:textId="77777777" w:rsidR="003B5733" w:rsidRPr="001E5058" w:rsidRDefault="00DF6DF8" w:rsidP="001E5058">
            <w:pPr>
              <w:pStyle w:val="Bannermarking"/>
            </w:pPr>
            <w:fldSimple w:instr=" FILLIN  &quot;Type the protective marking&quot; \d OFFICIAL \o  \* MERGEFORMAT ">
              <w:r w:rsidR="00EE5418">
                <w:t>OFFICIAL</w:t>
              </w:r>
            </w:fldSimple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4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425BACF2" w:rsidR="0024030A" w:rsidRPr="003F1D05" w:rsidRDefault="00474E3A" w:rsidP="0024030A">
      <w:pPr>
        <w:pStyle w:val="Heading2"/>
        <w:rPr>
          <w:color w:val="365F91" w:themeColor="accent1" w:themeShade="BF"/>
        </w:rPr>
      </w:pPr>
      <w:bookmarkStart w:id="0" w:name="_Toc63347079"/>
      <w:r>
        <w:rPr>
          <w:color w:val="365F91" w:themeColor="accent1" w:themeShade="BF"/>
        </w:rPr>
        <w:t>Purpose and Scope</w:t>
      </w:r>
    </w:p>
    <w:p w14:paraId="1203C941" w14:textId="661B3D8C" w:rsidR="0024030A" w:rsidRDefault="00474E3A" w:rsidP="0024030A">
      <w:pPr>
        <w:pStyle w:val="Body"/>
      </w:pPr>
      <w:r>
        <w:t xml:space="preserve">To provide guidance for the reporting of ambulatory </w:t>
      </w:r>
      <w:r w:rsidR="0091635C">
        <w:t xml:space="preserve">mental health </w:t>
      </w:r>
      <w:r>
        <w:t xml:space="preserve">consumer activity </w:t>
      </w:r>
      <w:r w:rsidR="0091635C">
        <w:t>i</w:t>
      </w:r>
      <w:r>
        <w:t xml:space="preserve">n CMI/ODS for </w:t>
      </w:r>
      <w:r w:rsidR="0091635C">
        <w:t xml:space="preserve">the </w:t>
      </w:r>
      <w:r w:rsidR="00B56296">
        <w:t>Putting Families First (PFF) Initiative.</w:t>
      </w:r>
    </w:p>
    <w:p w14:paraId="61958F5D" w14:textId="3048851D" w:rsidR="00474E3A" w:rsidRDefault="00474E3A" w:rsidP="0024030A">
      <w:pPr>
        <w:pStyle w:val="Body"/>
      </w:pPr>
      <w:r>
        <w:t>In scope:</w:t>
      </w:r>
    </w:p>
    <w:p w14:paraId="69277A02" w14:textId="786BB291" w:rsidR="00474E3A" w:rsidRDefault="00474E3A" w:rsidP="00474E3A">
      <w:pPr>
        <w:pStyle w:val="Body"/>
        <w:numPr>
          <w:ilvl w:val="0"/>
          <w:numId w:val="47"/>
        </w:numPr>
      </w:pPr>
      <w:r>
        <w:t xml:space="preserve">Reporting guidance for </w:t>
      </w:r>
      <w:r w:rsidR="0091635C">
        <w:t xml:space="preserve">ambulatory </w:t>
      </w:r>
      <w:r>
        <w:t>community mental health activity data of consumers in CM</w:t>
      </w:r>
      <w:r w:rsidR="008F624E">
        <w:t>I</w:t>
      </w:r>
      <w:r>
        <w:t>/ODS</w:t>
      </w:r>
    </w:p>
    <w:p w14:paraId="323515AB" w14:textId="77777777" w:rsidR="0024030A" w:rsidRPr="0024030A" w:rsidRDefault="0024030A" w:rsidP="0024030A">
      <w:pPr>
        <w:pStyle w:val="Body"/>
      </w:pPr>
    </w:p>
    <w:p w14:paraId="1FBC51AB" w14:textId="484453A4" w:rsidR="00F278A4" w:rsidRPr="003F1D05" w:rsidRDefault="00474E3A" w:rsidP="00F278A4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Overview</w:t>
      </w:r>
    </w:p>
    <w:bookmarkEnd w:id="0"/>
    <w:p w14:paraId="3AA760FF" w14:textId="1A4CFF5A" w:rsidR="00B56296" w:rsidRDefault="00B56296" w:rsidP="00B56296">
      <w:r>
        <w:t xml:space="preserve">Putting Families First (PFF) </w:t>
      </w:r>
      <w:r w:rsidDel="00FE57E5">
        <w:t>i</w:t>
      </w:r>
      <w:r w:rsidDel="004A7177">
        <w:t xml:space="preserve">s </w:t>
      </w:r>
      <w:r>
        <w:t xml:space="preserve">new, whole of family service model that is being trialled. It provides an integrated service response for justice involved families who have multiple interactions across justice, health, and social services. </w:t>
      </w:r>
    </w:p>
    <w:p w14:paraId="4240DE1E" w14:textId="61B9828E" w:rsidR="00B56296" w:rsidRPr="00B56296" w:rsidRDefault="00B56296" w:rsidP="00B56296">
      <w:pPr>
        <w:pStyle w:val="DHHSbody"/>
        <w:rPr>
          <w:sz w:val="21"/>
          <w:szCs w:val="21"/>
        </w:rPr>
      </w:pPr>
      <w:r>
        <w:rPr>
          <w:sz w:val="21"/>
          <w:szCs w:val="21"/>
        </w:rPr>
        <w:t xml:space="preserve">As part of the PFF model, a lead family practitioner is to be a single point of contact for families through the PFF journey.  </w:t>
      </w:r>
      <w:r w:rsidRPr="00AE3896">
        <w:rPr>
          <w:sz w:val="21"/>
          <w:szCs w:val="21"/>
        </w:rPr>
        <w:t xml:space="preserve">These family facing roles </w:t>
      </w:r>
      <w:r>
        <w:rPr>
          <w:sz w:val="21"/>
          <w:szCs w:val="21"/>
        </w:rPr>
        <w:t xml:space="preserve">will </w:t>
      </w:r>
      <w:r w:rsidRPr="00AE3896">
        <w:rPr>
          <w:sz w:val="21"/>
          <w:szCs w:val="21"/>
        </w:rPr>
        <w:t>sit within a broader interdisciplinary team</w:t>
      </w:r>
      <w:r>
        <w:rPr>
          <w:sz w:val="21"/>
          <w:szCs w:val="21"/>
        </w:rPr>
        <w:t xml:space="preserve"> and area-based resources. This team will be</w:t>
      </w:r>
      <w:r w:rsidRPr="00AE3896">
        <w:rPr>
          <w:sz w:val="21"/>
          <w:szCs w:val="21"/>
        </w:rPr>
        <w:t xml:space="preserve"> a source of coaching on</w:t>
      </w:r>
      <w:r>
        <w:rPr>
          <w:sz w:val="21"/>
          <w:szCs w:val="21"/>
        </w:rPr>
        <w:t xml:space="preserve"> their area of</w:t>
      </w:r>
      <w:r w:rsidRPr="00AE3896">
        <w:rPr>
          <w:sz w:val="21"/>
          <w:szCs w:val="21"/>
        </w:rPr>
        <w:t xml:space="preserve"> practice and </w:t>
      </w:r>
      <w:r>
        <w:rPr>
          <w:sz w:val="21"/>
          <w:szCs w:val="21"/>
        </w:rPr>
        <w:t xml:space="preserve">will </w:t>
      </w:r>
      <w:r w:rsidRPr="00AE3896">
        <w:rPr>
          <w:sz w:val="21"/>
          <w:szCs w:val="21"/>
        </w:rPr>
        <w:t>provide expert and experienced advice</w:t>
      </w:r>
      <w:r w:rsidRPr="00826BCD">
        <w:rPr>
          <w:sz w:val="21"/>
        </w:rPr>
        <w:t xml:space="preserve"> </w:t>
      </w:r>
      <w:r w:rsidRPr="002A4B3F">
        <w:rPr>
          <w:sz w:val="21"/>
        </w:rPr>
        <w:t>to the core team of lead family practitioners and community connectors</w:t>
      </w:r>
      <w:r w:rsidRPr="00AE3896">
        <w:rPr>
          <w:sz w:val="21"/>
          <w:szCs w:val="21"/>
        </w:rPr>
        <w:t xml:space="preserve">. </w:t>
      </w:r>
      <w:r w:rsidRPr="002A4B3F">
        <w:rPr>
          <w:sz w:val="21"/>
        </w:rPr>
        <w:t xml:space="preserve">They will also engage in joint assessments and planning. </w:t>
      </w:r>
      <w:r w:rsidRPr="00B56296">
        <w:rPr>
          <w:sz w:val="21"/>
          <w:szCs w:val="21"/>
        </w:rPr>
        <w:t>Where necessary, they may also provide timely and direct support to families that may be experience mental health, family violence, alcohol and drugs, health, housing, and financial issues.</w:t>
      </w:r>
    </w:p>
    <w:p w14:paraId="11FBD63E" w14:textId="0FB47AB4" w:rsidR="00C1749E" w:rsidRPr="00951687" w:rsidRDefault="00C1749E" w:rsidP="00951687">
      <w:pPr>
        <w:rPr>
          <w:rFonts w:cs="Arial"/>
        </w:rPr>
      </w:pPr>
    </w:p>
    <w:p w14:paraId="43325044" w14:textId="23A9199F" w:rsidR="009034F9" w:rsidRDefault="00BF7345" w:rsidP="00241FB7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Activity Data Reporting</w:t>
      </w:r>
    </w:p>
    <w:p w14:paraId="27B928F6" w14:textId="560D44B5" w:rsidR="004D5A15" w:rsidRDefault="00B56296" w:rsidP="00BF7345">
      <w:pPr>
        <w:pStyle w:val="Body"/>
        <w:rPr>
          <w:rFonts w:eastAsia="Arial" w:cs="Arial"/>
          <w:color w:val="000000" w:themeColor="text1"/>
          <w:szCs w:val="21"/>
        </w:rPr>
      </w:pPr>
      <w:r w:rsidRPr="00B56296">
        <w:rPr>
          <w:bCs/>
          <w:szCs w:val="21"/>
          <w:lang w:eastAsia="en-AU"/>
        </w:rPr>
        <w:t xml:space="preserve">Service partners are required to collect all existing data collection requirements for the service activity in which they </w:t>
      </w:r>
      <w:r w:rsidRPr="00B56296">
        <w:rPr>
          <w:rFonts w:eastAsia="Arial" w:cs="Arial"/>
          <w:color w:val="000000" w:themeColor="text1"/>
          <w:szCs w:val="21"/>
        </w:rPr>
        <w:t>are funded, including key performance indicator information. Individuals/families that are receiving support from Putting Families First must be able to be identified within this data to allow for separate reporting on this initiative</w:t>
      </w:r>
      <w:r>
        <w:rPr>
          <w:rFonts w:eastAsia="Arial" w:cs="Arial"/>
          <w:color w:val="000000" w:themeColor="text1"/>
          <w:szCs w:val="21"/>
        </w:rPr>
        <w:t>.</w:t>
      </w:r>
    </w:p>
    <w:p w14:paraId="5611C81E" w14:textId="634634C7" w:rsidR="00EF5848" w:rsidRDefault="00EF5848" w:rsidP="00BF7345">
      <w:pPr>
        <w:pStyle w:val="Body"/>
        <w:rPr>
          <w:rFonts w:eastAsia="Arial" w:cs="Arial"/>
          <w:color w:val="000000" w:themeColor="text1"/>
          <w:szCs w:val="21"/>
        </w:rPr>
      </w:pPr>
      <w:r>
        <w:rPr>
          <w:rFonts w:eastAsia="Arial" w:cs="Arial"/>
          <w:color w:val="000000" w:themeColor="text1"/>
          <w:szCs w:val="21"/>
        </w:rPr>
        <w:t>Outcome measures are not required at this stage.</w:t>
      </w:r>
    </w:p>
    <w:p w14:paraId="1763A21E" w14:textId="6BE99EFC" w:rsidR="00914F82" w:rsidRPr="00B56296" w:rsidRDefault="00914F82" w:rsidP="00BF7345">
      <w:pPr>
        <w:pStyle w:val="Body"/>
        <w:rPr>
          <w:szCs w:val="21"/>
        </w:rPr>
      </w:pPr>
      <w:r>
        <w:rPr>
          <w:rFonts w:eastAsia="Arial" w:cs="Arial"/>
          <w:color w:val="000000" w:themeColor="text1"/>
          <w:szCs w:val="21"/>
        </w:rPr>
        <w:t xml:space="preserve">Service hours </w:t>
      </w:r>
      <w:r w:rsidRPr="00236DDB">
        <w:rPr>
          <w:rFonts w:eastAsia="Arial" w:cs="Arial"/>
          <w:b/>
          <w:bCs/>
          <w:color w:val="000000" w:themeColor="text1"/>
          <w:szCs w:val="21"/>
        </w:rPr>
        <w:t>are not included</w:t>
      </w:r>
      <w:r>
        <w:rPr>
          <w:rFonts w:eastAsia="Arial" w:cs="Arial"/>
          <w:color w:val="000000" w:themeColor="text1"/>
          <w:szCs w:val="21"/>
        </w:rPr>
        <w:t xml:space="preserve"> in community service hours as this program is funded by the Department of Families, Fairness &amp; Housing (DFFH).</w:t>
      </w:r>
    </w:p>
    <w:p w14:paraId="0BD55381" w14:textId="77777777" w:rsidR="00373350" w:rsidRDefault="00373350" w:rsidP="00BF7345">
      <w:pPr>
        <w:pStyle w:val="Body"/>
      </w:pPr>
    </w:p>
    <w:p w14:paraId="1C19F817" w14:textId="77777777" w:rsidR="00B56296" w:rsidRDefault="00B56296">
      <w:pPr>
        <w:spacing w:after="0" w:line="240" w:lineRule="auto"/>
        <w:rPr>
          <w:b/>
          <w:color w:val="53565A"/>
          <w:sz w:val="32"/>
          <w:szCs w:val="28"/>
        </w:rPr>
      </w:pPr>
      <w:r>
        <w:br w:type="page"/>
      </w:r>
    </w:p>
    <w:p w14:paraId="0E31FCA2" w14:textId="7012CB9B" w:rsidR="00BF7345" w:rsidRDefault="00BF7345" w:rsidP="00BF7345">
      <w:pPr>
        <w:pStyle w:val="Heading2"/>
      </w:pPr>
      <w:r>
        <w:lastRenderedPageBreak/>
        <w:t>Subcentre / Program Setup</w:t>
      </w:r>
    </w:p>
    <w:p w14:paraId="38838E0F" w14:textId="65015A7D" w:rsidR="0091635C" w:rsidRDefault="00BF7345" w:rsidP="00E038B7">
      <w:pPr>
        <w:pStyle w:val="Body"/>
      </w:pPr>
      <w:r>
        <w:t xml:space="preserve">This subcentre and program is to be used for </w:t>
      </w:r>
      <w:r w:rsidR="00E038B7">
        <w:t xml:space="preserve">the </w:t>
      </w:r>
      <w:r w:rsidR="00B56296">
        <w:t>Putting Families First (PFF) Initiative:</w:t>
      </w:r>
    </w:p>
    <w:p w14:paraId="68823B0C" w14:textId="77777777" w:rsidR="00BF7345" w:rsidRPr="002E2FFA" w:rsidRDefault="00BF7345" w:rsidP="00BF7345">
      <w:pPr>
        <w:pStyle w:val="DHHSbody"/>
        <w:rPr>
          <w:rFonts w:cs="Arial"/>
          <w:b/>
          <w:color w:val="004EA8"/>
          <w:sz w:val="22"/>
        </w:rPr>
      </w:pPr>
      <w:r w:rsidRPr="002E2FFA">
        <w:rPr>
          <w:rFonts w:cs="Arial"/>
          <w:b/>
          <w:color w:val="004EA8"/>
          <w:sz w:val="22"/>
        </w:rPr>
        <w:t>Subcentre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19"/>
        <w:gridCol w:w="1311"/>
        <w:gridCol w:w="1418"/>
        <w:gridCol w:w="1276"/>
        <w:gridCol w:w="1417"/>
        <w:gridCol w:w="1418"/>
        <w:gridCol w:w="1559"/>
      </w:tblGrid>
      <w:tr w:rsidR="00373350" w:rsidRPr="009C53C9" w14:paraId="68E36ED5" w14:textId="77777777" w:rsidTr="00236DDB">
        <w:trPr>
          <w:trHeight w:val="624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2026F4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83588C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E8E101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Campus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0CBDA7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160929" w14:textId="1E7CDF48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OM Setting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D484C9" w14:textId="24BAD8A5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7F6FA0C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373350" w:rsidRPr="00D63175" w14:paraId="5C16C13B" w14:textId="77777777" w:rsidTr="00236DDB">
        <w:trPr>
          <w:trHeight w:val="119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F95" w14:textId="137A291D" w:rsidR="00373350" w:rsidRDefault="00E57760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Putting Families First (PFF)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33F" w14:textId="4190CDC7" w:rsidR="00373350" w:rsidRPr="002E2FFA" w:rsidRDefault="00373350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C48" w14:textId="01420FA9" w:rsidR="00373350" w:rsidRPr="002E2FFA" w:rsidRDefault="00373350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 xml:space="preserve">[The CMI/ODS </w:t>
            </w:r>
            <w:r w:rsidR="00416C23">
              <w:rPr>
                <w:rFonts w:eastAsia="Calibri" w:cs="Arial"/>
                <w:color w:val="000000"/>
                <w:sz w:val="20"/>
              </w:rPr>
              <w:t>campus]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4DC" w14:textId="77777777" w:rsidR="00373350" w:rsidRPr="002E2FFA" w:rsidRDefault="00373350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ABC" w14:textId="56B9C567" w:rsidR="0000519F" w:rsidRPr="002E2FFA" w:rsidRDefault="00EF5848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Not required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BC2" w14:textId="53A0ACAD" w:rsidR="00373350" w:rsidRPr="002E2FFA" w:rsidRDefault="00EF5848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 xml:space="preserve">Not </w:t>
            </w:r>
            <w:r w:rsidR="00373350" w:rsidRPr="002E2FFA">
              <w:rPr>
                <w:rFonts w:eastAsia="Calibri" w:cs="Arial"/>
                <w:color w:val="000000"/>
                <w:sz w:val="20"/>
              </w:rPr>
              <w:t>Required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12B" w14:textId="77777777" w:rsidR="00373350" w:rsidRPr="002E2FFA" w:rsidRDefault="00373350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19A4AF09" w14:textId="0BFD6898" w:rsidR="00BF7345" w:rsidRDefault="00BF7345" w:rsidP="00BF7345">
      <w:pPr>
        <w:pStyle w:val="Body"/>
      </w:pPr>
    </w:p>
    <w:p w14:paraId="51336BDD" w14:textId="77777777" w:rsidR="00CD3700" w:rsidRDefault="00CD3700" w:rsidP="00CD3700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134"/>
        <w:gridCol w:w="1701"/>
        <w:gridCol w:w="1417"/>
      </w:tblGrid>
      <w:tr w:rsidR="0000519F" w:rsidRPr="00D87E05" w14:paraId="706C0AAC" w14:textId="77777777" w:rsidTr="00236DDB">
        <w:trPr>
          <w:trHeight w:val="56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9F6C34" w14:textId="1A6152D2" w:rsidR="0000519F" w:rsidRPr="00D87E05" w:rsidRDefault="0000519F" w:rsidP="00DA509F">
            <w:pPr>
              <w:pStyle w:val="DHHSbody"/>
              <w:rPr>
                <w:b/>
              </w:rPr>
            </w:pPr>
            <w:r>
              <w:rPr>
                <w:b/>
              </w:rPr>
              <w:t>Program Description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CF8D89" w14:textId="07A10091" w:rsidR="0000519F" w:rsidRPr="00D87E05" w:rsidRDefault="0000519F" w:rsidP="00DA509F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Classification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57080" w14:textId="77777777" w:rsidR="0000519F" w:rsidRPr="00D87E05" w:rsidRDefault="0000519F" w:rsidP="00DA509F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69AD06" w14:textId="77777777" w:rsidR="0000519F" w:rsidRPr="00D87E05" w:rsidRDefault="0000519F" w:rsidP="00DA509F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50C04" w14:textId="703F1442" w:rsidR="0000519F" w:rsidRPr="00D87E05" w:rsidRDefault="0000519F" w:rsidP="00DA509F">
            <w:pPr>
              <w:pStyle w:val="DHHSbody"/>
              <w:rPr>
                <w:b/>
              </w:rPr>
            </w:pPr>
            <w:r>
              <w:rPr>
                <w:b/>
              </w:rPr>
              <w:t>AMHS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1FA6CE" w14:textId="2F31C310" w:rsidR="0000519F" w:rsidRPr="00D87E05" w:rsidRDefault="0000519F" w:rsidP="00DA509F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1F37EAE" w14:textId="77777777" w:rsidR="0000519F" w:rsidRPr="00D87E05" w:rsidRDefault="0000519F" w:rsidP="00DA509F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Start Date</w:t>
            </w:r>
          </w:p>
        </w:tc>
      </w:tr>
      <w:tr w:rsidR="0000519F" w14:paraId="37705185" w14:textId="77777777" w:rsidTr="00236DDB">
        <w:trPr>
          <w:trHeight w:val="1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3C471357" w14:textId="34DCF339" w:rsidR="0000519F" w:rsidRPr="006450BF" w:rsidRDefault="0000519F" w:rsidP="00DA509F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AMHS specific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E2616A" w14:textId="6D06E333" w:rsidR="0000519F" w:rsidRDefault="0000519F" w:rsidP="00DA509F">
            <w:pPr>
              <w:pStyle w:val="DHHSbody"/>
            </w:pPr>
            <w:r w:rsidRPr="006450BF">
              <w:rPr>
                <w:rFonts w:eastAsia="Calibri" w:cs="Arial"/>
                <w:color w:val="000000"/>
              </w:rPr>
              <w:t>Community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C0264E" w14:textId="51996C8D" w:rsidR="0000519F" w:rsidRPr="00236DDB" w:rsidRDefault="001A7F3D" w:rsidP="00DA509F">
            <w:pPr>
              <w:pStyle w:val="DHHSbody"/>
              <w:rPr>
                <w:color w:val="FF0000"/>
              </w:rPr>
            </w:pPr>
            <w:r w:rsidRPr="00236DDB">
              <w:t xml:space="preserve">CPFF1 – </w:t>
            </w:r>
            <w:r w:rsidR="00564BF2" w:rsidRPr="00236DDB">
              <w:t xml:space="preserve">Comm, </w:t>
            </w:r>
            <w:r w:rsidRPr="00236DDB">
              <w:t>Putting Families First</w:t>
            </w:r>
            <w:r w:rsidR="00564BF2" w:rsidRPr="00236DDB">
              <w:t xml:space="preserve"> Initiative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8A4F7D" w14:textId="69B37678" w:rsidR="0000519F" w:rsidRPr="00236DDB" w:rsidRDefault="00EF5848" w:rsidP="00DA509F">
            <w:pPr>
              <w:pStyle w:val="DHHSbody"/>
              <w:rPr>
                <w:color w:val="FF0000"/>
              </w:rPr>
            </w:pPr>
            <w:r w:rsidRPr="00236DDB">
              <w:t>Infant, Child, Youth, Adult and Families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6E485" w14:textId="2DE3B594" w:rsidR="0000519F" w:rsidRDefault="0000519F" w:rsidP="00DA509F">
            <w:pPr>
              <w:pStyle w:val="DHHSbody"/>
            </w:pPr>
            <w:r>
              <w:t>Choose from drop down list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81705" w14:textId="1D715C6D" w:rsidR="0000519F" w:rsidRDefault="00E57760" w:rsidP="00DA509F">
            <w:pPr>
              <w:pStyle w:val="DHHSbody"/>
            </w:pPr>
            <w:r>
              <w:t>15026 – Child &amp; Adolescent</w:t>
            </w:r>
            <w:r w:rsidR="00B56296">
              <w:t xml:space="preserve"> Assessment Treatment &amp; Liaison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46C4F5" w14:textId="77777777" w:rsidR="0000519F" w:rsidRDefault="0000519F" w:rsidP="00DA509F">
            <w:pPr>
              <w:pStyle w:val="DHHSbody"/>
            </w:pPr>
            <w:r>
              <w:t>When program commenced at service</w:t>
            </w:r>
          </w:p>
        </w:tc>
      </w:tr>
    </w:tbl>
    <w:p w14:paraId="287FAC2C" w14:textId="3E28A8EA" w:rsidR="00B56296" w:rsidRPr="00B56296" w:rsidRDefault="00236DDB" w:rsidP="00B56296">
      <w:r w:rsidRPr="00236DDB">
        <w:rPr>
          <w:b/>
          <w:bCs/>
        </w:rPr>
        <w:t>Please note</w:t>
      </w:r>
      <w:r>
        <w:t>:  New Program type and Target population.</w:t>
      </w:r>
    </w:p>
    <w:p w14:paraId="329EF2F8" w14:textId="16DBDDC0" w:rsidR="00B56296" w:rsidRPr="00B56296" w:rsidRDefault="00B56296" w:rsidP="00B56296">
      <w:pPr>
        <w:tabs>
          <w:tab w:val="left" w:pos="915"/>
        </w:tabs>
      </w:pPr>
      <w:r>
        <w:tab/>
      </w:r>
    </w:p>
    <w:p w14:paraId="3AEC2362" w14:textId="77777777" w:rsidR="00A304EA" w:rsidRPr="003F1D05" w:rsidRDefault="00A304EA" w:rsidP="003F1D05">
      <w:pPr>
        <w:pStyle w:val="Heading3"/>
        <w:rPr>
          <w:color w:val="365F91" w:themeColor="accent1" w:themeShade="BF"/>
        </w:rPr>
      </w:pPr>
      <w:r w:rsidRPr="003F1D05">
        <w:rPr>
          <w:color w:val="365F91" w:themeColor="accent1" w:themeShade="BF"/>
        </w:rPr>
        <w:t>For More Information</w:t>
      </w:r>
    </w:p>
    <w:p w14:paraId="10163FFF" w14:textId="399E0401" w:rsidR="00A304EA" w:rsidRPr="0089687D" w:rsidRDefault="00A304EA" w:rsidP="00A304EA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Further information about the correct use of CMI/ODS can be found on the Victorian Government’s website.  In particular, see the sections on; Registration of Clients, CMI/ODS Service Contacts and Subcentre/Program Maintenance. </w:t>
      </w:r>
      <w:hyperlink r:id="rId15" w:history="1">
        <w:r w:rsidRPr="0089687D">
          <w:rPr>
            <w:rStyle w:val="Hyperlink"/>
            <w:sz w:val="21"/>
            <w:szCs w:val="21"/>
          </w:rPr>
          <w:t>https://www.health.vic.gov.au/research-and-reporting/bulletins-and-program-management-circulars-pmc</w:t>
        </w:r>
      </w:hyperlink>
    </w:p>
    <w:p w14:paraId="40A1C180" w14:textId="7C594A22" w:rsidR="00A304EA" w:rsidRPr="0089687D" w:rsidRDefault="00A304EA" w:rsidP="00A304EA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6" w:history="1">
        <w:r w:rsidR="00CD3700" w:rsidRPr="0089687D">
          <w:rPr>
            <w:rStyle w:val="Hyperlink"/>
            <w:sz w:val="21"/>
            <w:szCs w:val="21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0C0404" w:rsidRPr="006B6A18" w14:paraId="18D3809D" w14:textId="77777777" w:rsidTr="00113D5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0FCA" w14:textId="34E11B96" w:rsidR="000C0404" w:rsidRPr="0089687D" w:rsidRDefault="000C0404" w:rsidP="00113D55">
            <w:pPr>
              <w:pStyle w:val="DHHSaccessibilitypara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To receive this publication in an accessible format </w:t>
            </w:r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please </w:t>
            </w:r>
            <w:hyperlink r:id="rId17" w:history="1">
              <w:r w:rsidRPr="0089687D">
                <w:rPr>
                  <w:rStyle w:val="Hyperlink"/>
                  <w:rFonts w:cs="Arial"/>
                  <w:sz w:val="21"/>
                  <w:szCs w:val="21"/>
                  <w:shd w:val="clear" w:color="auto" w:fill="FFFFFF"/>
                </w:rPr>
                <w:t>email MHD Reporting</w:t>
              </w:r>
            </w:hyperlink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 &lt;</w:t>
            </w:r>
            <w:r w:rsidRPr="0089687D">
              <w:rPr>
                <w:rFonts w:cs="Arial"/>
                <w:sz w:val="21"/>
                <w:szCs w:val="21"/>
              </w:rPr>
              <w:t>MHDReporting@</w:t>
            </w:r>
            <w:r w:rsidR="00866D94" w:rsidRPr="0089687D">
              <w:rPr>
                <w:rFonts w:cs="Arial"/>
                <w:sz w:val="21"/>
                <w:szCs w:val="21"/>
              </w:rPr>
              <w:t>health</w:t>
            </w:r>
            <w:r w:rsidRPr="0089687D">
              <w:rPr>
                <w:rFonts w:cs="Arial"/>
                <w:sz w:val="21"/>
                <w:szCs w:val="21"/>
              </w:rPr>
              <w:t>.vic.gov.au&gt;</w:t>
            </w:r>
          </w:p>
          <w:p w14:paraId="69426989" w14:textId="77777777" w:rsidR="000C0404" w:rsidRPr="0089687D" w:rsidRDefault="000C0404" w:rsidP="00113D55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>Authorised and published by the Victorian Government, 1 Treasury Place, Melbourne.</w:t>
            </w:r>
          </w:p>
          <w:p w14:paraId="33D78C9B" w14:textId="1562A20C" w:rsidR="000C0404" w:rsidRPr="0089687D" w:rsidRDefault="000C0404" w:rsidP="00113D55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Available at </w:t>
            </w:r>
            <w:hyperlink r:id="rId18" w:history="1">
              <w:r w:rsidRPr="0089687D">
                <w:rPr>
                  <w:rStyle w:val="Hyperlink"/>
                  <w:rFonts w:cs="Arial"/>
                  <w:sz w:val="21"/>
                  <w:szCs w:val="21"/>
                </w:rPr>
                <w:t>Bulletins and Program Management Circulars (PMC)</w:t>
              </w:r>
            </w:hyperlink>
            <w:r w:rsidRPr="0089687D">
              <w:rPr>
                <w:rFonts w:cs="Arial"/>
                <w:sz w:val="21"/>
                <w:szCs w:val="21"/>
              </w:rPr>
              <w:t xml:space="preserve"> </w:t>
            </w:r>
            <w:r w:rsidR="0089687D">
              <w:rPr>
                <w:rFonts w:cs="Arial"/>
                <w:sz w:val="21"/>
                <w:szCs w:val="21"/>
              </w:rPr>
              <w:t>-</w:t>
            </w:r>
            <w:r w:rsidRPr="0089687D">
              <w:rPr>
                <w:rFonts w:cs="Arial"/>
                <w:sz w:val="21"/>
                <w:szCs w:val="21"/>
              </w:rPr>
              <w:t xml:space="preserve"> https://www.health.vic.gov.au/research-and-reporting/bulletins-and-program-management-circulars-pmc&gt;</w:t>
            </w:r>
          </w:p>
          <w:p w14:paraId="6F39D5FF" w14:textId="4EF40558" w:rsidR="000C0404" w:rsidRPr="006B6A18" w:rsidRDefault="000C0404" w:rsidP="00113D55">
            <w:pPr>
              <w:pStyle w:val="DHHSbody"/>
              <w:rPr>
                <w:rFonts w:cs="Arial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© State of Victoria, Department of Health and Human Services, </w:t>
            </w:r>
            <w:r w:rsidR="00B56296">
              <w:rPr>
                <w:rFonts w:cs="Arial"/>
                <w:sz w:val="21"/>
                <w:szCs w:val="21"/>
              </w:rPr>
              <w:t xml:space="preserve">September </w:t>
            </w:r>
            <w:r w:rsidRPr="0089687D">
              <w:rPr>
                <w:rFonts w:cs="Arial"/>
                <w:sz w:val="21"/>
                <w:szCs w:val="21"/>
              </w:rPr>
              <w:t>202</w:t>
            </w:r>
            <w:r w:rsidR="00B56296">
              <w:rPr>
                <w:rFonts w:cs="Arial"/>
                <w:sz w:val="21"/>
                <w:szCs w:val="21"/>
              </w:rPr>
              <w:t>3</w:t>
            </w:r>
          </w:p>
        </w:tc>
      </w:tr>
    </w:tbl>
    <w:p w14:paraId="4D974E2D" w14:textId="66020155" w:rsidR="00162CA9" w:rsidRDefault="00162CA9" w:rsidP="00CD3700">
      <w:pPr>
        <w:pStyle w:val="Body"/>
      </w:pPr>
    </w:p>
    <w:p w14:paraId="75FA1728" w14:textId="16574E59" w:rsidR="00236DDB" w:rsidRPr="00236DDB" w:rsidRDefault="00236DDB" w:rsidP="00236DDB"/>
    <w:p w14:paraId="2E6566B4" w14:textId="0321CDFA" w:rsidR="00236DDB" w:rsidRPr="00236DDB" w:rsidRDefault="00236DDB" w:rsidP="00236DDB"/>
    <w:p w14:paraId="42E7A758" w14:textId="4C0BA54D" w:rsidR="00236DDB" w:rsidRPr="00236DDB" w:rsidRDefault="00236DDB" w:rsidP="00236DDB"/>
    <w:p w14:paraId="75D14CA4" w14:textId="79762F54" w:rsidR="00236DDB" w:rsidRPr="00236DDB" w:rsidRDefault="00236DDB" w:rsidP="00236DDB">
      <w:pPr>
        <w:tabs>
          <w:tab w:val="left" w:pos="2145"/>
        </w:tabs>
      </w:pPr>
      <w:r>
        <w:tab/>
      </w:r>
    </w:p>
    <w:sectPr w:rsidR="00236DDB" w:rsidRPr="00236DDB" w:rsidSect="00CD3700">
      <w:footerReference w:type="default" r:id="rId19"/>
      <w:type w:val="continuous"/>
      <w:pgSz w:w="11906" w:h="16838" w:code="9"/>
      <w:pgMar w:top="1418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F180" w14:textId="77777777" w:rsidR="00EE5418" w:rsidRDefault="00EE5418">
      <w:r>
        <w:separator/>
      </w:r>
    </w:p>
  </w:endnote>
  <w:endnote w:type="continuationSeparator" w:id="0">
    <w:p w14:paraId="48B75FC5" w14:textId="77777777" w:rsidR="00EE5418" w:rsidRDefault="00EE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788A" w14:textId="77777777" w:rsidR="00B44BBE" w:rsidRDefault="00B44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452" w14:textId="26D96519" w:rsidR="00E261B3" w:rsidRPr="00F65AA9" w:rsidRDefault="00AB793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D08450C" wp14:editId="4D25F65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28434e9e9a05622b70eb1cf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1CF05A" w14:textId="71B18AC4" w:rsidR="00AB7932" w:rsidRPr="00AB7932" w:rsidRDefault="00AB7932" w:rsidP="00AB79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9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8450C" id="_x0000_t202" coordsize="21600,21600" o:spt="202" path="m,l,21600r21600,l21600,xe">
              <v:stroke joinstyle="miter"/>
              <v:path gradientshapeok="t" o:connecttype="rect"/>
            </v:shapetype>
            <v:shape id="MSIPCM28434e9e9a05622b70eb1cf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31CF05A" w14:textId="71B18AC4" w:rsidR="00AB7932" w:rsidRPr="00AB7932" w:rsidRDefault="00AB7932" w:rsidP="00AB79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9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1FC" w14:textId="1D1A2CF0" w:rsidR="00E261B3" w:rsidRDefault="00AB79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103AB8F3" wp14:editId="4BDAF1D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cf9d4821815d4bbfa037607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FD7AD" w14:textId="24A4610E" w:rsidR="00AB7932" w:rsidRPr="00AB7932" w:rsidRDefault="00AB7932" w:rsidP="00AB79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9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AB8F3" id="_x0000_t202" coordsize="21600,21600" o:spt="202" path="m,l,21600r21600,l21600,xe">
              <v:stroke joinstyle="miter"/>
              <v:path gradientshapeok="t" o:connecttype="rect"/>
            </v:shapetype>
            <v:shape id="MSIPCMcf9d4821815d4bbfa037607b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6DFD7AD" w14:textId="24A4610E" w:rsidR="00AB7932" w:rsidRPr="00AB7932" w:rsidRDefault="00AB7932" w:rsidP="00AB79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9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8AC2" w14:textId="6594D6F6" w:rsidR="00373890" w:rsidRPr="00CD3700" w:rsidRDefault="00B56296" w:rsidP="000C0404">
    <w:pPr>
      <w:pStyle w:val="Footer"/>
      <w:tabs>
        <w:tab w:val="left" w:pos="345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0E086" wp14:editId="1CD4297E">
              <wp:simplePos x="0" y="0"/>
              <wp:positionH relativeFrom="column">
                <wp:posOffset>-54610</wp:posOffset>
              </wp:positionH>
              <wp:positionV relativeFrom="paragraph">
                <wp:posOffset>14605</wp:posOffset>
              </wp:positionV>
              <wp:extent cx="624840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FFC299" w14:textId="2727D30E" w:rsidR="000C0404" w:rsidRPr="0051568D" w:rsidRDefault="000C0404" w:rsidP="000C0404">
                          <w:pPr>
                            <w:pStyle w:val="Header"/>
                          </w:pPr>
                          <w:r>
                            <w:t xml:space="preserve">Mental Health Bulletin </w:t>
                          </w:r>
                          <w:r w:rsidR="00236DDB">
                            <w:t>79</w:t>
                          </w:r>
                          <w:r w:rsidR="00C40D8F">
                            <w:t xml:space="preserve"> – </w:t>
                          </w:r>
                          <w:r w:rsidR="00B56296">
                            <w:t>Putting Families First (PFF) Initiative</w:t>
                          </w:r>
                        </w:p>
                        <w:p w14:paraId="4F3006D0" w14:textId="77777777" w:rsidR="000C0404" w:rsidRDefault="000C04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0E0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4.3pt;margin-top:1.15pt;width:492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" fillcolor="white [3201]" stroked="f" strokeweight=".5pt">
              <v:textbox>
                <w:txbxContent>
                  <w:p w14:paraId="77FFC299" w14:textId="2727D30E" w:rsidR="000C0404" w:rsidRPr="0051568D" w:rsidRDefault="000C0404" w:rsidP="000C0404">
                    <w:pPr>
                      <w:pStyle w:val="Header"/>
                    </w:pPr>
                    <w:r>
                      <w:t xml:space="preserve">Mental Health Bulletin </w:t>
                    </w:r>
                    <w:r w:rsidR="00236DDB">
                      <w:t>79</w:t>
                    </w:r>
                    <w:r w:rsidR="00C40D8F">
                      <w:t xml:space="preserve"> – </w:t>
                    </w:r>
                    <w:r w:rsidR="00B56296">
                      <w:t>Putting Families First (PFF) Initiative</w:t>
                    </w:r>
                  </w:p>
                  <w:p w14:paraId="4F3006D0" w14:textId="77777777" w:rsidR="000C0404" w:rsidRDefault="000C0404"/>
                </w:txbxContent>
              </v:textbox>
            </v:shape>
          </w:pict>
        </mc:Fallback>
      </mc:AlternateContent>
    </w:r>
    <w:r w:rsidR="00AB79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5C594D" wp14:editId="361421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023a485582f539c581f48f21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DC5F1E" w14:textId="24E5FEAB" w:rsidR="00AB7932" w:rsidRPr="00AB7932" w:rsidRDefault="00AB7932" w:rsidP="00AB79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9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5C594D" id="MSIPCM023a485582f539c581f48f21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2DC5F1E" w14:textId="24E5FEAB" w:rsidR="00AB7932" w:rsidRPr="00AB7932" w:rsidRDefault="00AB7932" w:rsidP="00AB79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9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0404">
      <w:tab/>
    </w:r>
    <w:r w:rsidR="000C040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EB68" w14:textId="77777777" w:rsidR="00EE5418" w:rsidRDefault="00EE5418" w:rsidP="002862F1">
      <w:pPr>
        <w:spacing w:before="120"/>
      </w:pPr>
      <w:r>
        <w:separator/>
      </w:r>
    </w:p>
  </w:footnote>
  <w:footnote w:type="continuationSeparator" w:id="0">
    <w:p w14:paraId="75A9D9CE" w14:textId="77777777" w:rsidR="00EE5418" w:rsidRDefault="00EE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A1F9" w14:textId="77777777" w:rsidR="00B44BBE" w:rsidRDefault="00B44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5C4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97E2" w14:textId="77777777" w:rsidR="00B44BBE" w:rsidRDefault="00B44B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2280" w14:textId="04B412EF" w:rsidR="000C0404" w:rsidRDefault="00B44BBE">
    <w:pPr>
      <w:pStyle w:val="Header"/>
      <w:jc w:val="right"/>
    </w:pPr>
    <w:sdt>
      <w:sdtPr>
        <w:id w:val="1591270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0404">
          <w:fldChar w:fldCharType="begin"/>
        </w:r>
        <w:r w:rsidR="000C0404">
          <w:instrText xml:space="preserve"> PAGE   \* MERGEFORMAT </w:instrText>
        </w:r>
        <w:r w:rsidR="000C0404">
          <w:fldChar w:fldCharType="separate"/>
        </w:r>
        <w:r w:rsidR="000C0404">
          <w:rPr>
            <w:noProof/>
          </w:rPr>
          <w:t>2</w:t>
        </w:r>
        <w:r w:rsidR="000C0404">
          <w:rPr>
            <w:noProof/>
          </w:rPr>
          <w:fldChar w:fldCharType="end"/>
        </w:r>
      </w:sdtContent>
    </w:sdt>
  </w:p>
  <w:p w14:paraId="2C48B1C9" w14:textId="6DF38239" w:rsidR="00E261B3" w:rsidRPr="000C0404" w:rsidRDefault="00E261B3" w:rsidP="000C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F25A5"/>
    <w:multiLevelType w:val="hybridMultilevel"/>
    <w:tmpl w:val="E1643C76"/>
    <w:lvl w:ilvl="0" w:tplc="A524F7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70D0E"/>
    <w:multiLevelType w:val="hybridMultilevel"/>
    <w:tmpl w:val="88F49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E7C50"/>
    <w:multiLevelType w:val="hybridMultilevel"/>
    <w:tmpl w:val="B59CA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D7676"/>
    <w:multiLevelType w:val="hybridMultilevel"/>
    <w:tmpl w:val="D8B6360C"/>
    <w:lvl w:ilvl="0" w:tplc="7026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01E16"/>
    <w:multiLevelType w:val="hybridMultilevel"/>
    <w:tmpl w:val="F7C4B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151B6"/>
    <w:multiLevelType w:val="multilevel"/>
    <w:tmpl w:val="DBE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BE50BA"/>
    <w:multiLevelType w:val="hybridMultilevel"/>
    <w:tmpl w:val="62164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A286189"/>
    <w:multiLevelType w:val="hybridMultilevel"/>
    <w:tmpl w:val="69789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7D63DA"/>
    <w:multiLevelType w:val="hybridMultilevel"/>
    <w:tmpl w:val="DC80CC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41672">
    <w:abstractNumId w:val="10"/>
  </w:num>
  <w:num w:numId="2" w16cid:durableId="1500998465">
    <w:abstractNumId w:val="25"/>
  </w:num>
  <w:num w:numId="3" w16cid:durableId="1528524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424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4501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1826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000521">
    <w:abstractNumId w:val="29"/>
  </w:num>
  <w:num w:numId="8" w16cid:durableId="283967901">
    <w:abstractNumId w:val="23"/>
  </w:num>
  <w:num w:numId="9" w16cid:durableId="351223786">
    <w:abstractNumId w:val="28"/>
  </w:num>
  <w:num w:numId="10" w16cid:durableId="1528758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9628115">
    <w:abstractNumId w:val="30"/>
  </w:num>
  <w:num w:numId="12" w16cid:durableId="14355952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7029313">
    <w:abstractNumId w:val="26"/>
  </w:num>
  <w:num w:numId="14" w16cid:durableId="12330042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79165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2352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180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1372624">
    <w:abstractNumId w:val="32"/>
  </w:num>
  <w:num w:numId="19" w16cid:durableId="1561962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2263969">
    <w:abstractNumId w:val="14"/>
  </w:num>
  <w:num w:numId="21" w16cid:durableId="715547886">
    <w:abstractNumId w:val="12"/>
  </w:num>
  <w:num w:numId="22" w16cid:durableId="250897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3465395">
    <w:abstractNumId w:val="15"/>
  </w:num>
  <w:num w:numId="24" w16cid:durableId="1675574314">
    <w:abstractNumId w:val="33"/>
  </w:num>
  <w:num w:numId="25" w16cid:durableId="60955711">
    <w:abstractNumId w:val="31"/>
  </w:num>
  <w:num w:numId="26" w16cid:durableId="1230727496">
    <w:abstractNumId w:val="27"/>
  </w:num>
  <w:num w:numId="27" w16cid:durableId="1418209731">
    <w:abstractNumId w:val="11"/>
  </w:num>
  <w:num w:numId="28" w16cid:durableId="1397582929">
    <w:abstractNumId w:val="34"/>
  </w:num>
  <w:num w:numId="29" w16cid:durableId="1525558671">
    <w:abstractNumId w:val="9"/>
  </w:num>
  <w:num w:numId="30" w16cid:durableId="870612052">
    <w:abstractNumId w:val="7"/>
  </w:num>
  <w:num w:numId="31" w16cid:durableId="1925801672">
    <w:abstractNumId w:val="6"/>
  </w:num>
  <w:num w:numId="32" w16cid:durableId="1770349554">
    <w:abstractNumId w:val="5"/>
  </w:num>
  <w:num w:numId="33" w16cid:durableId="1979262570">
    <w:abstractNumId w:val="4"/>
  </w:num>
  <w:num w:numId="34" w16cid:durableId="39937732">
    <w:abstractNumId w:val="8"/>
  </w:num>
  <w:num w:numId="35" w16cid:durableId="1332296362">
    <w:abstractNumId w:val="3"/>
  </w:num>
  <w:num w:numId="36" w16cid:durableId="517737215">
    <w:abstractNumId w:val="2"/>
  </w:num>
  <w:num w:numId="37" w16cid:durableId="780534722">
    <w:abstractNumId w:val="1"/>
  </w:num>
  <w:num w:numId="38" w16cid:durableId="1222326721">
    <w:abstractNumId w:val="0"/>
  </w:num>
  <w:num w:numId="39" w16cid:durableId="6663256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532566">
    <w:abstractNumId w:val="21"/>
  </w:num>
  <w:num w:numId="41" w16cid:durableId="19251894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4659171">
    <w:abstractNumId w:val="18"/>
  </w:num>
  <w:num w:numId="43" w16cid:durableId="1354922933">
    <w:abstractNumId w:val="17"/>
  </w:num>
  <w:num w:numId="44" w16cid:durableId="1390498238">
    <w:abstractNumId w:val="35"/>
  </w:num>
  <w:num w:numId="45" w16cid:durableId="998264167">
    <w:abstractNumId w:val="16"/>
  </w:num>
  <w:num w:numId="46" w16cid:durableId="1999384687">
    <w:abstractNumId w:val="22"/>
  </w:num>
  <w:num w:numId="47" w16cid:durableId="1784766306">
    <w:abstractNumId w:val="20"/>
  </w:num>
  <w:num w:numId="48" w16cid:durableId="146311507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3403"/>
    <w:rsid w:val="0000519F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14B"/>
    <w:rsid w:val="000733FE"/>
    <w:rsid w:val="00074219"/>
    <w:rsid w:val="00074ED5"/>
    <w:rsid w:val="000835C6"/>
    <w:rsid w:val="0008508E"/>
    <w:rsid w:val="000851BD"/>
    <w:rsid w:val="00087951"/>
    <w:rsid w:val="000910F8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D083D"/>
    <w:rsid w:val="000D1242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F3D"/>
    <w:rsid w:val="001B058F"/>
    <w:rsid w:val="001B738B"/>
    <w:rsid w:val="001C09DB"/>
    <w:rsid w:val="001C277E"/>
    <w:rsid w:val="001C2A72"/>
    <w:rsid w:val="001C31B7"/>
    <w:rsid w:val="001C7C7C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494"/>
    <w:rsid w:val="00216C03"/>
    <w:rsid w:val="00220C04"/>
    <w:rsid w:val="0022278D"/>
    <w:rsid w:val="0022701F"/>
    <w:rsid w:val="00227C68"/>
    <w:rsid w:val="002333F5"/>
    <w:rsid w:val="00233724"/>
    <w:rsid w:val="00235270"/>
    <w:rsid w:val="002365B4"/>
    <w:rsid w:val="00236DDB"/>
    <w:rsid w:val="0024030A"/>
    <w:rsid w:val="00241FB7"/>
    <w:rsid w:val="002432E1"/>
    <w:rsid w:val="00244E23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975"/>
    <w:rsid w:val="003716FD"/>
    <w:rsid w:val="0037204B"/>
    <w:rsid w:val="00373350"/>
    <w:rsid w:val="00373890"/>
    <w:rsid w:val="003744CF"/>
    <w:rsid w:val="00374717"/>
    <w:rsid w:val="0037676C"/>
    <w:rsid w:val="00381043"/>
    <w:rsid w:val="003829E5"/>
    <w:rsid w:val="003838CC"/>
    <w:rsid w:val="00386109"/>
    <w:rsid w:val="00386944"/>
    <w:rsid w:val="00387225"/>
    <w:rsid w:val="003956CC"/>
    <w:rsid w:val="00395C9A"/>
    <w:rsid w:val="003A0853"/>
    <w:rsid w:val="003A60B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1B8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6C23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4E3A"/>
    <w:rsid w:val="00483968"/>
    <w:rsid w:val="00484F86"/>
    <w:rsid w:val="00485B7D"/>
    <w:rsid w:val="00490746"/>
    <w:rsid w:val="0049083F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5A15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4770"/>
    <w:rsid w:val="00546305"/>
    <w:rsid w:val="00547A95"/>
    <w:rsid w:val="0055119B"/>
    <w:rsid w:val="005548B5"/>
    <w:rsid w:val="00554C28"/>
    <w:rsid w:val="00564BF2"/>
    <w:rsid w:val="00567FB5"/>
    <w:rsid w:val="00572031"/>
    <w:rsid w:val="00572282"/>
    <w:rsid w:val="00573CE3"/>
    <w:rsid w:val="00573F69"/>
    <w:rsid w:val="00576E84"/>
    <w:rsid w:val="00580394"/>
    <w:rsid w:val="005809CD"/>
    <w:rsid w:val="00582B8C"/>
    <w:rsid w:val="0058757E"/>
    <w:rsid w:val="00596A4B"/>
    <w:rsid w:val="00597507"/>
    <w:rsid w:val="005A479D"/>
    <w:rsid w:val="005B024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B27"/>
    <w:rsid w:val="005D3902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6FC6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4EEC"/>
    <w:rsid w:val="006B6803"/>
    <w:rsid w:val="006B6A18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0569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2E0A"/>
    <w:rsid w:val="00873594"/>
    <w:rsid w:val="00873A7E"/>
    <w:rsid w:val="00875285"/>
    <w:rsid w:val="00884B62"/>
    <w:rsid w:val="0088529C"/>
    <w:rsid w:val="00887903"/>
    <w:rsid w:val="0089270A"/>
    <w:rsid w:val="00893AF6"/>
    <w:rsid w:val="00894BC4"/>
    <w:rsid w:val="0089687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624E"/>
    <w:rsid w:val="00900719"/>
    <w:rsid w:val="009017AC"/>
    <w:rsid w:val="00902A9A"/>
    <w:rsid w:val="009034F9"/>
    <w:rsid w:val="00904A1C"/>
    <w:rsid w:val="00904AB4"/>
    <w:rsid w:val="00905030"/>
    <w:rsid w:val="00906490"/>
    <w:rsid w:val="0090783C"/>
    <w:rsid w:val="009111B2"/>
    <w:rsid w:val="00914F82"/>
    <w:rsid w:val="009151F5"/>
    <w:rsid w:val="0091635C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687"/>
    <w:rsid w:val="00951D50"/>
    <w:rsid w:val="009525EB"/>
    <w:rsid w:val="0095470B"/>
    <w:rsid w:val="00954874"/>
    <w:rsid w:val="0095615A"/>
    <w:rsid w:val="00961400"/>
    <w:rsid w:val="00963646"/>
    <w:rsid w:val="009655C7"/>
    <w:rsid w:val="0096632D"/>
    <w:rsid w:val="009718C7"/>
    <w:rsid w:val="0097559F"/>
    <w:rsid w:val="0097761E"/>
    <w:rsid w:val="0098084C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48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889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04EA"/>
    <w:rsid w:val="00A330BB"/>
    <w:rsid w:val="00A44882"/>
    <w:rsid w:val="00A45125"/>
    <w:rsid w:val="00A54715"/>
    <w:rsid w:val="00A6061C"/>
    <w:rsid w:val="00A62D44"/>
    <w:rsid w:val="00A67263"/>
    <w:rsid w:val="00A7161C"/>
    <w:rsid w:val="00A744F0"/>
    <w:rsid w:val="00A77AA3"/>
    <w:rsid w:val="00A8201A"/>
    <w:rsid w:val="00A8236D"/>
    <w:rsid w:val="00A854EB"/>
    <w:rsid w:val="00A872E5"/>
    <w:rsid w:val="00A91406"/>
    <w:rsid w:val="00A96E65"/>
    <w:rsid w:val="00A97C72"/>
    <w:rsid w:val="00AA16BA"/>
    <w:rsid w:val="00AA268E"/>
    <w:rsid w:val="00AA310B"/>
    <w:rsid w:val="00AA63D4"/>
    <w:rsid w:val="00AB06E8"/>
    <w:rsid w:val="00AB1CD3"/>
    <w:rsid w:val="00AB352F"/>
    <w:rsid w:val="00AB7932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5F04"/>
    <w:rsid w:val="00B00672"/>
    <w:rsid w:val="00B01B4D"/>
    <w:rsid w:val="00B06571"/>
    <w:rsid w:val="00B068BA"/>
    <w:rsid w:val="00B07FF7"/>
    <w:rsid w:val="00B119D5"/>
    <w:rsid w:val="00B13476"/>
    <w:rsid w:val="00B13851"/>
    <w:rsid w:val="00B13B1C"/>
    <w:rsid w:val="00B14780"/>
    <w:rsid w:val="00B16AC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4BBE"/>
    <w:rsid w:val="00B45141"/>
    <w:rsid w:val="00B46DE7"/>
    <w:rsid w:val="00B519CD"/>
    <w:rsid w:val="00B5273A"/>
    <w:rsid w:val="00B56296"/>
    <w:rsid w:val="00B57329"/>
    <w:rsid w:val="00B60E61"/>
    <w:rsid w:val="00B617C4"/>
    <w:rsid w:val="00B62B50"/>
    <w:rsid w:val="00B63228"/>
    <w:rsid w:val="00B635B7"/>
    <w:rsid w:val="00B63AE8"/>
    <w:rsid w:val="00B65950"/>
    <w:rsid w:val="00B66D83"/>
    <w:rsid w:val="00B672C0"/>
    <w:rsid w:val="00B676FD"/>
    <w:rsid w:val="00B7427D"/>
    <w:rsid w:val="00B75646"/>
    <w:rsid w:val="00B756C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208"/>
    <w:rsid w:val="00BD2850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2989"/>
    <w:rsid w:val="00C33388"/>
    <w:rsid w:val="00C35484"/>
    <w:rsid w:val="00C40D8F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0DA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3700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17ECC"/>
    <w:rsid w:val="00D3185C"/>
    <w:rsid w:val="00D3205F"/>
    <w:rsid w:val="00D3318E"/>
    <w:rsid w:val="00D33E72"/>
    <w:rsid w:val="00D35BD6"/>
    <w:rsid w:val="00D361B5"/>
    <w:rsid w:val="00D405AC"/>
    <w:rsid w:val="00D411A2"/>
    <w:rsid w:val="00D45F9D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970B8"/>
    <w:rsid w:val="00DA2619"/>
    <w:rsid w:val="00DA4239"/>
    <w:rsid w:val="00DA42B5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78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6DF8"/>
    <w:rsid w:val="00DF731A"/>
    <w:rsid w:val="00E038B7"/>
    <w:rsid w:val="00E06B75"/>
    <w:rsid w:val="00E11332"/>
    <w:rsid w:val="00E11352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54950"/>
    <w:rsid w:val="00E56A01"/>
    <w:rsid w:val="00E57760"/>
    <w:rsid w:val="00E57F1B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848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78A4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DD"/>
    <w:rsid w:val="00F56EF6"/>
    <w:rsid w:val="00F60082"/>
    <w:rsid w:val="00F61A9F"/>
    <w:rsid w:val="00F61B5F"/>
    <w:rsid w:val="00F64696"/>
    <w:rsid w:val="00F65AA9"/>
    <w:rsid w:val="00F6768F"/>
    <w:rsid w:val="00F712D8"/>
    <w:rsid w:val="00F7200F"/>
    <w:rsid w:val="00F72C2C"/>
    <w:rsid w:val="00F76CAB"/>
    <w:rsid w:val="00F772C6"/>
    <w:rsid w:val="00F815B5"/>
    <w:rsid w:val="00F81DBF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499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health.vic.gov.au/research-and-reporting/bulletins-and-program-management-circulars-pm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MHDReporting@dhhs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MHDReporting@health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health.vic.gov.au/research-and-reporting/bulletins-and-program-management-circulars-pmc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 Bulletin 79 - Putting Families First</vt:lpstr>
    </vt:vector>
  </TitlesOfParts>
  <Manager/>
  <Company/>
  <LinksUpToDate>false</LinksUpToDate>
  <CharactersWithSpaces>3840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 Bulletin 79 - Putting Families First</dc:title>
  <dc:subject>Putting Families First</dc:subject>
  <dc:creator/>
  <cp:keywords>families, subcentre, first</cp:keywords>
  <dc:description/>
  <cp:lastModifiedBy/>
  <cp:revision>1</cp:revision>
  <dcterms:created xsi:type="dcterms:W3CDTF">2023-09-18T02:43:00Z</dcterms:created>
  <dcterms:modified xsi:type="dcterms:W3CDTF">2023-09-18T05:16:00Z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2023-09-18T05:16:39Z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6ba7e760-946a-4e0c-be5b-0cd1039ee18b</vt:lpwstr>
  </property>
  <property fmtid="{D5CDD505-2E9C-101B-9397-08002B2CF9AE}" pid="8" name="MSIP_Label_43e64453-338c-4f93-8a4d-0039a0a41f2a_ContentBits">
    <vt:lpwstr>2</vt:lpwstr>
  </property>
</Properties>
</file>