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48C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9EF96D" wp14:editId="2DD3A5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8D5B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03749A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1C7166" w14:textId="5996A235" w:rsidR="003B5733" w:rsidRPr="003B5733" w:rsidRDefault="00EE5418" w:rsidP="003B5733">
            <w:pPr>
              <w:pStyle w:val="Documenttitle"/>
            </w:pPr>
            <w:r w:rsidRPr="003E11B8">
              <w:rPr>
                <w:color w:val="365F91" w:themeColor="accent1" w:themeShade="BF"/>
              </w:rPr>
              <w:t>Mental Health Bulletin</w:t>
            </w:r>
            <w:r w:rsidR="00B756CA" w:rsidRPr="003E11B8">
              <w:rPr>
                <w:color w:val="365F91" w:themeColor="accent1" w:themeShade="BF"/>
              </w:rPr>
              <w:t xml:space="preserve"> </w:t>
            </w:r>
            <w:r w:rsidR="00563706">
              <w:rPr>
                <w:color w:val="365F91" w:themeColor="accent1" w:themeShade="BF"/>
              </w:rPr>
              <w:t>66</w:t>
            </w:r>
          </w:p>
        </w:tc>
      </w:tr>
      <w:tr w:rsidR="003B5733" w14:paraId="02FE8311" w14:textId="77777777" w:rsidTr="00B07FF7">
        <w:tc>
          <w:tcPr>
            <w:tcW w:w="10348" w:type="dxa"/>
          </w:tcPr>
          <w:p w14:paraId="44120960" w14:textId="27A240AE" w:rsidR="003B5733" w:rsidRPr="00A1389F" w:rsidRDefault="00AD5E65" w:rsidP="005F44C0">
            <w:pPr>
              <w:pStyle w:val="Documentsubtitle"/>
            </w:pPr>
            <w:r>
              <w:t xml:space="preserve">Infant, Child &amp; Family </w:t>
            </w:r>
            <w:r w:rsidR="00E63C5A">
              <w:t xml:space="preserve">Area Mental </w:t>
            </w:r>
            <w:r>
              <w:t>Health and Wellbeing</w:t>
            </w:r>
            <w:r w:rsidR="002C6664">
              <w:t xml:space="preserve"> </w:t>
            </w:r>
            <w:r w:rsidR="00122F76">
              <w:t>(</w:t>
            </w:r>
            <w:r w:rsidR="00965E31">
              <w:t>ICF</w:t>
            </w:r>
            <w:r w:rsidR="00E63C5A">
              <w:t>AM</w:t>
            </w:r>
            <w:r w:rsidR="00965E31">
              <w:t>HW</w:t>
            </w:r>
            <w:r w:rsidR="00122F76">
              <w:t xml:space="preserve">) </w:t>
            </w:r>
            <w:r>
              <w:t>Hubs</w:t>
            </w:r>
          </w:p>
        </w:tc>
      </w:tr>
      <w:tr w:rsidR="003B5733" w14:paraId="30E8F298" w14:textId="77777777" w:rsidTr="00B07FF7">
        <w:tc>
          <w:tcPr>
            <w:tcW w:w="10348" w:type="dxa"/>
          </w:tcPr>
          <w:p w14:paraId="78F6D8D2" w14:textId="77777777" w:rsidR="003B5733" w:rsidRPr="001E5058" w:rsidRDefault="00FD0A6F" w:rsidP="001E5058">
            <w:pPr>
              <w:pStyle w:val="Bannermarking"/>
            </w:pPr>
            <w:fldSimple w:instr=" FILLIN  &quot;Type the protective marking&quot; \d OFFICIAL \o  \* MERGEFORMAT ">
              <w:r w:rsidR="00EE5418">
                <w:t>OFFICIAL</w:t>
              </w:r>
            </w:fldSimple>
          </w:p>
        </w:tc>
      </w:tr>
    </w:tbl>
    <w:p w14:paraId="585630A7" w14:textId="53F69A96" w:rsidR="007173CA" w:rsidRDefault="007173CA" w:rsidP="00D079AA">
      <w:pPr>
        <w:pStyle w:val="Body"/>
      </w:pPr>
    </w:p>
    <w:p w14:paraId="7D955F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4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8BB7357" w14:textId="7FD287ED" w:rsidR="0024030A" w:rsidRPr="003F1D05" w:rsidRDefault="008F4C3A" w:rsidP="0024030A">
      <w:pPr>
        <w:pStyle w:val="Heading2"/>
        <w:rPr>
          <w:color w:val="365F91" w:themeColor="accent1" w:themeShade="BF"/>
        </w:rPr>
      </w:pPr>
      <w:bookmarkStart w:id="0" w:name="_Toc63347079"/>
      <w:r>
        <w:rPr>
          <w:color w:val="365F91" w:themeColor="accent1" w:themeShade="BF"/>
        </w:rPr>
        <w:t>Purpose</w:t>
      </w:r>
    </w:p>
    <w:p w14:paraId="6DB9AA44" w14:textId="1414B38A" w:rsidR="00474E3A" w:rsidRDefault="00474E3A" w:rsidP="00A37BC1">
      <w:pPr>
        <w:pStyle w:val="Body"/>
      </w:pPr>
      <w:r>
        <w:t xml:space="preserve">To provide guidance for the reporting </w:t>
      </w:r>
      <w:r w:rsidR="00A37BC1">
        <w:t xml:space="preserve">in CMI/ODS </w:t>
      </w:r>
      <w:r>
        <w:t xml:space="preserve">of </w:t>
      </w:r>
      <w:r w:rsidR="00A37BC1">
        <w:t xml:space="preserve">mental health consumers attending an Infant, Child &amp; Family </w:t>
      </w:r>
      <w:r w:rsidR="00E63C5A">
        <w:t xml:space="preserve">Area Mental </w:t>
      </w:r>
      <w:r w:rsidR="00A37BC1">
        <w:t>Health &amp; Wellbeing hub</w:t>
      </w:r>
      <w:r w:rsidR="008F4C3A">
        <w:t>.</w:t>
      </w:r>
    </w:p>
    <w:p w14:paraId="323515AB" w14:textId="77777777" w:rsidR="0024030A" w:rsidRPr="0024030A" w:rsidRDefault="0024030A" w:rsidP="0024030A">
      <w:pPr>
        <w:pStyle w:val="Body"/>
      </w:pPr>
    </w:p>
    <w:p w14:paraId="1FBC51AB" w14:textId="484453A4" w:rsidR="00F278A4" w:rsidRPr="003F1D05" w:rsidRDefault="00474E3A" w:rsidP="00F278A4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Overview</w:t>
      </w:r>
    </w:p>
    <w:bookmarkEnd w:id="0"/>
    <w:p w14:paraId="36FE524E" w14:textId="38CF4612" w:rsidR="00A37BC1" w:rsidRDefault="00A37BC1" w:rsidP="00A37BC1">
      <w:pPr>
        <w:rPr>
          <w:rFonts w:cs="Arial"/>
          <w:szCs w:val="21"/>
        </w:rPr>
      </w:pPr>
      <w:r>
        <w:rPr>
          <w:rFonts w:cs="Arial"/>
          <w:szCs w:val="21"/>
        </w:rPr>
        <w:t xml:space="preserve">The Royal Commission called for </w:t>
      </w:r>
      <w:r w:rsidR="008F4C3A">
        <w:rPr>
          <w:rFonts w:cs="Arial"/>
          <w:szCs w:val="21"/>
        </w:rPr>
        <w:t xml:space="preserve">a </w:t>
      </w:r>
      <w:r>
        <w:rPr>
          <w:rFonts w:cs="Arial"/>
          <w:szCs w:val="21"/>
        </w:rPr>
        <w:t xml:space="preserve">new infant, child and family mental health and wellbeing system for children aged 0-11 years.  </w:t>
      </w:r>
      <w:r w:rsidR="00E63C5A">
        <w:rPr>
          <w:rFonts w:cs="Arial"/>
          <w:szCs w:val="21"/>
        </w:rPr>
        <w:t>The Infant, Child &amp; Family Health &amp; Wellbeing hubs will improve access to integrated and community-based multidisciplinary services for children aged 0-11 years who are experiencing developmental, emotional, relational and behavioural challenges, and their families.</w:t>
      </w:r>
      <w:r>
        <w:rPr>
          <w:rFonts w:cs="Arial"/>
          <w:szCs w:val="21"/>
        </w:rPr>
        <w:t xml:space="preserve">  </w:t>
      </w:r>
      <w:r w:rsidR="00E63C5A">
        <w:rPr>
          <w:rFonts w:cs="Arial"/>
          <w:szCs w:val="21"/>
        </w:rPr>
        <w:t>The hubs will deliver a range of paediatric health, mental health and family services with t</w:t>
      </w:r>
      <w:r>
        <w:rPr>
          <w:rFonts w:cs="Arial"/>
          <w:szCs w:val="21"/>
        </w:rPr>
        <w:t>he focus on early intervention and providing age-appropriate care.</w:t>
      </w:r>
    </w:p>
    <w:p w14:paraId="1024880B" w14:textId="2983AED0" w:rsidR="0024030A" w:rsidRPr="00A37BC1" w:rsidRDefault="00E63C5A" w:rsidP="00A37BC1">
      <w:pPr>
        <w:rPr>
          <w:rFonts w:cs="Arial"/>
          <w:szCs w:val="21"/>
        </w:rPr>
      </w:pPr>
      <w:r>
        <w:rPr>
          <w:rFonts w:cs="Arial"/>
          <w:szCs w:val="21"/>
        </w:rPr>
        <w:t xml:space="preserve">Community health services will be the lead agency responsible for the development, implementation and monitoring of hub services.  </w:t>
      </w:r>
      <w:r w:rsidR="00A37BC1">
        <w:rPr>
          <w:rFonts w:cs="Arial"/>
          <w:szCs w:val="21"/>
        </w:rPr>
        <w:t>During 2022 three of these hubs will commence operation at Loddon (Bendigo), Southern Melb</w:t>
      </w:r>
      <w:r w:rsidR="00122F76">
        <w:rPr>
          <w:rFonts w:cs="Arial"/>
          <w:szCs w:val="21"/>
        </w:rPr>
        <w:t>ou</w:t>
      </w:r>
      <w:r w:rsidR="00A37BC1">
        <w:rPr>
          <w:rFonts w:cs="Arial"/>
          <w:szCs w:val="21"/>
        </w:rPr>
        <w:t>rne (Monash) and Brimbank</w:t>
      </w:r>
      <w:r w:rsidR="008F4C3A">
        <w:rPr>
          <w:rFonts w:cs="Arial"/>
          <w:szCs w:val="21"/>
        </w:rPr>
        <w:t>-</w:t>
      </w:r>
      <w:r w:rsidR="00122F76">
        <w:rPr>
          <w:rFonts w:cs="Arial"/>
          <w:szCs w:val="21"/>
        </w:rPr>
        <w:t>Melton (RCH).</w:t>
      </w:r>
      <w:r w:rsidR="0024030A" w:rsidRPr="00A37BC1">
        <w:rPr>
          <w:rFonts w:cs="Arial"/>
          <w:szCs w:val="21"/>
        </w:rPr>
        <w:br/>
      </w:r>
    </w:p>
    <w:p w14:paraId="11FBD63E" w14:textId="0FB47AB4" w:rsidR="00C1749E" w:rsidRPr="00951687" w:rsidRDefault="00C1749E" w:rsidP="00951687">
      <w:pPr>
        <w:rPr>
          <w:rFonts w:cs="Arial"/>
        </w:rPr>
      </w:pPr>
    </w:p>
    <w:p w14:paraId="43325044" w14:textId="23A9199F" w:rsidR="009034F9" w:rsidRDefault="00BF7345" w:rsidP="00241FB7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Activity Data Reporting</w:t>
      </w:r>
    </w:p>
    <w:p w14:paraId="2743B8DB" w14:textId="14597762" w:rsidR="00BF7345" w:rsidRDefault="00BF7345" w:rsidP="00A37BC1">
      <w:pPr>
        <w:pStyle w:val="Body"/>
      </w:pPr>
      <w:r>
        <w:t xml:space="preserve">It is important that all consumers who receive a face to face mental health assessment </w:t>
      </w:r>
      <w:r w:rsidR="00965E31">
        <w:t>by a</w:t>
      </w:r>
      <w:r w:rsidR="00D64B82">
        <w:t>n AMHS</w:t>
      </w:r>
      <w:r w:rsidR="00965E31">
        <w:t xml:space="preserve"> CAMHS clinician </w:t>
      </w:r>
      <w:r w:rsidR="00A37BC1">
        <w:t xml:space="preserve">at the Infant, Child &amp; Family </w:t>
      </w:r>
      <w:r w:rsidR="00E63C5A">
        <w:t xml:space="preserve">Area Mental </w:t>
      </w:r>
      <w:r w:rsidR="00A37BC1">
        <w:t>Health &amp; Wellbeing hubs are registered on CMI/ODS</w:t>
      </w:r>
      <w:r w:rsidR="008F4C3A">
        <w:t xml:space="preserve"> in accordance with </w:t>
      </w:r>
      <w:r w:rsidR="00965E31">
        <w:t xml:space="preserve">the </w:t>
      </w:r>
      <w:r w:rsidR="008F4C3A">
        <w:t>Program Management Circular, Registration of mental health consumers</w:t>
      </w:r>
      <w:r w:rsidR="00A37BC1">
        <w:t>.</w:t>
      </w:r>
    </w:p>
    <w:p w14:paraId="697F5F6F" w14:textId="22932BDE" w:rsidR="005C52C2" w:rsidRDefault="005C52C2" w:rsidP="00A37BC1">
      <w:pPr>
        <w:pStyle w:val="Body"/>
      </w:pPr>
      <w:r>
        <w:t>The reporting of phase of care, outcome measures and contact hours including parenting programs will be required.</w:t>
      </w:r>
    </w:p>
    <w:p w14:paraId="5FF3EB6D" w14:textId="3E85FA10" w:rsidR="00BF7345" w:rsidRDefault="00BF7345" w:rsidP="00BF7345">
      <w:pPr>
        <w:pStyle w:val="Body"/>
      </w:pPr>
    </w:p>
    <w:p w14:paraId="34D71B18" w14:textId="77777777" w:rsidR="005A6D29" w:rsidRDefault="005A6D29" w:rsidP="00BF7345">
      <w:pPr>
        <w:pStyle w:val="Body"/>
      </w:pPr>
    </w:p>
    <w:p w14:paraId="0E31FCA2" w14:textId="053A4AB2" w:rsidR="00BF7345" w:rsidRDefault="00BF7345" w:rsidP="00BF7345">
      <w:pPr>
        <w:pStyle w:val="Heading2"/>
      </w:pPr>
      <w:r>
        <w:t>Subcentre / Program Setup</w:t>
      </w:r>
    </w:p>
    <w:p w14:paraId="28503122" w14:textId="20ABECD3" w:rsidR="00BF7345" w:rsidRDefault="00BF7345" w:rsidP="00BF7345">
      <w:pPr>
        <w:pStyle w:val="Body"/>
      </w:pPr>
      <w:r>
        <w:t>Th</w:t>
      </w:r>
      <w:r w:rsidR="00E63C5A">
        <w:t>e</w:t>
      </w:r>
      <w:r>
        <w:t xml:space="preserve"> subcentre and program </w:t>
      </w:r>
      <w:r w:rsidR="00E63C5A">
        <w:t xml:space="preserve">set up </w:t>
      </w:r>
      <w:r>
        <w:t>to be used</w:t>
      </w:r>
      <w:r w:rsidR="00E63C5A">
        <w:t xml:space="preserve"> in CMI/ODS</w:t>
      </w:r>
      <w:r>
        <w:t xml:space="preserve"> for </w:t>
      </w:r>
      <w:r w:rsidR="008F4C3A">
        <w:t>the Infant, Child &amp; Family</w:t>
      </w:r>
      <w:r w:rsidR="00154DC6">
        <w:t xml:space="preserve"> </w:t>
      </w:r>
      <w:r w:rsidR="00E63C5A">
        <w:t xml:space="preserve">Area Mental </w:t>
      </w:r>
      <w:r w:rsidR="008F4C3A">
        <w:t>Health &amp; Wellbeing (</w:t>
      </w:r>
      <w:r w:rsidR="00D44962">
        <w:t>ICF</w:t>
      </w:r>
      <w:r w:rsidR="00E63C5A">
        <w:t>AM</w:t>
      </w:r>
      <w:r w:rsidR="00D44962">
        <w:t>HW</w:t>
      </w:r>
      <w:r w:rsidR="008F4C3A">
        <w:t>)</w:t>
      </w:r>
      <w:r>
        <w:t xml:space="preserve"> hub</w:t>
      </w:r>
      <w:r w:rsidR="00E63C5A">
        <w:t xml:space="preserve"> is shown below</w:t>
      </w:r>
      <w:r w:rsidR="008F4C3A">
        <w:t>.</w:t>
      </w:r>
      <w:r>
        <w:t xml:space="preserve"> </w:t>
      </w:r>
      <w:r w:rsidR="00907AA8">
        <w:t xml:space="preserve">As stated, </w:t>
      </w:r>
      <w:r>
        <w:t>Phase of Care and outcome measures are required.</w:t>
      </w:r>
    </w:p>
    <w:p w14:paraId="0E1A8775" w14:textId="77777777" w:rsidR="005A6D29" w:rsidRDefault="005A6D29" w:rsidP="00BF7345">
      <w:pPr>
        <w:pStyle w:val="DHHSbody"/>
        <w:rPr>
          <w:rFonts w:cs="Arial"/>
          <w:b/>
          <w:color w:val="004EA8"/>
          <w:sz w:val="22"/>
        </w:rPr>
      </w:pPr>
    </w:p>
    <w:p w14:paraId="52832776" w14:textId="77777777" w:rsidR="005A6D29" w:rsidRDefault="005A6D29" w:rsidP="00BF7345">
      <w:pPr>
        <w:pStyle w:val="DHHSbody"/>
        <w:rPr>
          <w:rFonts w:cs="Arial"/>
          <w:b/>
          <w:color w:val="004EA8"/>
          <w:sz w:val="22"/>
        </w:rPr>
      </w:pPr>
    </w:p>
    <w:p w14:paraId="320905E0" w14:textId="77777777" w:rsidR="005A6D29" w:rsidRDefault="005A6D29" w:rsidP="00BF7345">
      <w:pPr>
        <w:pStyle w:val="DHHSbody"/>
        <w:rPr>
          <w:rFonts w:cs="Arial"/>
          <w:b/>
          <w:color w:val="004EA8"/>
          <w:sz w:val="22"/>
        </w:rPr>
      </w:pPr>
    </w:p>
    <w:p w14:paraId="68823B0C" w14:textId="20479503" w:rsidR="00BF7345" w:rsidRPr="002E2FFA" w:rsidRDefault="00BF7345" w:rsidP="00BF7345">
      <w:pPr>
        <w:pStyle w:val="DHHSbody"/>
        <w:rPr>
          <w:rFonts w:cs="Arial"/>
          <w:b/>
          <w:color w:val="004EA8"/>
          <w:sz w:val="22"/>
        </w:rPr>
      </w:pPr>
      <w:r w:rsidRPr="002E2FFA">
        <w:rPr>
          <w:rFonts w:cs="Arial"/>
          <w:b/>
          <w:color w:val="004EA8"/>
          <w:sz w:val="22"/>
        </w:rPr>
        <w:lastRenderedPageBreak/>
        <w:t>Subcentre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417"/>
        <w:gridCol w:w="1134"/>
        <w:gridCol w:w="1559"/>
      </w:tblGrid>
      <w:tr w:rsidR="00DA0874" w:rsidRPr="009C53C9" w14:paraId="68E36ED5" w14:textId="77777777" w:rsidTr="00907AA8">
        <w:tc>
          <w:tcPr>
            <w:tcW w:w="2689" w:type="dxa"/>
            <w:shd w:val="clear" w:color="auto" w:fill="DBE5F1" w:themeFill="accent1" w:themeFillTint="33"/>
          </w:tcPr>
          <w:p w14:paraId="108FC5C1" w14:textId="441D7933" w:rsidR="00DA0874" w:rsidRPr="008627EA" w:rsidRDefault="00DA0874" w:rsidP="00D44962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Campus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72026F4" w14:textId="062690DB" w:rsidR="00DA0874" w:rsidRPr="008627EA" w:rsidRDefault="00DA0874" w:rsidP="00D44962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</w:t>
            </w:r>
            <w:r>
              <w:rPr>
                <w:rFonts w:cs="Arial"/>
                <w:b/>
              </w:rPr>
              <w:t xml:space="preserve"> Name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5783588C" w14:textId="77777777" w:rsidR="00DA0874" w:rsidRPr="008627EA" w:rsidRDefault="00DA0874" w:rsidP="00D44962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 Type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4D484C9" w14:textId="77777777" w:rsidR="00DA0874" w:rsidRPr="008627EA" w:rsidRDefault="00DA0874" w:rsidP="00D44962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Caseload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7F6FA0C" w14:textId="77777777" w:rsidR="00DA0874" w:rsidRPr="008627EA" w:rsidRDefault="00DA0874" w:rsidP="00D44962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Open Reason</w:t>
            </w:r>
          </w:p>
        </w:tc>
      </w:tr>
      <w:tr w:rsidR="00DA0874" w:rsidRPr="00D63175" w14:paraId="5C16C13B" w14:textId="77777777" w:rsidTr="00907AA8">
        <w:tc>
          <w:tcPr>
            <w:tcW w:w="2689" w:type="dxa"/>
          </w:tcPr>
          <w:p w14:paraId="45A5143F" w14:textId="44A682ED" w:rsidR="00DA0874" w:rsidRDefault="00DA0874" w:rsidP="00D44962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The CMI/ODS AMHS campus working with ICF</w:t>
            </w:r>
            <w:r w:rsidR="00E63C5A">
              <w:rPr>
                <w:rFonts w:eastAsia="Calibri" w:cs="Arial"/>
                <w:color w:val="000000"/>
                <w:sz w:val="20"/>
              </w:rPr>
              <w:t>AM</w:t>
            </w:r>
            <w:r>
              <w:rPr>
                <w:rFonts w:eastAsia="Calibri" w:cs="Arial"/>
                <w:color w:val="000000"/>
                <w:sz w:val="20"/>
              </w:rPr>
              <w:t xml:space="preserve">HW hub </w:t>
            </w:r>
          </w:p>
        </w:tc>
        <w:tc>
          <w:tcPr>
            <w:tcW w:w="2835" w:type="dxa"/>
          </w:tcPr>
          <w:p w14:paraId="781FBE5D" w14:textId="5148B80A" w:rsidR="00DA0874" w:rsidRDefault="00DA0874" w:rsidP="00D44962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ICF</w:t>
            </w:r>
            <w:r w:rsidR="00D84243">
              <w:rPr>
                <w:rFonts w:eastAsia="Calibri" w:cs="Arial"/>
                <w:color w:val="000000"/>
                <w:sz w:val="20"/>
              </w:rPr>
              <w:t>AM</w:t>
            </w:r>
            <w:r>
              <w:rPr>
                <w:rFonts w:eastAsia="Calibri" w:cs="Arial"/>
                <w:color w:val="000000"/>
                <w:sz w:val="20"/>
              </w:rPr>
              <w:t xml:space="preserve">HW Hub – </w:t>
            </w:r>
            <w:r w:rsidR="00907AA8">
              <w:rPr>
                <w:rFonts w:eastAsia="Calibri" w:cs="Arial"/>
                <w:color w:val="000000"/>
                <w:sz w:val="20"/>
              </w:rPr>
              <w:t>should</w:t>
            </w:r>
            <w:r>
              <w:rPr>
                <w:rFonts w:eastAsia="Calibri" w:cs="Arial"/>
                <w:color w:val="000000"/>
                <w:sz w:val="20"/>
              </w:rPr>
              <w:t xml:space="preserve"> include name of partners, e.g. Brimbank ICF</w:t>
            </w:r>
            <w:r w:rsidR="005D0085">
              <w:rPr>
                <w:rFonts w:eastAsia="Calibri" w:cs="Arial"/>
                <w:color w:val="000000"/>
                <w:sz w:val="20"/>
              </w:rPr>
              <w:t>AM</w:t>
            </w:r>
            <w:r>
              <w:rPr>
                <w:rFonts w:eastAsia="Calibri" w:cs="Arial"/>
                <w:color w:val="000000"/>
                <w:sz w:val="20"/>
              </w:rPr>
              <w:t>HW hub</w:t>
            </w:r>
          </w:p>
          <w:p w14:paraId="74D6DF95" w14:textId="77777777" w:rsidR="00DA0874" w:rsidRDefault="00DA0874" w:rsidP="00D44962">
            <w:pPr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724C433F" w14:textId="77777777" w:rsidR="00DA0874" w:rsidRPr="002E2FFA" w:rsidRDefault="00DA0874" w:rsidP="00D44962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1134" w:type="dxa"/>
          </w:tcPr>
          <w:p w14:paraId="2759ABC2" w14:textId="0DAD865D" w:rsidR="00DA0874" w:rsidRPr="002E2FFA" w:rsidRDefault="00DA0874" w:rsidP="00D44962">
            <w:pPr>
              <w:jc w:val="center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Yes</w:t>
            </w:r>
          </w:p>
        </w:tc>
        <w:tc>
          <w:tcPr>
            <w:tcW w:w="1559" w:type="dxa"/>
          </w:tcPr>
          <w:p w14:paraId="361EF12B" w14:textId="77777777" w:rsidR="00DA0874" w:rsidRPr="002E2FFA" w:rsidRDefault="00DA0874" w:rsidP="00D44962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New Service</w:t>
            </w:r>
          </w:p>
        </w:tc>
      </w:tr>
    </w:tbl>
    <w:p w14:paraId="19A4AF09" w14:textId="5A241448" w:rsidR="00BF7345" w:rsidRDefault="00BF7345" w:rsidP="00BF7345">
      <w:pPr>
        <w:pStyle w:val="Body"/>
      </w:pPr>
    </w:p>
    <w:p w14:paraId="46383334" w14:textId="77777777" w:rsidR="00122F76" w:rsidRDefault="00122F76" w:rsidP="00BF7345">
      <w:pPr>
        <w:pStyle w:val="Body"/>
      </w:pPr>
    </w:p>
    <w:p w14:paraId="51336BDD" w14:textId="77777777" w:rsidR="00CD3700" w:rsidRDefault="00CD3700" w:rsidP="00CD3700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t>Program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701"/>
        <w:gridCol w:w="1417"/>
        <w:gridCol w:w="1276"/>
        <w:gridCol w:w="992"/>
      </w:tblGrid>
      <w:tr w:rsidR="00DA0874" w:rsidRPr="00D87E05" w14:paraId="706C0AAC" w14:textId="77777777" w:rsidTr="00907AA8">
        <w:trPr>
          <w:trHeight w:val="604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B69FF0" w14:textId="13C78759" w:rsidR="00DA0874" w:rsidRPr="00D87E05" w:rsidRDefault="00DA0874" w:rsidP="00DA0874">
            <w:pPr>
              <w:pStyle w:val="DHHSbody"/>
              <w:rPr>
                <w:b/>
              </w:rPr>
            </w:pPr>
            <w:r>
              <w:rPr>
                <w:b/>
              </w:rPr>
              <w:t>Program Description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CF8D89" w14:textId="7B4B1161" w:rsidR="00DA0874" w:rsidRPr="00D87E05" w:rsidRDefault="00DA0874" w:rsidP="00DA0874">
            <w:pPr>
              <w:pStyle w:val="DHHSbody"/>
              <w:rPr>
                <w:b/>
              </w:rPr>
            </w:pPr>
            <w:r>
              <w:rPr>
                <w:b/>
              </w:rPr>
              <w:t>Program Class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757080" w14:textId="77777777" w:rsidR="00DA0874" w:rsidRPr="00D87E05" w:rsidRDefault="00DA0874" w:rsidP="00DA0874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D87E05">
              <w:rPr>
                <w:b/>
              </w:rPr>
              <w:t>Type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24266A" w14:textId="7A3E16ED" w:rsidR="00DA0874" w:rsidRPr="00D87E05" w:rsidRDefault="00DA0874" w:rsidP="00DA0874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Fund Source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69AD06" w14:textId="1F133773" w:rsidR="00DA0874" w:rsidRPr="00D87E05" w:rsidRDefault="00DA0874" w:rsidP="00DA0874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Target Population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1F37EAE" w14:textId="77777777" w:rsidR="00DA0874" w:rsidRPr="00D87E05" w:rsidRDefault="00DA0874" w:rsidP="00DA0874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Start Date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54FC601" w14:textId="77777777" w:rsidR="00DA0874" w:rsidRPr="00D87E05" w:rsidRDefault="00DA0874" w:rsidP="00DA0874">
            <w:pPr>
              <w:pStyle w:val="DHHSbody"/>
              <w:rPr>
                <w:b/>
              </w:rPr>
            </w:pPr>
            <w:r>
              <w:rPr>
                <w:b/>
              </w:rPr>
              <w:t>PoC &amp; OM</w:t>
            </w:r>
          </w:p>
        </w:tc>
      </w:tr>
      <w:tr w:rsidR="00DA0874" w14:paraId="37705185" w14:textId="77777777" w:rsidTr="00907AA8">
        <w:trPr>
          <w:trHeight w:val="1332"/>
        </w:trPr>
        <w:tc>
          <w:tcPr>
            <w:tcW w:w="1838" w:type="dxa"/>
            <w:tcBorders>
              <w:bottom w:val="single" w:sz="4" w:space="0" w:color="auto"/>
            </w:tcBorders>
          </w:tcPr>
          <w:p w14:paraId="0F7EA341" w14:textId="107C93D0" w:rsidR="00DA0874" w:rsidRPr="006450BF" w:rsidRDefault="00DA0874" w:rsidP="00DA0874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As defined by AMHS</w:t>
            </w:r>
            <w:r w:rsidR="00907AA8">
              <w:rPr>
                <w:rFonts w:eastAsia="Calibri" w:cs="Arial"/>
                <w:color w:val="000000"/>
              </w:rPr>
              <w:t>.  If parenting classes are run then a program called Parenting Prog should be added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E2616A" w14:textId="7E22936C" w:rsidR="00DA0874" w:rsidRDefault="00DA0874" w:rsidP="00DA0874">
            <w:pPr>
              <w:pStyle w:val="DHHSbody"/>
            </w:pPr>
            <w:r w:rsidRPr="006450BF">
              <w:rPr>
                <w:rFonts w:eastAsia="Calibri" w:cs="Arial"/>
                <w:color w:val="000000"/>
              </w:rPr>
              <w:t>Community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C0264E" w14:textId="2AC0A879" w:rsidR="00DA0874" w:rsidRDefault="00D84243" w:rsidP="00DA0874">
            <w:pPr>
              <w:pStyle w:val="DHHSbody"/>
            </w:pPr>
            <w:r>
              <w:t xml:space="preserve">CI1 – Comm, </w:t>
            </w:r>
            <w:r w:rsidR="000B061C">
              <w:t>ICFHW Hub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C35977" w14:textId="1964BCD9" w:rsidR="00DA0874" w:rsidRPr="00DC32E7" w:rsidRDefault="00DA0874" w:rsidP="00DA0874">
            <w:pPr>
              <w:pStyle w:val="DHHSbody"/>
            </w:pPr>
            <w:r w:rsidRPr="00DC32E7">
              <w:t>15026 Child &amp; Adolescent Assessment Treatment &amp; Liaison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EB6C49" w14:textId="6CC759A3" w:rsidR="00DA0874" w:rsidRPr="00DC32E7" w:rsidRDefault="004771CD" w:rsidP="00DA0874">
            <w:pPr>
              <w:pStyle w:val="DHHSbody"/>
            </w:pPr>
            <w:r>
              <w:t>Non specific</w:t>
            </w:r>
          </w:p>
          <w:p w14:paraId="048A4F7D" w14:textId="2995FECC" w:rsidR="00DA0874" w:rsidRPr="00DC32E7" w:rsidRDefault="00DA0874" w:rsidP="00DA0874">
            <w:pPr>
              <w:pStyle w:val="DHHSbody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46C4F5" w14:textId="5286362A" w:rsidR="00DA0874" w:rsidRDefault="00D84243" w:rsidP="00DA0874">
            <w:pPr>
              <w:pStyle w:val="DHHSbody"/>
            </w:pPr>
            <w:r>
              <w:t>Date of commencement of service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FECFA2" w14:textId="77777777" w:rsidR="00DA0874" w:rsidRDefault="00DA0874" w:rsidP="00DA0874">
            <w:pPr>
              <w:pStyle w:val="DHHSbody"/>
              <w:jc w:val="center"/>
            </w:pPr>
            <w:r>
              <w:t>Yes</w:t>
            </w:r>
          </w:p>
        </w:tc>
      </w:tr>
    </w:tbl>
    <w:p w14:paraId="1522EC61" w14:textId="2C790E77" w:rsidR="002D6FED" w:rsidRDefault="002D6FED" w:rsidP="002D6FED">
      <w:pPr>
        <w:tabs>
          <w:tab w:val="left" w:pos="8535"/>
        </w:tabs>
      </w:pPr>
    </w:p>
    <w:p w14:paraId="3B2CB52F" w14:textId="074536D4" w:rsidR="00907AA8" w:rsidRDefault="00907AA8" w:rsidP="00833393">
      <w:pPr>
        <w:tabs>
          <w:tab w:val="left" w:pos="8925"/>
        </w:tabs>
      </w:pPr>
      <w:r>
        <w:t>Please note new program type category code.</w:t>
      </w:r>
      <w:r w:rsidR="00833393">
        <w:tab/>
      </w:r>
    </w:p>
    <w:p w14:paraId="334BCCDE" w14:textId="77777777" w:rsidR="00907AA8" w:rsidRPr="002D6FED" w:rsidRDefault="00907AA8" w:rsidP="002D6FED">
      <w:pPr>
        <w:tabs>
          <w:tab w:val="left" w:pos="8535"/>
        </w:tabs>
      </w:pPr>
    </w:p>
    <w:p w14:paraId="3AEC2362" w14:textId="77777777" w:rsidR="00A304EA" w:rsidRPr="003F1D05" w:rsidRDefault="00A304EA" w:rsidP="003F1D05">
      <w:pPr>
        <w:pStyle w:val="Heading3"/>
        <w:rPr>
          <w:color w:val="365F91" w:themeColor="accent1" w:themeShade="BF"/>
        </w:rPr>
      </w:pPr>
      <w:r w:rsidRPr="003F1D05">
        <w:rPr>
          <w:color w:val="365F91" w:themeColor="accent1" w:themeShade="BF"/>
        </w:rPr>
        <w:t>For More Information</w:t>
      </w:r>
    </w:p>
    <w:p w14:paraId="10163FFF" w14:textId="399E0401" w:rsidR="00A304EA" w:rsidRPr="006B6A18" w:rsidRDefault="00A304EA" w:rsidP="00A304EA">
      <w:pPr>
        <w:pStyle w:val="Heading1"/>
        <w:spacing w:before="0" w:line="276" w:lineRule="auto"/>
        <w:rPr>
          <w:rFonts w:eastAsia="Times"/>
          <w:bCs w:val="0"/>
          <w:color w:val="auto"/>
          <w:kern w:val="0"/>
          <w:sz w:val="20"/>
          <w:szCs w:val="20"/>
        </w:rPr>
      </w:pPr>
      <w:r w:rsidRPr="006B6A18">
        <w:rPr>
          <w:rFonts w:eastAsia="Times"/>
          <w:bCs w:val="0"/>
          <w:color w:val="auto"/>
          <w:kern w:val="0"/>
          <w:sz w:val="20"/>
          <w:szCs w:val="20"/>
        </w:rPr>
        <w:t xml:space="preserve">Further information about the correct use of CMI/ODS can be found on the Victorian Government’s website.  In particular, see the sections on; Registration of Clients, CMI/ODS Service Contacts and Subcentre/Program Maintenance. </w:t>
      </w:r>
      <w:hyperlink r:id="rId15" w:history="1">
        <w:r w:rsidRPr="006B6A18">
          <w:rPr>
            <w:rStyle w:val="Hyperlink"/>
            <w:sz w:val="20"/>
            <w:szCs w:val="20"/>
          </w:rPr>
          <w:t>https://www.health.vic.gov.au/research-and-reporting/bulletins-and-program-management-circulars-pmc</w:t>
        </w:r>
      </w:hyperlink>
    </w:p>
    <w:p w14:paraId="40A1C180" w14:textId="7C594A22" w:rsidR="00A304EA" w:rsidRPr="006B6A18" w:rsidRDefault="00A304EA" w:rsidP="00A304EA">
      <w:pPr>
        <w:pStyle w:val="Heading1"/>
        <w:spacing w:before="0" w:line="276" w:lineRule="auto"/>
        <w:rPr>
          <w:rStyle w:val="Hyperlink"/>
          <w:sz w:val="20"/>
          <w:szCs w:val="20"/>
        </w:rPr>
      </w:pPr>
      <w:r w:rsidRPr="006B6A18">
        <w:rPr>
          <w:rFonts w:eastAsia="Times"/>
          <w:bCs w:val="0"/>
          <w:color w:val="auto"/>
          <w:kern w:val="0"/>
          <w:sz w:val="20"/>
          <w:szCs w:val="20"/>
        </w:rPr>
        <w:t xml:space="preserve">For any queries relating to data reporting or program setup please email: </w:t>
      </w:r>
      <w:hyperlink r:id="rId16" w:history="1">
        <w:r w:rsidR="00CD3700" w:rsidRPr="006B6A18">
          <w:rPr>
            <w:rStyle w:val="Hyperlink"/>
            <w:sz w:val="20"/>
            <w:szCs w:val="20"/>
          </w:rPr>
          <w:t>MHDReporting@health.vic.gov.au</w:t>
        </w:r>
      </w:hyperlink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0C0404" w:rsidRPr="006B6A18" w14:paraId="18D3809D" w14:textId="77777777" w:rsidTr="00113D5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80FCA" w14:textId="34E11B96" w:rsidR="000C0404" w:rsidRPr="006B6A18" w:rsidRDefault="000C0404" w:rsidP="00113D55">
            <w:pPr>
              <w:pStyle w:val="DHHSaccessibilitypara"/>
              <w:rPr>
                <w:rFonts w:cs="Arial"/>
                <w:sz w:val="20"/>
                <w:szCs w:val="20"/>
              </w:rPr>
            </w:pPr>
            <w:r w:rsidRPr="006B6A18">
              <w:rPr>
                <w:rFonts w:cs="Arial"/>
                <w:sz w:val="20"/>
                <w:szCs w:val="20"/>
              </w:rPr>
              <w:t xml:space="preserve">To receive this publication in an accessible format </w:t>
            </w:r>
            <w:r w:rsidRPr="006B6A18">
              <w:rPr>
                <w:rFonts w:cs="Arial"/>
                <w:color w:val="505050"/>
                <w:sz w:val="20"/>
                <w:szCs w:val="20"/>
                <w:shd w:val="clear" w:color="auto" w:fill="FFFFFF"/>
              </w:rPr>
              <w:t xml:space="preserve">please </w:t>
            </w:r>
            <w:hyperlink r:id="rId17" w:history="1">
              <w:r w:rsidRPr="006B6A18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email MHD Reporting</w:t>
              </w:r>
            </w:hyperlink>
            <w:r w:rsidRPr="006B6A18">
              <w:rPr>
                <w:rFonts w:cs="Arial"/>
                <w:color w:val="505050"/>
                <w:sz w:val="20"/>
                <w:szCs w:val="20"/>
                <w:shd w:val="clear" w:color="auto" w:fill="FFFFFF"/>
              </w:rPr>
              <w:t xml:space="preserve"> &lt;</w:t>
            </w:r>
            <w:r w:rsidRPr="006B6A18">
              <w:rPr>
                <w:rFonts w:cs="Arial"/>
                <w:sz w:val="20"/>
                <w:szCs w:val="20"/>
              </w:rPr>
              <w:t>MHDReporting@</w:t>
            </w:r>
            <w:r w:rsidR="00866D94" w:rsidRPr="006B6A18">
              <w:rPr>
                <w:rFonts w:cs="Arial"/>
                <w:sz w:val="20"/>
                <w:szCs w:val="20"/>
              </w:rPr>
              <w:t>health</w:t>
            </w:r>
            <w:r w:rsidRPr="006B6A18">
              <w:rPr>
                <w:rFonts w:cs="Arial"/>
                <w:sz w:val="20"/>
                <w:szCs w:val="20"/>
              </w:rPr>
              <w:t>.vic.gov.au&gt;</w:t>
            </w:r>
          </w:p>
          <w:p w14:paraId="69426989" w14:textId="20072942" w:rsidR="000C0404" w:rsidRDefault="000C0404" w:rsidP="00113D55">
            <w:pPr>
              <w:pStyle w:val="DHHSbody"/>
              <w:rPr>
                <w:rFonts w:cs="Arial"/>
              </w:rPr>
            </w:pPr>
            <w:r w:rsidRPr="006B6A18">
              <w:rPr>
                <w:rFonts w:cs="Arial"/>
              </w:rPr>
              <w:t>Authorised and published by the Victorian Government, 1 Treasury Place, Melbourne.</w:t>
            </w:r>
          </w:p>
          <w:p w14:paraId="558C9E30" w14:textId="77777777" w:rsidR="00FD0A6F" w:rsidRPr="0089687D" w:rsidRDefault="00FD0A6F" w:rsidP="00FD0A6F">
            <w:pPr>
              <w:pStyle w:val="DHHSbody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ISSN </w:t>
            </w:r>
            <w:r>
              <w:rPr>
                <w:rFonts w:cs="Arial"/>
                <w:color w:val="000000"/>
              </w:rPr>
              <w:t>2653-620X</w:t>
            </w:r>
            <w:r>
              <w:rPr>
                <w:rFonts w:cs="Arial"/>
                <w:b/>
                <w:bCs/>
                <w:color w:val="000000"/>
              </w:rPr>
              <w:t xml:space="preserve"> - Online (pdf/word)</w:t>
            </w:r>
          </w:p>
          <w:p w14:paraId="33D78C9B" w14:textId="77777777" w:rsidR="000C0404" w:rsidRPr="006B6A18" w:rsidRDefault="000C0404" w:rsidP="00113D55">
            <w:pPr>
              <w:pStyle w:val="DHHSbody"/>
              <w:rPr>
                <w:rFonts w:cs="Arial"/>
              </w:rPr>
            </w:pPr>
            <w:r w:rsidRPr="006B6A18">
              <w:rPr>
                <w:rFonts w:cs="Arial"/>
              </w:rPr>
              <w:t xml:space="preserve">Available at </w:t>
            </w:r>
            <w:hyperlink r:id="rId18" w:history="1">
              <w:r w:rsidRPr="006B6A18">
                <w:rPr>
                  <w:rStyle w:val="Hyperlink"/>
                  <w:rFonts w:cs="Arial"/>
                </w:rPr>
                <w:t>Bulletins and Program Management Circulars (PMC)</w:t>
              </w:r>
            </w:hyperlink>
            <w:r w:rsidRPr="006B6A18">
              <w:rPr>
                <w:rFonts w:cs="Arial"/>
              </w:rPr>
              <w:t xml:space="preserve"> &lt; https://www.health.vic.gov.au/research-and-reporting/bulletins-and-program-management-circulars-pmc&gt;</w:t>
            </w:r>
          </w:p>
          <w:p w14:paraId="6F39D5FF" w14:textId="36D32D6F" w:rsidR="000C0404" w:rsidRPr="006B6A18" w:rsidRDefault="000C0404" w:rsidP="00113D55">
            <w:pPr>
              <w:pStyle w:val="DHHSbody"/>
              <w:rPr>
                <w:rFonts w:cs="Arial"/>
              </w:rPr>
            </w:pPr>
            <w:r w:rsidRPr="006B6A18">
              <w:rPr>
                <w:rFonts w:cs="Arial"/>
              </w:rPr>
              <w:t xml:space="preserve">© State of Victoria, Department of Health and Human Services, </w:t>
            </w:r>
            <w:r w:rsidR="00563706">
              <w:rPr>
                <w:rFonts w:cs="Arial"/>
              </w:rPr>
              <w:t>August</w:t>
            </w:r>
            <w:r w:rsidR="00D64B82" w:rsidRPr="006B6A18">
              <w:rPr>
                <w:rFonts w:cs="Arial"/>
              </w:rPr>
              <w:t xml:space="preserve"> </w:t>
            </w:r>
            <w:r w:rsidRPr="006B6A18">
              <w:rPr>
                <w:rFonts w:cs="Arial"/>
              </w:rPr>
              <w:t>2022</w:t>
            </w:r>
          </w:p>
        </w:tc>
      </w:tr>
    </w:tbl>
    <w:p w14:paraId="4D974E2D" w14:textId="77777777" w:rsidR="00162CA9" w:rsidRDefault="00162CA9" w:rsidP="00CD3700">
      <w:pPr>
        <w:pStyle w:val="Body"/>
      </w:pPr>
    </w:p>
    <w:sectPr w:rsidR="00162CA9" w:rsidSect="00CD3700">
      <w:footerReference w:type="default" r:id="rId19"/>
      <w:type w:val="continuous"/>
      <w:pgSz w:w="11906" w:h="16838" w:code="9"/>
      <w:pgMar w:top="1418" w:right="851" w:bottom="851" w:left="851" w:header="680" w:footer="56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F180" w14:textId="77777777" w:rsidR="00EE5418" w:rsidRDefault="00EE5418">
      <w:r>
        <w:separator/>
      </w:r>
    </w:p>
  </w:endnote>
  <w:endnote w:type="continuationSeparator" w:id="0">
    <w:p w14:paraId="48B75FC5" w14:textId="77777777" w:rsidR="00EE5418" w:rsidRDefault="00EE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AC7F" w14:textId="77777777" w:rsidR="00401B2A" w:rsidRDefault="00401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0452" w14:textId="253A6E9B" w:rsidR="00E261B3" w:rsidRPr="00F65AA9" w:rsidRDefault="00401B2A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B20055" wp14:editId="6AF18E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62d84cea846df3518583c83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6E6309" w14:textId="249E354A" w:rsidR="00401B2A" w:rsidRPr="00401B2A" w:rsidRDefault="00401B2A" w:rsidP="00401B2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01B2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20055" id="_x0000_t202" coordsize="21600,21600" o:spt="202" path="m,l,21600r21600,l21600,xe">
              <v:stroke joinstyle="miter"/>
              <v:path gradientshapeok="t" o:connecttype="rect"/>
            </v:shapetype>
            <v:shape id="MSIPCM62d84cea846df3518583c83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2A6E6309" w14:textId="249E354A" w:rsidR="00401B2A" w:rsidRPr="00401B2A" w:rsidRDefault="00401B2A" w:rsidP="00401B2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01B2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5168" behindDoc="1" locked="1" layoutInCell="1" allowOverlap="1" wp14:anchorId="230F1C13" wp14:editId="15B4D69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D1FC" w14:textId="359C8515" w:rsidR="00E261B3" w:rsidRDefault="00401B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50AA43CE" wp14:editId="6DF2596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cdb2425ea87a767dc87229e1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026B91" w14:textId="42C98FB9" w:rsidR="00401B2A" w:rsidRPr="00401B2A" w:rsidRDefault="00401B2A" w:rsidP="00401B2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01B2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A43CE" id="_x0000_t202" coordsize="21600,21600" o:spt="202" path="m,l,21600r21600,l21600,xe">
              <v:stroke joinstyle="miter"/>
              <v:path gradientshapeok="t" o:connecttype="rect"/>
            </v:shapetype>
            <v:shape id="MSIPCMcdb2425ea87a767dc87229e1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7E026B91" w14:textId="42C98FB9" w:rsidR="00401B2A" w:rsidRPr="00401B2A" w:rsidRDefault="00401B2A" w:rsidP="00401B2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01B2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8AC2" w14:textId="5E3017EC" w:rsidR="00373890" w:rsidRPr="00CD3700" w:rsidRDefault="00401B2A" w:rsidP="000C0404">
    <w:pPr>
      <w:pStyle w:val="Footer"/>
      <w:tabs>
        <w:tab w:val="left" w:pos="345"/>
        <w:tab w:val="right" w:pos="10204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612A707" wp14:editId="4D50D7D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a41741a5b5c041c71d111f79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41585" w14:textId="48835334" w:rsidR="00401B2A" w:rsidRPr="00401B2A" w:rsidRDefault="00401B2A" w:rsidP="00401B2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01B2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2A707" id="_x0000_t202" coordsize="21600,21600" o:spt="202" path="m,l,21600r21600,l21600,xe">
              <v:stroke joinstyle="miter"/>
              <v:path gradientshapeok="t" o:connecttype="rect"/>
            </v:shapetype>
            <v:shape id="MSIPCMa41741a5b5c041c71d111f79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4641585" w14:textId="48835334" w:rsidR="00401B2A" w:rsidRPr="00401B2A" w:rsidRDefault="00401B2A" w:rsidP="00401B2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01B2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2F6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70E086" wp14:editId="77D34884">
              <wp:simplePos x="0" y="0"/>
              <wp:positionH relativeFrom="column">
                <wp:posOffset>-54610</wp:posOffset>
              </wp:positionH>
              <wp:positionV relativeFrom="paragraph">
                <wp:posOffset>-23495</wp:posOffset>
              </wp:positionV>
              <wp:extent cx="6248400" cy="530860"/>
              <wp:effectExtent l="0" t="0" r="0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0" cy="530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3006D0" w14:textId="09686058" w:rsidR="000C0404" w:rsidRDefault="00563706" w:rsidP="00362F63">
                          <w:pPr>
                            <w:spacing w:after="0" w:line="240" w:lineRule="auto"/>
                          </w:pPr>
                          <w:r>
                            <w:t xml:space="preserve">Mental Health Bulletin 66 - </w:t>
                          </w:r>
                          <w:r w:rsidR="00271DA3">
                            <w:t xml:space="preserve">Infant, Child &amp; Family </w:t>
                          </w:r>
                          <w:r>
                            <w:t xml:space="preserve">Area Mental </w:t>
                          </w:r>
                          <w:r w:rsidR="00271DA3">
                            <w:t>Health &amp; Wellbeing (ICF</w:t>
                          </w:r>
                          <w:r>
                            <w:t>AM</w:t>
                          </w:r>
                          <w:r w:rsidR="00271DA3">
                            <w:t>HW) Hub</w:t>
                          </w:r>
                        </w:p>
                        <w:p w14:paraId="0444B2BD" w14:textId="5A65EB79" w:rsidR="00362F63" w:rsidRPr="00362F63" w:rsidRDefault="00362F63" w:rsidP="00362F63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Footnote:  reference to Loddon Mallee changed to Loddon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0E086" id="Text Box 4" o:spid="_x0000_s1029" type="#_x0000_t202" style="position:absolute;margin-left:-4.3pt;margin-top:-1.85pt;width:492pt;height:4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" fillcolor="white [3201]" stroked="f" strokeweight=".5pt">
              <v:textbox>
                <w:txbxContent>
                  <w:p w14:paraId="4F3006D0" w14:textId="09686058" w:rsidR="000C0404" w:rsidRDefault="00563706" w:rsidP="00362F63">
                    <w:pPr>
                      <w:spacing w:after="0" w:line="240" w:lineRule="auto"/>
                    </w:pPr>
                    <w:r>
                      <w:t xml:space="preserve">Mental Health Bulletin 66 - </w:t>
                    </w:r>
                    <w:r w:rsidR="00271DA3">
                      <w:t xml:space="preserve">Infant, Child &amp; Family </w:t>
                    </w:r>
                    <w:r>
                      <w:t xml:space="preserve">Area Mental </w:t>
                    </w:r>
                    <w:r w:rsidR="00271DA3">
                      <w:t>Health &amp; Wellbeing (ICF</w:t>
                    </w:r>
                    <w:r>
                      <w:t>AM</w:t>
                    </w:r>
                    <w:r w:rsidR="00271DA3">
                      <w:t>HW) Hub</w:t>
                    </w:r>
                  </w:p>
                  <w:p w14:paraId="0444B2BD" w14:textId="5A65EB79" w:rsidR="00362F63" w:rsidRPr="00362F63" w:rsidRDefault="00362F63" w:rsidP="00362F6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Footnote:  reference to Loddon Mallee changed to Loddon only</w:t>
                    </w:r>
                  </w:p>
                </w:txbxContent>
              </v:textbox>
            </v:shape>
          </w:pict>
        </mc:Fallback>
      </mc:AlternateContent>
    </w:r>
    <w:r w:rsidR="000C0404">
      <w:tab/>
    </w:r>
    <w:r w:rsidR="000C040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EB68" w14:textId="77777777" w:rsidR="00EE5418" w:rsidRDefault="00EE5418" w:rsidP="002862F1">
      <w:pPr>
        <w:spacing w:before="120"/>
      </w:pPr>
      <w:r>
        <w:separator/>
      </w:r>
    </w:p>
  </w:footnote>
  <w:footnote w:type="continuationSeparator" w:id="0">
    <w:p w14:paraId="75A9D9CE" w14:textId="77777777" w:rsidR="00EE5418" w:rsidRDefault="00EE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FD65" w14:textId="77777777" w:rsidR="00401B2A" w:rsidRDefault="00401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5C4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85C9" w14:textId="77777777" w:rsidR="00401B2A" w:rsidRDefault="00401B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2280" w14:textId="62A24BDD" w:rsidR="000C0404" w:rsidRDefault="00401B2A">
    <w:pPr>
      <w:pStyle w:val="Header"/>
      <w:jc w:val="right"/>
    </w:pPr>
    <w:sdt>
      <w:sdtPr>
        <w:id w:val="15912704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0404">
          <w:fldChar w:fldCharType="begin"/>
        </w:r>
        <w:r w:rsidR="000C0404">
          <w:instrText xml:space="preserve"> PAGE   \* MERGEFORMAT </w:instrText>
        </w:r>
        <w:r w:rsidR="000C0404">
          <w:fldChar w:fldCharType="separate"/>
        </w:r>
        <w:r w:rsidR="000C0404">
          <w:rPr>
            <w:noProof/>
          </w:rPr>
          <w:t>2</w:t>
        </w:r>
        <w:r w:rsidR="000C0404">
          <w:rPr>
            <w:noProof/>
          </w:rPr>
          <w:fldChar w:fldCharType="end"/>
        </w:r>
      </w:sdtContent>
    </w:sdt>
  </w:p>
  <w:p w14:paraId="2C48B1C9" w14:textId="6DF38239" w:rsidR="00E261B3" w:rsidRPr="000C0404" w:rsidRDefault="00E261B3" w:rsidP="000C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F25A5"/>
    <w:multiLevelType w:val="hybridMultilevel"/>
    <w:tmpl w:val="E1643C76"/>
    <w:lvl w:ilvl="0" w:tplc="A524F7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70D0E"/>
    <w:multiLevelType w:val="hybridMultilevel"/>
    <w:tmpl w:val="88F49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E7C50"/>
    <w:multiLevelType w:val="hybridMultilevel"/>
    <w:tmpl w:val="B59CA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01E16"/>
    <w:multiLevelType w:val="hybridMultilevel"/>
    <w:tmpl w:val="4404B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151B6"/>
    <w:multiLevelType w:val="multilevel"/>
    <w:tmpl w:val="DBE2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BE50BA"/>
    <w:multiLevelType w:val="hybridMultilevel"/>
    <w:tmpl w:val="62164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A286189"/>
    <w:multiLevelType w:val="hybridMultilevel"/>
    <w:tmpl w:val="69789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7D63DA"/>
    <w:multiLevelType w:val="hybridMultilevel"/>
    <w:tmpl w:val="DC80CC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130540">
    <w:abstractNumId w:val="10"/>
  </w:num>
  <w:num w:numId="2" w16cid:durableId="57411332">
    <w:abstractNumId w:val="24"/>
  </w:num>
  <w:num w:numId="3" w16cid:durableId="10261720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2357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84448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7553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870274">
    <w:abstractNumId w:val="28"/>
  </w:num>
  <w:num w:numId="8" w16cid:durableId="1662736543">
    <w:abstractNumId w:val="22"/>
  </w:num>
  <w:num w:numId="9" w16cid:durableId="989290393">
    <w:abstractNumId w:val="27"/>
  </w:num>
  <w:num w:numId="10" w16cid:durableId="1622345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8580647">
    <w:abstractNumId w:val="29"/>
  </w:num>
  <w:num w:numId="12" w16cid:durableId="825759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1341272">
    <w:abstractNumId w:val="25"/>
  </w:num>
  <w:num w:numId="14" w16cid:durableId="19227166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02294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48962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32445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3134507">
    <w:abstractNumId w:val="31"/>
  </w:num>
  <w:num w:numId="19" w16cid:durableId="2413750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574884">
    <w:abstractNumId w:val="14"/>
  </w:num>
  <w:num w:numId="21" w16cid:durableId="1259292617">
    <w:abstractNumId w:val="12"/>
  </w:num>
  <w:num w:numId="22" w16cid:durableId="7422154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0363377">
    <w:abstractNumId w:val="15"/>
  </w:num>
  <w:num w:numId="24" w16cid:durableId="1005743796">
    <w:abstractNumId w:val="32"/>
  </w:num>
  <w:num w:numId="25" w16cid:durableId="104034829">
    <w:abstractNumId w:val="30"/>
  </w:num>
  <w:num w:numId="26" w16cid:durableId="1044787826">
    <w:abstractNumId w:val="26"/>
  </w:num>
  <w:num w:numId="27" w16cid:durableId="2022658809">
    <w:abstractNumId w:val="11"/>
  </w:num>
  <w:num w:numId="28" w16cid:durableId="2045132854">
    <w:abstractNumId w:val="33"/>
  </w:num>
  <w:num w:numId="29" w16cid:durableId="266474106">
    <w:abstractNumId w:val="9"/>
  </w:num>
  <w:num w:numId="30" w16cid:durableId="371540299">
    <w:abstractNumId w:val="7"/>
  </w:num>
  <w:num w:numId="31" w16cid:durableId="646593668">
    <w:abstractNumId w:val="6"/>
  </w:num>
  <w:num w:numId="32" w16cid:durableId="925962266">
    <w:abstractNumId w:val="5"/>
  </w:num>
  <w:num w:numId="33" w16cid:durableId="959411436">
    <w:abstractNumId w:val="4"/>
  </w:num>
  <w:num w:numId="34" w16cid:durableId="1047415527">
    <w:abstractNumId w:val="8"/>
  </w:num>
  <w:num w:numId="35" w16cid:durableId="613051009">
    <w:abstractNumId w:val="3"/>
  </w:num>
  <w:num w:numId="36" w16cid:durableId="1296106711">
    <w:abstractNumId w:val="2"/>
  </w:num>
  <w:num w:numId="37" w16cid:durableId="1943954799">
    <w:abstractNumId w:val="1"/>
  </w:num>
  <w:num w:numId="38" w16cid:durableId="1633946864">
    <w:abstractNumId w:val="0"/>
  </w:num>
  <w:num w:numId="39" w16cid:durableId="141177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52860684">
    <w:abstractNumId w:val="20"/>
  </w:num>
  <w:num w:numId="41" w16cid:durableId="1489252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7709085">
    <w:abstractNumId w:val="18"/>
  </w:num>
  <w:num w:numId="43" w16cid:durableId="1950315566">
    <w:abstractNumId w:val="17"/>
  </w:num>
  <w:num w:numId="44" w16cid:durableId="1743214524">
    <w:abstractNumId w:val="34"/>
  </w:num>
  <w:num w:numId="45" w16cid:durableId="1417481178">
    <w:abstractNumId w:val="16"/>
  </w:num>
  <w:num w:numId="46" w16cid:durableId="966157392">
    <w:abstractNumId w:val="21"/>
  </w:num>
  <w:num w:numId="47" w16cid:durableId="18104341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8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14B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96E85"/>
    <w:rsid w:val="000A012C"/>
    <w:rsid w:val="000A0EB9"/>
    <w:rsid w:val="000A186C"/>
    <w:rsid w:val="000A1EA4"/>
    <w:rsid w:val="000A2476"/>
    <w:rsid w:val="000A641A"/>
    <w:rsid w:val="000B061C"/>
    <w:rsid w:val="000B1DB6"/>
    <w:rsid w:val="000B3EDB"/>
    <w:rsid w:val="000B543D"/>
    <w:rsid w:val="000B55F9"/>
    <w:rsid w:val="000B5BF7"/>
    <w:rsid w:val="000B6BC8"/>
    <w:rsid w:val="000C0303"/>
    <w:rsid w:val="000C0404"/>
    <w:rsid w:val="000C42EA"/>
    <w:rsid w:val="000C4546"/>
    <w:rsid w:val="000D083D"/>
    <w:rsid w:val="000D1242"/>
    <w:rsid w:val="000E0970"/>
    <w:rsid w:val="000E1910"/>
    <w:rsid w:val="000E3CC7"/>
    <w:rsid w:val="000E6BD4"/>
    <w:rsid w:val="000E6D6D"/>
    <w:rsid w:val="000F0C44"/>
    <w:rsid w:val="000F1F1E"/>
    <w:rsid w:val="000F2259"/>
    <w:rsid w:val="000F2DDA"/>
    <w:rsid w:val="000F5213"/>
    <w:rsid w:val="00101001"/>
    <w:rsid w:val="00103276"/>
    <w:rsid w:val="0010392D"/>
    <w:rsid w:val="0010447F"/>
    <w:rsid w:val="001045BF"/>
    <w:rsid w:val="00104FE3"/>
    <w:rsid w:val="0010714F"/>
    <w:rsid w:val="001120C5"/>
    <w:rsid w:val="0011701A"/>
    <w:rsid w:val="00120BD3"/>
    <w:rsid w:val="00122F76"/>
    <w:rsid w:val="00122FEA"/>
    <w:rsid w:val="001232BD"/>
    <w:rsid w:val="00124ED5"/>
    <w:rsid w:val="001276FA"/>
    <w:rsid w:val="0014255B"/>
    <w:rsid w:val="001447B3"/>
    <w:rsid w:val="00152073"/>
    <w:rsid w:val="00154DC6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2494"/>
    <w:rsid w:val="00216C03"/>
    <w:rsid w:val="00220C04"/>
    <w:rsid w:val="0022278D"/>
    <w:rsid w:val="0022701F"/>
    <w:rsid w:val="00227C68"/>
    <w:rsid w:val="002333F5"/>
    <w:rsid w:val="00233724"/>
    <w:rsid w:val="00235270"/>
    <w:rsid w:val="002365B4"/>
    <w:rsid w:val="0024030A"/>
    <w:rsid w:val="00241FB7"/>
    <w:rsid w:val="002432E1"/>
    <w:rsid w:val="00244E23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DA3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664"/>
    <w:rsid w:val="002D1E0D"/>
    <w:rsid w:val="002D5006"/>
    <w:rsid w:val="002D51E9"/>
    <w:rsid w:val="002D6FED"/>
    <w:rsid w:val="002E01D0"/>
    <w:rsid w:val="002E161D"/>
    <w:rsid w:val="002E188A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A1B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2975"/>
    <w:rsid w:val="00362F63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1B8"/>
    <w:rsid w:val="003E375C"/>
    <w:rsid w:val="003E4086"/>
    <w:rsid w:val="003E639E"/>
    <w:rsid w:val="003E71E5"/>
    <w:rsid w:val="003F0445"/>
    <w:rsid w:val="003F0CF0"/>
    <w:rsid w:val="003F14B1"/>
    <w:rsid w:val="003F1D05"/>
    <w:rsid w:val="003F2B20"/>
    <w:rsid w:val="003F3289"/>
    <w:rsid w:val="003F5CB9"/>
    <w:rsid w:val="004013C7"/>
    <w:rsid w:val="00401B2A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4E3A"/>
    <w:rsid w:val="004771CD"/>
    <w:rsid w:val="00483968"/>
    <w:rsid w:val="00484F86"/>
    <w:rsid w:val="00485B7D"/>
    <w:rsid w:val="00490746"/>
    <w:rsid w:val="0049083F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4770"/>
    <w:rsid w:val="00546305"/>
    <w:rsid w:val="00547A95"/>
    <w:rsid w:val="0055119B"/>
    <w:rsid w:val="005548B5"/>
    <w:rsid w:val="00554C28"/>
    <w:rsid w:val="00563706"/>
    <w:rsid w:val="00572031"/>
    <w:rsid w:val="00572282"/>
    <w:rsid w:val="00573CE3"/>
    <w:rsid w:val="00573F69"/>
    <w:rsid w:val="00576E84"/>
    <w:rsid w:val="00580394"/>
    <w:rsid w:val="005809CD"/>
    <w:rsid w:val="00582B8C"/>
    <w:rsid w:val="0058757E"/>
    <w:rsid w:val="00596A4B"/>
    <w:rsid w:val="00597507"/>
    <w:rsid w:val="005A479D"/>
    <w:rsid w:val="005A6D29"/>
    <w:rsid w:val="005B1C6D"/>
    <w:rsid w:val="005B21B6"/>
    <w:rsid w:val="005B3A08"/>
    <w:rsid w:val="005B7A63"/>
    <w:rsid w:val="005C0955"/>
    <w:rsid w:val="005C49DA"/>
    <w:rsid w:val="005C50F3"/>
    <w:rsid w:val="005C52C2"/>
    <w:rsid w:val="005C54B5"/>
    <w:rsid w:val="005C5D80"/>
    <w:rsid w:val="005C5D91"/>
    <w:rsid w:val="005D0085"/>
    <w:rsid w:val="005D07B8"/>
    <w:rsid w:val="005D2B27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3956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4BA3"/>
    <w:rsid w:val="00667770"/>
    <w:rsid w:val="00670597"/>
    <w:rsid w:val="006706D0"/>
    <w:rsid w:val="00676FC6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4EEC"/>
    <w:rsid w:val="006B6803"/>
    <w:rsid w:val="006B6A18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282"/>
    <w:rsid w:val="007055BD"/>
    <w:rsid w:val="0070569A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2616"/>
    <w:rsid w:val="007833D8"/>
    <w:rsid w:val="00785677"/>
    <w:rsid w:val="00786F16"/>
    <w:rsid w:val="00791BD7"/>
    <w:rsid w:val="007933F7"/>
    <w:rsid w:val="00796E20"/>
    <w:rsid w:val="00797C32"/>
    <w:rsid w:val="007A11E8"/>
    <w:rsid w:val="007A638D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FAD"/>
    <w:rsid w:val="007F25C3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393"/>
    <w:rsid w:val="008338A2"/>
    <w:rsid w:val="00835FAF"/>
    <w:rsid w:val="00841AA9"/>
    <w:rsid w:val="008474FE"/>
    <w:rsid w:val="008538B0"/>
    <w:rsid w:val="00853EE4"/>
    <w:rsid w:val="00855535"/>
    <w:rsid w:val="00855920"/>
    <w:rsid w:val="00857C5A"/>
    <w:rsid w:val="0086255E"/>
    <w:rsid w:val="008633F0"/>
    <w:rsid w:val="00866D94"/>
    <w:rsid w:val="00867D9D"/>
    <w:rsid w:val="00872E0A"/>
    <w:rsid w:val="00873594"/>
    <w:rsid w:val="00873A7E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A1E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4C3A"/>
    <w:rsid w:val="008F59F6"/>
    <w:rsid w:val="008F624E"/>
    <w:rsid w:val="00900719"/>
    <w:rsid w:val="009017AC"/>
    <w:rsid w:val="00902A9A"/>
    <w:rsid w:val="009034F9"/>
    <w:rsid w:val="00904A1C"/>
    <w:rsid w:val="00904AB4"/>
    <w:rsid w:val="00904EB9"/>
    <w:rsid w:val="00905030"/>
    <w:rsid w:val="00906490"/>
    <w:rsid w:val="0090783C"/>
    <w:rsid w:val="00907AA8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687"/>
    <w:rsid w:val="00951D50"/>
    <w:rsid w:val="009525EB"/>
    <w:rsid w:val="0095470B"/>
    <w:rsid w:val="00954874"/>
    <w:rsid w:val="0095615A"/>
    <w:rsid w:val="00961400"/>
    <w:rsid w:val="00963646"/>
    <w:rsid w:val="009655C7"/>
    <w:rsid w:val="00965E31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648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0889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04EA"/>
    <w:rsid w:val="00A330BB"/>
    <w:rsid w:val="00A37BC1"/>
    <w:rsid w:val="00A44882"/>
    <w:rsid w:val="00A45125"/>
    <w:rsid w:val="00A54715"/>
    <w:rsid w:val="00A6061C"/>
    <w:rsid w:val="00A62D44"/>
    <w:rsid w:val="00A67263"/>
    <w:rsid w:val="00A7161C"/>
    <w:rsid w:val="00A744F0"/>
    <w:rsid w:val="00A77AA3"/>
    <w:rsid w:val="00A8236D"/>
    <w:rsid w:val="00A854EB"/>
    <w:rsid w:val="00A872E5"/>
    <w:rsid w:val="00A91406"/>
    <w:rsid w:val="00A96E65"/>
    <w:rsid w:val="00A97C72"/>
    <w:rsid w:val="00AA16BA"/>
    <w:rsid w:val="00AA268E"/>
    <w:rsid w:val="00AA310B"/>
    <w:rsid w:val="00AA63D4"/>
    <w:rsid w:val="00AB06E8"/>
    <w:rsid w:val="00AB1CD3"/>
    <w:rsid w:val="00AB352F"/>
    <w:rsid w:val="00AB7932"/>
    <w:rsid w:val="00AC274B"/>
    <w:rsid w:val="00AC4764"/>
    <w:rsid w:val="00AC6D36"/>
    <w:rsid w:val="00AD0CBA"/>
    <w:rsid w:val="00AD177A"/>
    <w:rsid w:val="00AD2087"/>
    <w:rsid w:val="00AD26E2"/>
    <w:rsid w:val="00AD5E65"/>
    <w:rsid w:val="00AD784C"/>
    <w:rsid w:val="00AE126A"/>
    <w:rsid w:val="00AE1BAE"/>
    <w:rsid w:val="00AE3005"/>
    <w:rsid w:val="00AE3BD5"/>
    <w:rsid w:val="00AE59A0"/>
    <w:rsid w:val="00AE60A0"/>
    <w:rsid w:val="00AF0C57"/>
    <w:rsid w:val="00AF26F3"/>
    <w:rsid w:val="00AF5F04"/>
    <w:rsid w:val="00B00672"/>
    <w:rsid w:val="00B01B4D"/>
    <w:rsid w:val="00B06571"/>
    <w:rsid w:val="00B068BA"/>
    <w:rsid w:val="00B07FF7"/>
    <w:rsid w:val="00B119D5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716"/>
    <w:rsid w:val="00B41F3D"/>
    <w:rsid w:val="00B431E8"/>
    <w:rsid w:val="00B45141"/>
    <w:rsid w:val="00B46DE7"/>
    <w:rsid w:val="00B519CD"/>
    <w:rsid w:val="00B5273A"/>
    <w:rsid w:val="00B57329"/>
    <w:rsid w:val="00B60E61"/>
    <w:rsid w:val="00B617C4"/>
    <w:rsid w:val="00B62B50"/>
    <w:rsid w:val="00B63228"/>
    <w:rsid w:val="00B635B7"/>
    <w:rsid w:val="00B63AE8"/>
    <w:rsid w:val="00B65950"/>
    <w:rsid w:val="00B66D83"/>
    <w:rsid w:val="00B672C0"/>
    <w:rsid w:val="00B676FD"/>
    <w:rsid w:val="00B7427D"/>
    <w:rsid w:val="00B75646"/>
    <w:rsid w:val="00B756C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345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49E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0DA6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3700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28D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4962"/>
    <w:rsid w:val="00D45F9D"/>
    <w:rsid w:val="00D4606D"/>
    <w:rsid w:val="00D46C92"/>
    <w:rsid w:val="00D50B9C"/>
    <w:rsid w:val="00D52D73"/>
    <w:rsid w:val="00D52E58"/>
    <w:rsid w:val="00D56B20"/>
    <w:rsid w:val="00D578B3"/>
    <w:rsid w:val="00D618F4"/>
    <w:rsid w:val="00D64B82"/>
    <w:rsid w:val="00D714CC"/>
    <w:rsid w:val="00D75EA7"/>
    <w:rsid w:val="00D81ADF"/>
    <w:rsid w:val="00D81F21"/>
    <w:rsid w:val="00D84243"/>
    <w:rsid w:val="00D864F2"/>
    <w:rsid w:val="00D92F95"/>
    <w:rsid w:val="00D943F8"/>
    <w:rsid w:val="00D95470"/>
    <w:rsid w:val="00D96B55"/>
    <w:rsid w:val="00DA0874"/>
    <w:rsid w:val="00DA2619"/>
    <w:rsid w:val="00DA4239"/>
    <w:rsid w:val="00DA42B5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787"/>
    <w:rsid w:val="00DC2CF1"/>
    <w:rsid w:val="00DC32E7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C6B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32F1"/>
    <w:rsid w:val="00E261B3"/>
    <w:rsid w:val="00E26818"/>
    <w:rsid w:val="00E27FFC"/>
    <w:rsid w:val="00E30B15"/>
    <w:rsid w:val="00E33237"/>
    <w:rsid w:val="00E40181"/>
    <w:rsid w:val="00E54950"/>
    <w:rsid w:val="00E56A01"/>
    <w:rsid w:val="00E57F1B"/>
    <w:rsid w:val="00E62622"/>
    <w:rsid w:val="00E629A1"/>
    <w:rsid w:val="00E63C5A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418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314B"/>
    <w:rsid w:val="00F16F1B"/>
    <w:rsid w:val="00F250A9"/>
    <w:rsid w:val="00F267AF"/>
    <w:rsid w:val="00F278A4"/>
    <w:rsid w:val="00F30B49"/>
    <w:rsid w:val="00F30FF4"/>
    <w:rsid w:val="00F3122E"/>
    <w:rsid w:val="00F32368"/>
    <w:rsid w:val="00F331AD"/>
    <w:rsid w:val="00F35287"/>
    <w:rsid w:val="00F40A70"/>
    <w:rsid w:val="00F42EE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6976"/>
    <w:rsid w:val="00F6768F"/>
    <w:rsid w:val="00F712D8"/>
    <w:rsid w:val="00F7200F"/>
    <w:rsid w:val="00F72C2C"/>
    <w:rsid w:val="00F76CAB"/>
    <w:rsid w:val="00F772C6"/>
    <w:rsid w:val="00F815B5"/>
    <w:rsid w:val="00F81DBF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0A6F"/>
    <w:rsid w:val="00FD3766"/>
    <w:rsid w:val="00FD4499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343CB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655C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DHHSbodyChar">
    <w:name w:val="DHHS body Char"/>
    <w:link w:val="DHHSbody"/>
    <w:locked/>
    <w:rsid w:val="0049083F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49083F"/>
    <w:pPr>
      <w:spacing w:after="120" w:line="270" w:lineRule="atLeast"/>
    </w:pPr>
    <w:rPr>
      <w:rFonts w:ascii="Arial" w:eastAsia="Times" w:hAnsi="Arial"/>
    </w:rPr>
  </w:style>
  <w:style w:type="paragraph" w:customStyle="1" w:styleId="Healthbody">
    <w:name w:val="Health body"/>
    <w:uiPriority w:val="99"/>
    <w:rsid w:val="00B119D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44F0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HHSaccessibilitypara">
    <w:name w:val="DHHS accessibility para"/>
    <w:uiPriority w:val="8"/>
    <w:rsid w:val="00A304EA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0404"/>
    <w:rPr>
      <w:rFonts w:ascii="Arial" w:hAnsi="Arial" w:cs="Arial"/>
      <w:b/>
      <w:color w:val="53565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health.vic.gov.au/research-and-reporting/bulletins-and-program-management-circulars-pm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MHDReporting@dhhs.vic.gov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MHDReporting@health.vic.gov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health.vic.gov.au/research-and-reporting/bulletins-and-program-management-circulars-pmc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3268</Characters>
  <Application>Microsoft Office Word</Application>
  <DocSecurity>0</DocSecurity>
  <Lines>142</Lines>
  <Paragraphs>76</Paragraphs>
  <ScaleCrop>false</ScaleCrop>
  <Manager/>
  <Company/>
  <LinksUpToDate>false</LinksUpToDate>
  <CharactersWithSpaces>3652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2023-06-15T06:02:00Z</dcterms:created>
  <dcterms:modified xsi:type="dcterms:W3CDTF">2023-06-15T06:02:00Z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2023-06-15T06:02:34Z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3cf3ff80-c7e2-4637-a7e8-ec35688940d2</vt:lpwstr>
  </property>
  <property fmtid="{D5CDD505-2E9C-101B-9397-08002B2CF9AE}" pid="8" name="MSIP_Label_43e64453-338c-4f93-8a4d-0039a0a41f2a_ContentBits">
    <vt:lpwstr>2</vt:lpwstr>
  </property>
</Properties>
</file>