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42A3D" w14:textId="77777777" w:rsidR="00056EC4" w:rsidRDefault="005860C6" w:rsidP="00023615">
      <w:pPr>
        <w:pStyle w:val="Heading1"/>
      </w:pPr>
      <w:bookmarkStart w:id="0" w:name="_Toc116465798"/>
      <w:bookmarkStart w:id="1" w:name="_Toc121207073"/>
      <w:bookmarkStart w:id="2" w:name="_Toc121210028"/>
      <w:r>
        <w:rPr>
          <w:noProof/>
        </w:rPr>
        <w:drawing>
          <wp:anchor distT="0" distB="0" distL="114300" distR="114300" simplePos="0" relativeHeight="251659264" behindDoc="1" locked="1" layoutInCell="1" allowOverlap="1" wp14:anchorId="40E77137" wp14:editId="09EF1457">
            <wp:simplePos x="0" y="0"/>
            <wp:positionH relativeFrom="page">
              <wp:posOffset>0</wp:posOffset>
            </wp:positionH>
            <wp:positionV relativeFrom="page">
              <wp:posOffset>0</wp:posOffset>
            </wp:positionV>
            <wp:extent cx="7560000" cy="10152000"/>
            <wp:effectExtent l="0" t="0" r="3175" b="1905"/>
            <wp:wrapNone/>
            <wp:docPr id="2" name="Picture 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7FCABC9B" w14:textId="77777777" w:rsidTr="00431F42">
        <w:trPr>
          <w:cantSplit/>
        </w:trPr>
        <w:tc>
          <w:tcPr>
            <w:tcW w:w="0" w:type="auto"/>
            <w:tcMar>
              <w:top w:w="0" w:type="dxa"/>
              <w:left w:w="0" w:type="dxa"/>
              <w:right w:w="0" w:type="dxa"/>
            </w:tcMar>
          </w:tcPr>
          <w:p w14:paraId="0A552720" w14:textId="495991EB" w:rsidR="00AD784C" w:rsidRPr="00431F42" w:rsidRDefault="00011D70" w:rsidP="00023615">
            <w:pPr>
              <w:pStyle w:val="Heading1"/>
            </w:pPr>
            <w:bookmarkStart w:id="3" w:name="_Toc116370909"/>
            <w:bookmarkStart w:id="4" w:name="_Toc116465799"/>
            <w:bookmarkStart w:id="5" w:name="_Toc121207074"/>
            <w:bookmarkStart w:id="6" w:name="_Toc121210029"/>
            <w:r w:rsidRPr="00E60F35">
              <w:t xml:space="preserve">Managing referrals </w:t>
            </w:r>
            <w:r w:rsidR="000C1045" w:rsidRPr="00E60F35">
              <w:t>to</w:t>
            </w:r>
            <w:r w:rsidRPr="00E60F35">
              <w:t xml:space="preserve"> n</w:t>
            </w:r>
            <w:r w:rsidR="00023615" w:rsidRPr="00E60F35">
              <w:t xml:space="preserve">on-admitted specialist services in Victorian public </w:t>
            </w:r>
            <w:r w:rsidR="00F34AE8" w:rsidRPr="00E60F35">
              <w:t>health service</w:t>
            </w:r>
            <w:r w:rsidR="00023615" w:rsidRPr="00E60F35">
              <w:t>s</w:t>
            </w:r>
            <w:bookmarkEnd w:id="3"/>
            <w:bookmarkEnd w:id="4"/>
            <w:bookmarkEnd w:id="5"/>
            <w:bookmarkEnd w:id="6"/>
          </w:p>
        </w:tc>
      </w:tr>
      <w:tr w:rsidR="00AD784C" w14:paraId="1CDF785C" w14:textId="77777777" w:rsidTr="00431F42">
        <w:trPr>
          <w:cantSplit/>
        </w:trPr>
        <w:tc>
          <w:tcPr>
            <w:tcW w:w="0" w:type="auto"/>
          </w:tcPr>
          <w:p w14:paraId="1FB2792D" w14:textId="16A09186" w:rsidR="00386109" w:rsidRPr="00A1389F" w:rsidRDefault="00386109" w:rsidP="009315BE">
            <w:pPr>
              <w:pStyle w:val="Documentsubtitle"/>
            </w:pPr>
          </w:p>
        </w:tc>
      </w:tr>
      <w:tr w:rsidR="00430393" w14:paraId="12EFD9F6" w14:textId="77777777" w:rsidTr="00431F42">
        <w:trPr>
          <w:cantSplit/>
        </w:trPr>
        <w:tc>
          <w:tcPr>
            <w:tcW w:w="0" w:type="auto"/>
          </w:tcPr>
          <w:p w14:paraId="44192010" w14:textId="77777777" w:rsidR="00430393" w:rsidRDefault="00B64AA2" w:rsidP="00430393">
            <w:pPr>
              <w:pStyle w:val="Bannermarking"/>
            </w:pPr>
            <w:r>
              <w:fldChar w:fldCharType="begin"/>
            </w:r>
            <w:r>
              <w:instrText>FILLIN  "Type the protective marking" \d OFFICIAL \o  \* MERGEFORMAT</w:instrText>
            </w:r>
            <w:r>
              <w:fldChar w:fldCharType="separate"/>
            </w:r>
            <w:r w:rsidR="00023615">
              <w:t>OFFICIAL</w:t>
            </w:r>
            <w:r>
              <w:fldChar w:fldCharType="end"/>
            </w:r>
          </w:p>
        </w:tc>
      </w:tr>
    </w:tbl>
    <w:p w14:paraId="1689652C" w14:textId="77777777" w:rsidR="00FE4081" w:rsidRDefault="00FE4081" w:rsidP="00FE4081">
      <w:pPr>
        <w:pStyle w:val="Body"/>
      </w:pPr>
    </w:p>
    <w:p w14:paraId="2FFB024E"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290D1494" w14:textId="77777777" w:rsidR="004F2E25" w:rsidRDefault="004F2E25" w:rsidP="00431F42">
      <w:pPr>
        <w:pStyle w:val="Body"/>
      </w:pPr>
    </w:p>
    <w:p w14:paraId="74897DAC" w14:textId="77777777" w:rsidR="004F2E25" w:rsidRDefault="004F2E25" w:rsidP="00431F42">
      <w:pPr>
        <w:pStyle w:val="Body"/>
      </w:pPr>
    </w:p>
    <w:p w14:paraId="7E72BDF5" w14:textId="77777777" w:rsidR="004F2E25" w:rsidRDefault="004F2E25" w:rsidP="00431F42">
      <w:pPr>
        <w:pStyle w:val="Body"/>
      </w:pPr>
    </w:p>
    <w:p w14:paraId="5B895E9F" w14:textId="77777777" w:rsidR="004F2E25" w:rsidRDefault="004F2E25" w:rsidP="00431F42">
      <w:pPr>
        <w:pStyle w:val="Body"/>
      </w:pPr>
    </w:p>
    <w:p w14:paraId="55BB9D3A" w14:textId="77777777" w:rsidR="004F2E25" w:rsidRDefault="004F2E25" w:rsidP="00431F42">
      <w:pPr>
        <w:pStyle w:val="Body"/>
      </w:pPr>
    </w:p>
    <w:p w14:paraId="4B944274" w14:textId="3FFFDC84" w:rsidR="00431F42" w:rsidRDefault="004F2E25" w:rsidP="004F2E25">
      <w:pPr>
        <w:pStyle w:val="Body"/>
        <w:jc w:val="center"/>
      </w:pPr>
      <w:r>
        <w:t>This page is intentionally left blank.</w:t>
      </w:r>
      <w:r w:rsidR="00431F42">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269183D1" w14:textId="77777777" w:rsidTr="00431F42">
        <w:trPr>
          <w:trHeight w:val="7371"/>
        </w:trPr>
        <w:tc>
          <w:tcPr>
            <w:tcW w:w="7598" w:type="dxa"/>
            <w:vAlign w:val="center"/>
          </w:tcPr>
          <w:p w14:paraId="79D2C9B8" w14:textId="0C3FC3D5" w:rsidR="00431F42" w:rsidRDefault="00E60F35" w:rsidP="00E60F35">
            <w:pPr>
              <w:pStyle w:val="Heading1"/>
            </w:pPr>
            <w:bookmarkStart w:id="7" w:name="_Toc116370910"/>
            <w:bookmarkStart w:id="8" w:name="_Toc116465800"/>
            <w:bookmarkStart w:id="9" w:name="_Toc121207075"/>
            <w:bookmarkStart w:id="10" w:name="_Toc121210030"/>
            <w:r w:rsidRPr="00E60F35">
              <w:lastRenderedPageBreak/>
              <w:t>Managing referrals to non-admitted specialist services in Victorian public health services</w:t>
            </w:r>
            <w:bookmarkEnd w:id="7"/>
            <w:bookmarkEnd w:id="8"/>
            <w:bookmarkEnd w:id="9"/>
            <w:bookmarkEnd w:id="10"/>
            <w:r>
              <w:t xml:space="preserve"> </w:t>
            </w:r>
          </w:p>
        </w:tc>
      </w:tr>
      <w:tr w:rsidR="00431F42" w14:paraId="7A18FBAF" w14:textId="77777777" w:rsidTr="00431F42">
        <w:tc>
          <w:tcPr>
            <w:tcW w:w="7598" w:type="dxa"/>
          </w:tcPr>
          <w:p w14:paraId="377AB906" w14:textId="77777777" w:rsidR="00431F42" w:rsidRDefault="00431F42" w:rsidP="00431F42">
            <w:pPr>
              <w:pStyle w:val="Body"/>
            </w:pPr>
          </w:p>
        </w:tc>
      </w:tr>
    </w:tbl>
    <w:p w14:paraId="2B7C66FB" w14:textId="77777777" w:rsidR="000D2ABA" w:rsidRDefault="000D2ABA" w:rsidP="00431F42">
      <w:pPr>
        <w:pStyle w:val="Bod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433E9B00" w14:textId="77777777" w:rsidTr="00562507">
        <w:trPr>
          <w:cantSplit/>
          <w:trHeight w:val="7088"/>
        </w:trPr>
        <w:tc>
          <w:tcPr>
            <w:tcW w:w="9288" w:type="dxa"/>
          </w:tcPr>
          <w:p w14:paraId="2E5ABDC3" w14:textId="77777777" w:rsidR="00AC3FD3" w:rsidRDefault="00AC3FD3" w:rsidP="007D4DA9">
            <w:pPr>
              <w:pStyle w:val="Accessibilitypara"/>
            </w:pPr>
          </w:p>
          <w:p w14:paraId="1C6D24B3" w14:textId="77777777" w:rsidR="00AC3FD3" w:rsidRDefault="00AC3FD3" w:rsidP="007D4DA9">
            <w:pPr>
              <w:pStyle w:val="Accessibilitypara"/>
            </w:pPr>
          </w:p>
          <w:p w14:paraId="17601BA4" w14:textId="77777777" w:rsidR="00AC3FD3" w:rsidRDefault="00AC3FD3" w:rsidP="007D4DA9">
            <w:pPr>
              <w:pStyle w:val="Accessibilitypara"/>
            </w:pPr>
          </w:p>
          <w:p w14:paraId="76C98340" w14:textId="77777777" w:rsidR="00AC3FD3" w:rsidRDefault="00AC3FD3" w:rsidP="007D4DA9">
            <w:pPr>
              <w:pStyle w:val="Accessibilitypara"/>
            </w:pPr>
          </w:p>
          <w:p w14:paraId="12BA74C1" w14:textId="77777777" w:rsidR="00AC3FD3" w:rsidRDefault="00AC3FD3" w:rsidP="007D4DA9">
            <w:pPr>
              <w:pStyle w:val="Accessibilitypara"/>
            </w:pPr>
          </w:p>
          <w:p w14:paraId="1001DCBA" w14:textId="77777777" w:rsidR="00AC3FD3" w:rsidRDefault="00AC3FD3" w:rsidP="007D4DA9">
            <w:pPr>
              <w:pStyle w:val="Accessibilitypara"/>
            </w:pPr>
          </w:p>
          <w:p w14:paraId="158809A0" w14:textId="77777777" w:rsidR="00AC3FD3" w:rsidRDefault="00AC3FD3" w:rsidP="007D4DA9">
            <w:pPr>
              <w:pStyle w:val="Accessibilitypara"/>
            </w:pPr>
          </w:p>
          <w:p w14:paraId="79BACB88" w14:textId="77777777" w:rsidR="00AC3FD3" w:rsidRDefault="00AC3FD3" w:rsidP="007D4DA9">
            <w:pPr>
              <w:pStyle w:val="Accessibilitypara"/>
            </w:pPr>
          </w:p>
          <w:p w14:paraId="5B4CB12E" w14:textId="77777777" w:rsidR="00AC3FD3" w:rsidRDefault="00AC3FD3" w:rsidP="007D4DA9">
            <w:pPr>
              <w:pStyle w:val="Accessibilitypara"/>
            </w:pPr>
          </w:p>
          <w:p w14:paraId="3C859079" w14:textId="77777777" w:rsidR="00AC3FD3" w:rsidRDefault="00AC3FD3" w:rsidP="007D4DA9">
            <w:pPr>
              <w:pStyle w:val="Accessibilitypara"/>
            </w:pPr>
          </w:p>
          <w:p w14:paraId="1DC00F96" w14:textId="77777777" w:rsidR="00AC3FD3" w:rsidRDefault="00AC3FD3" w:rsidP="007D4DA9">
            <w:pPr>
              <w:pStyle w:val="Accessibilitypara"/>
            </w:pPr>
          </w:p>
          <w:p w14:paraId="0B1DF263" w14:textId="77777777" w:rsidR="00AC3FD3" w:rsidRDefault="00AC3FD3" w:rsidP="007D4DA9">
            <w:pPr>
              <w:pStyle w:val="Accessibilitypara"/>
            </w:pPr>
          </w:p>
          <w:p w14:paraId="6C6E2111" w14:textId="77777777" w:rsidR="00AC3FD3" w:rsidRDefault="00AC3FD3" w:rsidP="007D4DA9">
            <w:pPr>
              <w:pStyle w:val="Accessibilitypara"/>
            </w:pPr>
          </w:p>
          <w:p w14:paraId="5887BC56" w14:textId="77777777" w:rsidR="005F36B3" w:rsidRDefault="005F36B3" w:rsidP="007D4DA9">
            <w:pPr>
              <w:pStyle w:val="Accessibilitypara"/>
            </w:pPr>
          </w:p>
          <w:p w14:paraId="4512170E" w14:textId="77777777" w:rsidR="005F36B3" w:rsidRDefault="005F36B3" w:rsidP="007D4DA9">
            <w:pPr>
              <w:pStyle w:val="Accessibilitypara"/>
            </w:pPr>
          </w:p>
          <w:p w14:paraId="67040B68" w14:textId="77777777" w:rsidR="005F36B3" w:rsidRDefault="005F36B3" w:rsidP="007D4DA9">
            <w:pPr>
              <w:pStyle w:val="Accessibilitypara"/>
            </w:pPr>
          </w:p>
          <w:p w14:paraId="36FBA412" w14:textId="620B4FDF" w:rsidR="007D4DA9" w:rsidRPr="0055119B" w:rsidRDefault="007D4DA9" w:rsidP="007D4DA9">
            <w:pPr>
              <w:pStyle w:val="Accessibilitypara"/>
            </w:pPr>
            <w:r w:rsidRPr="0055119B">
              <w:t>To receive this document in another format</w:t>
            </w:r>
            <w:r>
              <w:t>,</w:t>
            </w:r>
            <w:r w:rsidRPr="0055119B">
              <w:t xml:space="preserve"> email</w:t>
            </w:r>
            <w:r w:rsidR="00284326">
              <w:t xml:space="preserve"> </w:t>
            </w:r>
            <w:r w:rsidR="009F2E8F">
              <w:t>&lt;</w:t>
            </w:r>
            <w:r w:rsidR="00284326" w:rsidRPr="00284326">
              <w:t>specialistclinics.policyenquiries@health.vic.gov.au</w:t>
            </w:r>
            <w:r w:rsidR="00284326">
              <w:t>&gt;</w:t>
            </w:r>
            <w:r w:rsidRPr="0055119B">
              <w:t>.</w:t>
            </w:r>
          </w:p>
          <w:p w14:paraId="6ED21F40" w14:textId="77777777" w:rsidR="007D4DA9" w:rsidRPr="0055119B" w:rsidRDefault="007D4DA9" w:rsidP="007D4DA9">
            <w:pPr>
              <w:pStyle w:val="Imprint"/>
            </w:pPr>
            <w:r w:rsidRPr="0055119B">
              <w:t>Authorised and published by the Victorian Government, 1 Treasury Place, Melbourne.</w:t>
            </w:r>
          </w:p>
          <w:p w14:paraId="0E05DCDA" w14:textId="6701C35D" w:rsidR="007D4DA9" w:rsidRPr="0055119B" w:rsidRDefault="007D4DA9" w:rsidP="007D4DA9">
            <w:pPr>
              <w:pStyle w:val="Imprint"/>
            </w:pPr>
            <w:r w:rsidRPr="0055119B">
              <w:t xml:space="preserve">© State of Victoria, Australia, Department </w:t>
            </w:r>
            <w:r w:rsidRPr="001B058F">
              <w:t xml:space="preserve">of </w:t>
            </w:r>
            <w:r>
              <w:t>Health</w:t>
            </w:r>
            <w:r w:rsidRPr="0055119B">
              <w:t>,</w:t>
            </w:r>
            <w:r w:rsidR="005F36B3">
              <w:t xml:space="preserve"> </w:t>
            </w:r>
            <w:r w:rsidR="004F2E25" w:rsidRPr="004F2E25">
              <w:t>January</w:t>
            </w:r>
            <w:r w:rsidR="005F36B3" w:rsidRPr="004F2E25">
              <w:t xml:space="preserve"> 202</w:t>
            </w:r>
            <w:r w:rsidR="004F2E25" w:rsidRPr="004F2E25">
              <w:t>3</w:t>
            </w:r>
            <w:r w:rsidRPr="004F2E25">
              <w:t>.</w:t>
            </w:r>
          </w:p>
          <w:p w14:paraId="3410D253" w14:textId="77777777" w:rsidR="007D4DA9" w:rsidRPr="00BF6F48" w:rsidRDefault="007D4DA9" w:rsidP="007D4DA9">
            <w:pPr>
              <w:pStyle w:val="Imprint"/>
              <w:rPr>
                <w:color w:val="auto"/>
              </w:rPr>
            </w:pPr>
            <w:r w:rsidRPr="00BF6F48">
              <w:rPr>
                <w:color w:val="auto"/>
              </w:rPr>
              <w:t>In this document, ‘Aboriginal’ refers to both Aboriginal and Torres Strait Islander people. ‘Indigenous’ or ‘Koori/Koorie’ is retained when part of the title of a report, program or quotation.</w:t>
            </w:r>
          </w:p>
          <w:p w14:paraId="04619040" w14:textId="514F60DE" w:rsidR="007D4DA9" w:rsidRPr="0055119B" w:rsidRDefault="007D4DA9" w:rsidP="007D4DA9">
            <w:pPr>
              <w:pStyle w:val="Imprint"/>
            </w:pPr>
            <w:r w:rsidRPr="00A44D31">
              <w:t xml:space="preserve">ISBN </w:t>
            </w:r>
            <w:r w:rsidR="00A44D31" w:rsidRPr="00A44D31">
              <w:rPr>
                <w:rFonts w:cs="Arial"/>
                <w:color w:val="000000"/>
              </w:rPr>
              <w:t xml:space="preserve">978-1-76131-048-5 </w:t>
            </w:r>
            <w:r w:rsidRPr="00A44D31">
              <w:t>(online/PDF/Word)</w:t>
            </w:r>
          </w:p>
          <w:p w14:paraId="231E9458" w14:textId="25E97C88" w:rsidR="00713FB1" w:rsidRDefault="007D4DA9" w:rsidP="00713FB1">
            <w:pPr>
              <w:rPr>
                <w:rFonts w:ascii="Calibri" w:hAnsi="Calibri"/>
                <w:sz w:val="22"/>
              </w:rPr>
            </w:pPr>
            <w:r w:rsidRPr="0055119B">
              <w:t>Available at</w:t>
            </w:r>
            <w:r w:rsidRPr="00E33237">
              <w:rPr>
                <w:color w:val="004C97"/>
              </w:rPr>
              <w:t xml:space="preserve"> </w:t>
            </w:r>
            <w:r w:rsidR="00713FB1">
              <w:t>&lt;</w:t>
            </w:r>
            <w:r w:rsidR="002C1E09">
              <w:t>https</w:t>
            </w:r>
            <w:r w:rsidR="00B119BC" w:rsidRPr="00B119BC">
              <w:t>//www.health.vic.gov.au/publications/managing-referrals-to-non-admitted-specialist-services-in-victorian-public-health</w:t>
            </w:r>
            <w:r w:rsidR="00713FB1">
              <w:rPr>
                <w:sz w:val="20"/>
              </w:rPr>
              <w:t>&gt;</w:t>
            </w:r>
          </w:p>
          <w:p w14:paraId="2DE78F6A" w14:textId="672DCA23" w:rsidR="007D4DA9" w:rsidRPr="0055119B" w:rsidRDefault="007D4DA9" w:rsidP="007D4DA9">
            <w:pPr>
              <w:pStyle w:val="Imprint"/>
            </w:pPr>
          </w:p>
          <w:p w14:paraId="25583038" w14:textId="04616B4C" w:rsidR="007D4DA9" w:rsidRPr="007D4DA9" w:rsidRDefault="007D4DA9" w:rsidP="00561FB4">
            <w:pPr>
              <w:pStyle w:val="Body"/>
              <w:rPr>
                <w:rFonts w:eastAsia="Times New Roman"/>
                <w:color w:val="87189D"/>
                <w:sz w:val="24"/>
                <w:szCs w:val="24"/>
              </w:rPr>
            </w:pPr>
          </w:p>
        </w:tc>
      </w:tr>
    </w:tbl>
    <w:p w14:paraId="3E7DE466" w14:textId="77777777" w:rsidR="00B00DE6" w:rsidRDefault="00B00DE6">
      <w:pPr>
        <w:spacing w:after="0" w:line="240" w:lineRule="auto"/>
        <w:rPr>
          <w:rFonts w:eastAsia="MS Gothic" w:cs="Arial"/>
          <w:bCs/>
          <w:color w:val="53565A"/>
          <w:kern w:val="32"/>
          <w:sz w:val="44"/>
          <w:szCs w:val="44"/>
        </w:rPr>
      </w:pPr>
      <w:r>
        <w:br w:type="page"/>
      </w:r>
    </w:p>
    <w:p w14:paraId="06055728" w14:textId="30D75C0A" w:rsidR="00AD784C" w:rsidRPr="00B57329" w:rsidRDefault="00AD784C" w:rsidP="002365B4">
      <w:pPr>
        <w:pStyle w:val="TOCheadingreport"/>
      </w:pPr>
      <w:r w:rsidRPr="00B57329">
        <w:lastRenderedPageBreak/>
        <w:t>Contents</w:t>
      </w:r>
    </w:p>
    <w:p w14:paraId="6810CC11" w14:textId="7D0DBA7E" w:rsidR="002B0FFA" w:rsidRDefault="00B64AA2">
      <w:pPr>
        <w:pStyle w:val="TOC1"/>
        <w:rPr>
          <w:rFonts w:asciiTheme="minorHAnsi" w:eastAsiaTheme="minorEastAsia" w:hAnsiTheme="minorHAnsi" w:cstheme="minorBidi"/>
          <w:b w:val="0"/>
          <w:sz w:val="22"/>
          <w:szCs w:val="22"/>
          <w:lang w:eastAsia="en-AU"/>
        </w:rPr>
      </w:pPr>
      <w:hyperlink w:anchor="_Toc121210031" w:history="1">
        <w:r w:rsidR="002B0FFA" w:rsidRPr="00B727E8">
          <w:rPr>
            <w:rStyle w:val="Hyperlink"/>
          </w:rPr>
          <w:t>Acknowledgements</w:t>
        </w:r>
        <w:r w:rsidR="002B0FFA">
          <w:rPr>
            <w:webHidden/>
          </w:rPr>
          <w:tab/>
        </w:r>
        <w:r w:rsidR="002B0FFA">
          <w:rPr>
            <w:webHidden/>
          </w:rPr>
          <w:fldChar w:fldCharType="begin"/>
        </w:r>
        <w:r w:rsidR="002B0FFA">
          <w:rPr>
            <w:webHidden/>
          </w:rPr>
          <w:instrText xml:space="preserve"> PAGEREF _Toc121210031 \h </w:instrText>
        </w:r>
        <w:r w:rsidR="002B0FFA">
          <w:rPr>
            <w:webHidden/>
          </w:rPr>
        </w:r>
        <w:r w:rsidR="002B0FFA">
          <w:rPr>
            <w:webHidden/>
          </w:rPr>
          <w:fldChar w:fldCharType="separate"/>
        </w:r>
        <w:r w:rsidR="002B0FFA">
          <w:rPr>
            <w:webHidden/>
          </w:rPr>
          <w:t>7</w:t>
        </w:r>
        <w:r w:rsidR="002B0FFA">
          <w:rPr>
            <w:webHidden/>
          </w:rPr>
          <w:fldChar w:fldCharType="end"/>
        </w:r>
      </w:hyperlink>
    </w:p>
    <w:p w14:paraId="09AC7896" w14:textId="1129BDC1" w:rsidR="002B0FFA" w:rsidRDefault="00B64AA2">
      <w:pPr>
        <w:pStyle w:val="TOC1"/>
        <w:rPr>
          <w:rFonts w:asciiTheme="minorHAnsi" w:eastAsiaTheme="minorEastAsia" w:hAnsiTheme="minorHAnsi" w:cstheme="minorBidi"/>
          <w:b w:val="0"/>
          <w:sz w:val="22"/>
          <w:szCs w:val="22"/>
          <w:lang w:eastAsia="en-AU"/>
        </w:rPr>
      </w:pPr>
      <w:hyperlink w:anchor="_Toc121210033" w:history="1">
        <w:r w:rsidR="002B0FFA" w:rsidRPr="00B727E8">
          <w:rPr>
            <w:rStyle w:val="Hyperlink"/>
          </w:rPr>
          <w:t>Glossary</w:t>
        </w:r>
        <w:r w:rsidR="002B0FFA">
          <w:rPr>
            <w:webHidden/>
          </w:rPr>
          <w:tab/>
          <w:t>8</w:t>
        </w:r>
      </w:hyperlink>
    </w:p>
    <w:p w14:paraId="389AB569" w14:textId="5A712E16" w:rsidR="002B0FFA" w:rsidRDefault="00B64AA2">
      <w:pPr>
        <w:pStyle w:val="TOC1"/>
        <w:rPr>
          <w:rFonts w:asciiTheme="minorHAnsi" w:eastAsiaTheme="minorEastAsia" w:hAnsiTheme="minorHAnsi" w:cstheme="minorBidi"/>
          <w:b w:val="0"/>
          <w:sz w:val="22"/>
          <w:szCs w:val="22"/>
          <w:lang w:eastAsia="en-AU"/>
        </w:rPr>
      </w:pPr>
      <w:hyperlink w:anchor="_Toc121210034" w:history="1">
        <w:r w:rsidR="002B0FFA" w:rsidRPr="00B727E8">
          <w:rPr>
            <w:rStyle w:val="Hyperlink"/>
          </w:rPr>
          <w:t>Introduction</w:t>
        </w:r>
        <w:r w:rsidR="002B0FFA">
          <w:rPr>
            <w:webHidden/>
          </w:rPr>
          <w:tab/>
          <w:t>13</w:t>
        </w:r>
      </w:hyperlink>
    </w:p>
    <w:p w14:paraId="222E4959" w14:textId="5BE9BBE6" w:rsidR="002B0FFA" w:rsidRDefault="00B64AA2">
      <w:pPr>
        <w:pStyle w:val="TOC1"/>
        <w:rPr>
          <w:rFonts w:asciiTheme="minorHAnsi" w:eastAsiaTheme="minorEastAsia" w:hAnsiTheme="minorHAnsi" w:cstheme="minorBidi"/>
          <w:b w:val="0"/>
          <w:sz w:val="22"/>
          <w:szCs w:val="22"/>
          <w:lang w:eastAsia="en-AU"/>
        </w:rPr>
      </w:pPr>
      <w:hyperlink w:anchor="_Toc121210035" w:history="1">
        <w:r w:rsidR="002B0FFA" w:rsidRPr="00B727E8">
          <w:rPr>
            <w:rStyle w:val="Hyperlink"/>
          </w:rPr>
          <w:t>1. Statement of purpose for non-admitted specialist services</w:t>
        </w:r>
        <w:r w:rsidR="002B0FFA">
          <w:rPr>
            <w:webHidden/>
          </w:rPr>
          <w:tab/>
          <w:t>14</w:t>
        </w:r>
      </w:hyperlink>
    </w:p>
    <w:p w14:paraId="64C0AAC1" w14:textId="1CFD3EDD" w:rsidR="002B0FFA" w:rsidRDefault="00B64AA2">
      <w:pPr>
        <w:pStyle w:val="TOC1"/>
        <w:rPr>
          <w:rFonts w:asciiTheme="minorHAnsi" w:eastAsiaTheme="minorEastAsia" w:hAnsiTheme="minorHAnsi" w:cstheme="minorBidi"/>
          <w:b w:val="0"/>
          <w:sz w:val="22"/>
          <w:szCs w:val="22"/>
          <w:lang w:eastAsia="en-AU"/>
        </w:rPr>
      </w:pPr>
      <w:hyperlink w:anchor="_Toc121210036" w:history="1">
        <w:r w:rsidR="002B0FFA" w:rsidRPr="00B727E8">
          <w:rPr>
            <w:rStyle w:val="Hyperlink"/>
          </w:rPr>
          <w:t>2. Objectives</w:t>
        </w:r>
        <w:r w:rsidR="002B0FFA">
          <w:rPr>
            <w:webHidden/>
          </w:rPr>
          <w:tab/>
          <w:t>15</w:t>
        </w:r>
      </w:hyperlink>
    </w:p>
    <w:p w14:paraId="4E639CA2" w14:textId="77C9CFD7" w:rsidR="002B0FFA" w:rsidRDefault="00B64AA2">
      <w:pPr>
        <w:pStyle w:val="TOC1"/>
        <w:rPr>
          <w:rFonts w:asciiTheme="minorHAnsi" w:eastAsiaTheme="minorEastAsia" w:hAnsiTheme="minorHAnsi" w:cstheme="minorBidi"/>
          <w:b w:val="0"/>
          <w:sz w:val="22"/>
          <w:szCs w:val="22"/>
          <w:lang w:eastAsia="en-AU"/>
        </w:rPr>
      </w:pPr>
      <w:hyperlink w:anchor="_Toc121210037" w:history="1">
        <w:r w:rsidR="002B0FFA" w:rsidRPr="00B727E8">
          <w:rPr>
            <w:rStyle w:val="Hyperlink"/>
          </w:rPr>
          <w:t>3. About the policy</w:t>
        </w:r>
        <w:r w:rsidR="002B0FFA">
          <w:rPr>
            <w:webHidden/>
          </w:rPr>
          <w:tab/>
          <w:t>16</w:t>
        </w:r>
      </w:hyperlink>
    </w:p>
    <w:p w14:paraId="5E7CC99E" w14:textId="67F91308" w:rsidR="002B0FFA" w:rsidRDefault="00B64AA2">
      <w:pPr>
        <w:pStyle w:val="TOC2"/>
        <w:rPr>
          <w:rFonts w:asciiTheme="minorHAnsi" w:eastAsiaTheme="minorEastAsia" w:hAnsiTheme="minorHAnsi" w:cstheme="minorBidi"/>
          <w:sz w:val="22"/>
          <w:szCs w:val="22"/>
          <w:lang w:eastAsia="en-AU"/>
        </w:rPr>
      </w:pPr>
      <w:hyperlink w:anchor="_Toc121210038" w:history="1">
        <w:r w:rsidR="002B0FFA" w:rsidRPr="00B727E8">
          <w:rPr>
            <w:rStyle w:val="Hyperlink"/>
          </w:rPr>
          <w:t>3.1 Scope</w:t>
        </w:r>
        <w:r w:rsidR="002B0FFA">
          <w:rPr>
            <w:webHidden/>
          </w:rPr>
          <w:tab/>
          <w:t>16</w:t>
        </w:r>
      </w:hyperlink>
    </w:p>
    <w:p w14:paraId="744F9946" w14:textId="70004884" w:rsidR="002B0FFA" w:rsidRDefault="00B64AA2">
      <w:pPr>
        <w:pStyle w:val="TOC2"/>
        <w:rPr>
          <w:rFonts w:asciiTheme="minorHAnsi" w:eastAsiaTheme="minorEastAsia" w:hAnsiTheme="minorHAnsi" w:cstheme="minorBidi"/>
          <w:sz w:val="22"/>
          <w:szCs w:val="22"/>
          <w:lang w:eastAsia="en-AU"/>
        </w:rPr>
      </w:pPr>
      <w:hyperlink w:anchor="_Toc121210039" w:history="1">
        <w:r w:rsidR="002B0FFA" w:rsidRPr="00B727E8">
          <w:rPr>
            <w:rStyle w:val="Hyperlink"/>
          </w:rPr>
          <w:t>3.2 Implementation</w:t>
        </w:r>
        <w:r w:rsidR="002B0FFA">
          <w:rPr>
            <w:webHidden/>
          </w:rPr>
          <w:tab/>
          <w:t>17</w:t>
        </w:r>
      </w:hyperlink>
    </w:p>
    <w:p w14:paraId="2CB7FB55" w14:textId="0D0488B1" w:rsidR="002B0FFA" w:rsidRDefault="00B64AA2">
      <w:pPr>
        <w:pStyle w:val="TOC2"/>
        <w:rPr>
          <w:rFonts w:asciiTheme="minorHAnsi" w:eastAsiaTheme="minorEastAsia" w:hAnsiTheme="minorHAnsi" w:cstheme="minorBidi"/>
          <w:sz w:val="22"/>
          <w:szCs w:val="22"/>
          <w:lang w:eastAsia="en-AU"/>
        </w:rPr>
      </w:pPr>
      <w:hyperlink w:anchor="_Toc121210040" w:history="1">
        <w:r w:rsidR="002B0FFA" w:rsidRPr="00B727E8">
          <w:rPr>
            <w:rStyle w:val="Hyperlink"/>
          </w:rPr>
          <w:t>3.3 Policy context</w:t>
        </w:r>
        <w:r w:rsidR="002B0FFA">
          <w:rPr>
            <w:webHidden/>
          </w:rPr>
          <w:tab/>
          <w:t>17</w:t>
        </w:r>
      </w:hyperlink>
    </w:p>
    <w:p w14:paraId="2931AABF" w14:textId="470148EF" w:rsidR="002B0FFA" w:rsidRDefault="00B64AA2">
      <w:pPr>
        <w:pStyle w:val="TOC1"/>
        <w:rPr>
          <w:rFonts w:asciiTheme="minorHAnsi" w:eastAsiaTheme="minorEastAsia" w:hAnsiTheme="minorHAnsi" w:cstheme="minorBidi"/>
          <w:b w:val="0"/>
          <w:sz w:val="22"/>
          <w:szCs w:val="22"/>
          <w:lang w:eastAsia="en-AU"/>
        </w:rPr>
      </w:pPr>
      <w:hyperlink w:anchor="_Toc121210041" w:history="1">
        <w:r w:rsidR="002B0FFA" w:rsidRPr="00B727E8">
          <w:rPr>
            <w:rStyle w:val="Hyperlink"/>
          </w:rPr>
          <w:t>4. Roles and responsibilities</w:t>
        </w:r>
        <w:r w:rsidR="002B0FFA">
          <w:rPr>
            <w:webHidden/>
          </w:rPr>
          <w:tab/>
          <w:t>19</w:t>
        </w:r>
      </w:hyperlink>
    </w:p>
    <w:p w14:paraId="71702412" w14:textId="74E7CAE6" w:rsidR="002B0FFA" w:rsidRDefault="00B64AA2">
      <w:pPr>
        <w:pStyle w:val="TOC2"/>
        <w:rPr>
          <w:rFonts w:asciiTheme="minorHAnsi" w:eastAsiaTheme="minorEastAsia" w:hAnsiTheme="minorHAnsi" w:cstheme="minorBidi"/>
          <w:sz w:val="22"/>
          <w:szCs w:val="22"/>
          <w:lang w:eastAsia="en-AU"/>
        </w:rPr>
      </w:pPr>
      <w:hyperlink w:anchor="_Toc121210042" w:history="1">
        <w:r w:rsidR="002B0FFA" w:rsidRPr="00B727E8">
          <w:rPr>
            <w:rStyle w:val="Hyperlink"/>
          </w:rPr>
          <w:t>4.1 The department</w:t>
        </w:r>
        <w:r w:rsidR="002B0FFA">
          <w:rPr>
            <w:webHidden/>
          </w:rPr>
          <w:tab/>
          <w:t>19</w:t>
        </w:r>
      </w:hyperlink>
    </w:p>
    <w:p w14:paraId="7624B9B3" w14:textId="0F6D097E" w:rsidR="002B0FFA" w:rsidRDefault="00B64AA2">
      <w:pPr>
        <w:pStyle w:val="TOC2"/>
        <w:rPr>
          <w:rFonts w:asciiTheme="minorHAnsi" w:eastAsiaTheme="minorEastAsia" w:hAnsiTheme="minorHAnsi" w:cstheme="minorBidi"/>
          <w:sz w:val="22"/>
          <w:szCs w:val="22"/>
          <w:lang w:eastAsia="en-AU"/>
        </w:rPr>
      </w:pPr>
      <w:hyperlink w:anchor="_Toc121210043" w:history="1">
        <w:r w:rsidR="002B0FFA" w:rsidRPr="00B727E8">
          <w:rPr>
            <w:rStyle w:val="Hyperlink"/>
          </w:rPr>
          <w:t>4.2 Health services</w:t>
        </w:r>
        <w:r w:rsidR="002B0FFA">
          <w:rPr>
            <w:webHidden/>
          </w:rPr>
          <w:tab/>
          <w:t>19</w:t>
        </w:r>
      </w:hyperlink>
    </w:p>
    <w:p w14:paraId="79F50F45" w14:textId="57505E3A" w:rsidR="002B0FFA" w:rsidRDefault="00B64AA2">
      <w:pPr>
        <w:pStyle w:val="TOC2"/>
        <w:rPr>
          <w:rFonts w:asciiTheme="minorHAnsi" w:eastAsiaTheme="minorEastAsia" w:hAnsiTheme="minorHAnsi" w:cstheme="minorBidi"/>
          <w:sz w:val="22"/>
          <w:szCs w:val="22"/>
          <w:lang w:eastAsia="en-AU"/>
        </w:rPr>
      </w:pPr>
      <w:hyperlink w:anchor="_Toc121210044" w:history="1">
        <w:r w:rsidR="002B0FFA" w:rsidRPr="00B727E8">
          <w:rPr>
            <w:rStyle w:val="Hyperlink"/>
          </w:rPr>
          <w:t>4.3 Referring clinicians</w:t>
        </w:r>
        <w:r w:rsidR="002B0FFA">
          <w:rPr>
            <w:webHidden/>
          </w:rPr>
          <w:tab/>
          <w:t>21</w:t>
        </w:r>
      </w:hyperlink>
    </w:p>
    <w:p w14:paraId="4957C506" w14:textId="1D7B8562" w:rsidR="002B0FFA" w:rsidRDefault="00B64AA2">
      <w:pPr>
        <w:pStyle w:val="TOC2"/>
        <w:rPr>
          <w:rFonts w:asciiTheme="minorHAnsi" w:eastAsiaTheme="minorEastAsia" w:hAnsiTheme="minorHAnsi" w:cstheme="minorBidi"/>
          <w:sz w:val="22"/>
          <w:szCs w:val="22"/>
          <w:lang w:eastAsia="en-AU"/>
        </w:rPr>
      </w:pPr>
      <w:hyperlink w:anchor="_Toc121210045" w:history="1">
        <w:r w:rsidR="002B0FFA" w:rsidRPr="00B727E8">
          <w:rPr>
            <w:rStyle w:val="Hyperlink"/>
          </w:rPr>
          <w:t>4.4. Patients and consumers</w:t>
        </w:r>
        <w:r w:rsidR="002B0FFA">
          <w:rPr>
            <w:webHidden/>
          </w:rPr>
          <w:tab/>
          <w:t>21</w:t>
        </w:r>
      </w:hyperlink>
    </w:p>
    <w:p w14:paraId="472E53DE" w14:textId="42FCA016" w:rsidR="002B0FFA" w:rsidRDefault="00B64AA2">
      <w:pPr>
        <w:pStyle w:val="TOC1"/>
        <w:rPr>
          <w:rFonts w:asciiTheme="minorHAnsi" w:eastAsiaTheme="minorEastAsia" w:hAnsiTheme="minorHAnsi" w:cstheme="minorBidi"/>
          <w:b w:val="0"/>
          <w:sz w:val="22"/>
          <w:szCs w:val="22"/>
          <w:lang w:eastAsia="en-AU"/>
        </w:rPr>
      </w:pPr>
      <w:hyperlink w:anchor="_Toc121210046" w:history="1">
        <w:r w:rsidR="002B0FFA" w:rsidRPr="00B727E8">
          <w:rPr>
            <w:rStyle w:val="Hyperlink"/>
          </w:rPr>
          <w:t>5. Managing and monitoring resources</w:t>
        </w:r>
        <w:r w:rsidR="002B0FFA">
          <w:rPr>
            <w:webHidden/>
          </w:rPr>
          <w:tab/>
          <w:t>23</w:t>
        </w:r>
      </w:hyperlink>
    </w:p>
    <w:p w14:paraId="57543993" w14:textId="0B87EBD3" w:rsidR="002B0FFA" w:rsidRDefault="00B64AA2">
      <w:pPr>
        <w:pStyle w:val="TOC2"/>
        <w:rPr>
          <w:rFonts w:asciiTheme="minorHAnsi" w:eastAsiaTheme="minorEastAsia" w:hAnsiTheme="minorHAnsi" w:cstheme="minorBidi"/>
          <w:sz w:val="22"/>
          <w:szCs w:val="22"/>
          <w:lang w:eastAsia="en-AU"/>
        </w:rPr>
      </w:pPr>
      <w:hyperlink w:anchor="_Toc121210047" w:history="1">
        <w:r w:rsidR="002B0FFA" w:rsidRPr="00B727E8">
          <w:rPr>
            <w:rStyle w:val="Hyperlink"/>
          </w:rPr>
          <w:t>5.1 Allocating resources</w:t>
        </w:r>
        <w:r w:rsidR="002B0FFA">
          <w:rPr>
            <w:webHidden/>
          </w:rPr>
          <w:tab/>
          <w:t>23</w:t>
        </w:r>
      </w:hyperlink>
    </w:p>
    <w:p w14:paraId="553192A5" w14:textId="58729BC7" w:rsidR="002B0FFA" w:rsidRDefault="00B64AA2">
      <w:pPr>
        <w:pStyle w:val="TOC2"/>
        <w:rPr>
          <w:rFonts w:asciiTheme="minorHAnsi" w:eastAsiaTheme="minorEastAsia" w:hAnsiTheme="minorHAnsi" w:cstheme="minorBidi"/>
          <w:sz w:val="22"/>
          <w:szCs w:val="22"/>
          <w:lang w:eastAsia="en-AU"/>
        </w:rPr>
      </w:pPr>
      <w:hyperlink w:anchor="_Toc121210048" w:history="1">
        <w:r w:rsidR="002B0FFA" w:rsidRPr="00B727E8">
          <w:rPr>
            <w:rStyle w:val="Hyperlink"/>
          </w:rPr>
          <w:t>5.2 Capability and capacity</w:t>
        </w:r>
        <w:r w:rsidR="002B0FFA">
          <w:rPr>
            <w:webHidden/>
          </w:rPr>
          <w:tab/>
          <w:t>23</w:t>
        </w:r>
      </w:hyperlink>
    </w:p>
    <w:p w14:paraId="69D3A067" w14:textId="21A87447" w:rsidR="002B0FFA" w:rsidRDefault="00B64AA2">
      <w:pPr>
        <w:pStyle w:val="TOC2"/>
        <w:rPr>
          <w:rFonts w:asciiTheme="minorHAnsi" w:eastAsiaTheme="minorEastAsia" w:hAnsiTheme="minorHAnsi" w:cstheme="minorBidi"/>
          <w:sz w:val="22"/>
          <w:szCs w:val="22"/>
          <w:lang w:eastAsia="en-AU"/>
        </w:rPr>
      </w:pPr>
      <w:hyperlink w:anchor="_Toc121210049" w:history="1">
        <w:r w:rsidR="002B0FFA" w:rsidRPr="00B727E8">
          <w:rPr>
            <w:rStyle w:val="Hyperlink"/>
          </w:rPr>
          <w:t>5.3 Public and private patients</w:t>
        </w:r>
        <w:r w:rsidR="002B0FFA">
          <w:rPr>
            <w:webHidden/>
          </w:rPr>
          <w:tab/>
          <w:t>24</w:t>
        </w:r>
      </w:hyperlink>
    </w:p>
    <w:p w14:paraId="76BD6ECC" w14:textId="30E32CAA" w:rsidR="002B0FFA" w:rsidRDefault="00B64AA2">
      <w:pPr>
        <w:pStyle w:val="TOC1"/>
        <w:rPr>
          <w:rFonts w:asciiTheme="minorHAnsi" w:eastAsiaTheme="minorEastAsia" w:hAnsiTheme="minorHAnsi" w:cstheme="minorBidi"/>
          <w:b w:val="0"/>
          <w:sz w:val="22"/>
          <w:szCs w:val="22"/>
          <w:lang w:eastAsia="en-AU"/>
        </w:rPr>
      </w:pPr>
      <w:hyperlink w:anchor="_Toc121210050" w:history="1">
        <w:r w:rsidR="002B0FFA" w:rsidRPr="00B727E8">
          <w:rPr>
            <w:rStyle w:val="Hyperlink"/>
          </w:rPr>
          <w:t>6. Communications</w:t>
        </w:r>
        <w:r w:rsidR="002B0FFA">
          <w:rPr>
            <w:webHidden/>
          </w:rPr>
          <w:tab/>
          <w:t>25</w:t>
        </w:r>
      </w:hyperlink>
    </w:p>
    <w:p w14:paraId="5C509114" w14:textId="6C9F82A1" w:rsidR="002B0FFA" w:rsidRDefault="00B64AA2">
      <w:pPr>
        <w:pStyle w:val="TOC2"/>
        <w:rPr>
          <w:rFonts w:asciiTheme="minorHAnsi" w:eastAsiaTheme="minorEastAsia" w:hAnsiTheme="minorHAnsi" w:cstheme="minorBidi"/>
          <w:sz w:val="22"/>
          <w:szCs w:val="22"/>
          <w:lang w:eastAsia="en-AU"/>
        </w:rPr>
      </w:pPr>
      <w:hyperlink w:anchor="_Toc121210051" w:history="1">
        <w:r w:rsidR="002B0FFA" w:rsidRPr="00B727E8">
          <w:rPr>
            <w:rStyle w:val="Hyperlink"/>
          </w:rPr>
          <w:t>6.1 Principles for communication</w:t>
        </w:r>
        <w:r w:rsidR="002B0FFA">
          <w:rPr>
            <w:webHidden/>
          </w:rPr>
          <w:tab/>
          <w:t>25</w:t>
        </w:r>
      </w:hyperlink>
    </w:p>
    <w:p w14:paraId="19DA879B" w14:textId="0EB94181" w:rsidR="002B0FFA" w:rsidRDefault="00B64AA2">
      <w:pPr>
        <w:pStyle w:val="TOC2"/>
        <w:rPr>
          <w:rFonts w:asciiTheme="minorHAnsi" w:eastAsiaTheme="minorEastAsia" w:hAnsiTheme="minorHAnsi" w:cstheme="minorBidi"/>
          <w:sz w:val="22"/>
          <w:szCs w:val="22"/>
          <w:lang w:eastAsia="en-AU"/>
        </w:rPr>
      </w:pPr>
      <w:hyperlink w:anchor="_Toc121210052" w:history="1">
        <w:r w:rsidR="002B0FFA" w:rsidRPr="00B727E8">
          <w:rPr>
            <w:rStyle w:val="Hyperlink"/>
          </w:rPr>
          <w:t>6.2 Information about non-admitted specialist services</w:t>
        </w:r>
        <w:r w:rsidR="002B0FFA">
          <w:rPr>
            <w:webHidden/>
          </w:rPr>
          <w:tab/>
          <w:t>25</w:t>
        </w:r>
      </w:hyperlink>
    </w:p>
    <w:p w14:paraId="6F9108E4" w14:textId="33F269C7" w:rsidR="002B0FFA" w:rsidRDefault="00B64AA2">
      <w:pPr>
        <w:pStyle w:val="TOC2"/>
        <w:rPr>
          <w:rFonts w:asciiTheme="minorHAnsi" w:eastAsiaTheme="minorEastAsia" w:hAnsiTheme="minorHAnsi" w:cstheme="minorBidi"/>
          <w:sz w:val="22"/>
          <w:szCs w:val="22"/>
          <w:lang w:eastAsia="en-AU"/>
        </w:rPr>
      </w:pPr>
      <w:hyperlink w:anchor="_Toc121210053" w:history="1">
        <w:r w:rsidR="002B0FFA" w:rsidRPr="00B727E8">
          <w:rPr>
            <w:rStyle w:val="Hyperlink"/>
          </w:rPr>
          <w:t>6.3 Communications with patients</w:t>
        </w:r>
        <w:r w:rsidR="002B0FFA">
          <w:rPr>
            <w:webHidden/>
          </w:rPr>
          <w:tab/>
          <w:t>26</w:t>
        </w:r>
      </w:hyperlink>
    </w:p>
    <w:p w14:paraId="2A0F0CE3" w14:textId="440D84D0" w:rsidR="002B0FFA" w:rsidRDefault="00B64AA2">
      <w:pPr>
        <w:pStyle w:val="TOC2"/>
        <w:rPr>
          <w:rFonts w:asciiTheme="minorHAnsi" w:eastAsiaTheme="minorEastAsia" w:hAnsiTheme="minorHAnsi" w:cstheme="minorBidi"/>
          <w:sz w:val="22"/>
          <w:szCs w:val="22"/>
          <w:lang w:eastAsia="en-AU"/>
        </w:rPr>
      </w:pPr>
      <w:hyperlink w:anchor="_Toc121210054" w:history="1">
        <w:r w:rsidR="002B0FFA" w:rsidRPr="00B727E8">
          <w:rPr>
            <w:rStyle w:val="Hyperlink"/>
          </w:rPr>
          <w:t>6.4 Communications with referring clinicians</w:t>
        </w:r>
        <w:r w:rsidR="002B0FFA">
          <w:rPr>
            <w:webHidden/>
          </w:rPr>
          <w:tab/>
          <w:t>28</w:t>
        </w:r>
      </w:hyperlink>
    </w:p>
    <w:p w14:paraId="1E6E3643" w14:textId="4A655412" w:rsidR="002B0FFA" w:rsidRDefault="00B64AA2">
      <w:pPr>
        <w:pStyle w:val="TOC2"/>
        <w:rPr>
          <w:rFonts w:asciiTheme="minorHAnsi" w:eastAsiaTheme="minorEastAsia" w:hAnsiTheme="minorHAnsi" w:cstheme="minorBidi"/>
          <w:sz w:val="22"/>
          <w:szCs w:val="22"/>
          <w:lang w:eastAsia="en-AU"/>
        </w:rPr>
      </w:pPr>
      <w:hyperlink w:anchor="_Toc121210055" w:history="1">
        <w:r w:rsidR="002B0FFA" w:rsidRPr="00B727E8">
          <w:rPr>
            <w:rStyle w:val="Hyperlink"/>
          </w:rPr>
          <w:t>6.5 Clinical communications</w:t>
        </w:r>
        <w:r w:rsidR="002B0FFA">
          <w:rPr>
            <w:webHidden/>
          </w:rPr>
          <w:tab/>
          <w:t>28</w:t>
        </w:r>
      </w:hyperlink>
    </w:p>
    <w:p w14:paraId="05245AFF" w14:textId="44B0A82F" w:rsidR="002B0FFA" w:rsidRDefault="00B64AA2">
      <w:pPr>
        <w:pStyle w:val="TOC2"/>
        <w:rPr>
          <w:rFonts w:asciiTheme="minorHAnsi" w:eastAsiaTheme="minorEastAsia" w:hAnsiTheme="minorHAnsi" w:cstheme="minorBidi"/>
          <w:sz w:val="22"/>
          <w:szCs w:val="22"/>
          <w:lang w:eastAsia="en-AU"/>
        </w:rPr>
      </w:pPr>
      <w:hyperlink w:anchor="_Toc121210056" w:history="1">
        <w:r w:rsidR="002B0FFA" w:rsidRPr="00B727E8">
          <w:rPr>
            <w:rStyle w:val="Hyperlink"/>
          </w:rPr>
          <w:t>6.6 Communication with a GP, when not the referring clinician</w:t>
        </w:r>
        <w:r w:rsidR="002B0FFA">
          <w:rPr>
            <w:webHidden/>
          </w:rPr>
          <w:tab/>
          <w:t>29</w:t>
        </w:r>
      </w:hyperlink>
    </w:p>
    <w:p w14:paraId="5EC39405" w14:textId="1EF07D4A" w:rsidR="002B0FFA" w:rsidRDefault="00B64AA2">
      <w:pPr>
        <w:pStyle w:val="TOC1"/>
        <w:rPr>
          <w:rFonts w:asciiTheme="minorHAnsi" w:eastAsiaTheme="minorEastAsia" w:hAnsiTheme="minorHAnsi" w:cstheme="minorBidi"/>
          <w:b w:val="0"/>
          <w:sz w:val="22"/>
          <w:szCs w:val="22"/>
          <w:lang w:eastAsia="en-AU"/>
        </w:rPr>
      </w:pPr>
      <w:hyperlink w:anchor="_Toc121210057" w:history="1">
        <w:r w:rsidR="002B0FFA" w:rsidRPr="00B727E8">
          <w:rPr>
            <w:rStyle w:val="Hyperlink"/>
          </w:rPr>
          <w:t>7. Access management</w:t>
        </w:r>
        <w:r w:rsidR="002B0FFA">
          <w:rPr>
            <w:webHidden/>
          </w:rPr>
          <w:tab/>
          <w:t>30</w:t>
        </w:r>
      </w:hyperlink>
    </w:p>
    <w:p w14:paraId="1012642D" w14:textId="3FBEA643" w:rsidR="002B0FFA" w:rsidRDefault="00B64AA2">
      <w:pPr>
        <w:pStyle w:val="TOC2"/>
        <w:rPr>
          <w:rFonts w:asciiTheme="minorHAnsi" w:eastAsiaTheme="minorEastAsia" w:hAnsiTheme="minorHAnsi" w:cstheme="minorBidi"/>
          <w:sz w:val="22"/>
          <w:szCs w:val="22"/>
          <w:lang w:eastAsia="en-AU"/>
        </w:rPr>
      </w:pPr>
      <w:hyperlink w:anchor="_Toc121210058" w:history="1">
        <w:r w:rsidR="002B0FFA" w:rsidRPr="00B727E8">
          <w:rPr>
            <w:rStyle w:val="Hyperlink"/>
          </w:rPr>
          <w:t>7.1 Referral content</w:t>
        </w:r>
        <w:r w:rsidR="002B0FFA">
          <w:rPr>
            <w:webHidden/>
          </w:rPr>
          <w:tab/>
          <w:t>30</w:t>
        </w:r>
      </w:hyperlink>
    </w:p>
    <w:p w14:paraId="2C99DC74" w14:textId="67F5A02C" w:rsidR="002B0FFA" w:rsidRDefault="00B64AA2">
      <w:pPr>
        <w:pStyle w:val="TOC2"/>
        <w:rPr>
          <w:rFonts w:asciiTheme="minorHAnsi" w:eastAsiaTheme="minorEastAsia" w:hAnsiTheme="minorHAnsi" w:cstheme="minorBidi"/>
          <w:sz w:val="22"/>
          <w:szCs w:val="22"/>
          <w:lang w:eastAsia="en-AU"/>
        </w:rPr>
      </w:pPr>
      <w:hyperlink w:anchor="_Toc121210059" w:history="1">
        <w:r w:rsidR="002B0FFA" w:rsidRPr="00B727E8">
          <w:rPr>
            <w:rStyle w:val="Hyperlink"/>
          </w:rPr>
          <w:t>7.2 Referral acceptance and clinical prioritisation</w:t>
        </w:r>
        <w:r w:rsidR="002B0FFA">
          <w:rPr>
            <w:webHidden/>
          </w:rPr>
          <w:tab/>
          <w:t>30</w:t>
        </w:r>
      </w:hyperlink>
    </w:p>
    <w:p w14:paraId="25AB1A45" w14:textId="2C64E934" w:rsidR="002B0FFA" w:rsidRDefault="00B64AA2">
      <w:pPr>
        <w:pStyle w:val="TOC2"/>
        <w:rPr>
          <w:rFonts w:asciiTheme="minorHAnsi" w:eastAsiaTheme="minorEastAsia" w:hAnsiTheme="minorHAnsi" w:cstheme="minorBidi"/>
          <w:sz w:val="22"/>
          <w:szCs w:val="22"/>
          <w:lang w:eastAsia="en-AU"/>
        </w:rPr>
      </w:pPr>
      <w:hyperlink w:anchor="_Toc121210060" w:history="1">
        <w:r w:rsidR="002B0FFA" w:rsidRPr="00B727E8">
          <w:rPr>
            <w:rStyle w:val="Hyperlink"/>
          </w:rPr>
          <w:t>7.3 Communications with patients with an accepted referral</w:t>
        </w:r>
        <w:r w:rsidR="002B0FFA">
          <w:rPr>
            <w:webHidden/>
          </w:rPr>
          <w:tab/>
          <w:t>34</w:t>
        </w:r>
      </w:hyperlink>
    </w:p>
    <w:p w14:paraId="301B9186" w14:textId="0705AF6E" w:rsidR="002B0FFA" w:rsidRDefault="00B64AA2">
      <w:pPr>
        <w:pStyle w:val="TOC2"/>
        <w:rPr>
          <w:rFonts w:asciiTheme="minorHAnsi" w:eastAsiaTheme="minorEastAsia" w:hAnsiTheme="minorHAnsi" w:cstheme="minorBidi"/>
          <w:sz w:val="22"/>
          <w:szCs w:val="22"/>
          <w:lang w:eastAsia="en-AU"/>
        </w:rPr>
      </w:pPr>
      <w:hyperlink w:anchor="_Toc121210061" w:history="1">
        <w:r w:rsidR="002B0FFA" w:rsidRPr="00B727E8">
          <w:rPr>
            <w:rStyle w:val="Hyperlink"/>
          </w:rPr>
          <w:t>7.4 Arranging appointments</w:t>
        </w:r>
        <w:r w:rsidR="002B0FFA">
          <w:rPr>
            <w:webHidden/>
          </w:rPr>
          <w:tab/>
          <w:t>35</w:t>
        </w:r>
      </w:hyperlink>
    </w:p>
    <w:p w14:paraId="2CAA8DF5" w14:textId="283683B3" w:rsidR="002B0FFA" w:rsidRDefault="00B64AA2">
      <w:pPr>
        <w:pStyle w:val="TOC2"/>
        <w:rPr>
          <w:rFonts w:asciiTheme="minorHAnsi" w:eastAsiaTheme="minorEastAsia" w:hAnsiTheme="minorHAnsi" w:cstheme="minorBidi"/>
          <w:sz w:val="22"/>
          <w:szCs w:val="22"/>
          <w:lang w:eastAsia="en-AU"/>
        </w:rPr>
      </w:pPr>
      <w:hyperlink w:anchor="_Toc121210062" w:history="1">
        <w:r w:rsidR="002B0FFA" w:rsidRPr="00B727E8">
          <w:rPr>
            <w:rStyle w:val="Hyperlink"/>
          </w:rPr>
          <w:t>7.5 Not accepting referrals</w:t>
        </w:r>
        <w:r w:rsidR="002B0FFA">
          <w:rPr>
            <w:webHidden/>
          </w:rPr>
          <w:tab/>
          <w:t>36</w:t>
        </w:r>
      </w:hyperlink>
    </w:p>
    <w:p w14:paraId="2614C666" w14:textId="627B7126" w:rsidR="002B0FFA" w:rsidRDefault="00B64AA2">
      <w:pPr>
        <w:pStyle w:val="TOC1"/>
        <w:rPr>
          <w:rFonts w:asciiTheme="minorHAnsi" w:eastAsiaTheme="minorEastAsia" w:hAnsiTheme="minorHAnsi" w:cstheme="minorBidi"/>
          <w:b w:val="0"/>
          <w:sz w:val="22"/>
          <w:szCs w:val="22"/>
          <w:lang w:eastAsia="en-AU"/>
        </w:rPr>
      </w:pPr>
      <w:hyperlink w:anchor="_Toc121210063" w:history="1">
        <w:r w:rsidR="002B0FFA" w:rsidRPr="00B727E8">
          <w:rPr>
            <w:rStyle w:val="Hyperlink"/>
          </w:rPr>
          <w:t>8. Managing appointments and waiting patients</w:t>
        </w:r>
        <w:r w:rsidR="002B0FFA">
          <w:rPr>
            <w:webHidden/>
          </w:rPr>
          <w:tab/>
          <w:t>37</w:t>
        </w:r>
      </w:hyperlink>
    </w:p>
    <w:p w14:paraId="060BFB18" w14:textId="79EA591F" w:rsidR="002B0FFA" w:rsidRDefault="00B64AA2">
      <w:pPr>
        <w:pStyle w:val="TOC2"/>
        <w:rPr>
          <w:rFonts w:asciiTheme="minorHAnsi" w:eastAsiaTheme="minorEastAsia" w:hAnsiTheme="minorHAnsi" w:cstheme="minorBidi"/>
          <w:sz w:val="22"/>
          <w:szCs w:val="22"/>
          <w:lang w:eastAsia="en-AU"/>
        </w:rPr>
      </w:pPr>
      <w:hyperlink w:anchor="_Toc121210064" w:history="1">
        <w:r w:rsidR="002B0FFA" w:rsidRPr="00B727E8">
          <w:rPr>
            <w:rStyle w:val="Hyperlink"/>
          </w:rPr>
          <w:t>8.1 Managing waiting patients</w:t>
        </w:r>
        <w:r w:rsidR="002B0FFA">
          <w:rPr>
            <w:webHidden/>
          </w:rPr>
          <w:tab/>
          <w:t>37</w:t>
        </w:r>
      </w:hyperlink>
    </w:p>
    <w:p w14:paraId="14AC7880" w14:textId="34C3C13C" w:rsidR="002B0FFA" w:rsidRDefault="00B64AA2">
      <w:pPr>
        <w:pStyle w:val="TOC2"/>
        <w:rPr>
          <w:rFonts w:asciiTheme="minorHAnsi" w:eastAsiaTheme="minorEastAsia" w:hAnsiTheme="minorHAnsi" w:cstheme="minorBidi"/>
          <w:sz w:val="22"/>
          <w:szCs w:val="22"/>
          <w:lang w:eastAsia="en-AU"/>
        </w:rPr>
      </w:pPr>
      <w:hyperlink w:anchor="_Toc121210065" w:history="1">
        <w:r w:rsidR="002B0FFA" w:rsidRPr="00B727E8">
          <w:rPr>
            <w:rStyle w:val="Hyperlink"/>
          </w:rPr>
          <w:t>8.2 Short notice or standby lists</w:t>
        </w:r>
        <w:r w:rsidR="002B0FFA">
          <w:rPr>
            <w:webHidden/>
          </w:rPr>
          <w:tab/>
          <w:t>37</w:t>
        </w:r>
      </w:hyperlink>
    </w:p>
    <w:p w14:paraId="3797837E" w14:textId="2F37C42C" w:rsidR="002B0FFA" w:rsidRDefault="00B64AA2">
      <w:pPr>
        <w:pStyle w:val="TOC2"/>
        <w:rPr>
          <w:rFonts w:asciiTheme="minorHAnsi" w:eastAsiaTheme="minorEastAsia" w:hAnsiTheme="minorHAnsi" w:cstheme="minorBidi"/>
          <w:sz w:val="22"/>
          <w:szCs w:val="22"/>
          <w:lang w:eastAsia="en-AU"/>
        </w:rPr>
      </w:pPr>
      <w:hyperlink w:anchor="_Toc121210066" w:history="1">
        <w:r w:rsidR="002B0FFA" w:rsidRPr="00B727E8">
          <w:rPr>
            <w:rStyle w:val="Hyperlink"/>
          </w:rPr>
          <w:t>8.3 Validation of patients waiting for appointments</w:t>
        </w:r>
        <w:r w:rsidR="002B0FFA">
          <w:rPr>
            <w:webHidden/>
          </w:rPr>
          <w:tab/>
          <w:t>37</w:t>
        </w:r>
      </w:hyperlink>
    </w:p>
    <w:p w14:paraId="4A9C4D11" w14:textId="723F2A09" w:rsidR="002B0FFA" w:rsidRDefault="00B64AA2">
      <w:pPr>
        <w:pStyle w:val="TOC2"/>
        <w:rPr>
          <w:rFonts w:asciiTheme="minorHAnsi" w:eastAsiaTheme="minorEastAsia" w:hAnsiTheme="minorHAnsi" w:cstheme="minorBidi"/>
          <w:sz w:val="22"/>
          <w:szCs w:val="22"/>
          <w:lang w:eastAsia="en-AU"/>
        </w:rPr>
      </w:pPr>
      <w:hyperlink w:anchor="_Toc121210067" w:history="1">
        <w:r w:rsidR="002B0FFA" w:rsidRPr="00B727E8">
          <w:rPr>
            <w:rStyle w:val="Hyperlink"/>
          </w:rPr>
          <w:t>8.4 Patients no longer requiring an appointment</w:t>
        </w:r>
        <w:r w:rsidR="002B0FFA">
          <w:rPr>
            <w:webHidden/>
          </w:rPr>
          <w:tab/>
          <w:t>38</w:t>
        </w:r>
      </w:hyperlink>
    </w:p>
    <w:p w14:paraId="69456C46" w14:textId="47F6B84A" w:rsidR="002B0FFA" w:rsidRDefault="00B64AA2">
      <w:pPr>
        <w:pStyle w:val="TOC1"/>
        <w:rPr>
          <w:rFonts w:asciiTheme="minorHAnsi" w:eastAsiaTheme="minorEastAsia" w:hAnsiTheme="minorHAnsi" w:cstheme="minorBidi"/>
          <w:b w:val="0"/>
          <w:sz w:val="22"/>
          <w:szCs w:val="22"/>
          <w:lang w:eastAsia="en-AU"/>
        </w:rPr>
      </w:pPr>
      <w:hyperlink w:anchor="_Toc121210068" w:history="1">
        <w:r w:rsidR="002B0FFA" w:rsidRPr="00B727E8">
          <w:rPr>
            <w:rStyle w:val="Hyperlink"/>
          </w:rPr>
          <w:t>9. Discharge management</w:t>
        </w:r>
        <w:r w:rsidR="002B0FFA">
          <w:rPr>
            <w:webHidden/>
          </w:rPr>
          <w:tab/>
          <w:t>39</w:t>
        </w:r>
      </w:hyperlink>
    </w:p>
    <w:p w14:paraId="2757B73C" w14:textId="03602E91" w:rsidR="002B0FFA" w:rsidRDefault="00B64AA2">
      <w:pPr>
        <w:pStyle w:val="TOC1"/>
        <w:rPr>
          <w:rFonts w:asciiTheme="minorHAnsi" w:eastAsiaTheme="minorEastAsia" w:hAnsiTheme="minorHAnsi" w:cstheme="minorBidi"/>
          <w:b w:val="0"/>
          <w:sz w:val="22"/>
          <w:szCs w:val="22"/>
          <w:lang w:eastAsia="en-AU"/>
        </w:rPr>
      </w:pPr>
      <w:hyperlink w:anchor="_Toc121210069" w:history="1">
        <w:r w:rsidR="002B0FFA" w:rsidRPr="00B727E8">
          <w:rPr>
            <w:rStyle w:val="Hyperlink"/>
          </w:rPr>
          <w:t>Appendix 1: Minimum referral information</w:t>
        </w:r>
        <w:r w:rsidR="002B0FFA">
          <w:rPr>
            <w:webHidden/>
          </w:rPr>
          <w:tab/>
          <w:t>40</w:t>
        </w:r>
      </w:hyperlink>
    </w:p>
    <w:p w14:paraId="0E701555" w14:textId="428F69AA" w:rsidR="00FB1F6E" w:rsidRDefault="00FB1F6E" w:rsidP="00D079AA">
      <w:pPr>
        <w:pStyle w:val="Body"/>
      </w:pPr>
    </w:p>
    <w:p w14:paraId="7CEF1732" w14:textId="77777777" w:rsidR="00FB1F6E" w:rsidRDefault="00FB1F6E">
      <w:pPr>
        <w:spacing w:after="0" w:line="240" w:lineRule="auto"/>
        <w:rPr>
          <w:rFonts w:eastAsia="Times"/>
        </w:rPr>
      </w:pPr>
      <w:r>
        <w:br w:type="page"/>
      </w:r>
    </w:p>
    <w:p w14:paraId="3E5FAF0C" w14:textId="77777777" w:rsidR="00D4765A" w:rsidRDefault="00D4765A" w:rsidP="00D4765A">
      <w:pPr>
        <w:pStyle w:val="Heading1"/>
      </w:pPr>
      <w:bookmarkStart w:id="11" w:name="_Toc121210031"/>
      <w:r>
        <w:lastRenderedPageBreak/>
        <w:t>Acknowledgements</w:t>
      </w:r>
      <w:bookmarkEnd w:id="11"/>
    </w:p>
    <w:p w14:paraId="77CB34ED" w14:textId="77777777" w:rsidR="00D4765A" w:rsidRPr="007161D3" w:rsidRDefault="00D4765A" w:rsidP="00D4765A">
      <w:pPr>
        <w:pStyle w:val="Heading2"/>
        <w:rPr>
          <w:bCs/>
        </w:rPr>
      </w:pPr>
      <w:bookmarkStart w:id="12" w:name="_Toc121210032"/>
      <w:r w:rsidRPr="007161D3">
        <w:t>Acknowledgement</w:t>
      </w:r>
      <w:r>
        <w:t xml:space="preserve"> </w:t>
      </w:r>
      <w:r w:rsidRPr="007161D3">
        <w:t>of</w:t>
      </w:r>
      <w:r>
        <w:t xml:space="preserve"> </w:t>
      </w:r>
      <w:r w:rsidRPr="007161D3">
        <w:t>Traditional</w:t>
      </w:r>
      <w:r>
        <w:t xml:space="preserve"> </w:t>
      </w:r>
      <w:r w:rsidRPr="007161D3">
        <w:t>Owners</w:t>
      </w:r>
      <w:bookmarkEnd w:id="12"/>
      <w:r>
        <w:t xml:space="preserve"> </w:t>
      </w:r>
    </w:p>
    <w:p w14:paraId="49BA5292" w14:textId="77777777" w:rsidR="00D4765A" w:rsidRPr="007161D3" w:rsidRDefault="00D4765A" w:rsidP="00D4765A">
      <w:pPr>
        <w:pStyle w:val="Body"/>
      </w:pPr>
      <w:r w:rsidRPr="007161D3">
        <w:t>The</w:t>
      </w:r>
      <w:r>
        <w:t xml:space="preserve"> </w:t>
      </w:r>
      <w:r w:rsidRPr="007161D3">
        <w:t>Department</w:t>
      </w:r>
      <w:r>
        <w:t xml:space="preserve"> </w:t>
      </w:r>
      <w:r w:rsidRPr="007161D3">
        <w:t>of</w:t>
      </w:r>
      <w:r>
        <w:t xml:space="preserve"> </w:t>
      </w:r>
      <w:r w:rsidRPr="007161D3">
        <w:t>Health</w:t>
      </w:r>
      <w:r>
        <w:t xml:space="preserve"> </w:t>
      </w:r>
      <w:r w:rsidRPr="007161D3">
        <w:t>acknowledges</w:t>
      </w:r>
      <w:r>
        <w:t xml:space="preserve"> </w:t>
      </w:r>
      <w:r w:rsidRPr="007161D3">
        <w:t>the</w:t>
      </w:r>
      <w:r>
        <w:t xml:space="preserve"> </w:t>
      </w:r>
      <w:r w:rsidRPr="007161D3">
        <w:t>Traditional</w:t>
      </w:r>
      <w:r>
        <w:t xml:space="preserve"> </w:t>
      </w:r>
      <w:r w:rsidRPr="007161D3">
        <w:t>Owners</w:t>
      </w:r>
      <w:r>
        <w:t xml:space="preserve"> </w:t>
      </w:r>
      <w:r w:rsidRPr="007161D3">
        <w:t>of</w:t>
      </w:r>
      <w:r>
        <w:t xml:space="preserve"> </w:t>
      </w:r>
      <w:r w:rsidRPr="007161D3">
        <w:t>country</w:t>
      </w:r>
      <w:r>
        <w:t xml:space="preserve"> </w:t>
      </w:r>
      <w:r w:rsidRPr="007161D3">
        <w:t>throughout</w:t>
      </w:r>
      <w:r>
        <w:t xml:space="preserve"> </w:t>
      </w:r>
      <w:r w:rsidRPr="007161D3">
        <w:t>Victoria</w:t>
      </w:r>
      <w:r>
        <w:t xml:space="preserve"> </w:t>
      </w:r>
      <w:r w:rsidRPr="007161D3">
        <w:t>and</w:t>
      </w:r>
      <w:r>
        <w:t xml:space="preserve"> </w:t>
      </w:r>
      <w:r w:rsidRPr="007161D3">
        <w:t>pays</w:t>
      </w:r>
      <w:r>
        <w:t xml:space="preserve"> </w:t>
      </w:r>
      <w:r w:rsidRPr="007161D3">
        <w:t>respects</w:t>
      </w:r>
      <w:r>
        <w:t xml:space="preserve"> </w:t>
      </w:r>
      <w:r w:rsidRPr="007161D3">
        <w:t>and</w:t>
      </w:r>
      <w:r>
        <w:t xml:space="preserve"> </w:t>
      </w:r>
      <w:r w:rsidRPr="007161D3">
        <w:t>recognises</w:t>
      </w:r>
      <w:r>
        <w:t xml:space="preserve"> </w:t>
      </w:r>
      <w:r w:rsidRPr="007161D3">
        <w:t>the</w:t>
      </w:r>
      <w:r>
        <w:t xml:space="preserve"> </w:t>
      </w:r>
      <w:r w:rsidRPr="007161D3">
        <w:t>contribution</w:t>
      </w:r>
      <w:r>
        <w:t xml:space="preserve"> from </w:t>
      </w:r>
      <w:r w:rsidRPr="007161D3">
        <w:t>their</w:t>
      </w:r>
      <w:r>
        <w:t xml:space="preserve"> </w:t>
      </w:r>
      <w:r w:rsidRPr="007161D3">
        <w:t>Elders</w:t>
      </w:r>
      <w:r>
        <w:t xml:space="preserve"> </w:t>
      </w:r>
      <w:r w:rsidRPr="007161D3">
        <w:t>past</w:t>
      </w:r>
      <w:r>
        <w:t xml:space="preserve"> </w:t>
      </w:r>
      <w:r w:rsidRPr="007161D3">
        <w:t>and</w:t>
      </w:r>
      <w:r>
        <w:t xml:space="preserve"> </w:t>
      </w:r>
      <w:r w:rsidRPr="007161D3">
        <w:t>present.</w:t>
      </w:r>
      <w:r>
        <w:t xml:space="preserve"> </w:t>
      </w:r>
    </w:p>
    <w:p w14:paraId="0BFE893A" w14:textId="77777777" w:rsidR="00D4765A" w:rsidRDefault="00D4765A" w:rsidP="00D4765A">
      <w:pPr>
        <w:pStyle w:val="Body"/>
      </w:pPr>
      <w:r w:rsidRPr="007161D3">
        <w:t>We</w:t>
      </w:r>
      <w:r>
        <w:t xml:space="preserve"> </w:t>
      </w:r>
      <w:r w:rsidRPr="007161D3">
        <w:t>proudly</w:t>
      </w:r>
      <w:r>
        <w:t xml:space="preserve"> </w:t>
      </w:r>
      <w:r w:rsidRPr="007161D3">
        <w:t>acknowledge</w:t>
      </w:r>
      <w:r>
        <w:t xml:space="preserve"> </w:t>
      </w:r>
      <w:r w:rsidRPr="007161D3">
        <w:t>the</w:t>
      </w:r>
      <w:r>
        <w:t xml:space="preserve"> </w:t>
      </w:r>
      <w:r w:rsidRPr="007161D3">
        <w:t>strength</w:t>
      </w:r>
      <w:r>
        <w:t xml:space="preserve"> </w:t>
      </w:r>
      <w:r w:rsidRPr="007161D3">
        <w:t>and</w:t>
      </w:r>
      <w:r>
        <w:t xml:space="preserve"> </w:t>
      </w:r>
      <w:r w:rsidRPr="007161D3">
        <w:t>resilience</w:t>
      </w:r>
      <w:r>
        <w:t xml:space="preserve"> </w:t>
      </w:r>
      <w:r w:rsidRPr="007161D3">
        <w:t>of</w:t>
      </w:r>
      <w:r>
        <w:t xml:space="preserve"> </w:t>
      </w:r>
      <w:r w:rsidRPr="007161D3">
        <w:t>First</w:t>
      </w:r>
      <w:r>
        <w:t xml:space="preserve"> </w:t>
      </w:r>
      <w:r w:rsidRPr="007161D3">
        <w:t>Nation</w:t>
      </w:r>
      <w:r>
        <w:t xml:space="preserve"> </w:t>
      </w:r>
      <w:r w:rsidRPr="007161D3">
        <w:t>peoples</w:t>
      </w:r>
      <w:r>
        <w:t xml:space="preserve"> </w:t>
      </w:r>
      <w:r w:rsidRPr="007161D3">
        <w:t>as</w:t>
      </w:r>
      <w:r>
        <w:t xml:space="preserve"> </w:t>
      </w:r>
      <w:r w:rsidRPr="007161D3">
        <w:t>the</w:t>
      </w:r>
      <w:r>
        <w:t xml:space="preserve"> </w:t>
      </w:r>
      <w:r w:rsidRPr="007161D3">
        <w:t>world’s</w:t>
      </w:r>
      <w:r>
        <w:t xml:space="preserve"> </w:t>
      </w:r>
      <w:r w:rsidRPr="007161D3">
        <w:t>oldest</w:t>
      </w:r>
      <w:r>
        <w:t xml:space="preserve"> </w:t>
      </w:r>
      <w:r w:rsidRPr="007161D3">
        <w:t>living</w:t>
      </w:r>
      <w:r>
        <w:t xml:space="preserve"> </w:t>
      </w:r>
      <w:r w:rsidRPr="007161D3">
        <w:t>culture</w:t>
      </w:r>
      <w:r>
        <w:t xml:space="preserve"> </w:t>
      </w:r>
      <w:r w:rsidRPr="007161D3">
        <w:t>and</w:t>
      </w:r>
      <w:r>
        <w:t xml:space="preserve"> </w:t>
      </w:r>
      <w:r w:rsidRPr="007161D3">
        <w:t>the</w:t>
      </w:r>
      <w:r>
        <w:t xml:space="preserve"> </w:t>
      </w:r>
      <w:r w:rsidRPr="007161D3">
        <w:t>contribution</w:t>
      </w:r>
      <w:r>
        <w:t xml:space="preserve"> </w:t>
      </w:r>
      <w:r w:rsidRPr="007161D3">
        <w:t>of</w:t>
      </w:r>
      <w:r>
        <w:t xml:space="preserve"> </w:t>
      </w:r>
      <w:r w:rsidRPr="007161D3">
        <w:t>generations</w:t>
      </w:r>
      <w:r>
        <w:t xml:space="preserve"> </w:t>
      </w:r>
      <w:r w:rsidRPr="007161D3">
        <w:t>of</w:t>
      </w:r>
      <w:r>
        <w:t xml:space="preserve"> </w:t>
      </w:r>
      <w:r w:rsidRPr="007161D3">
        <w:t>Aboriginal</w:t>
      </w:r>
      <w:r>
        <w:t xml:space="preserve"> </w:t>
      </w:r>
      <w:r w:rsidRPr="007161D3">
        <w:t>leaders</w:t>
      </w:r>
      <w:r>
        <w:t xml:space="preserve"> </w:t>
      </w:r>
      <w:r w:rsidRPr="007161D3">
        <w:t>who</w:t>
      </w:r>
      <w:r>
        <w:t xml:space="preserve"> </w:t>
      </w:r>
      <w:r w:rsidRPr="007161D3">
        <w:t>have</w:t>
      </w:r>
      <w:r>
        <w:t xml:space="preserve"> </w:t>
      </w:r>
      <w:r w:rsidRPr="007161D3">
        <w:t>fought</w:t>
      </w:r>
      <w:r>
        <w:t xml:space="preserve"> </w:t>
      </w:r>
      <w:r w:rsidRPr="007161D3">
        <w:t>tirelessly</w:t>
      </w:r>
      <w:r>
        <w:t xml:space="preserve"> </w:t>
      </w:r>
      <w:r w:rsidRPr="007161D3">
        <w:t>for</w:t>
      </w:r>
      <w:r>
        <w:t xml:space="preserve"> </w:t>
      </w:r>
      <w:r w:rsidRPr="007161D3">
        <w:t>the</w:t>
      </w:r>
      <w:r>
        <w:t xml:space="preserve"> </w:t>
      </w:r>
      <w:r w:rsidRPr="007161D3">
        <w:t>rights</w:t>
      </w:r>
      <w:r>
        <w:t xml:space="preserve"> </w:t>
      </w:r>
      <w:r w:rsidRPr="007161D3">
        <w:t>of</w:t>
      </w:r>
      <w:r>
        <w:t xml:space="preserve"> </w:t>
      </w:r>
      <w:r w:rsidRPr="007161D3">
        <w:t>their</w:t>
      </w:r>
      <w:r>
        <w:t xml:space="preserve"> </w:t>
      </w:r>
      <w:r w:rsidRPr="007161D3">
        <w:t>people</w:t>
      </w:r>
      <w:r>
        <w:t xml:space="preserve"> </w:t>
      </w:r>
      <w:r w:rsidRPr="007161D3">
        <w:t>and</w:t>
      </w:r>
      <w:r>
        <w:t xml:space="preserve"> </w:t>
      </w:r>
      <w:r w:rsidRPr="007161D3">
        <w:t>communities</w:t>
      </w:r>
      <w:r>
        <w:t>.</w:t>
      </w:r>
    </w:p>
    <w:p w14:paraId="3EE335E9" w14:textId="6C78E507" w:rsidR="00D4765A" w:rsidRPr="00B54609" w:rsidRDefault="00D4765A" w:rsidP="00D4765A">
      <w:pPr>
        <w:pStyle w:val="Body"/>
      </w:pPr>
      <w:r>
        <w:rPr>
          <w:lang w:eastAsia="en-AU"/>
        </w:rPr>
        <w:t>We acknowledge the distinct connection between gender inequality and colonisation, dispossession, stolen generations and other discriminatory government policies from the past. We also acknowledge that gender inequality is compounded by the impacts of westernised structures of colonisation that still exist in contemporary society, and the burden of intergenerational trauma that has been placed within the diverse Aboriginal communities of Victoria</w:t>
      </w:r>
      <w:r w:rsidR="008231BA">
        <w:rPr>
          <w:lang w:eastAsia="en-AU"/>
        </w:rPr>
        <w:t>.</w:t>
      </w:r>
    </w:p>
    <w:p w14:paraId="1B6F6EAD" w14:textId="77777777" w:rsidR="00D4765A" w:rsidRDefault="00D4765A">
      <w:pPr>
        <w:spacing w:after="0" w:line="240" w:lineRule="auto"/>
        <w:rPr>
          <w:rFonts w:eastAsia="MS Gothic" w:cs="Arial"/>
          <w:bCs/>
          <w:color w:val="53565A"/>
          <w:kern w:val="32"/>
          <w:sz w:val="44"/>
          <w:szCs w:val="44"/>
        </w:rPr>
      </w:pPr>
      <w:r>
        <w:br w:type="page"/>
      </w:r>
    </w:p>
    <w:p w14:paraId="3D5F2F72" w14:textId="45F32216" w:rsidR="00743F4D" w:rsidRDefault="00743F4D" w:rsidP="00743F4D">
      <w:pPr>
        <w:pStyle w:val="Heading1"/>
      </w:pPr>
      <w:bookmarkStart w:id="13" w:name="_Toc121210033"/>
      <w:r>
        <w:lastRenderedPageBreak/>
        <w:t>Glossary</w:t>
      </w:r>
      <w:bookmarkEnd w:id="13"/>
    </w:p>
    <w:p w14:paraId="07AC0A93" w14:textId="77777777" w:rsidR="00743F4D" w:rsidRPr="0003777F" w:rsidRDefault="00743F4D" w:rsidP="000C6C1E">
      <w:pPr>
        <w:pStyle w:val="Heading4"/>
      </w:pPr>
      <w:r w:rsidRPr="0003777F">
        <w:t>Administrative audit</w:t>
      </w:r>
    </w:p>
    <w:p w14:paraId="6E1E5AED" w14:textId="78398C74" w:rsidR="00743F4D" w:rsidRPr="005124A3" w:rsidRDefault="00743F4D" w:rsidP="00743F4D">
      <w:pPr>
        <w:pStyle w:val="Body"/>
      </w:pPr>
      <w:r w:rsidRPr="005124A3">
        <w:rPr>
          <w:rStyle w:val="normaltextrun1"/>
        </w:rPr>
        <w:t xml:space="preserve">Administrative audits </w:t>
      </w:r>
      <w:r w:rsidR="0049467E">
        <w:rPr>
          <w:rStyle w:val="normaltextrun1"/>
        </w:rPr>
        <w:t xml:space="preserve">of accepted referrals </w:t>
      </w:r>
      <w:r w:rsidRPr="005124A3">
        <w:t>are performed by clerical or management staff and focus on verifying non</w:t>
      </w:r>
      <w:r>
        <w:t>-</w:t>
      </w:r>
      <w:r w:rsidRPr="005124A3">
        <w:t>clinical details (</w:t>
      </w:r>
      <w:r>
        <w:t>such as if</w:t>
      </w:r>
      <w:r w:rsidRPr="005124A3">
        <w:t xml:space="preserve"> the patient </w:t>
      </w:r>
      <w:r>
        <w:t xml:space="preserve">has </w:t>
      </w:r>
      <w:r w:rsidRPr="005124A3">
        <w:t xml:space="preserve">received the service elsewhere, </w:t>
      </w:r>
      <w:r>
        <w:t xml:space="preserve">their </w:t>
      </w:r>
      <w:r w:rsidRPr="005124A3">
        <w:t>current contact details).</w:t>
      </w:r>
      <w:r>
        <w:t xml:space="preserve"> </w:t>
      </w:r>
      <w:r w:rsidRPr="005124A3">
        <w:t xml:space="preserve">Administrative audits can be conducted by text, phone or letter. </w:t>
      </w:r>
    </w:p>
    <w:p w14:paraId="1D9338C6" w14:textId="77777777" w:rsidR="00743F4D" w:rsidRPr="0003777F" w:rsidRDefault="00743F4D" w:rsidP="000C6C1E">
      <w:pPr>
        <w:pStyle w:val="Heading4"/>
      </w:pPr>
      <w:r w:rsidRPr="0003777F">
        <w:t>Advance care directive</w:t>
      </w:r>
    </w:p>
    <w:p w14:paraId="33F5D561" w14:textId="77777777" w:rsidR="00743F4D" w:rsidRPr="000A28EA" w:rsidRDefault="00743F4D" w:rsidP="00743F4D">
      <w:pPr>
        <w:pStyle w:val="Body"/>
      </w:pPr>
      <w:r w:rsidRPr="000A28EA">
        <w:t>This is an instructional device that allows an adult to document their preferences for future medical treatment, should they lose decision-making capacity. A person can record general statements about their values and preferences to guide future medical treatment decisions, or record instructions consenting to or refusing specific types of treatment.</w:t>
      </w:r>
    </w:p>
    <w:p w14:paraId="7907AEB8" w14:textId="77777777" w:rsidR="00743F4D" w:rsidRPr="0003777F" w:rsidRDefault="00743F4D" w:rsidP="000C6C1E">
      <w:pPr>
        <w:pStyle w:val="Heading4"/>
      </w:pPr>
      <w:r w:rsidRPr="0003777F">
        <w:t xml:space="preserve">Auditing </w:t>
      </w:r>
    </w:p>
    <w:p w14:paraId="36C6C9CC" w14:textId="77777777" w:rsidR="00743F4D" w:rsidRDefault="00743F4D" w:rsidP="00743F4D">
      <w:pPr>
        <w:pStyle w:val="Body"/>
        <w:rPr>
          <w:rFonts w:ascii="Calibri" w:hAnsi="Calibri"/>
          <w:b/>
          <w:bCs/>
        </w:rPr>
      </w:pPr>
      <w:r w:rsidRPr="005124A3">
        <w:rPr>
          <w:bCs/>
        </w:rPr>
        <w:t>Auditing</w:t>
      </w:r>
      <w:r>
        <w:rPr>
          <w:b/>
          <w:bCs/>
        </w:rPr>
        <w:t xml:space="preserve"> </w:t>
      </w:r>
      <w:r>
        <w:t>is a process to achieve a validated list. Audits can be administrative or clinical; this refers to the discipline of the staff performing the audit. They can also be programmed (such as every six months for each specialty) or continuous (such as whenever a patient exceeds 365 days waiting).</w:t>
      </w:r>
    </w:p>
    <w:p w14:paraId="033861D1" w14:textId="77777777" w:rsidR="00743F4D" w:rsidRPr="0018714F" w:rsidRDefault="00743F4D" w:rsidP="000C6C1E">
      <w:pPr>
        <w:pStyle w:val="Heading4"/>
      </w:pPr>
      <w:r w:rsidRPr="0018714F">
        <w:t xml:space="preserve">Carer </w:t>
      </w:r>
    </w:p>
    <w:p w14:paraId="250D4613" w14:textId="1CE02E87" w:rsidR="00743F4D" w:rsidRPr="002C1E7D" w:rsidRDefault="00743F4D" w:rsidP="00743F4D">
      <w:pPr>
        <w:pStyle w:val="Body"/>
      </w:pPr>
      <w:r w:rsidRPr="002C1E7D">
        <w:t xml:space="preserve">Carers are people who provide unpaid care and support to family members and friends who </w:t>
      </w:r>
      <w:r>
        <w:t>are disabled or who live with</w:t>
      </w:r>
      <w:r w:rsidRPr="002C1E7D">
        <w:t xml:space="preserve"> mental illness, chronic conditions, terminal illness, an alcohol or other drug issue or who are frail aged. Commonly carers are responsible for the management of medications. Carers provide emotional, social or financial support. Carers may also be involved in helping the person they are caring for to be organised, reminding them to attend appointments and dealing with emergencies. </w:t>
      </w:r>
    </w:p>
    <w:p w14:paraId="094614C2" w14:textId="77777777" w:rsidR="00743F4D" w:rsidRPr="0003777F" w:rsidRDefault="00743F4D" w:rsidP="000C6C1E">
      <w:pPr>
        <w:pStyle w:val="Heading4"/>
      </w:pPr>
      <w:r w:rsidRPr="0003777F">
        <w:t>Clinical audit</w:t>
      </w:r>
    </w:p>
    <w:p w14:paraId="60971664" w14:textId="6793C779" w:rsidR="00743F4D" w:rsidRPr="005124A3" w:rsidRDefault="00743F4D" w:rsidP="00743F4D">
      <w:pPr>
        <w:pStyle w:val="Body"/>
      </w:pPr>
      <w:r w:rsidRPr="005124A3">
        <w:t xml:space="preserve">Clinical audits </w:t>
      </w:r>
      <w:r w:rsidR="0049467E">
        <w:t xml:space="preserve">of accepted referrals </w:t>
      </w:r>
      <w:r w:rsidRPr="005124A3">
        <w:t xml:space="preserve">are performed by clinical staff and focus on clinical aspects such as if the categorisation </w:t>
      </w:r>
      <w:r>
        <w:t xml:space="preserve">is </w:t>
      </w:r>
      <w:r w:rsidRPr="005124A3">
        <w:t>correct</w:t>
      </w:r>
      <w:r>
        <w:t xml:space="preserve"> and if </w:t>
      </w:r>
      <w:r w:rsidRPr="005124A3">
        <w:t xml:space="preserve">the service </w:t>
      </w:r>
      <w:r>
        <w:t xml:space="preserve">is </w:t>
      </w:r>
      <w:r w:rsidRPr="005124A3">
        <w:t>still required</w:t>
      </w:r>
      <w:r>
        <w:t>.</w:t>
      </w:r>
      <w:r w:rsidRPr="005124A3">
        <w:t xml:space="preserve"> Clinical audits are either direct (by contacting the patient or referrer) or indirect (review of clinical records). </w:t>
      </w:r>
    </w:p>
    <w:p w14:paraId="1F42D1D9" w14:textId="77777777" w:rsidR="00743F4D" w:rsidRPr="0003777F" w:rsidRDefault="00743F4D" w:rsidP="000C6C1E">
      <w:pPr>
        <w:pStyle w:val="Heading4"/>
      </w:pPr>
      <w:r w:rsidRPr="0003777F">
        <w:t>Clinical prioritisation</w:t>
      </w:r>
    </w:p>
    <w:p w14:paraId="61792B4D" w14:textId="4490932D" w:rsidR="00743F4D" w:rsidRDefault="00743F4D" w:rsidP="00743F4D">
      <w:pPr>
        <w:pStyle w:val="Body"/>
      </w:pPr>
      <w:r w:rsidRPr="00921252">
        <w:t xml:space="preserve">The process of assigning a referral to an access category </w:t>
      </w:r>
      <w:r>
        <w:t>(high</w:t>
      </w:r>
      <w:r w:rsidR="00A36B92">
        <w:t>-</w:t>
      </w:r>
      <w:r>
        <w:t xml:space="preserve">priority or routine) </w:t>
      </w:r>
      <w:r w:rsidRPr="00921252">
        <w:t>based on</w:t>
      </w:r>
      <w:r>
        <w:t>:</w:t>
      </w:r>
    </w:p>
    <w:p w14:paraId="007F0F07" w14:textId="77777777" w:rsidR="00743F4D" w:rsidRPr="00921252" w:rsidRDefault="00743F4D" w:rsidP="00743F4D">
      <w:pPr>
        <w:pStyle w:val="Bullet1"/>
      </w:pPr>
      <w:r w:rsidRPr="00921252">
        <w:t>the patient’</w:t>
      </w:r>
      <w:r>
        <w:t>s</w:t>
      </w:r>
      <w:r w:rsidRPr="00921252">
        <w:t xml:space="preserve"> clinical need and related psychosocial factors </w:t>
      </w:r>
    </w:p>
    <w:p w14:paraId="25704228" w14:textId="77777777" w:rsidR="00743F4D" w:rsidRDefault="00743F4D" w:rsidP="00743F4D">
      <w:pPr>
        <w:pStyle w:val="Bullet1"/>
      </w:pPr>
      <w:r>
        <w:t xml:space="preserve">if the patient </w:t>
      </w:r>
      <w:r w:rsidRPr="0066549B">
        <w:t>should receive priority access to services</w:t>
      </w:r>
      <w:r w:rsidRPr="00EA6E96" w:rsidDel="0066549B">
        <w:t xml:space="preserve"> </w:t>
      </w:r>
    </w:p>
    <w:p w14:paraId="5EA6BE5D" w14:textId="1A126D4A" w:rsidR="00743F4D" w:rsidRDefault="00743F4D" w:rsidP="00743F4D">
      <w:pPr>
        <w:pStyle w:val="Bullet1"/>
      </w:pPr>
      <w:r>
        <w:t xml:space="preserve">if the patient has been </w:t>
      </w:r>
      <w:r w:rsidRPr="00EA6E96">
        <w:t xml:space="preserve">previously discharged </w:t>
      </w:r>
      <w:r>
        <w:t>from the same or related service for the same presenting problem</w:t>
      </w:r>
      <w:r w:rsidR="00AB0CAF">
        <w:t xml:space="preserve"> and </w:t>
      </w:r>
      <w:r w:rsidR="00D37D7F">
        <w:t xml:space="preserve">requires </w:t>
      </w:r>
      <w:r w:rsidR="00AB0CAF">
        <w:t>rapid access back to the service</w:t>
      </w:r>
      <w:r>
        <w:t>.</w:t>
      </w:r>
    </w:p>
    <w:p w14:paraId="3DE1E637" w14:textId="77777777" w:rsidR="00743F4D" w:rsidRDefault="00743F4D" w:rsidP="00743F4D">
      <w:pPr>
        <w:pStyle w:val="Body"/>
      </w:pPr>
      <w:r>
        <w:t>Sometimes a patient may need an urgent assessment to support rapid access to services.</w:t>
      </w:r>
    </w:p>
    <w:p w14:paraId="1E49A7D8" w14:textId="77777777" w:rsidR="00743F4D" w:rsidRPr="0018714F" w:rsidRDefault="00743F4D" w:rsidP="000C6C1E">
      <w:pPr>
        <w:pStyle w:val="Heading4"/>
      </w:pPr>
      <w:r w:rsidRPr="0018714F">
        <w:t xml:space="preserve">Discharge </w:t>
      </w:r>
    </w:p>
    <w:p w14:paraId="0AB8D779" w14:textId="77777777" w:rsidR="00743F4D" w:rsidRDefault="00743F4D" w:rsidP="00743F4D">
      <w:pPr>
        <w:pStyle w:val="Body"/>
      </w:pPr>
      <w:r>
        <w:t>Discharge refers to the formal exit of a patient from a program or service after a review. Also known as separation.</w:t>
      </w:r>
    </w:p>
    <w:p w14:paraId="702EF3CD" w14:textId="77777777" w:rsidR="00743F4D" w:rsidRDefault="00743F4D" w:rsidP="000C6C1E">
      <w:pPr>
        <w:pStyle w:val="Heading4"/>
      </w:pPr>
      <w:r>
        <w:t>Disparities in access to care</w:t>
      </w:r>
    </w:p>
    <w:p w14:paraId="544BFE2D" w14:textId="77777777" w:rsidR="00743F4D" w:rsidRDefault="00743F4D" w:rsidP="00743F4D">
      <w:pPr>
        <w:pStyle w:val="Body"/>
        <w:rPr>
          <w:rFonts w:cs="Arial"/>
        </w:rPr>
      </w:pPr>
      <w:r>
        <w:t>Persons in g</w:t>
      </w:r>
      <w:r w:rsidRPr="008E657A">
        <w:t>roups that</w:t>
      </w:r>
      <w:r>
        <w:t xml:space="preserve"> often</w:t>
      </w:r>
      <w:r w:rsidRPr="008E657A">
        <w:t xml:space="preserve"> encounter physical, psychosocial </w:t>
      </w:r>
      <w:r>
        <w:t xml:space="preserve">and structural </w:t>
      </w:r>
      <w:r w:rsidRPr="008E657A">
        <w:t xml:space="preserve">barriers to accessing services include: </w:t>
      </w:r>
    </w:p>
    <w:p w14:paraId="0262E42F" w14:textId="77777777" w:rsidR="00743F4D" w:rsidRDefault="00743F4D" w:rsidP="00743F4D">
      <w:pPr>
        <w:pStyle w:val="Bullet1"/>
        <w:rPr>
          <w:lang w:eastAsia="en-AU"/>
        </w:rPr>
      </w:pPr>
      <w:r w:rsidRPr="4A82134B">
        <w:rPr>
          <w:rStyle w:val="normaltextrun"/>
          <w:rFonts w:cs="Arial"/>
        </w:rPr>
        <w:lastRenderedPageBreak/>
        <w:t>Aboriginal and Torres Strait Islander people</w:t>
      </w:r>
      <w:r w:rsidRPr="4A82134B">
        <w:rPr>
          <w:rStyle w:val="eop"/>
          <w:rFonts w:cs="Arial"/>
        </w:rPr>
        <w:t> </w:t>
      </w:r>
    </w:p>
    <w:p w14:paraId="26D89EC4" w14:textId="77777777" w:rsidR="00743F4D" w:rsidRDefault="00743F4D" w:rsidP="00743F4D">
      <w:pPr>
        <w:pStyle w:val="Bullet1"/>
      </w:pPr>
      <w:r w:rsidRPr="4A82134B">
        <w:rPr>
          <w:rStyle w:val="normaltextrun"/>
          <w:rFonts w:cs="Arial"/>
        </w:rPr>
        <w:t>unpaid carers of people with chronic conditions</w:t>
      </w:r>
      <w:r w:rsidRPr="4A82134B">
        <w:rPr>
          <w:rStyle w:val="eop"/>
          <w:rFonts w:cs="Arial"/>
        </w:rPr>
        <w:t> </w:t>
      </w:r>
    </w:p>
    <w:p w14:paraId="5F4F87D1" w14:textId="77777777" w:rsidR="00743F4D" w:rsidRDefault="00743F4D" w:rsidP="00743F4D">
      <w:pPr>
        <w:pStyle w:val="Bullet1"/>
      </w:pPr>
      <w:r w:rsidRPr="4A82134B">
        <w:rPr>
          <w:rStyle w:val="normaltextrun"/>
          <w:rFonts w:cs="Arial"/>
        </w:rPr>
        <w:t>children or young people in residential care</w:t>
      </w:r>
      <w:r w:rsidRPr="4A82134B">
        <w:rPr>
          <w:rStyle w:val="eop"/>
          <w:rFonts w:cs="Arial"/>
        </w:rPr>
        <w:t> </w:t>
      </w:r>
    </w:p>
    <w:p w14:paraId="091A39C4" w14:textId="77777777" w:rsidR="00743F4D" w:rsidRDefault="00743F4D" w:rsidP="00743F4D">
      <w:pPr>
        <w:pStyle w:val="Bullet1"/>
      </w:pPr>
      <w:r w:rsidRPr="4A82134B">
        <w:rPr>
          <w:rStyle w:val="normaltextrun"/>
          <w:rFonts w:cs="Arial"/>
        </w:rPr>
        <w:t>homeless people</w:t>
      </w:r>
      <w:r w:rsidRPr="4A82134B">
        <w:rPr>
          <w:rStyle w:val="eop"/>
          <w:rFonts w:cs="Arial"/>
        </w:rPr>
        <w:t> </w:t>
      </w:r>
    </w:p>
    <w:p w14:paraId="4E26C9B4" w14:textId="77777777" w:rsidR="00743F4D" w:rsidRDefault="00743F4D" w:rsidP="00743F4D">
      <w:pPr>
        <w:pStyle w:val="Bullet1"/>
      </w:pPr>
      <w:r w:rsidRPr="4A82134B">
        <w:rPr>
          <w:rStyle w:val="normaltextrun"/>
          <w:rFonts w:cs="Arial"/>
        </w:rPr>
        <w:t>older Australians</w:t>
      </w:r>
      <w:r w:rsidRPr="4A82134B">
        <w:rPr>
          <w:rStyle w:val="eop"/>
          <w:rFonts w:cs="Arial"/>
        </w:rPr>
        <w:t> </w:t>
      </w:r>
    </w:p>
    <w:p w14:paraId="4114CC64" w14:textId="77777777" w:rsidR="00743F4D" w:rsidRDefault="00743F4D" w:rsidP="00743F4D">
      <w:pPr>
        <w:pStyle w:val="Bullet1"/>
      </w:pPr>
      <w:r w:rsidRPr="4A82134B">
        <w:rPr>
          <w:rStyle w:val="normaltextrun"/>
          <w:rFonts w:cs="Arial"/>
        </w:rPr>
        <w:t>people experiencing socioeconomic disadvantage</w:t>
      </w:r>
      <w:r w:rsidRPr="4A82134B">
        <w:rPr>
          <w:rStyle w:val="eop"/>
          <w:rFonts w:cs="Arial"/>
        </w:rPr>
        <w:t> </w:t>
      </w:r>
    </w:p>
    <w:p w14:paraId="55F1F58A" w14:textId="77777777" w:rsidR="00743F4D" w:rsidRDefault="00743F4D" w:rsidP="00743F4D">
      <w:pPr>
        <w:pStyle w:val="Bullet1"/>
      </w:pPr>
      <w:r w:rsidRPr="4A82134B">
        <w:rPr>
          <w:rStyle w:val="normaltextrun"/>
          <w:rFonts w:cs="Arial"/>
        </w:rPr>
        <w:t>people from culturally and linguistically diverse backgrounds</w:t>
      </w:r>
      <w:r w:rsidRPr="4A82134B">
        <w:rPr>
          <w:rStyle w:val="eop"/>
          <w:rFonts w:cs="Arial"/>
        </w:rPr>
        <w:t> </w:t>
      </w:r>
    </w:p>
    <w:p w14:paraId="3E658779" w14:textId="77777777" w:rsidR="00743F4D" w:rsidRDefault="00743F4D" w:rsidP="00743F4D">
      <w:pPr>
        <w:pStyle w:val="Bullet1"/>
      </w:pPr>
      <w:r w:rsidRPr="4A82134B">
        <w:rPr>
          <w:rStyle w:val="normaltextrun"/>
          <w:rFonts w:cs="Arial"/>
        </w:rPr>
        <w:t>people in out-of-home care, foster care or state care</w:t>
      </w:r>
      <w:r w:rsidRPr="4A82134B">
        <w:rPr>
          <w:rStyle w:val="eop"/>
          <w:rFonts w:cs="Arial"/>
        </w:rPr>
        <w:t> </w:t>
      </w:r>
    </w:p>
    <w:p w14:paraId="580B0CB7" w14:textId="77777777" w:rsidR="00743F4D" w:rsidRDefault="00743F4D" w:rsidP="00743F4D">
      <w:pPr>
        <w:pStyle w:val="Bullet1"/>
      </w:pPr>
      <w:r w:rsidRPr="4A82134B">
        <w:rPr>
          <w:rStyle w:val="normaltextrun"/>
          <w:rFonts w:cs="Arial"/>
        </w:rPr>
        <w:t>people living in remote, or rural and regional locations</w:t>
      </w:r>
      <w:r w:rsidRPr="4A82134B">
        <w:rPr>
          <w:rStyle w:val="eop"/>
          <w:rFonts w:cs="Arial"/>
        </w:rPr>
        <w:t> </w:t>
      </w:r>
    </w:p>
    <w:p w14:paraId="3AF3A791" w14:textId="77777777" w:rsidR="00743F4D" w:rsidRDefault="00743F4D" w:rsidP="00743F4D">
      <w:pPr>
        <w:pStyle w:val="Bullet1"/>
      </w:pPr>
      <w:r w:rsidRPr="4A82134B">
        <w:rPr>
          <w:rStyle w:val="normaltextrun"/>
          <w:rFonts w:cs="Arial"/>
        </w:rPr>
        <w:t>people who are, or have been, incarcerated, including youth justice clients in custodial care</w:t>
      </w:r>
      <w:r w:rsidRPr="4A82134B">
        <w:rPr>
          <w:rStyle w:val="eop"/>
          <w:rFonts w:cs="Arial"/>
        </w:rPr>
        <w:t> </w:t>
      </w:r>
    </w:p>
    <w:p w14:paraId="30702C69" w14:textId="77777777" w:rsidR="00743F4D" w:rsidRDefault="00743F4D" w:rsidP="00743F4D">
      <w:pPr>
        <w:pStyle w:val="Bullet1"/>
      </w:pPr>
      <w:r w:rsidRPr="4A82134B">
        <w:rPr>
          <w:rStyle w:val="normaltextrun"/>
          <w:rFonts w:cs="Arial"/>
        </w:rPr>
        <w:t>people with a disability</w:t>
      </w:r>
      <w:r w:rsidRPr="4A82134B">
        <w:rPr>
          <w:rStyle w:val="eop"/>
          <w:rFonts w:cs="Arial"/>
        </w:rPr>
        <w:t> </w:t>
      </w:r>
    </w:p>
    <w:p w14:paraId="5A647D9A" w14:textId="77777777" w:rsidR="00743F4D" w:rsidRDefault="00743F4D" w:rsidP="00743F4D">
      <w:pPr>
        <w:pStyle w:val="Bullet1"/>
      </w:pPr>
      <w:r w:rsidRPr="4A82134B">
        <w:rPr>
          <w:rStyle w:val="normaltextrun"/>
          <w:rFonts w:cs="Arial"/>
        </w:rPr>
        <w:t>people with experiences of family violence</w:t>
      </w:r>
      <w:r w:rsidRPr="4A82134B">
        <w:rPr>
          <w:rStyle w:val="eop"/>
          <w:rFonts w:cs="Arial"/>
        </w:rPr>
        <w:t> </w:t>
      </w:r>
    </w:p>
    <w:p w14:paraId="5C336565" w14:textId="77777777" w:rsidR="00743F4D" w:rsidRDefault="00743F4D" w:rsidP="00743F4D">
      <w:pPr>
        <w:pStyle w:val="Bullet1"/>
      </w:pPr>
      <w:r w:rsidRPr="4A82134B">
        <w:rPr>
          <w:rStyle w:val="normaltextrun"/>
          <w:rFonts w:cs="Arial"/>
        </w:rPr>
        <w:t>people with mental illness</w:t>
      </w:r>
      <w:r w:rsidRPr="4A82134B">
        <w:rPr>
          <w:rStyle w:val="eop"/>
          <w:rFonts w:cs="Arial"/>
        </w:rPr>
        <w:t> </w:t>
      </w:r>
    </w:p>
    <w:p w14:paraId="3AC5B579" w14:textId="77777777" w:rsidR="00743F4D" w:rsidRDefault="00743F4D" w:rsidP="00743F4D">
      <w:pPr>
        <w:pStyle w:val="Bullet1"/>
      </w:pPr>
      <w:r w:rsidRPr="4A82134B">
        <w:rPr>
          <w:rStyle w:val="normaltextrun"/>
          <w:rFonts w:cs="Arial"/>
        </w:rPr>
        <w:t>refugees and asylum seekers</w:t>
      </w:r>
      <w:r w:rsidRPr="4A82134B">
        <w:rPr>
          <w:rStyle w:val="eop"/>
          <w:rFonts w:cs="Arial"/>
        </w:rPr>
        <w:t> </w:t>
      </w:r>
    </w:p>
    <w:p w14:paraId="4DCFBE5E" w14:textId="77777777" w:rsidR="00743F4D" w:rsidRDefault="00743F4D" w:rsidP="00743F4D">
      <w:pPr>
        <w:pStyle w:val="Bullet1"/>
      </w:pPr>
      <w:r w:rsidRPr="4A82134B">
        <w:rPr>
          <w:rStyle w:val="normaltextrun"/>
          <w:rFonts w:cs="Arial"/>
        </w:rPr>
        <w:t>terminally ill people.</w:t>
      </w:r>
      <w:r w:rsidRPr="4A82134B">
        <w:rPr>
          <w:rStyle w:val="eop"/>
          <w:rFonts w:cs="Arial"/>
        </w:rPr>
        <w:t> </w:t>
      </w:r>
    </w:p>
    <w:p w14:paraId="35C70D11" w14:textId="77777777" w:rsidR="00743F4D" w:rsidRPr="0033279A" w:rsidRDefault="00743F4D" w:rsidP="000C6C1E">
      <w:pPr>
        <w:pStyle w:val="Heading4"/>
      </w:pPr>
      <w:r w:rsidRPr="0033279A">
        <w:t>Equal access</w:t>
      </w:r>
    </w:p>
    <w:p w14:paraId="304D14C0" w14:textId="77777777" w:rsidR="00743F4D" w:rsidRDefault="00743F4D" w:rsidP="00743F4D">
      <w:pPr>
        <w:pStyle w:val="Body"/>
      </w:pPr>
      <w:r>
        <w:t>Equal access assumes all people start from the same point and have the same access to services, or they are given equal treatment.</w:t>
      </w:r>
    </w:p>
    <w:p w14:paraId="1821DFD8" w14:textId="77777777" w:rsidR="00743F4D" w:rsidRPr="0033279A" w:rsidRDefault="00743F4D" w:rsidP="000C6C1E">
      <w:pPr>
        <w:pStyle w:val="Heading4"/>
      </w:pPr>
      <w:r w:rsidRPr="0033279A">
        <w:t>Equitable access</w:t>
      </w:r>
    </w:p>
    <w:p w14:paraId="66952FFE" w14:textId="77777777" w:rsidR="00743F4D" w:rsidRDefault="00743F4D" w:rsidP="00743F4D">
      <w:pPr>
        <w:pStyle w:val="Body"/>
      </w:pPr>
      <w:r>
        <w:t>Equitable access is when all people get fair and reasonable access to the same, or equal, treatment. This requires that barriers to fair and reasonable access are reduced or removed.</w:t>
      </w:r>
    </w:p>
    <w:p w14:paraId="045F0AE7" w14:textId="77777777" w:rsidR="00743F4D" w:rsidRPr="0033279A" w:rsidRDefault="00743F4D" w:rsidP="000C6C1E">
      <w:pPr>
        <w:pStyle w:val="Heading4"/>
      </w:pPr>
      <w:r w:rsidRPr="0033279A">
        <w:t xml:space="preserve">Health </w:t>
      </w:r>
      <w:r>
        <w:t>I</w:t>
      </w:r>
      <w:r w:rsidRPr="0033279A">
        <w:t xml:space="preserve">ndependence </w:t>
      </w:r>
      <w:r>
        <w:t>P</w:t>
      </w:r>
      <w:r w:rsidRPr="0033279A">
        <w:t>rogram</w:t>
      </w:r>
    </w:p>
    <w:p w14:paraId="4D31FB69" w14:textId="77777777" w:rsidR="00743F4D" w:rsidRPr="008D5290" w:rsidRDefault="00743F4D" w:rsidP="00743F4D">
      <w:pPr>
        <w:pStyle w:val="Body"/>
        <w:rPr>
          <w:lang w:val="en"/>
        </w:rPr>
      </w:pPr>
      <w:r>
        <w:rPr>
          <w:lang w:val="en"/>
        </w:rPr>
        <w:t xml:space="preserve">Health Independence Programs (HIP) aim to provide hospital substitution and diversion services by supporting people in the community, in ambulatory settings and in people’s homes. Services focus on improving and optimising people’s function and participation in activities of daily living. These allow people to maximise their independence and return to, or remain in, their usual place of residence. </w:t>
      </w:r>
    </w:p>
    <w:p w14:paraId="1186CD87" w14:textId="77777777" w:rsidR="00743F4D" w:rsidRPr="0033279A" w:rsidRDefault="00743F4D" w:rsidP="000C6C1E">
      <w:pPr>
        <w:pStyle w:val="Heading4"/>
      </w:pPr>
      <w:r w:rsidRPr="0033279A">
        <w:t>Health record</w:t>
      </w:r>
    </w:p>
    <w:p w14:paraId="7B877A79" w14:textId="77777777" w:rsidR="00743F4D" w:rsidRPr="00AA7921" w:rsidRDefault="00743F4D" w:rsidP="00743F4D">
      <w:pPr>
        <w:pStyle w:val="Body"/>
      </w:pPr>
      <w:r w:rsidRPr="00AA7921">
        <w:rPr>
          <w:rStyle w:val="normaltextrun1"/>
        </w:rPr>
        <w:t>A formal record of the patient’s treatment notes and copies of any written and verbal notifications. This record may be kept either electronically or in hard copy and may be a combination of the patient’s medical record and information and management data from the Patient Administration System.</w:t>
      </w:r>
      <w:r w:rsidRPr="00AA7921">
        <w:rPr>
          <w:rStyle w:val="eop"/>
        </w:rPr>
        <w:t> </w:t>
      </w:r>
    </w:p>
    <w:p w14:paraId="17726A46" w14:textId="77777777" w:rsidR="00743F4D" w:rsidRDefault="00743F4D" w:rsidP="000C6C1E">
      <w:pPr>
        <w:pStyle w:val="Heading4"/>
      </w:pPr>
      <w:r>
        <w:t>Health Service Partnerships</w:t>
      </w:r>
    </w:p>
    <w:p w14:paraId="1B63ABB7" w14:textId="77777777" w:rsidR="00743F4D" w:rsidRPr="00156703" w:rsidRDefault="00743F4D" w:rsidP="00743F4D">
      <w:pPr>
        <w:pStyle w:val="Body"/>
        <w:rPr>
          <w:szCs w:val="21"/>
        </w:rPr>
      </w:pPr>
      <w:r w:rsidRPr="00156703">
        <w:rPr>
          <w:szCs w:val="21"/>
        </w:rPr>
        <w:t>The Health Service Partnership model aims to help move the Victorian health system from competition to collaboration by requiring health services to work together on a small number of strategic system priorities that can be enhanced by working together rather than in isolation or competition.</w:t>
      </w:r>
      <w:r>
        <w:rPr>
          <w:szCs w:val="21"/>
        </w:rPr>
        <w:t xml:space="preserve"> They</w:t>
      </w:r>
      <w:r w:rsidRPr="003F092F">
        <w:rPr>
          <w:rStyle w:val="normaltextrun"/>
          <w:szCs w:val="21"/>
        </w:rPr>
        <w:t xml:space="preserve"> can </w:t>
      </w:r>
      <w:r>
        <w:rPr>
          <w:rStyle w:val="normaltextrun"/>
          <w:szCs w:val="21"/>
        </w:rPr>
        <w:t xml:space="preserve">also </w:t>
      </w:r>
      <w:r w:rsidRPr="003F092F">
        <w:rPr>
          <w:rStyle w:val="normaltextrun"/>
          <w:szCs w:val="21"/>
        </w:rPr>
        <w:t>choose to also work on locally identified priorities.</w:t>
      </w:r>
      <w:r>
        <w:rPr>
          <w:szCs w:val="21"/>
        </w:rPr>
        <w:t xml:space="preserve"> </w:t>
      </w:r>
      <w:r w:rsidRPr="003F092F">
        <w:rPr>
          <w:rStyle w:val="normaltextrun"/>
          <w:szCs w:val="21"/>
        </w:rPr>
        <w:t xml:space="preserve">Health Service Partnerships </w:t>
      </w:r>
      <w:r>
        <w:t>replaced the health service ‘clusters’ that emerged during the COVID-19 pandemic along with the Regional Health Partnerships that preceded them.</w:t>
      </w:r>
    </w:p>
    <w:p w14:paraId="59BF4C5E" w14:textId="77777777" w:rsidR="00743F4D" w:rsidRPr="008945B6" w:rsidRDefault="00743F4D" w:rsidP="000C6C1E">
      <w:pPr>
        <w:pStyle w:val="Heading4"/>
      </w:pPr>
      <w:r w:rsidRPr="008945B6">
        <w:lastRenderedPageBreak/>
        <w:t xml:space="preserve">Home </w:t>
      </w:r>
    </w:p>
    <w:p w14:paraId="1AE19787" w14:textId="77777777" w:rsidR="00743F4D" w:rsidRDefault="00743F4D" w:rsidP="00743F4D">
      <w:pPr>
        <w:pStyle w:val="Body"/>
      </w:pPr>
      <w:r>
        <w:t>In this document the term home is an accommodation type inclusive of a private residence, independent living units, residential aged care, supported accommodation, temporary accommodation and public housing as well as schools, workplaces and GP practices.</w:t>
      </w:r>
    </w:p>
    <w:p w14:paraId="5B7EE6AA" w14:textId="77777777" w:rsidR="00743F4D" w:rsidRPr="0033279A" w:rsidRDefault="00743F4D" w:rsidP="000C6C1E">
      <w:pPr>
        <w:pStyle w:val="Heading4"/>
      </w:pPr>
      <w:r w:rsidRPr="0033279A">
        <w:t>List of waiting patients</w:t>
      </w:r>
    </w:p>
    <w:p w14:paraId="2E63F2AF" w14:textId="29D1AC7B" w:rsidR="00743F4D" w:rsidRDefault="00743F4D" w:rsidP="00743F4D">
      <w:pPr>
        <w:pStyle w:val="Body"/>
      </w:pPr>
      <w:r>
        <w:t xml:space="preserve">There is no single statewide waiting list for any medical service or </w:t>
      </w:r>
      <w:r w:rsidR="00D24E59">
        <w:t>any</w:t>
      </w:r>
      <w:r>
        <w:t xml:space="preserve"> non-admitted service. Each health service maintains a list of patients waiting for new and review appointments. Data from a health service’s lists are combined into a ‘virtual’ waiting list for each medical speciality across the state. Statewide performance data are published quarterly by the Victorian Agency for Health Information on the Victorian Health Services Performance webpage. </w:t>
      </w:r>
    </w:p>
    <w:p w14:paraId="4B61DEC4" w14:textId="77777777" w:rsidR="00743F4D" w:rsidRPr="0033279A" w:rsidRDefault="00743F4D" w:rsidP="000C6C1E">
      <w:pPr>
        <w:pStyle w:val="Heading4"/>
      </w:pPr>
      <w:r w:rsidRPr="0033279A">
        <w:t>Multiple healthcare provider specialist clinics</w:t>
      </w:r>
    </w:p>
    <w:p w14:paraId="04ABF214" w14:textId="77777777" w:rsidR="00743F4D" w:rsidRDefault="00743F4D" w:rsidP="00743F4D">
      <w:pPr>
        <w:pStyle w:val="Body"/>
      </w:pPr>
      <w:r w:rsidRPr="000A28EA">
        <w:t>Clinics where three or more healthcare providers deliver care, either individually or jointly, within a non-admitted patient service event.</w:t>
      </w:r>
    </w:p>
    <w:p w14:paraId="537299D1" w14:textId="77777777" w:rsidR="00743F4D" w:rsidRDefault="00743F4D" w:rsidP="000C6C1E">
      <w:pPr>
        <w:pStyle w:val="Heading4"/>
      </w:pPr>
      <w:r>
        <w:t>Non-admitted care</w:t>
      </w:r>
    </w:p>
    <w:p w14:paraId="6E83DBBD" w14:textId="7B82F41A" w:rsidR="00743F4D" w:rsidRPr="0070534C" w:rsidRDefault="00743F4D" w:rsidP="00743F4D">
      <w:pPr>
        <w:pStyle w:val="Body"/>
        <w:rPr>
          <w:lang w:val="en" w:eastAsia="en-AU"/>
        </w:rPr>
      </w:pPr>
      <w:r w:rsidRPr="0070534C">
        <w:rPr>
          <w:lang w:val="en" w:eastAsia="en-AU"/>
        </w:rPr>
        <w:t xml:space="preserve">Non-admitted care encompasses services provided to patients who do not undergo a formal admission process and do not occupy a hospital </w:t>
      </w:r>
      <w:r w:rsidR="007D2A13">
        <w:rPr>
          <w:lang w:val="en" w:eastAsia="en-AU"/>
        </w:rPr>
        <w:t>‘</w:t>
      </w:r>
      <w:r w:rsidRPr="0070534C">
        <w:rPr>
          <w:lang w:val="en" w:eastAsia="en-AU"/>
        </w:rPr>
        <w:t>bed</w:t>
      </w:r>
      <w:r w:rsidR="004019E2">
        <w:rPr>
          <w:lang w:val="en" w:eastAsia="en-AU"/>
        </w:rPr>
        <w:t>’</w:t>
      </w:r>
      <w:r w:rsidRPr="0070534C">
        <w:rPr>
          <w:lang w:val="en" w:eastAsia="en-AU"/>
        </w:rPr>
        <w:t>. For example, services provided by h</w:t>
      </w:r>
      <w:r>
        <w:rPr>
          <w:lang w:val="en" w:eastAsia="en-AU"/>
        </w:rPr>
        <w:t>ealth service</w:t>
      </w:r>
      <w:r w:rsidRPr="0070534C">
        <w:rPr>
          <w:lang w:val="en" w:eastAsia="en-AU"/>
        </w:rPr>
        <w:t>s:</w:t>
      </w:r>
    </w:p>
    <w:p w14:paraId="5391C251" w14:textId="77777777" w:rsidR="00743F4D" w:rsidRPr="0070534C" w:rsidRDefault="00743F4D" w:rsidP="00743F4D">
      <w:pPr>
        <w:pStyle w:val="Bullet1"/>
        <w:rPr>
          <w:lang w:val="en" w:eastAsia="en-AU"/>
        </w:rPr>
      </w:pPr>
      <w:r w:rsidRPr="0070534C">
        <w:rPr>
          <w:lang w:val="en" w:eastAsia="en-AU"/>
        </w:rPr>
        <w:t xml:space="preserve">in outpatient </w:t>
      </w:r>
      <w:r>
        <w:rPr>
          <w:lang w:val="en" w:eastAsia="en-AU"/>
        </w:rPr>
        <w:t xml:space="preserve">or specialist </w:t>
      </w:r>
      <w:r w:rsidRPr="0070534C">
        <w:rPr>
          <w:lang w:val="en" w:eastAsia="en-AU"/>
        </w:rPr>
        <w:t>clinics</w:t>
      </w:r>
    </w:p>
    <w:p w14:paraId="19D8838E" w14:textId="77777777" w:rsidR="00743F4D" w:rsidRPr="0070534C" w:rsidRDefault="00743F4D" w:rsidP="00743F4D">
      <w:pPr>
        <w:pStyle w:val="Bullet1"/>
        <w:rPr>
          <w:lang w:val="en" w:eastAsia="en-AU"/>
        </w:rPr>
      </w:pPr>
      <w:r w:rsidRPr="0070534C">
        <w:rPr>
          <w:lang w:val="en" w:eastAsia="en-AU"/>
        </w:rPr>
        <w:t>in community-based clinics</w:t>
      </w:r>
    </w:p>
    <w:p w14:paraId="223BA82B" w14:textId="77777777" w:rsidR="00743F4D" w:rsidRPr="0070534C" w:rsidRDefault="00743F4D" w:rsidP="00743F4D">
      <w:pPr>
        <w:pStyle w:val="Bullet1"/>
        <w:rPr>
          <w:lang w:val="en" w:eastAsia="en-AU"/>
        </w:rPr>
      </w:pPr>
      <w:r w:rsidRPr="0070534C">
        <w:rPr>
          <w:lang w:val="en" w:eastAsia="en-AU"/>
        </w:rPr>
        <w:t>in patients’ homes.</w:t>
      </w:r>
    </w:p>
    <w:p w14:paraId="65AF3B55" w14:textId="77777777" w:rsidR="00743F4D" w:rsidRPr="0033279A" w:rsidRDefault="00743F4D" w:rsidP="000C6C1E">
      <w:pPr>
        <w:pStyle w:val="Heading4"/>
      </w:pPr>
      <w:r w:rsidRPr="0033279A">
        <w:t>Not ready for care</w:t>
      </w:r>
    </w:p>
    <w:p w14:paraId="0E84112F" w14:textId="77777777" w:rsidR="00743F4D" w:rsidRDefault="00743F4D" w:rsidP="00743F4D">
      <w:pPr>
        <w:pStyle w:val="Body"/>
      </w:pPr>
      <w:r>
        <w:t>Patients do not attend scheduled appointments for a variety of reasons. ‘Not ready for care’ patients are those who advise the health service that they cannot attend an appointment for any of the following reasons:</w:t>
      </w:r>
    </w:p>
    <w:p w14:paraId="7B9401BA" w14:textId="77777777" w:rsidR="00743F4D" w:rsidRDefault="00743F4D" w:rsidP="00743F4D">
      <w:pPr>
        <w:pStyle w:val="Bullet1"/>
      </w:pPr>
      <w:r>
        <w:t>the patient’s health status (medical, cognitive or psychological) has temporarily declined to the extent that it is inadvisable to proceed with the appointment</w:t>
      </w:r>
    </w:p>
    <w:p w14:paraId="78132B9C" w14:textId="77777777" w:rsidR="00743F4D" w:rsidRDefault="00743F4D" w:rsidP="00743F4D">
      <w:pPr>
        <w:pStyle w:val="Bullet1"/>
      </w:pPr>
      <w:r>
        <w:t xml:space="preserve">they are waiting for a test or investigation that must be completed before the appointment. </w:t>
      </w:r>
    </w:p>
    <w:p w14:paraId="127D075F" w14:textId="77777777" w:rsidR="00743F4D" w:rsidRPr="0033279A" w:rsidRDefault="00743F4D" w:rsidP="000C6C1E">
      <w:pPr>
        <w:pStyle w:val="Heading4"/>
      </w:pPr>
      <w:r w:rsidRPr="0033279A">
        <w:t>Patient information collection statement</w:t>
      </w:r>
    </w:p>
    <w:p w14:paraId="61907930" w14:textId="77777777" w:rsidR="00743F4D" w:rsidRPr="00AA7921" w:rsidRDefault="00743F4D" w:rsidP="00743F4D">
      <w:pPr>
        <w:pStyle w:val="Body"/>
      </w:pPr>
      <w:r w:rsidRPr="00AA7921">
        <w:rPr>
          <w:rStyle w:val="normaltextrun1"/>
        </w:rPr>
        <w:t>A statement that explains to the patient the reasons why their health information and general practitioner’s contact details are being collected</w:t>
      </w:r>
      <w:r>
        <w:rPr>
          <w:rStyle w:val="normaltextrun1"/>
        </w:rPr>
        <w:t>;</w:t>
      </w:r>
      <w:r w:rsidRPr="00AA7921">
        <w:rPr>
          <w:rStyle w:val="normaltextrun1"/>
        </w:rPr>
        <w:t xml:space="preserve"> that is</w:t>
      </w:r>
      <w:r>
        <w:rPr>
          <w:rStyle w:val="normaltextrun1"/>
        </w:rPr>
        <w:t>, that the</w:t>
      </w:r>
      <w:r w:rsidRPr="00AA7921">
        <w:rPr>
          <w:rStyle w:val="normaltextrun1"/>
        </w:rPr>
        <w:t xml:space="preserve"> information will be disclosed to the health service and that the health service will notify the </w:t>
      </w:r>
      <w:r>
        <w:rPr>
          <w:rStyle w:val="normaltextrun1"/>
        </w:rPr>
        <w:t xml:space="preserve">person’s </w:t>
      </w:r>
      <w:r w:rsidRPr="00AA7921">
        <w:rPr>
          <w:rStyle w:val="normaltextrun1"/>
        </w:rPr>
        <w:t>general practitioner about the proposed procedure.</w:t>
      </w:r>
      <w:r w:rsidRPr="00AA7921">
        <w:rPr>
          <w:rStyle w:val="eop"/>
        </w:rPr>
        <w:t> </w:t>
      </w:r>
    </w:p>
    <w:p w14:paraId="7E8610AF" w14:textId="77777777" w:rsidR="00743F4D" w:rsidRPr="0033279A" w:rsidRDefault="00743F4D" w:rsidP="000C6C1E">
      <w:pPr>
        <w:pStyle w:val="Heading4"/>
      </w:pPr>
      <w:r w:rsidRPr="0033279A">
        <w:t>Private patient</w:t>
      </w:r>
    </w:p>
    <w:p w14:paraId="783AF924" w14:textId="77777777" w:rsidR="00743F4D" w:rsidRPr="00AA7921" w:rsidRDefault="00743F4D" w:rsidP="00743F4D">
      <w:pPr>
        <w:pStyle w:val="Body"/>
      </w:pPr>
      <w:r w:rsidRPr="00AA7921">
        <w:rPr>
          <w:rStyle w:val="normaltextrun1"/>
        </w:rPr>
        <w:t xml:space="preserve">Patients who elect to be treated as </w:t>
      </w:r>
      <w:r>
        <w:rPr>
          <w:rStyle w:val="normaltextrun1"/>
        </w:rPr>
        <w:t xml:space="preserve">a </w:t>
      </w:r>
      <w:r w:rsidRPr="00AA7921">
        <w:rPr>
          <w:rStyle w:val="normaltextrun1"/>
        </w:rPr>
        <w:t xml:space="preserve">private patient. Private patients are treated by the specialist medical practitioner of their choice and may be responsible for hospital accommodation fees, medical and diagnostic services, prosthesis, dental fees and </w:t>
      </w:r>
      <w:r>
        <w:rPr>
          <w:rStyle w:val="normaltextrun1"/>
        </w:rPr>
        <w:t xml:space="preserve">the costs of </w:t>
      </w:r>
      <w:r w:rsidRPr="00AA7921">
        <w:rPr>
          <w:rStyle w:val="normaltextrun1"/>
        </w:rPr>
        <w:t>other related services.</w:t>
      </w:r>
      <w:r w:rsidRPr="00AA7921">
        <w:rPr>
          <w:rStyle w:val="eop"/>
        </w:rPr>
        <w:t> </w:t>
      </w:r>
    </w:p>
    <w:p w14:paraId="0974C5C1" w14:textId="77777777" w:rsidR="00743F4D" w:rsidRPr="0033279A" w:rsidRDefault="00743F4D" w:rsidP="000C6C1E">
      <w:pPr>
        <w:pStyle w:val="Heading4"/>
      </w:pPr>
      <w:r w:rsidRPr="0033279A">
        <w:lastRenderedPageBreak/>
        <w:t>Public patient</w:t>
      </w:r>
    </w:p>
    <w:p w14:paraId="5FD33156" w14:textId="77777777" w:rsidR="00743F4D" w:rsidRDefault="00743F4D" w:rsidP="00743F4D">
      <w:pPr>
        <w:pStyle w:val="Body"/>
        <w:rPr>
          <w:rStyle w:val="eop"/>
        </w:rPr>
      </w:pPr>
      <w:r w:rsidRPr="00AA7921">
        <w:rPr>
          <w:rStyle w:val="normaltextrun1"/>
        </w:rPr>
        <w:t>Patients who are eligible for Medicare and who are admitted to a public health service for treatment free of charge. Public patients have their treatment provided by a specialist medical practitioner nominated by the h</w:t>
      </w:r>
      <w:r>
        <w:rPr>
          <w:rStyle w:val="normaltextrun1"/>
        </w:rPr>
        <w:t>ealth service</w:t>
      </w:r>
      <w:r w:rsidRPr="00AA7921">
        <w:rPr>
          <w:rStyle w:val="normaltextrun1"/>
        </w:rPr>
        <w:t>, not a specialist medical practitioner of their choice.</w:t>
      </w:r>
      <w:r w:rsidRPr="00AA7921">
        <w:rPr>
          <w:rStyle w:val="eop"/>
        </w:rPr>
        <w:t> </w:t>
      </w:r>
    </w:p>
    <w:p w14:paraId="4418A13C" w14:textId="77777777" w:rsidR="00743F4D" w:rsidRDefault="00743F4D" w:rsidP="00743F4D">
      <w:pPr>
        <w:pStyle w:val="Body"/>
        <w:rPr>
          <w:rFonts w:ascii="Calibri" w:hAnsi="Calibri"/>
        </w:rPr>
      </w:pPr>
      <w:r w:rsidRPr="000B0033">
        <w:rPr>
          <w:rStyle w:val="DHHSbodyChar"/>
        </w:rPr>
        <w:t>Medicare</w:t>
      </w:r>
      <w:r>
        <w:rPr>
          <w:rStyle w:val="DHHSbodyChar"/>
        </w:rPr>
        <w:t>-</w:t>
      </w:r>
      <w:r w:rsidRPr="000B0033">
        <w:rPr>
          <w:rStyle w:val="DHHSbodyChar"/>
        </w:rPr>
        <w:t>ineligible asylum seekers are to be provided with health services in public h</w:t>
      </w:r>
      <w:r>
        <w:rPr>
          <w:rStyle w:val="DHHSbodyChar"/>
        </w:rPr>
        <w:t>ealth service</w:t>
      </w:r>
      <w:r w:rsidRPr="000B0033">
        <w:rPr>
          <w:rStyle w:val="DHHSbodyChar"/>
        </w:rPr>
        <w:t xml:space="preserve">s in accordance with their clinical urgency. </w:t>
      </w:r>
      <w:r>
        <w:rPr>
          <w:rStyle w:val="DHHSbodyChar"/>
        </w:rPr>
        <w:t xml:space="preserve">More </w:t>
      </w:r>
      <w:r w:rsidRPr="000B0033">
        <w:rPr>
          <w:rStyle w:val="DHHSbodyChar"/>
        </w:rPr>
        <w:t xml:space="preserve">information about refugee and asylum seeker health, and appropriate billing, is available from the department’s </w:t>
      </w:r>
      <w:hyperlink r:id="rId18" w:history="1">
        <w:r w:rsidRPr="00510591">
          <w:t>Refugee Health Program</w:t>
        </w:r>
      </w:hyperlink>
      <w:r>
        <w:t xml:space="preserve"> &lt;</w:t>
      </w:r>
      <w:r w:rsidRPr="00AA7A1D">
        <w:t>https://www2.health.vic.gov.au/primary-and-community-health/community-health/population-groups/refugee-health-program</w:t>
      </w:r>
      <w:r>
        <w:t>&gt;.</w:t>
      </w:r>
    </w:p>
    <w:p w14:paraId="7FEE5156" w14:textId="77777777" w:rsidR="00743F4D" w:rsidRPr="0033279A" w:rsidRDefault="00743F4D" w:rsidP="000C6C1E">
      <w:pPr>
        <w:pStyle w:val="Heading4"/>
      </w:pPr>
      <w:r w:rsidRPr="0033279A">
        <w:t>Referrals</w:t>
      </w:r>
    </w:p>
    <w:p w14:paraId="74B34893" w14:textId="399782F7" w:rsidR="00743F4D" w:rsidRDefault="00743F4D" w:rsidP="00743F4D">
      <w:pPr>
        <w:pStyle w:val="Body"/>
      </w:pPr>
      <w:r>
        <w:t xml:space="preserve">Referrals are </w:t>
      </w:r>
      <w:r w:rsidR="006B048C">
        <w:t xml:space="preserve">documented </w:t>
      </w:r>
      <w:r>
        <w:t xml:space="preserve">requests </w:t>
      </w:r>
      <w:r w:rsidR="006B048C">
        <w:t xml:space="preserve">(usually </w:t>
      </w:r>
      <w:r>
        <w:t>in writing</w:t>
      </w:r>
      <w:r w:rsidR="006B048C">
        <w:t>)</w:t>
      </w:r>
      <w:r>
        <w:t xml:space="preserve"> from one health professional to another to provide:</w:t>
      </w:r>
    </w:p>
    <w:p w14:paraId="1CF424D1" w14:textId="77777777" w:rsidR="00743F4D" w:rsidRDefault="00743F4D" w:rsidP="00743F4D">
      <w:pPr>
        <w:pStyle w:val="Bullet1"/>
      </w:pPr>
      <w:r>
        <w:t>a service to undertake a clinical assessment, establish a diagnosis or inform a treatment plan</w:t>
      </w:r>
    </w:p>
    <w:p w14:paraId="5D3531AD" w14:textId="77777777" w:rsidR="00743F4D" w:rsidRDefault="00743F4D" w:rsidP="00743F4D">
      <w:pPr>
        <w:pStyle w:val="Bullet1"/>
      </w:pPr>
      <w:r>
        <w:t>specific tests or investigations</w:t>
      </w:r>
    </w:p>
    <w:p w14:paraId="5CBFAC30" w14:textId="77777777" w:rsidR="00743F4D" w:rsidRDefault="00743F4D" w:rsidP="00743F4D">
      <w:pPr>
        <w:pStyle w:val="Bullet1"/>
      </w:pPr>
      <w:r>
        <w:t>a treatment or intervention.</w:t>
      </w:r>
    </w:p>
    <w:p w14:paraId="403D8E52" w14:textId="77777777" w:rsidR="00743F4D" w:rsidRPr="0033279A" w:rsidRDefault="00743F4D" w:rsidP="000C6C1E">
      <w:pPr>
        <w:pStyle w:val="Heading4"/>
      </w:pPr>
      <w:r w:rsidRPr="0033279A">
        <w:t>Specialist clinics</w:t>
      </w:r>
    </w:p>
    <w:p w14:paraId="1489B450" w14:textId="77777777" w:rsidR="00743F4D" w:rsidRPr="00E24CF8" w:rsidRDefault="00743F4D" w:rsidP="00743F4D">
      <w:pPr>
        <w:pStyle w:val="Body"/>
        <w:rPr>
          <w:lang w:eastAsia="en-AU"/>
        </w:rPr>
      </w:pPr>
      <w:r w:rsidRPr="00E24CF8">
        <w:rPr>
          <w:lang w:eastAsia="en-AU"/>
        </w:rPr>
        <w:t>Specialist clinics provide planned, non-admitted services for people who need the focus of an acute setting to ensure the best outcomes. Specialist clinics provide an interface between primary care services and acute inpatient services, with access to:</w:t>
      </w:r>
    </w:p>
    <w:p w14:paraId="01D71059" w14:textId="77777777" w:rsidR="00743F4D" w:rsidRPr="00E24CF8" w:rsidRDefault="00743F4D" w:rsidP="00743F4D">
      <w:pPr>
        <w:pStyle w:val="Bullet1"/>
        <w:rPr>
          <w:lang w:eastAsia="en-AU"/>
        </w:rPr>
      </w:pPr>
      <w:r w:rsidRPr="00E24CF8">
        <w:rPr>
          <w:lang w:eastAsia="en-AU"/>
        </w:rPr>
        <w:t>medical, nursing, midwifery and allied health professionals for assessment, diagnosis and treatment</w:t>
      </w:r>
    </w:p>
    <w:p w14:paraId="329ACB0C" w14:textId="77777777" w:rsidR="00743F4D" w:rsidRPr="00E24CF8" w:rsidRDefault="00743F4D" w:rsidP="00743F4D">
      <w:pPr>
        <w:pStyle w:val="Bullet1"/>
        <w:rPr>
          <w:lang w:eastAsia="en-AU"/>
        </w:rPr>
      </w:pPr>
      <w:r w:rsidRPr="00E24CF8">
        <w:rPr>
          <w:lang w:eastAsia="en-AU"/>
        </w:rPr>
        <w:t>ongoing specialist management of chronic and complex conditions in collaboration with community providers</w:t>
      </w:r>
    </w:p>
    <w:p w14:paraId="776C6559" w14:textId="77777777" w:rsidR="00743F4D" w:rsidRPr="00E24CF8" w:rsidRDefault="00743F4D" w:rsidP="00743F4D">
      <w:pPr>
        <w:pStyle w:val="Bullet1"/>
        <w:rPr>
          <w:lang w:eastAsia="en-AU"/>
        </w:rPr>
      </w:pPr>
      <w:r w:rsidRPr="00E24CF8">
        <w:rPr>
          <w:lang w:eastAsia="en-AU"/>
        </w:rPr>
        <w:t>pre- and post-hospital care</w:t>
      </w:r>
    </w:p>
    <w:p w14:paraId="1478FDF2" w14:textId="77777777" w:rsidR="00743F4D" w:rsidRPr="00E24CF8" w:rsidRDefault="00743F4D" w:rsidP="00743F4D">
      <w:pPr>
        <w:pStyle w:val="Bullet1"/>
        <w:rPr>
          <w:lang w:eastAsia="en-AU"/>
        </w:rPr>
      </w:pPr>
      <w:r w:rsidRPr="00E24CF8">
        <w:rPr>
          <w:lang w:eastAsia="en-AU"/>
        </w:rPr>
        <w:t>maternity care</w:t>
      </w:r>
    </w:p>
    <w:p w14:paraId="00B2F513" w14:textId="77777777" w:rsidR="00743F4D" w:rsidRPr="00E24CF8" w:rsidRDefault="00743F4D" w:rsidP="00743F4D">
      <w:pPr>
        <w:pStyle w:val="Bullet1"/>
        <w:rPr>
          <w:lang w:eastAsia="en-AU"/>
        </w:rPr>
      </w:pPr>
      <w:r w:rsidRPr="00E24CF8">
        <w:rPr>
          <w:lang w:eastAsia="en-AU"/>
        </w:rPr>
        <w:t>related diagnostic services such as pathology and imaging.</w:t>
      </w:r>
    </w:p>
    <w:p w14:paraId="6C708A4E" w14:textId="77777777" w:rsidR="00743F4D" w:rsidRPr="00E24CF8" w:rsidRDefault="00743F4D" w:rsidP="00743F4D">
      <w:pPr>
        <w:pStyle w:val="Body"/>
        <w:rPr>
          <w:lang w:eastAsia="en-AU"/>
        </w:rPr>
      </w:pPr>
      <w:r w:rsidRPr="00E24CF8">
        <w:rPr>
          <w:lang w:eastAsia="en-AU"/>
        </w:rPr>
        <w:t>Patients are referred to specialist clinics by GPs, specialists and other community-based healthcare providers, as well as clinicians in emergency departments, inpatient units and other areas of the h</w:t>
      </w:r>
      <w:r>
        <w:rPr>
          <w:lang w:eastAsia="en-AU"/>
        </w:rPr>
        <w:t>ealth service</w:t>
      </w:r>
      <w:r w:rsidRPr="00E24CF8">
        <w:rPr>
          <w:lang w:eastAsia="en-AU"/>
        </w:rPr>
        <w:t>.</w:t>
      </w:r>
    </w:p>
    <w:p w14:paraId="704B7A22" w14:textId="77777777" w:rsidR="00743F4D" w:rsidRPr="0033279A" w:rsidRDefault="00743F4D" w:rsidP="000C6C1E">
      <w:pPr>
        <w:pStyle w:val="Heading4"/>
      </w:pPr>
      <w:r w:rsidRPr="0033279A">
        <w:t>Treat in turn</w:t>
      </w:r>
    </w:p>
    <w:p w14:paraId="1A9960D1" w14:textId="77777777" w:rsidR="00743F4D" w:rsidRDefault="00743F4D" w:rsidP="00743F4D">
      <w:pPr>
        <w:pStyle w:val="Body"/>
      </w:pPr>
      <w:r w:rsidRPr="009811E9">
        <w:t xml:space="preserve">Treat in turn is a key principle of managing </w:t>
      </w:r>
      <w:r>
        <w:t xml:space="preserve">lists of </w:t>
      </w:r>
      <w:r w:rsidRPr="009811E9">
        <w:t>waiting patients.</w:t>
      </w:r>
      <w:r>
        <w:t xml:space="preserve"> It ensures all patients have the shortest waiting time, provides greater certainty to patients and reduces the inappropriate use of more high-priority categories. </w:t>
      </w:r>
    </w:p>
    <w:p w14:paraId="0923EC26" w14:textId="77777777" w:rsidR="00743F4D" w:rsidRDefault="00743F4D" w:rsidP="00743F4D">
      <w:pPr>
        <w:pStyle w:val="Body"/>
      </w:pPr>
      <w:r>
        <w:t>Treat in turn may not be possible for clinical or logistical reasons including:</w:t>
      </w:r>
    </w:p>
    <w:p w14:paraId="42272673" w14:textId="77777777" w:rsidR="00743F4D" w:rsidRPr="00E511FC" w:rsidRDefault="00743F4D" w:rsidP="00743F4D">
      <w:pPr>
        <w:pStyle w:val="Bullet1"/>
      </w:pPr>
      <w:r w:rsidRPr="00E511FC">
        <w:rPr>
          <w:rStyle w:val="normaltextrun1"/>
        </w:rPr>
        <w:t>when a patient’s condition has deteriorated and their need for treatment has become more urgent</w:t>
      </w:r>
      <w:r>
        <w:rPr>
          <w:rStyle w:val="normaltextrun1"/>
        </w:rPr>
        <w:t xml:space="preserve"> </w:t>
      </w:r>
    </w:p>
    <w:p w14:paraId="72FAEFE7" w14:textId="77777777" w:rsidR="00743F4D" w:rsidRPr="00E511FC" w:rsidRDefault="00743F4D" w:rsidP="00743F4D">
      <w:pPr>
        <w:pStyle w:val="Bullet1"/>
      </w:pPr>
      <w:r w:rsidRPr="00E511FC">
        <w:rPr>
          <w:rStyle w:val="normaltextrun1"/>
        </w:rPr>
        <w:t xml:space="preserve">if the health service has previously postponed the </w:t>
      </w:r>
      <w:r>
        <w:rPr>
          <w:rStyle w:val="normaltextrun1"/>
        </w:rPr>
        <w:t xml:space="preserve">appointment </w:t>
      </w:r>
    </w:p>
    <w:p w14:paraId="1FD260DD" w14:textId="77777777" w:rsidR="00743F4D" w:rsidRPr="00E511FC" w:rsidRDefault="00743F4D" w:rsidP="00743F4D">
      <w:pPr>
        <w:pStyle w:val="Bullet1"/>
      </w:pPr>
      <w:r w:rsidRPr="00E511FC">
        <w:rPr>
          <w:rStyle w:val="normaltextrun1"/>
        </w:rPr>
        <w:t xml:space="preserve">if the patient needs to </w:t>
      </w:r>
      <w:r>
        <w:rPr>
          <w:rStyle w:val="normaltextrun1"/>
        </w:rPr>
        <w:t xml:space="preserve">postpone a scheduled appointment </w:t>
      </w:r>
    </w:p>
    <w:p w14:paraId="64DAC025" w14:textId="77777777" w:rsidR="00743F4D" w:rsidRPr="00E511FC" w:rsidRDefault="00743F4D" w:rsidP="00743F4D">
      <w:pPr>
        <w:pStyle w:val="Bullet1"/>
      </w:pPr>
      <w:r>
        <w:rPr>
          <w:rStyle w:val="normaltextrun1"/>
        </w:rPr>
        <w:t>t</w:t>
      </w:r>
      <w:r w:rsidRPr="00E511FC">
        <w:rPr>
          <w:rStyle w:val="normaltextrun1"/>
        </w:rPr>
        <w:t xml:space="preserve">he availability of specific resources </w:t>
      </w:r>
      <w:r>
        <w:rPr>
          <w:rStyle w:val="normaltextrun1"/>
        </w:rPr>
        <w:t xml:space="preserve">(for example, </w:t>
      </w:r>
      <w:r w:rsidRPr="00E511FC">
        <w:rPr>
          <w:rStyle w:val="normaltextrun1"/>
        </w:rPr>
        <w:t>staff</w:t>
      </w:r>
      <w:r>
        <w:rPr>
          <w:rStyle w:val="normaltextrun1"/>
        </w:rPr>
        <w:t xml:space="preserve"> or</w:t>
      </w:r>
      <w:r w:rsidRPr="00E511FC">
        <w:rPr>
          <w:rStyle w:val="normaltextrun1"/>
        </w:rPr>
        <w:t xml:space="preserve"> equipment</w:t>
      </w:r>
      <w:r>
        <w:rPr>
          <w:rStyle w:val="normaltextrun1"/>
        </w:rPr>
        <w:t xml:space="preserve">) </w:t>
      </w:r>
    </w:p>
    <w:p w14:paraId="370A3EAF" w14:textId="77777777" w:rsidR="00743F4D" w:rsidRPr="00E511FC" w:rsidRDefault="00743F4D" w:rsidP="00743F4D">
      <w:pPr>
        <w:pStyle w:val="Bullet1"/>
      </w:pPr>
      <w:r>
        <w:rPr>
          <w:rStyle w:val="normaltextrun1"/>
        </w:rPr>
        <w:t>t</w:t>
      </w:r>
      <w:r w:rsidRPr="00E511FC">
        <w:rPr>
          <w:rStyle w:val="normaltextrun1"/>
        </w:rPr>
        <w:t xml:space="preserve">o optimise </w:t>
      </w:r>
      <w:r>
        <w:rPr>
          <w:rStyle w:val="normaltextrun1"/>
        </w:rPr>
        <w:t>service</w:t>
      </w:r>
      <w:r w:rsidRPr="00E511FC">
        <w:rPr>
          <w:rStyle w:val="normaltextrun1"/>
        </w:rPr>
        <w:t xml:space="preserve"> efficiency by scheduling cases to fill </w:t>
      </w:r>
      <w:r>
        <w:rPr>
          <w:rStyle w:val="normaltextrun1"/>
        </w:rPr>
        <w:t>clinic</w:t>
      </w:r>
      <w:r w:rsidRPr="00E511FC">
        <w:rPr>
          <w:rStyle w:val="normaltextrun1"/>
        </w:rPr>
        <w:t xml:space="preserve"> lists</w:t>
      </w:r>
    </w:p>
    <w:p w14:paraId="1F1380FD" w14:textId="77777777" w:rsidR="00743F4D" w:rsidRDefault="00743F4D" w:rsidP="00743F4D">
      <w:pPr>
        <w:pStyle w:val="Bullet1"/>
        <w:rPr>
          <w:rStyle w:val="normaltextrun1"/>
        </w:rPr>
      </w:pPr>
      <w:r>
        <w:rPr>
          <w:rStyle w:val="normaltextrun1"/>
        </w:rPr>
        <w:lastRenderedPageBreak/>
        <w:t>t</w:t>
      </w:r>
      <w:r w:rsidRPr="00E511FC">
        <w:rPr>
          <w:rStyle w:val="normaltextrun1"/>
        </w:rPr>
        <w:t>he time the patient has been on another health service</w:t>
      </w:r>
      <w:r>
        <w:rPr>
          <w:rStyle w:val="normaltextrun1"/>
        </w:rPr>
        <w:t>’</w:t>
      </w:r>
      <w:r w:rsidRPr="00E511FC">
        <w:rPr>
          <w:rStyle w:val="normaltextrun1"/>
        </w:rPr>
        <w:t xml:space="preserve">s list for the same </w:t>
      </w:r>
      <w:r>
        <w:rPr>
          <w:rStyle w:val="normaltextrun1"/>
        </w:rPr>
        <w:t>service</w:t>
      </w:r>
      <w:r w:rsidRPr="00E511FC">
        <w:rPr>
          <w:rStyle w:val="normaltextrun1"/>
        </w:rPr>
        <w:t xml:space="preserve"> and has been transferred</w:t>
      </w:r>
      <w:r>
        <w:rPr>
          <w:rStyle w:val="normaltextrun1"/>
        </w:rPr>
        <w:t xml:space="preserve"> </w:t>
      </w:r>
    </w:p>
    <w:p w14:paraId="4A483357" w14:textId="77777777" w:rsidR="00743F4D" w:rsidRPr="00E511FC" w:rsidRDefault="00743F4D" w:rsidP="00743F4D">
      <w:pPr>
        <w:pStyle w:val="Bullet1"/>
      </w:pPr>
      <w:r>
        <w:rPr>
          <w:rStyle w:val="normaltextrun1"/>
        </w:rPr>
        <w:t>t</w:t>
      </w:r>
      <w:r w:rsidRPr="00E511FC">
        <w:rPr>
          <w:rStyle w:val="normaltextrun1"/>
        </w:rPr>
        <w:t>eaching and training considerations</w:t>
      </w:r>
      <w:r>
        <w:rPr>
          <w:rStyle w:val="eop"/>
        </w:rPr>
        <w:t>.</w:t>
      </w:r>
    </w:p>
    <w:p w14:paraId="4EE66ABE" w14:textId="77777777" w:rsidR="00743F4D" w:rsidRPr="0033279A" w:rsidRDefault="00743F4D" w:rsidP="000C6C1E">
      <w:pPr>
        <w:pStyle w:val="Heading4"/>
      </w:pPr>
      <w:r w:rsidRPr="0033279A">
        <w:t xml:space="preserve">Validation </w:t>
      </w:r>
    </w:p>
    <w:p w14:paraId="7899E891" w14:textId="77777777" w:rsidR="00743F4D" w:rsidRDefault="00743F4D" w:rsidP="00743F4D">
      <w:pPr>
        <w:pStyle w:val="Body"/>
        <w:rPr>
          <w:rFonts w:ascii="Calibri" w:hAnsi="Calibri"/>
        </w:rPr>
      </w:pPr>
      <w:r>
        <w:t>Validation ensures that the number of patients waiting is an accurate figure and is part of public accountability and transparency.</w:t>
      </w:r>
    </w:p>
    <w:p w14:paraId="437BF1F2" w14:textId="77777777" w:rsidR="00743F4D" w:rsidRPr="0033279A" w:rsidRDefault="00743F4D" w:rsidP="000C6C1E">
      <w:pPr>
        <w:pStyle w:val="Heading4"/>
      </w:pPr>
      <w:r w:rsidRPr="0033279A">
        <w:t>Verbal communication</w:t>
      </w:r>
    </w:p>
    <w:p w14:paraId="04FDA0B7" w14:textId="573E0D2F" w:rsidR="00743F4D" w:rsidRDefault="00743F4D" w:rsidP="00743F4D">
      <w:pPr>
        <w:pStyle w:val="Body"/>
      </w:pPr>
      <w:r>
        <w:t>Verbal</w:t>
      </w:r>
      <w:r w:rsidRPr="00735E71">
        <w:t xml:space="preserve"> communication involves any type of message that makes use of the </w:t>
      </w:r>
      <w:r>
        <w:t>spoken</w:t>
      </w:r>
      <w:r w:rsidRPr="00735E71">
        <w:t xml:space="preserve"> word</w:t>
      </w:r>
      <w:r>
        <w:t xml:space="preserve"> in English</w:t>
      </w:r>
      <w:r w:rsidR="008F722C">
        <w:t>,</w:t>
      </w:r>
      <w:r>
        <w:t xml:space="preserve"> or any other language preferred by the listener. It includes telephone and face-to-face conversations.</w:t>
      </w:r>
    </w:p>
    <w:p w14:paraId="42D4A03D" w14:textId="77777777" w:rsidR="0015383E" w:rsidRPr="0033279A" w:rsidRDefault="0015383E" w:rsidP="0015383E">
      <w:pPr>
        <w:pStyle w:val="Heading4"/>
      </w:pPr>
      <w:r>
        <w:t>Virtual care</w:t>
      </w:r>
    </w:p>
    <w:p w14:paraId="72142EC8" w14:textId="77777777" w:rsidR="0015383E" w:rsidRPr="008D49A5" w:rsidRDefault="0015383E" w:rsidP="0015383E">
      <w:pPr>
        <w:pStyle w:val="Body"/>
      </w:pPr>
      <w:r>
        <w:t xml:space="preserve">Virtual care describes providing health services remotely using information and communications technologies (ICT) between consumers and clinicians or between clinicians </w:t>
      </w:r>
      <w:r w:rsidRPr="008D49A5">
        <w:t xml:space="preserve">when some of the participants are separated by distance, and information and communication technologies (ICTs) are used to overcome that distance. </w:t>
      </w:r>
      <w:r>
        <w:t>Virtual care or telehealth is not a clinical service, it is the use of ICT to deliver health care remotely.</w:t>
      </w:r>
    </w:p>
    <w:p w14:paraId="110B511E" w14:textId="77777777" w:rsidR="00743F4D" w:rsidRPr="0033279A" w:rsidRDefault="00743F4D" w:rsidP="000C6C1E">
      <w:pPr>
        <w:pStyle w:val="Heading4"/>
      </w:pPr>
      <w:r w:rsidRPr="0033279A">
        <w:t>Working days</w:t>
      </w:r>
    </w:p>
    <w:p w14:paraId="7A33AE0F" w14:textId="77777777" w:rsidR="00743F4D" w:rsidRPr="00AA7921" w:rsidRDefault="00743F4D" w:rsidP="00743F4D">
      <w:pPr>
        <w:pStyle w:val="Body"/>
      </w:pPr>
      <w:r w:rsidRPr="00AA7921">
        <w:rPr>
          <w:rStyle w:val="normaltextrun1"/>
        </w:rPr>
        <w:t>Days that fall between Monday and Friday inclusively (excluding public holidays)</w:t>
      </w:r>
      <w:r w:rsidRPr="00AA7921">
        <w:rPr>
          <w:rStyle w:val="eop"/>
        </w:rPr>
        <w:t>.</w:t>
      </w:r>
    </w:p>
    <w:p w14:paraId="2BA95E33" w14:textId="77777777" w:rsidR="00743F4D" w:rsidRPr="0033279A" w:rsidRDefault="00743F4D" w:rsidP="000C6C1E">
      <w:pPr>
        <w:pStyle w:val="Heading4"/>
      </w:pPr>
      <w:r w:rsidRPr="0033279A">
        <w:t>Written communication</w:t>
      </w:r>
    </w:p>
    <w:p w14:paraId="1B8FA1F9" w14:textId="028C97EC" w:rsidR="00743F4D" w:rsidRDefault="00743F4D" w:rsidP="00743F4D">
      <w:pPr>
        <w:pStyle w:val="Body"/>
      </w:pPr>
      <w:r w:rsidRPr="00735E71">
        <w:t>Written communication involves any type of message that makes use of the written word</w:t>
      </w:r>
      <w:r>
        <w:t xml:space="preserve"> in English</w:t>
      </w:r>
      <w:r w:rsidR="008F722C">
        <w:t>,</w:t>
      </w:r>
      <w:r>
        <w:t xml:space="preserve"> or any other language preferred by the reader. It includes letters, emails, text messages (including spoken messaging), faxes, websites and brochures.</w:t>
      </w:r>
    </w:p>
    <w:p w14:paraId="6EB08719" w14:textId="77777777" w:rsidR="00743F4D" w:rsidRDefault="00743F4D">
      <w:pPr>
        <w:spacing w:after="0" w:line="240" w:lineRule="auto"/>
        <w:rPr>
          <w:rFonts w:eastAsia="MS Gothic" w:cs="Arial"/>
          <w:bCs/>
          <w:color w:val="53565A"/>
          <w:kern w:val="32"/>
          <w:sz w:val="44"/>
          <w:szCs w:val="44"/>
        </w:rPr>
      </w:pPr>
      <w:r>
        <w:br w:type="page"/>
      </w:r>
    </w:p>
    <w:p w14:paraId="2840885D" w14:textId="603F125E" w:rsidR="00C04D1A" w:rsidRPr="00673EC3" w:rsidRDefault="00C04D1A" w:rsidP="00673EC3">
      <w:pPr>
        <w:pStyle w:val="Heading1"/>
      </w:pPr>
      <w:bookmarkStart w:id="14" w:name="_Toc121210034"/>
      <w:r w:rsidRPr="00673EC3">
        <w:lastRenderedPageBreak/>
        <w:t>Introduction</w:t>
      </w:r>
      <w:bookmarkEnd w:id="14"/>
    </w:p>
    <w:p w14:paraId="56B81005" w14:textId="1224945B" w:rsidR="0051353D" w:rsidRPr="00800F9C" w:rsidRDefault="0051353D" w:rsidP="0051353D">
      <w:pPr>
        <w:pStyle w:val="Body"/>
      </w:pPr>
      <w:r w:rsidRPr="00800F9C">
        <w:t>A high</w:t>
      </w:r>
      <w:r>
        <w:t>-</w:t>
      </w:r>
      <w:r w:rsidRPr="00800F9C">
        <w:t>integrity health system puts the interest</w:t>
      </w:r>
      <w:r>
        <w:t>s</w:t>
      </w:r>
      <w:r w:rsidRPr="00800F9C">
        <w:t xml:space="preserve"> of the patient above those of all other stakeholders and provides the services people need.</w:t>
      </w:r>
      <w:r w:rsidR="00016F9B">
        <w:t xml:space="preserve"> </w:t>
      </w:r>
      <w:r w:rsidRPr="00800F9C">
        <w:t xml:space="preserve">The Victorian Government is responsible for health system design and management, which includes improving </w:t>
      </w:r>
      <w:r w:rsidR="00F75DCF">
        <w:t xml:space="preserve">equity of </w:t>
      </w:r>
      <w:r w:rsidRPr="00800F9C">
        <w:t xml:space="preserve">access and supporting seamless access to the right care, in the right place </w:t>
      </w:r>
      <w:r>
        <w:t xml:space="preserve">and </w:t>
      </w:r>
      <w:r w:rsidRPr="00800F9C">
        <w:t>at the right time.</w:t>
      </w:r>
    </w:p>
    <w:p w14:paraId="6E4B8620" w14:textId="7E4628B9" w:rsidR="0051353D" w:rsidRPr="00800F9C" w:rsidRDefault="00D65AAA" w:rsidP="0051353D">
      <w:pPr>
        <w:pStyle w:val="Body"/>
      </w:pPr>
      <w:r>
        <w:t xml:space="preserve">The Department of Health (the ‘department’) is </w:t>
      </w:r>
      <w:r w:rsidR="0051353D" w:rsidRPr="00800F9C">
        <w:t xml:space="preserve">seeking to deliver the ‘quadruple aim’ </w:t>
      </w:r>
      <w:r w:rsidR="006356BA">
        <w:t>in</w:t>
      </w:r>
      <w:r w:rsidR="0051353D" w:rsidRPr="00800F9C">
        <w:t xml:space="preserve"> optimising </w:t>
      </w:r>
      <w:r w:rsidR="003F09A7">
        <w:t>the Victorian</w:t>
      </w:r>
      <w:r w:rsidR="0051353D" w:rsidRPr="00800F9C">
        <w:t xml:space="preserve"> health system</w:t>
      </w:r>
      <w:r w:rsidR="003F09A7">
        <w:t xml:space="preserve">’s management of </w:t>
      </w:r>
      <w:r w:rsidR="00EC7721">
        <w:t>referrals to non-admitted specialist care services</w:t>
      </w:r>
      <w:r w:rsidR="00ED248B">
        <w:t xml:space="preserve"> of</w:t>
      </w:r>
      <w:r w:rsidR="0051353D" w:rsidRPr="00800F9C">
        <w:t xml:space="preserve"> better outcomes for patients, improved patient experience of care, improved workforce experience and lower cost of health</w:t>
      </w:r>
      <w:r w:rsidR="0051353D">
        <w:t xml:space="preserve"> </w:t>
      </w:r>
      <w:r w:rsidR="0051353D" w:rsidRPr="00800F9C">
        <w:t>care</w:t>
      </w:r>
      <w:r w:rsidR="0051353D">
        <w:t xml:space="preserve"> </w:t>
      </w:r>
      <w:r w:rsidR="00DB41FC">
        <w:t>&lt;h</w:t>
      </w:r>
      <w:r w:rsidR="00DB41FC" w:rsidRPr="00DB41FC">
        <w:t>ttps://www.annfammed.org/content/12/6/573</w:t>
      </w:r>
      <w:r w:rsidR="00DB41FC">
        <w:t>&gt;</w:t>
      </w:r>
      <w:r w:rsidR="0065748B">
        <w:t>.</w:t>
      </w:r>
    </w:p>
    <w:p w14:paraId="6265728F" w14:textId="385A7330" w:rsidR="0051353D" w:rsidRPr="00800F9C" w:rsidRDefault="0051353D" w:rsidP="0051353D">
      <w:pPr>
        <w:pStyle w:val="Body"/>
      </w:pPr>
      <w:r w:rsidRPr="00800F9C">
        <w:t xml:space="preserve">The Victorian public hospital </w:t>
      </w:r>
      <w:r w:rsidR="00446E65">
        <w:t xml:space="preserve">or health service </w:t>
      </w:r>
      <w:r w:rsidRPr="00800F9C">
        <w:t xml:space="preserve">system provides health </w:t>
      </w:r>
      <w:r w:rsidR="00286B1F">
        <w:t>care</w:t>
      </w:r>
      <w:r w:rsidR="00286B1F" w:rsidRPr="00800F9C">
        <w:t xml:space="preserve"> </w:t>
      </w:r>
      <w:r w:rsidRPr="00800F9C">
        <w:t>and professional expertise</w:t>
      </w:r>
      <w:r>
        <w:t xml:space="preserve"> that is</w:t>
      </w:r>
      <w:r w:rsidRPr="00800F9C">
        <w:t xml:space="preserve"> not </w:t>
      </w:r>
      <w:r w:rsidR="00555420">
        <w:t xml:space="preserve">otherwise </w:t>
      </w:r>
      <w:r w:rsidRPr="00800F9C">
        <w:t xml:space="preserve">available in the </w:t>
      </w:r>
      <w:r w:rsidR="00A31711">
        <w:t xml:space="preserve">primary and </w:t>
      </w:r>
      <w:r w:rsidRPr="00800F9C">
        <w:t>community</w:t>
      </w:r>
      <w:r w:rsidR="00A31711">
        <w:t xml:space="preserve"> health </w:t>
      </w:r>
      <w:r w:rsidR="007560C6">
        <w:t>area</w:t>
      </w:r>
      <w:r w:rsidR="00446E65">
        <w:t xml:space="preserve">. This </w:t>
      </w:r>
      <w:r w:rsidR="00482D87">
        <w:t>includ</w:t>
      </w:r>
      <w:r w:rsidR="00446E65">
        <w:t>es</w:t>
      </w:r>
      <w:r>
        <w:t xml:space="preserve"> </w:t>
      </w:r>
      <w:r w:rsidR="00482D87">
        <w:t>n</w:t>
      </w:r>
      <w:r>
        <w:t>on</w:t>
      </w:r>
      <w:r w:rsidRPr="00800F9C">
        <w:t xml:space="preserve">-admitted specialist services </w:t>
      </w:r>
      <w:r w:rsidR="006401DC">
        <w:t>which</w:t>
      </w:r>
      <w:r>
        <w:t xml:space="preserve"> provid</w:t>
      </w:r>
      <w:r w:rsidR="006401DC">
        <w:t>e</w:t>
      </w:r>
      <w:r w:rsidRPr="00800F9C">
        <w:t xml:space="preserve"> million</w:t>
      </w:r>
      <w:r w:rsidR="008733DF">
        <w:t>s of</w:t>
      </w:r>
      <w:r w:rsidRPr="00800F9C">
        <w:t xml:space="preserve"> appointments to Victorians each year.</w:t>
      </w:r>
    </w:p>
    <w:p w14:paraId="68E8B861" w14:textId="550675FF" w:rsidR="0051353D" w:rsidRPr="00800F9C" w:rsidRDefault="0051353D" w:rsidP="0051353D">
      <w:pPr>
        <w:pStyle w:val="Body"/>
      </w:pPr>
      <w:r w:rsidRPr="00800F9C">
        <w:t xml:space="preserve">The acuity and complexity of treatments provided through Victoria’s non-admitted specialist services continues to </w:t>
      </w:r>
      <w:r w:rsidR="005F3E9C">
        <w:t>evolve</w:t>
      </w:r>
      <w:r>
        <w:t>.</w:t>
      </w:r>
      <w:r w:rsidRPr="00800F9C">
        <w:t xml:space="preserve"> Demand for these services continues to grow, driven by an ageing population, the increasing burden of chronic and progressive conditions</w:t>
      </w:r>
      <w:r w:rsidR="00865BCD">
        <w:t xml:space="preserve"> and</w:t>
      </w:r>
      <w:r w:rsidRPr="00800F9C">
        <w:t xml:space="preserve"> rising community expectations</w:t>
      </w:r>
      <w:r w:rsidR="00B2396C">
        <w:t xml:space="preserve"> about the </w:t>
      </w:r>
      <w:r w:rsidR="00747504">
        <w:t xml:space="preserve">health </w:t>
      </w:r>
      <w:r w:rsidR="00B2396C">
        <w:t>care they</w:t>
      </w:r>
      <w:r w:rsidR="00747504">
        <w:t xml:space="preserve"> should receive</w:t>
      </w:r>
      <w:r w:rsidRPr="00800F9C">
        <w:t>.</w:t>
      </w:r>
    </w:p>
    <w:p w14:paraId="3596ADBA" w14:textId="051F1117" w:rsidR="00C21C12" w:rsidRDefault="0051353D" w:rsidP="0051353D">
      <w:pPr>
        <w:pStyle w:val="Body"/>
      </w:pPr>
      <w:r w:rsidRPr="00800F9C">
        <w:t xml:space="preserve">The Victorian Government recognises that people need to receive early advice on their treatment options. </w:t>
      </w:r>
      <w:r w:rsidR="00223E2A">
        <w:t xml:space="preserve">Equitable, </w:t>
      </w:r>
      <w:r w:rsidR="00F058A3">
        <w:t>i</w:t>
      </w:r>
      <w:r>
        <w:t>mproved</w:t>
      </w:r>
      <w:r w:rsidRPr="00800F9C">
        <w:t xml:space="preserve"> and timely access to non-admitted specialist services for people who need them is essential to meet</w:t>
      </w:r>
      <w:r>
        <w:t>ing</w:t>
      </w:r>
      <w:r w:rsidRPr="00800F9C">
        <w:t xml:space="preserve"> this </w:t>
      </w:r>
      <w:r w:rsidR="00421324">
        <w:t>responsibility</w:t>
      </w:r>
      <w:r w:rsidRPr="00800F9C">
        <w:t>.</w:t>
      </w:r>
    </w:p>
    <w:p w14:paraId="7C7C6021" w14:textId="2B631801" w:rsidR="00812DAD" w:rsidRDefault="00812DAD">
      <w:pPr>
        <w:spacing w:after="0" w:line="240" w:lineRule="auto"/>
        <w:rPr>
          <w:rFonts w:eastAsia="Times"/>
        </w:rPr>
      </w:pPr>
      <w:r>
        <w:br w:type="page"/>
      </w:r>
    </w:p>
    <w:p w14:paraId="139CBB34" w14:textId="03472B7B" w:rsidR="0051353D" w:rsidRDefault="00C178FF" w:rsidP="00C178FF">
      <w:pPr>
        <w:pStyle w:val="Heading1"/>
      </w:pPr>
      <w:bookmarkStart w:id="15" w:name="_Toc121210035"/>
      <w:r>
        <w:lastRenderedPageBreak/>
        <w:t xml:space="preserve">1. </w:t>
      </w:r>
      <w:r w:rsidR="008D1506">
        <w:t>Statement of purpose for non-admitted specialist services</w:t>
      </w:r>
      <w:bookmarkEnd w:id="15"/>
    </w:p>
    <w:p w14:paraId="42B34BFF" w14:textId="528C0074" w:rsidR="00D07ABC" w:rsidRDefault="00D07ABC" w:rsidP="00D07ABC">
      <w:pPr>
        <w:pStyle w:val="Body"/>
      </w:pPr>
      <w:r>
        <w:t>The department</w:t>
      </w:r>
      <w:r w:rsidRPr="007B0CA4">
        <w:t xml:space="preserve"> fund</w:t>
      </w:r>
      <w:r>
        <w:t>s</w:t>
      </w:r>
      <w:r w:rsidRPr="007B0CA4">
        <w:t xml:space="preserve"> </w:t>
      </w:r>
      <w:r>
        <w:t>an extensive</w:t>
      </w:r>
      <w:r w:rsidRPr="007B0CA4">
        <w:t xml:space="preserve"> range of </w:t>
      </w:r>
      <w:r>
        <w:t xml:space="preserve">non-admitted specialist </w:t>
      </w:r>
      <w:r w:rsidRPr="007B0CA4">
        <w:t xml:space="preserve">services </w:t>
      </w:r>
      <w:r>
        <w:t>through public health services to achieve the following.</w:t>
      </w:r>
    </w:p>
    <w:p w14:paraId="737744AF" w14:textId="77777777" w:rsidR="00D07ABC" w:rsidRPr="007C2832" w:rsidRDefault="00D07ABC" w:rsidP="00D07ABC">
      <w:pPr>
        <w:pStyle w:val="Body"/>
        <w:rPr>
          <w:rStyle w:val="DHHSbodyChar"/>
          <w:b/>
        </w:rPr>
      </w:pPr>
      <w:r w:rsidRPr="00926EA3">
        <w:rPr>
          <w:b/>
          <w:bCs/>
        </w:rPr>
        <w:t>Support primary care</w:t>
      </w:r>
      <w:r w:rsidRPr="007C2832">
        <w:rPr>
          <w:rStyle w:val="DHHSbodyChar"/>
          <w:b/>
        </w:rPr>
        <w:t xml:space="preserve"> </w:t>
      </w:r>
      <w:r w:rsidRPr="007C2832">
        <w:rPr>
          <w:rStyle w:val="DHHSbodyChar"/>
          <w:bCs/>
        </w:rPr>
        <w:t>through:</w:t>
      </w:r>
      <w:r w:rsidRPr="007C2832">
        <w:rPr>
          <w:rStyle w:val="DHHSbodyChar"/>
          <w:b/>
        </w:rPr>
        <w:t xml:space="preserve"> </w:t>
      </w:r>
    </w:p>
    <w:p w14:paraId="4192DF9E" w14:textId="77777777" w:rsidR="00D07ABC" w:rsidRDefault="00D07ABC" w:rsidP="00D07ABC">
      <w:pPr>
        <w:pStyle w:val="Bullet1"/>
        <w:rPr>
          <w:rStyle w:val="DHHSbodyChar"/>
          <w:b/>
        </w:rPr>
      </w:pPr>
      <w:r>
        <w:rPr>
          <w:rStyle w:val="DHHSbodyChar"/>
        </w:rPr>
        <w:t xml:space="preserve">providing </w:t>
      </w:r>
      <w:r w:rsidRPr="00753789">
        <w:rPr>
          <w:rStyle w:val="DHHSbodyChar"/>
        </w:rPr>
        <w:t xml:space="preserve">services </w:t>
      </w:r>
      <w:r>
        <w:rPr>
          <w:rStyle w:val="DHHSbodyChar"/>
        </w:rPr>
        <w:t>to undertake a clinical assessment,</w:t>
      </w:r>
      <w:r w:rsidRPr="00753789">
        <w:rPr>
          <w:rStyle w:val="DHHSbodyChar"/>
        </w:rPr>
        <w:t xml:space="preserve"> establish a diagnosis</w:t>
      </w:r>
      <w:r>
        <w:rPr>
          <w:rStyle w:val="DHHSbodyChar"/>
        </w:rPr>
        <w:t xml:space="preserve"> or inform a treatment plan</w:t>
      </w:r>
    </w:p>
    <w:p w14:paraId="3A99758F" w14:textId="26FB0D54" w:rsidR="00D07ABC" w:rsidRDefault="00D07ABC" w:rsidP="00D07ABC">
      <w:pPr>
        <w:pStyle w:val="Bullet1"/>
        <w:rPr>
          <w:rStyle w:val="DHHSbodyChar"/>
          <w:b/>
        </w:rPr>
      </w:pPr>
      <w:r>
        <w:rPr>
          <w:rStyle w:val="DHHSbodyChar"/>
        </w:rPr>
        <w:t xml:space="preserve">partnership care between the patient, their </w:t>
      </w:r>
      <w:r w:rsidR="00C76FA2">
        <w:rPr>
          <w:rStyle w:val="DHHSbodyChar"/>
        </w:rPr>
        <w:t>general practitioner (</w:t>
      </w:r>
      <w:r>
        <w:rPr>
          <w:rStyle w:val="DHHSbodyChar"/>
        </w:rPr>
        <w:t>GP</w:t>
      </w:r>
      <w:r w:rsidR="00C76FA2">
        <w:rPr>
          <w:rStyle w:val="DHHSbodyChar"/>
        </w:rPr>
        <w:t>)</w:t>
      </w:r>
      <w:r>
        <w:rPr>
          <w:rStyle w:val="DHHSbodyChar"/>
        </w:rPr>
        <w:t xml:space="preserve"> and the health service </w:t>
      </w:r>
      <w:r>
        <w:t xml:space="preserve">for patients with chronic or progressive conditions </w:t>
      </w:r>
      <w:r w:rsidR="007D6E44">
        <w:t>which</w:t>
      </w:r>
      <w:r>
        <w:t xml:space="preserve"> require ongoing </w:t>
      </w:r>
      <w:r>
        <w:rPr>
          <w:rStyle w:val="DHHSbodyChar"/>
        </w:rPr>
        <w:t xml:space="preserve">specialist </w:t>
      </w:r>
      <w:r w:rsidRPr="00753789">
        <w:rPr>
          <w:rStyle w:val="DHHSbodyChar"/>
        </w:rPr>
        <w:t>advice</w:t>
      </w:r>
    </w:p>
    <w:p w14:paraId="2C3FBB87" w14:textId="77777777" w:rsidR="00D07ABC" w:rsidRDefault="00D07ABC" w:rsidP="00D07ABC">
      <w:pPr>
        <w:pStyle w:val="Bullet1"/>
        <w:rPr>
          <w:rStyle w:val="DHHSbodyChar"/>
          <w:b/>
        </w:rPr>
      </w:pPr>
      <w:r>
        <w:rPr>
          <w:rStyle w:val="DHHSbodyChar"/>
        </w:rPr>
        <w:t xml:space="preserve">providing </w:t>
      </w:r>
      <w:r w:rsidRPr="00753789">
        <w:rPr>
          <w:rStyle w:val="DHHSbodyChar"/>
        </w:rPr>
        <w:t>sp</w:t>
      </w:r>
      <w:r>
        <w:rPr>
          <w:rStyle w:val="DHHSbodyChar"/>
        </w:rPr>
        <w:t xml:space="preserve">ecific tests or investigations </w:t>
      </w:r>
      <w:r w:rsidRPr="00753789">
        <w:rPr>
          <w:rStyle w:val="DHHSbodyChar"/>
        </w:rPr>
        <w:t>that cannot be ordered</w:t>
      </w:r>
      <w:r>
        <w:rPr>
          <w:rStyle w:val="DHHSbodyChar"/>
        </w:rPr>
        <w:t>,</w:t>
      </w:r>
      <w:r w:rsidRPr="00753789">
        <w:rPr>
          <w:rStyle w:val="DHHSbodyChar"/>
        </w:rPr>
        <w:t xml:space="preserve"> accessed </w:t>
      </w:r>
      <w:r>
        <w:rPr>
          <w:rStyle w:val="DHHSbodyChar"/>
        </w:rPr>
        <w:t xml:space="preserve">or interpreted through the primary care </w:t>
      </w:r>
      <w:r w:rsidRPr="009F6D1E">
        <w:rPr>
          <w:rStyle w:val="DHHSbodyChar"/>
        </w:rPr>
        <w:t>system</w:t>
      </w:r>
      <w:r>
        <w:rPr>
          <w:rStyle w:val="DHHSbodyChar"/>
        </w:rPr>
        <w:t xml:space="preserve">. </w:t>
      </w:r>
    </w:p>
    <w:p w14:paraId="2409F5F3" w14:textId="77777777" w:rsidR="00D07ABC" w:rsidRPr="001C53CA" w:rsidRDefault="00D07ABC" w:rsidP="008361BA">
      <w:pPr>
        <w:pStyle w:val="Body"/>
        <w:spacing w:before="240"/>
        <w:rPr>
          <w:rStyle w:val="DHHSbodyChar"/>
          <w:bCs/>
        </w:rPr>
      </w:pPr>
      <w:r w:rsidRPr="00926EA3">
        <w:rPr>
          <w:b/>
          <w:bCs/>
        </w:rPr>
        <w:t>Deliver care</w:t>
      </w:r>
      <w:r w:rsidRPr="007B64DE">
        <w:t xml:space="preserve"> </w:t>
      </w:r>
      <w:r w:rsidRPr="00465B20">
        <w:t>through:</w:t>
      </w:r>
      <w:r w:rsidRPr="001C53CA">
        <w:rPr>
          <w:rStyle w:val="DHHSbodyChar"/>
          <w:b/>
          <w:bCs/>
          <w:sz w:val="22"/>
          <w:szCs w:val="22"/>
        </w:rPr>
        <w:t xml:space="preserve"> </w:t>
      </w:r>
    </w:p>
    <w:p w14:paraId="2D2D1ED4" w14:textId="77777777" w:rsidR="00D07ABC" w:rsidRDefault="00D07ABC" w:rsidP="00D07ABC">
      <w:pPr>
        <w:pStyle w:val="Bullet1"/>
        <w:rPr>
          <w:rStyle w:val="DHHSbodyChar"/>
          <w:b/>
        </w:rPr>
      </w:pPr>
      <w:r>
        <w:rPr>
          <w:rStyle w:val="DHHSbodyChar"/>
        </w:rPr>
        <w:t xml:space="preserve">providing </w:t>
      </w:r>
      <w:r w:rsidRPr="00753789">
        <w:rPr>
          <w:rStyle w:val="DHHSbodyChar"/>
        </w:rPr>
        <w:t>treatment</w:t>
      </w:r>
      <w:r>
        <w:rPr>
          <w:rStyle w:val="DHHSbodyChar"/>
        </w:rPr>
        <w:t>s</w:t>
      </w:r>
      <w:r w:rsidRPr="00753789">
        <w:rPr>
          <w:rStyle w:val="DHHSbodyChar"/>
        </w:rPr>
        <w:t xml:space="preserve"> or </w:t>
      </w:r>
      <w:r>
        <w:rPr>
          <w:rStyle w:val="DHHSbodyChar"/>
        </w:rPr>
        <w:t xml:space="preserve">an </w:t>
      </w:r>
      <w:r w:rsidRPr="00753789">
        <w:rPr>
          <w:rStyle w:val="DHHSbodyChar"/>
        </w:rPr>
        <w:t>intervention (if the patient must be admitted</w:t>
      </w:r>
      <w:r>
        <w:rPr>
          <w:rStyle w:val="DHHSbodyChar"/>
        </w:rPr>
        <w:t>,</w:t>
      </w:r>
      <w:r w:rsidRPr="00753789">
        <w:rPr>
          <w:rStyle w:val="DHHSbodyChar"/>
        </w:rPr>
        <w:t xml:space="preserve"> the non-admitted specialist service acts as an interface between acute admitted care and primary care)</w:t>
      </w:r>
    </w:p>
    <w:p w14:paraId="370483A8" w14:textId="77777777" w:rsidR="00D07ABC" w:rsidRPr="00625CA3" w:rsidRDefault="00D07ABC" w:rsidP="00D07ABC">
      <w:pPr>
        <w:pStyle w:val="Bullet1"/>
      </w:pPr>
      <w:r>
        <w:t xml:space="preserve">providing </w:t>
      </w:r>
      <w:r w:rsidRPr="00625CA3">
        <w:t>packages of care</w:t>
      </w:r>
      <w:r>
        <w:t xml:space="preserve"> to </w:t>
      </w:r>
      <w:r w:rsidRPr="0040088A">
        <w:t>high-risk or risk-rising patients</w:t>
      </w:r>
      <w:r>
        <w:t xml:space="preserve"> to improve their health outcomes or to keep them out of hospital</w:t>
      </w:r>
    </w:p>
    <w:p w14:paraId="433B994D" w14:textId="7FB36572" w:rsidR="00D07ABC" w:rsidRDefault="00D07ABC" w:rsidP="00D07ABC">
      <w:pPr>
        <w:pStyle w:val="Bullet1"/>
        <w:rPr>
          <w:rStyle w:val="DHHSbodyChar"/>
          <w:b/>
        </w:rPr>
      </w:pPr>
      <w:r w:rsidRPr="00753789">
        <w:rPr>
          <w:rStyle w:val="DHHSbodyChar"/>
        </w:rPr>
        <w:t xml:space="preserve">services to improve and optimise </w:t>
      </w:r>
      <w:r>
        <w:rPr>
          <w:rStyle w:val="DHHSbodyChar"/>
        </w:rPr>
        <w:t>a patient’s</w:t>
      </w:r>
      <w:r w:rsidRPr="00753789">
        <w:rPr>
          <w:rStyle w:val="DHHSbodyChar"/>
        </w:rPr>
        <w:t xml:space="preserve"> function and participation in activities of daily living to allow people to maximise their independence and return to, or remain in, their usual place of residence</w:t>
      </w:r>
      <w:r>
        <w:rPr>
          <w:rStyle w:val="DHHSbodyChar"/>
        </w:rPr>
        <w:t>.</w:t>
      </w:r>
    </w:p>
    <w:p w14:paraId="73395947" w14:textId="3FC256B1" w:rsidR="00D07ABC" w:rsidRDefault="00D07ABC">
      <w:pPr>
        <w:spacing w:after="0" w:line="240" w:lineRule="auto"/>
        <w:rPr>
          <w:rFonts w:eastAsia="Times"/>
        </w:rPr>
      </w:pPr>
      <w:r>
        <w:br w:type="page"/>
      </w:r>
    </w:p>
    <w:p w14:paraId="1D84A76F" w14:textId="6F76694F" w:rsidR="0051353D" w:rsidRDefault="00E724D8" w:rsidP="00E724D8">
      <w:pPr>
        <w:pStyle w:val="Heading1"/>
      </w:pPr>
      <w:bookmarkStart w:id="16" w:name="_Toc121210036"/>
      <w:r>
        <w:lastRenderedPageBreak/>
        <w:t xml:space="preserve">2. </w:t>
      </w:r>
      <w:r w:rsidR="007A7892">
        <w:t>O</w:t>
      </w:r>
      <w:r>
        <w:t>bjectives</w:t>
      </w:r>
      <w:bookmarkEnd w:id="16"/>
    </w:p>
    <w:p w14:paraId="05097A27" w14:textId="3AED9F77" w:rsidR="00737241" w:rsidRDefault="00737241" w:rsidP="00737241">
      <w:pPr>
        <w:pStyle w:val="Body"/>
      </w:pPr>
      <w:r>
        <w:t>This</w:t>
      </w:r>
      <w:r w:rsidRPr="007C2832">
        <w:t xml:space="preserve"> </w:t>
      </w:r>
      <w:r w:rsidR="00BB1D4C">
        <w:t xml:space="preserve">department </w:t>
      </w:r>
      <w:r w:rsidRPr="00000916">
        <w:t>policy</w:t>
      </w:r>
      <w:r>
        <w:t xml:space="preserve"> authori</w:t>
      </w:r>
      <w:r w:rsidR="00BB1D4C">
        <w:t>ses</w:t>
      </w:r>
      <w:r>
        <w:t xml:space="preserve"> </w:t>
      </w:r>
      <w:r w:rsidR="00BB1D4C">
        <w:t xml:space="preserve">Victorian public health services to </w:t>
      </w:r>
      <w:r w:rsidR="00743D5E">
        <w:t xml:space="preserve">develop </w:t>
      </w:r>
      <w:r>
        <w:t xml:space="preserve">relevant local </w:t>
      </w:r>
      <w:r w:rsidR="00057BFD">
        <w:t>policies</w:t>
      </w:r>
      <w:r>
        <w:t xml:space="preserve">, protocols and procedures to </w:t>
      </w:r>
      <w:r w:rsidR="00057BFD">
        <w:t>manage</w:t>
      </w:r>
      <w:r w:rsidR="00884515">
        <w:t xml:space="preserve"> referrals to</w:t>
      </w:r>
      <w:r w:rsidR="00F82106">
        <w:t xml:space="preserve"> </w:t>
      </w:r>
      <w:r>
        <w:t>the range of non-admitted specialist services described in the ‘</w:t>
      </w:r>
      <w:r w:rsidR="00ED439D">
        <w:t xml:space="preserve">statement of </w:t>
      </w:r>
      <w:r>
        <w:t>purpose’ and ‘scope’</w:t>
      </w:r>
      <w:r w:rsidR="00884515">
        <w:t xml:space="preserve"> of the policy</w:t>
      </w:r>
      <w:r>
        <w:t xml:space="preserve">. </w:t>
      </w:r>
    </w:p>
    <w:p w14:paraId="579FCC7C" w14:textId="3E421FCE" w:rsidR="00737241" w:rsidRPr="00DE145E" w:rsidRDefault="001E05FB" w:rsidP="00DE145E">
      <w:pPr>
        <w:pStyle w:val="Body"/>
      </w:pPr>
      <w:r>
        <w:t xml:space="preserve">The </w:t>
      </w:r>
      <w:r w:rsidR="00490429">
        <w:t>policy</w:t>
      </w:r>
      <w:r w:rsidR="00737241" w:rsidRPr="00DE145E">
        <w:t xml:space="preserve"> has five objectives:</w:t>
      </w:r>
    </w:p>
    <w:p w14:paraId="2874923B" w14:textId="33EF7327" w:rsidR="00737241" w:rsidRPr="00DE145E" w:rsidRDefault="00737241" w:rsidP="002D0793">
      <w:pPr>
        <w:pStyle w:val="Bullet1"/>
        <w:numPr>
          <w:ilvl w:val="0"/>
          <w:numId w:val="9"/>
        </w:numPr>
      </w:pPr>
      <w:r w:rsidRPr="00DE145E">
        <w:t>To state a patient-centred approach is required when decisions are made about what services are provided, when they are available, how they are accessed</w:t>
      </w:r>
      <w:r w:rsidR="000E6BFA">
        <w:t>,</w:t>
      </w:r>
      <w:r w:rsidRPr="00DE145E">
        <w:t xml:space="preserve"> and that care should be designed around </w:t>
      </w:r>
      <w:r w:rsidR="00224415">
        <w:t xml:space="preserve">the </w:t>
      </w:r>
      <w:r w:rsidRPr="00DE145E">
        <w:t>patient</w:t>
      </w:r>
      <w:r w:rsidR="00224415">
        <w:t>’s</w:t>
      </w:r>
      <w:r w:rsidRPr="00DE145E">
        <w:t xml:space="preserve"> needs, not funding streams</w:t>
      </w:r>
    </w:p>
    <w:p w14:paraId="1B1AAB77" w14:textId="3AE6A78E" w:rsidR="00737241" w:rsidRPr="00DE145E" w:rsidRDefault="00DC3881" w:rsidP="002D0793">
      <w:pPr>
        <w:pStyle w:val="Bullet1"/>
        <w:numPr>
          <w:ilvl w:val="0"/>
          <w:numId w:val="9"/>
        </w:numPr>
      </w:pPr>
      <w:r>
        <w:t>I</w:t>
      </w:r>
      <w:r w:rsidR="00737241">
        <w:t>dentif</w:t>
      </w:r>
      <w:r w:rsidR="006A76D0">
        <w:t>ies</w:t>
      </w:r>
      <w:r w:rsidR="00737241" w:rsidRPr="00DE145E">
        <w:t xml:space="preserve"> the </w:t>
      </w:r>
      <w:r w:rsidR="00266783">
        <w:t>roles</w:t>
      </w:r>
      <w:r w:rsidR="007A485E">
        <w:t xml:space="preserve"> and responsibilities</w:t>
      </w:r>
      <w:r w:rsidR="00737241" w:rsidRPr="00DE145E">
        <w:t xml:space="preserve"> of the department, health services, referring clinicians and patients</w:t>
      </w:r>
    </w:p>
    <w:p w14:paraId="6930B963" w14:textId="3DB6D006" w:rsidR="00737241" w:rsidRPr="00DE145E" w:rsidRDefault="007A485E" w:rsidP="002D0793">
      <w:pPr>
        <w:pStyle w:val="Bullet1"/>
        <w:numPr>
          <w:ilvl w:val="0"/>
          <w:numId w:val="9"/>
        </w:numPr>
      </w:pPr>
      <w:r>
        <w:t>D</w:t>
      </w:r>
      <w:r w:rsidR="00737241">
        <w:t>escribe</w:t>
      </w:r>
      <w:r w:rsidR="007949F3">
        <w:t>s</w:t>
      </w:r>
      <w:r w:rsidR="00737241" w:rsidRPr="00DE145E">
        <w:t xml:space="preserve"> the department’s expectations about </w:t>
      </w:r>
      <w:r w:rsidR="004127FB">
        <w:t xml:space="preserve">equity of </w:t>
      </w:r>
      <w:r w:rsidR="00737241" w:rsidRPr="00DE145E">
        <w:t>access to non-admitted specialist services for Victorians</w:t>
      </w:r>
      <w:r w:rsidR="004127FB">
        <w:t xml:space="preserve"> as </w:t>
      </w:r>
      <w:r w:rsidR="00AF5C6A">
        <w:t>outline</w:t>
      </w:r>
      <w:r w:rsidR="004127FB">
        <w:t>d in the ‘purpose’</w:t>
      </w:r>
    </w:p>
    <w:p w14:paraId="0D44FDE9" w14:textId="29573D10" w:rsidR="00737241" w:rsidRPr="00DE145E" w:rsidRDefault="00492802" w:rsidP="002D0793">
      <w:pPr>
        <w:pStyle w:val="Bullet1"/>
        <w:numPr>
          <w:ilvl w:val="0"/>
          <w:numId w:val="9"/>
        </w:numPr>
      </w:pPr>
      <w:r>
        <w:t>P</w:t>
      </w:r>
      <w:r w:rsidR="00737241">
        <w:t>romote</w:t>
      </w:r>
      <w:r w:rsidR="005F4615">
        <w:t>s</w:t>
      </w:r>
      <w:r w:rsidR="00737241">
        <w:t xml:space="preserve"> </w:t>
      </w:r>
      <w:r w:rsidR="00737241" w:rsidRPr="00DE145E">
        <w:t xml:space="preserve">equitable access to </w:t>
      </w:r>
      <w:r w:rsidR="005F4615" w:rsidRPr="00DE145E">
        <w:t xml:space="preserve">appropriate </w:t>
      </w:r>
      <w:r w:rsidR="00737241" w:rsidRPr="00DE145E">
        <w:t>services so that patients are treated in turn, based on their clinical need</w:t>
      </w:r>
      <w:r w:rsidR="00D73FB9">
        <w:t>,</w:t>
      </w:r>
      <w:r w:rsidR="00737241" w:rsidRPr="00DE145E">
        <w:t xml:space="preserve"> related psychosocial factors</w:t>
      </w:r>
      <w:r w:rsidR="00204C6A">
        <w:t xml:space="preserve"> and </w:t>
      </w:r>
      <w:r w:rsidR="00F66F68">
        <w:t xml:space="preserve">any </w:t>
      </w:r>
      <w:r w:rsidR="00204C6A">
        <w:t xml:space="preserve">disparities in access to </w:t>
      </w:r>
      <w:r w:rsidR="00635A2B">
        <w:t xml:space="preserve">health </w:t>
      </w:r>
      <w:r w:rsidR="00D73FB9">
        <w:t>care</w:t>
      </w:r>
    </w:p>
    <w:p w14:paraId="2ACD792F" w14:textId="1CEC9A2C" w:rsidR="00737241" w:rsidRPr="00DE145E" w:rsidRDefault="00ED20A7" w:rsidP="002D0793">
      <w:pPr>
        <w:pStyle w:val="Bullet1"/>
        <w:numPr>
          <w:ilvl w:val="0"/>
          <w:numId w:val="9"/>
        </w:numPr>
      </w:pPr>
      <w:r>
        <w:t>Supports</w:t>
      </w:r>
      <w:r w:rsidR="00A605F1">
        <w:t xml:space="preserve"> Victorian</w:t>
      </w:r>
      <w:r w:rsidR="00737241" w:rsidRPr="00DE145E">
        <w:t xml:space="preserve"> </w:t>
      </w:r>
      <w:r w:rsidR="00A95D35">
        <w:t xml:space="preserve">public </w:t>
      </w:r>
      <w:r w:rsidR="00737241" w:rsidRPr="00DE145E">
        <w:t xml:space="preserve">health services to develop and implement local </w:t>
      </w:r>
      <w:r>
        <w:t>guidelines</w:t>
      </w:r>
      <w:r w:rsidR="00737241" w:rsidRPr="00DE145E">
        <w:t>, protocols and procedures, including collaborative and shared service delivery models between health services and improved integration with primary care.</w:t>
      </w:r>
    </w:p>
    <w:p w14:paraId="723058FF" w14:textId="2FFEB611" w:rsidR="00DE145E" w:rsidRDefault="00DE145E">
      <w:pPr>
        <w:spacing w:after="0" w:line="240" w:lineRule="auto"/>
        <w:rPr>
          <w:rFonts w:eastAsia="Times"/>
        </w:rPr>
      </w:pPr>
      <w:r>
        <w:br w:type="page"/>
      </w:r>
    </w:p>
    <w:p w14:paraId="599B8211" w14:textId="642B6F82" w:rsidR="00E724D8" w:rsidRDefault="00C33091" w:rsidP="00C33091">
      <w:pPr>
        <w:pStyle w:val="Heading1"/>
      </w:pPr>
      <w:bookmarkStart w:id="17" w:name="_Toc121210037"/>
      <w:r>
        <w:lastRenderedPageBreak/>
        <w:t>3. About the policy</w:t>
      </w:r>
      <w:bookmarkEnd w:id="17"/>
    </w:p>
    <w:p w14:paraId="289E7316" w14:textId="1C44F99E" w:rsidR="006748F4" w:rsidRDefault="006748F4" w:rsidP="006748F4">
      <w:pPr>
        <w:pStyle w:val="Body"/>
      </w:pPr>
      <w:r>
        <w:t xml:space="preserve">The </w:t>
      </w:r>
      <w:r w:rsidR="00DD4D9C" w:rsidRPr="00DD4D9C">
        <w:rPr>
          <w:i/>
          <w:iCs/>
        </w:rPr>
        <w:t>Managing referrals to non-admitted specialist services in Victorian public health services</w:t>
      </w:r>
      <w:r w:rsidR="00DD4D9C">
        <w:t xml:space="preserve"> policy </w:t>
      </w:r>
      <w:r>
        <w:t xml:space="preserve">outlines the </w:t>
      </w:r>
      <w:r w:rsidR="00C768B7">
        <w:t>department’s</w:t>
      </w:r>
      <w:r>
        <w:t xml:space="preserve"> expectations regarding access to non-admitted specialist services. The target audience is Victorian public health services, particularly the executive and management teams of these services.</w:t>
      </w:r>
    </w:p>
    <w:p w14:paraId="61B1E1AA" w14:textId="2E1BBDFA" w:rsidR="006748F4" w:rsidRDefault="006748F4" w:rsidP="006748F4">
      <w:pPr>
        <w:pStyle w:val="Body"/>
      </w:pPr>
      <w:r>
        <w:t xml:space="preserve">This </w:t>
      </w:r>
      <w:r w:rsidRPr="00000916">
        <w:rPr>
          <w:iCs/>
        </w:rPr>
        <w:t>policy</w:t>
      </w:r>
      <w:r>
        <w:t xml:space="preserve"> replaces the 2013 publication </w:t>
      </w:r>
      <w:r w:rsidRPr="0046790E">
        <w:rPr>
          <w:i/>
        </w:rPr>
        <w:t xml:space="preserve">Specialist clinics in Victorian </w:t>
      </w:r>
      <w:r>
        <w:rPr>
          <w:i/>
        </w:rPr>
        <w:t xml:space="preserve">public </w:t>
      </w:r>
      <w:r w:rsidRPr="0046790E">
        <w:rPr>
          <w:i/>
        </w:rPr>
        <w:t xml:space="preserve">hospitals: </w:t>
      </w:r>
      <w:r>
        <w:rPr>
          <w:i/>
        </w:rPr>
        <w:t>a</w:t>
      </w:r>
      <w:r w:rsidRPr="0046790E">
        <w:rPr>
          <w:i/>
        </w:rPr>
        <w:t>ccess policy</w:t>
      </w:r>
      <w:r>
        <w:t>.</w:t>
      </w:r>
    </w:p>
    <w:p w14:paraId="757784DB" w14:textId="01D30992" w:rsidR="005E2D2C" w:rsidRDefault="006748F4" w:rsidP="006748F4">
      <w:pPr>
        <w:pStyle w:val="Body"/>
      </w:pPr>
      <w:r>
        <w:t>The policy applies to the non-admitted specialist services provided through a</w:t>
      </w:r>
      <w:r w:rsidR="00951D54">
        <w:t>ll</w:t>
      </w:r>
      <w:r>
        <w:t xml:space="preserve"> Victorian public health service</w:t>
      </w:r>
      <w:r w:rsidR="00951D54">
        <w:t>s</w:t>
      </w:r>
      <w:r w:rsidR="006C4C26">
        <w:t xml:space="preserve"> (</w:t>
      </w:r>
      <w:r w:rsidR="00B337B1">
        <w:t>see section 3.1 Scope)</w:t>
      </w:r>
      <w:r>
        <w:t xml:space="preserve">. </w:t>
      </w:r>
    </w:p>
    <w:p w14:paraId="4F4CF070" w14:textId="0D08614C" w:rsidR="004E3A60" w:rsidRPr="00A027E1" w:rsidRDefault="004E3A60" w:rsidP="004E3A60">
      <w:pPr>
        <w:pStyle w:val="Body"/>
      </w:pPr>
      <w:r w:rsidRPr="00A027E1">
        <w:t xml:space="preserve">The </w:t>
      </w:r>
      <w:r>
        <w:t>term ‘Victorian</w:t>
      </w:r>
      <w:r w:rsidRPr="00A027E1">
        <w:t xml:space="preserve"> public health service</w:t>
      </w:r>
      <w:r>
        <w:t>(s)’</w:t>
      </w:r>
      <w:r w:rsidRPr="00A027E1">
        <w:t xml:space="preserve"> </w:t>
      </w:r>
      <w:r>
        <w:t>refers to</w:t>
      </w:r>
      <w:r w:rsidRPr="00A027E1">
        <w:t xml:space="preserve"> all public hospitals and denominational hospitals, public health services and multipurpose services established under the </w:t>
      </w:r>
      <w:hyperlink r:id="rId19" w:history="1">
        <w:r w:rsidR="00D73A20">
          <w:rPr>
            <w:rStyle w:val="Hyperlink"/>
          </w:rPr>
          <w:t>Health Services Act 1988</w:t>
        </w:r>
      </w:hyperlink>
      <w:r w:rsidR="00AD3892">
        <w:t xml:space="preserve"> </w:t>
      </w:r>
      <w:r>
        <w:rPr>
          <w:iCs/>
        </w:rPr>
        <w:t>&lt;</w:t>
      </w:r>
      <w:r w:rsidRPr="007B34E4">
        <w:rPr>
          <w:iCs/>
        </w:rPr>
        <w:t>https://www.legislation.vic.gov.au/in-force/acts/health-services-act-1988/175</w:t>
      </w:r>
      <w:r>
        <w:rPr>
          <w:iCs/>
        </w:rPr>
        <w:t xml:space="preserve">&gt;. </w:t>
      </w:r>
      <w:r w:rsidRPr="4A82134B">
        <w:t>This</w:t>
      </w:r>
      <w:r>
        <w:rPr>
          <w:iCs/>
        </w:rPr>
        <w:t xml:space="preserve"> </w:t>
      </w:r>
      <w:r w:rsidRPr="4A82134B">
        <w:t>includes</w:t>
      </w:r>
      <w:r>
        <w:rPr>
          <w:iCs/>
        </w:rPr>
        <w:t xml:space="preserve"> when there are</w:t>
      </w:r>
      <w:r>
        <w:t xml:space="preserve"> </w:t>
      </w:r>
      <w:r w:rsidRPr="00DE145E">
        <w:t xml:space="preserve">collaborative and </w:t>
      </w:r>
      <w:r>
        <w:t>shared service delivery models between these health services</w:t>
      </w:r>
      <w:r w:rsidRPr="00A027E1">
        <w:t>.</w:t>
      </w:r>
    </w:p>
    <w:p w14:paraId="1EC22FBE" w14:textId="685141FA" w:rsidR="00B337B1" w:rsidRDefault="005D6CA9" w:rsidP="006748F4">
      <w:pPr>
        <w:pStyle w:val="Body"/>
      </w:pPr>
      <w:r w:rsidRPr="005D6CA9">
        <w:t xml:space="preserve">Due to their special legislative and policy requirements, clinical mental health services designated under the </w:t>
      </w:r>
      <w:hyperlink r:id="rId20" w:history="1">
        <w:r w:rsidR="002E11B1">
          <w:rPr>
            <w:rStyle w:val="Hyperlink"/>
          </w:rPr>
          <w:t>A new Mental Health and Wellbeing Act for Victoria</w:t>
        </w:r>
      </w:hyperlink>
      <w:r w:rsidR="002E11B1">
        <w:t xml:space="preserve"> </w:t>
      </w:r>
      <w:r w:rsidR="006860BC">
        <w:t>&lt;</w:t>
      </w:r>
      <w:r w:rsidR="006860BC" w:rsidRPr="00917F9C">
        <w:t>https://www.legislation.vic.gov.au/bills/mental-health-and-wellbeing-bill-2022</w:t>
      </w:r>
      <w:r w:rsidR="006860BC">
        <w:t>&gt;</w:t>
      </w:r>
      <w:r w:rsidR="006860BC" w:rsidRPr="00917F9C">
        <w:t xml:space="preserve"> </w:t>
      </w:r>
      <w:r w:rsidRPr="005D6CA9">
        <w:t xml:space="preserve">are not subject to the obligations outlined in this policy. However, clinical mental health services should adopt policies and procedures consistent with this </w:t>
      </w:r>
      <w:r>
        <w:t>policy</w:t>
      </w:r>
      <w:r w:rsidRPr="005D6CA9">
        <w:t xml:space="preserve"> for </w:t>
      </w:r>
      <w:r w:rsidR="00575671">
        <w:t>effective</w:t>
      </w:r>
      <w:r w:rsidRPr="005D6CA9">
        <w:t xml:space="preserve"> communication with patients</w:t>
      </w:r>
      <w:r w:rsidR="00EF5107">
        <w:t>, their family and carers</w:t>
      </w:r>
      <w:r w:rsidRPr="005D6CA9">
        <w:t xml:space="preserve"> and referring clinicians and </w:t>
      </w:r>
      <w:r w:rsidR="00CD40F8">
        <w:t>to ensure</w:t>
      </w:r>
      <w:r w:rsidR="005E74B6">
        <w:t xml:space="preserve"> </w:t>
      </w:r>
      <w:r w:rsidRPr="005D6CA9">
        <w:t>clear</w:t>
      </w:r>
      <w:r w:rsidR="005E74B6">
        <w:t xml:space="preserve"> and consistent</w:t>
      </w:r>
      <w:r w:rsidRPr="005D6CA9">
        <w:t xml:space="preserve"> processes for managing</w:t>
      </w:r>
      <w:r w:rsidRPr="001A4052">
        <w:rPr>
          <w:sz w:val="18"/>
          <w:szCs w:val="18"/>
        </w:rPr>
        <w:t xml:space="preserve"> </w:t>
      </w:r>
      <w:r w:rsidRPr="005D6CA9">
        <w:t>referrals.</w:t>
      </w:r>
    </w:p>
    <w:p w14:paraId="1CD2B80E" w14:textId="77777777" w:rsidR="00226A31" w:rsidRPr="00B97B57" w:rsidRDefault="00226A31" w:rsidP="00226A31">
      <w:pPr>
        <w:pStyle w:val="Body"/>
      </w:pPr>
      <w:r w:rsidRPr="00B97B57">
        <w:t>This policy does not describe reporting or performance monitoring requirements. The Victorian Agency for Health Information (VAHI) relies on obtaining timely, accurate and high-quality data from public health services, and public health services must ensure accurate and timely submission of data in accordance with</w:t>
      </w:r>
    </w:p>
    <w:p w14:paraId="5AEBAE9A" w14:textId="5A092858" w:rsidR="00226A31" w:rsidRPr="00B97B57" w:rsidRDefault="00B64AA2" w:rsidP="00226A31">
      <w:pPr>
        <w:pStyle w:val="Bullet1"/>
      </w:pPr>
      <w:hyperlink r:id="rId21" w:history="1">
        <w:r w:rsidR="00A8757E" w:rsidRPr="00B97B57">
          <w:rPr>
            <w:rStyle w:val="Hyperlink"/>
          </w:rPr>
          <w:t>Performance monitoring framework</w:t>
        </w:r>
      </w:hyperlink>
      <w:r w:rsidR="00226A31" w:rsidRPr="00B97B57">
        <w:t xml:space="preserve"> </w:t>
      </w:r>
      <w:r w:rsidR="00146472" w:rsidRPr="00B97B57">
        <w:t>&lt;</w:t>
      </w:r>
      <w:hyperlink r:id="rId22" w:history="1">
        <w:r w:rsidR="00226A31" w:rsidRPr="00B97B57">
          <w:rPr>
            <w:rStyle w:val="Hyperlink"/>
            <w:color w:val="auto"/>
            <w:u w:val="none"/>
          </w:rPr>
          <w:t>https://www.health.vic.gov.au/funding-performance-accountability/performance-monitoring-framework</w:t>
        </w:r>
      </w:hyperlink>
      <w:r w:rsidR="00146472" w:rsidRPr="00B97B57">
        <w:t>&gt;</w:t>
      </w:r>
    </w:p>
    <w:p w14:paraId="1E9628A8" w14:textId="6DB9E3A2" w:rsidR="00226A31" w:rsidRPr="00B97B57" w:rsidRDefault="00226A31" w:rsidP="00226A31">
      <w:pPr>
        <w:pStyle w:val="Bullet1"/>
      </w:pPr>
      <w:r w:rsidRPr="00B97B57">
        <w:t xml:space="preserve">the department’s annual publication </w:t>
      </w:r>
      <w:hyperlink r:id="rId23" w:history="1">
        <w:r w:rsidR="00A8757E" w:rsidRPr="00B97B57">
          <w:rPr>
            <w:rStyle w:val="Hyperlink"/>
          </w:rPr>
          <w:t>Policy and funding guidelines for health services</w:t>
        </w:r>
      </w:hyperlink>
      <w:r w:rsidRPr="00B97B57">
        <w:t xml:space="preserve"> </w:t>
      </w:r>
      <w:r w:rsidR="00146472" w:rsidRPr="00B97B57">
        <w:t>&lt;</w:t>
      </w:r>
      <w:hyperlink r:id="rId24" w:history="1">
        <w:r w:rsidRPr="00B97B57">
          <w:rPr>
            <w:rStyle w:val="Hyperlink"/>
            <w:color w:val="auto"/>
            <w:u w:val="none"/>
          </w:rPr>
          <w:t>https://www.health.vic.gov.au/policy-and-funding-guidelines-for-health-services</w:t>
        </w:r>
      </w:hyperlink>
      <w:r w:rsidR="00146472" w:rsidRPr="00B97B57">
        <w:t>&gt;</w:t>
      </w:r>
      <w:r w:rsidRPr="00B97B57">
        <w:t xml:space="preserve"> </w:t>
      </w:r>
    </w:p>
    <w:p w14:paraId="01A27F4A" w14:textId="7B1956B2" w:rsidR="00226A31" w:rsidRPr="00B97B57" w:rsidRDefault="00B64AA2" w:rsidP="00226A31">
      <w:pPr>
        <w:pStyle w:val="Bullet1"/>
        <w:rPr>
          <w:rStyle w:val="Emphasis"/>
          <w:b w:val="0"/>
          <w:bCs w:val="0"/>
        </w:rPr>
      </w:pPr>
      <w:hyperlink r:id="rId25" w:history="1">
        <w:r w:rsidR="00A8757E" w:rsidRPr="00B97B57">
          <w:rPr>
            <w:rStyle w:val="Hyperlink"/>
          </w:rPr>
          <w:t>Victorian Integrated Non-Admitted Health (VINAH) dataset</w:t>
        </w:r>
      </w:hyperlink>
      <w:r w:rsidR="00B80CF6" w:rsidRPr="00B97B57">
        <w:t xml:space="preserve"> </w:t>
      </w:r>
      <w:r w:rsidR="00146472" w:rsidRPr="00B97B57">
        <w:rPr>
          <w:rStyle w:val="st1"/>
        </w:rPr>
        <w:t>&lt;</w:t>
      </w:r>
      <w:hyperlink r:id="rId26" w:history="1">
        <w:r w:rsidR="00A8757E" w:rsidRPr="00B97B57">
          <w:rPr>
            <w:rStyle w:val="Hyperlink"/>
            <w:color w:val="auto"/>
            <w:u w:val="none"/>
          </w:rPr>
          <w:t xml:space="preserve">https://www.health.vic.gov.au/data-reporting/victorian-integrated-non-admitted-health-vinah-dataset&gt;. </w:t>
        </w:r>
      </w:hyperlink>
    </w:p>
    <w:p w14:paraId="7161C582" w14:textId="323D7E1E" w:rsidR="00C33091" w:rsidRDefault="006748F4" w:rsidP="006748F4">
      <w:pPr>
        <w:pStyle w:val="Heading2"/>
      </w:pPr>
      <w:bookmarkStart w:id="18" w:name="_Toc121210038"/>
      <w:r w:rsidRPr="00226A31">
        <w:t>3.1 Scope</w:t>
      </w:r>
      <w:bookmarkEnd w:id="18"/>
    </w:p>
    <w:p w14:paraId="097AEF2E" w14:textId="48634F42" w:rsidR="00896ECA" w:rsidRPr="00D36E84" w:rsidRDefault="00896ECA" w:rsidP="00D36E84">
      <w:pPr>
        <w:pStyle w:val="Body"/>
      </w:pPr>
      <w:r w:rsidRPr="00D36E84">
        <w:t xml:space="preserve">The policy applies to all Victorian public health services that provide any non-admitted specialist services </w:t>
      </w:r>
      <w:r w:rsidR="00BE408B" w:rsidRPr="00D36E84">
        <w:t>covered</w:t>
      </w:r>
      <w:r w:rsidRPr="00D36E84">
        <w:t xml:space="preserve"> </w:t>
      </w:r>
      <w:r w:rsidR="007841C4" w:rsidRPr="00D36E84">
        <w:t xml:space="preserve">by </w:t>
      </w:r>
      <w:r w:rsidRPr="00D36E84">
        <w:t xml:space="preserve">the </w:t>
      </w:r>
      <w:r w:rsidR="004F1804">
        <w:t xml:space="preserve">department’s </w:t>
      </w:r>
      <w:r w:rsidR="00EB0AFE">
        <w:t xml:space="preserve">annual </w:t>
      </w:r>
      <w:hyperlink r:id="rId27" w:history="1">
        <w:r w:rsidR="00C54605" w:rsidRPr="00C54605">
          <w:rPr>
            <w:rStyle w:val="Hyperlink"/>
          </w:rPr>
          <w:t>Policy and funding guidelines for health services</w:t>
        </w:r>
      </w:hyperlink>
      <w:r w:rsidR="002F711B" w:rsidRPr="00D36E84">
        <w:t xml:space="preserve"> </w:t>
      </w:r>
      <w:r w:rsidR="009012C9" w:rsidRPr="00D36E84">
        <w:t>&lt;h</w:t>
      </w:r>
      <w:r w:rsidR="002F711B" w:rsidRPr="00D36E84">
        <w:t>ttps://www.health.vic.gov.au/policy-and-funding-guidelines-for-health-services</w:t>
      </w:r>
      <w:r w:rsidR="009012C9" w:rsidRPr="00D36E84">
        <w:t>&gt;</w:t>
      </w:r>
      <w:r w:rsidR="00745D6C" w:rsidRPr="00D36E84">
        <w:t xml:space="preserve"> and the </w:t>
      </w:r>
      <w:r w:rsidR="00D36E84" w:rsidRPr="00EB0AFE">
        <w:rPr>
          <w:i/>
          <w:iCs/>
        </w:rPr>
        <w:t>General List of In-Scope Public Hospital Services Eligibility Policy</w:t>
      </w:r>
      <w:r w:rsidR="00162391">
        <w:t xml:space="preserve"> </w:t>
      </w:r>
      <w:r w:rsidR="00D36E84">
        <w:t xml:space="preserve">published annually by the </w:t>
      </w:r>
      <w:r w:rsidR="00EB0AFE">
        <w:t>Indepe</w:t>
      </w:r>
      <w:r w:rsidR="00CE7762">
        <w:t>n</w:t>
      </w:r>
      <w:r w:rsidR="00EB0AFE">
        <w:t xml:space="preserve">dent </w:t>
      </w:r>
      <w:r w:rsidR="00CE7762">
        <w:t>Health and Aged Care Pricing Authority (IH</w:t>
      </w:r>
      <w:r w:rsidR="009D2BB1">
        <w:t>AC</w:t>
      </w:r>
      <w:r w:rsidR="00CE7762">
        <w:t>PA)</w:t>
      </w:r>
      <w:r w:rsidR="00745D6C" w:rsidRPr="00D36E84">
        <w:t xml:space="preserve"> &lt;https://www.ihacpa.gov.au/resources/general-list-scope-public-hospital-services-eligibility-policy-version-70&gt;</w:t>
      </w:r>
      <w:r w:rsidR="007C5D32">
        <w:t>.</w:t>
      </w:r>
    </w:p>
    <w:p w14:paraId="7329BEC4" w14:textId="3A4FD6B7" w:rsidR="00B44E1E" w:rsidRDefault="00FE398F" w:rsidP="00762444">
      <w:pPr>
        <w:pStyle w:val="Body"/>
      </w:pPr>
      <w:r>
        <w:t xml:space="preserve">These </w:t>
      </w:r>
      <w:r w:rsidR="00490B8F">
        <w:t xml:space="preserve">can be summarised as </w:t>
      </w:r>
      <w:r w:rsidR="007F408A">
        <w:t xml:space="preserve">all specialist clinics </w:t>
      </w:r>
      <w:r>
        <w:t>and a</w:t>
      </w:r>
      <w:r w:rsidR="00B44E1E">
        <w:t xml:space="preserve">ll </w:t>
      </w:r>
      <w:r w:rsidR="00762444">
        <w:t xml:space="preserve">Health Independence Program </w:t>
      </w:r>
      <w:r w:rsidR="007F408A">
        <w:t xml:space="preserve">(HIP) </w:t>
      </w:r>
      <w:r w:rsidR="00762444">
        <w:t>services</w:t>
      </w:r>
      <w:r w:rsidR="007E3DBB">
        <w:t xml:space="preserve"> including</w:t>
      </w:r>
      <w:r w:rsidR="00762444">
        <w:t xml:space="preserve"> complex care </w:t>
      </w:r>
      <w:r w:rsidR="00C378E1">
        <w:t>or</w:t>
      </w:r>
      <w:r w:rsidR="00762444">
        <w:t xml:space="preserve"> h</w:t>
      </w:r>
      <w:r w:rsidR="00B44E1E">
        <w:t xml:space="preserve">ospital admission risk program </w:t>
      </w:r>
      <w:r w:rsidR="00762444">
        <w:t>(HARP)</w:t>
      </w:r>
      <w:r w:rsidR="00244E07">
        <w:t>, p</w:t>
      </w:r>
      <w:r w:rsidR="00B44E1E">
        <w:t xml:space="preserve">ost-acute care </w:t>
      </w:r>
      <w:r w:rsidR="00244E07">
        <w:t>(PAC) and s</w:t>
      </w:r>
      <w:r w:rsidR="00B44E1E">
        <w:t>ubacute ambulatory care services</w:t>
      </w:r>
      <w:r w:rsidR="00CA3CB3">
        <w:t>:</w:t>
      </w:r>
    </w:p>
    <w:p w14:paraId="23886376" w14:textId="565173F2" w:rsidR="00B44E1E" w:rsidRDefault="00CA3CB3" w:rsidP="00CA3CB3">
      <w:pPr>
        <w:pStyle w:val="Bullet1"/>
      </w:pPr>
      <w:r>
        <w:t>r</w:t>
      </w:r>
      <w:r w:rsidR="00B44E1E">
        <w:t>ehabilitation – centre-based and home-based services</w:t>
      </w:r>
    </w:p>
    <w:p w14:paraId="425C5BE4" w14:textId="7A439C21" w:rsidR="00B44E1E" w:rsidRDefault="00CA3CB3" w:rsidP="00CA3CB3">
      <w:pPr>
        <w:pStyle w:val="Bullet1"/>
      </w:pPr>
      <w:r>
        <w:lastRenderedPageBreak/>
        <w:t>s</w:t>
      </w:r>
      <w:r w:rsidR="00B44E1E">
        <w:t>pecialist clinics including:</w:t>
      </w:r>
    </w:p>
    <w:p w14:paraId="6C3E123E" w14:textId="77777777" w:rsidR="00B44E1E" w:rsidRDefault="00B44E1E" w:rsidP="00CA3CB3">
      <w:pPr>
        <w:pStyle w:val="Bullet1"/>
        <w:numPr>
          <w:ilvl w:val="0"/>
          <w:numId w:val="18"/>
        </w:numPr>
      </w:pPr>
      <w:r>
        <w:t>continence</w:t>
      </w:r>
    </w:p>
    <w:p w14:paraId="244EBB41" w14:textId="77777777" w:rsidR="00B44E1E" w:rsidRDefault="00B44E1E" w:rsidP="00CA3CB3">
      <w:pPr>
        <w:pStyle w:val="Bullet1"/>
        <w:numPr>
          <w:ilvl w:val="0"/>
          <w:numId w:val="18"/>
        </w:numPr>
      </w:pPr>
      <w:r>
        <w:t>falls and mobility</w:t>
      </w:r>
    </w:p>
    <w:p w14:paraId="7B726149" w14:textId="77777777" w:rsidR="00B44E1E" w:rsidRDefault="00B44E1E" w:rsidP="00CA3CB3">
      <w:pPr>
        <w:pStyle w:val="Bullet1"/>
        <w:numPr>
          <w:ilvl w:val="0"/>
          <w:numId w:val="18"/>
        </w:numPr>
      </w:pPr>
      <w:r>
        <w:t>pain management</w:t>
      </w:r>
    </w:p>
    <w:p w14:paraId="6E0B21F5" w14:textId="77777777" w:rsidR="00B44E1E" w:rsidRDefault="00B44E1E" w:rsidP="00CA3CB3">
      <w:pPr>
        <w:pStyle w:val="Bullet1"/>
        <w:numPr>
          <w:ilvl w:val="0"/>
          <w:numId w:val="18"/>
        </w:numPr>
      </w:pPr>
      <w:r>
        <w:t>cognitive dementia and memory services</w:t>
      </w:r>
    </w:p>
    <w:p w14:paraId="3C229855" w14:textId="77777777" w:rsidR="00B44E1E" w:rsidRDefault="00B44E1E" w:rsidP="00CA3CB3">
      <w:pPr>
        <w:pStyle w:val="Bullet1"/>
        <w:numPr>
          <w:ilvl w:val="0"/>
          <w:numId w:val="18"/>
        </w:numPr>
      </w:pPr>
      <w:r>
        <w:t>movement disorders</w:t>
      </w:r>
    </w:p>
    <w:p w14:paraId="163AD71D" w14:textId="77777777" w:rsidR="00B44E1E" w:rsidRDefault="00B44E1E" w:rsidP="00CA3CB3">
      <w:pPr>
        <w:pStyle w:val="Bullet1"/>
        <w:numPr>
          <w:ilvl w:val="0"/>
          <w:numId w:val="18"/>
        </w:numPr>
      </w:pPr>
      <w:r>
        <w:t>wound management</w:t>
      </w:r>
    </w:p>
    <w:p w14:paraId="6A5B2C07" w14:textId="77777777" w:rsidR="00B44E1E" w:rsidRDefault="00B44E1E" w:rsidP="00CA3CB3">
      <w:pPr>
        <w:pStyle w:val="Bullet1"/>
        <w:numPr>
          <w:ilvl w:val="0"/>
          <w:numId w:val="18"/>
        </w:numPr>
      </w:pPr>
      <w:r>
        <w:t>polio</w:t>
      </w:r>
    </w:p>
    <w:p w14:paraId="46B50719" w14:textId="77777777" w:rsidR="00B44E1E" w:rsidRDefault="00B44E1E" w:rsidP="00CA3CB3">
      <w:pPr>
        <w:pStyle w:val="Bullet1"/>
        <w:numPr>
          <w:ilvl w:val="0"/>
          <w:numId w:val="18"/>
        </w:numPr>
      </w:pPr>
      <w:r>
        <w:t>young adults with complex needs transitioning to adult services</w:t>
      </w:r>
    </w:p>
    <w:p w14:paraId="29DE1BE8" w14:textId="77777777" w:rsidR="00B44E1E" w:rsidRDefault="00B44E1E" w:rsidP="00CA3CB3">
      <w:pPr>
        <w:pStyle w:val="Bullet1"/>
        <w:numPr>
          <w:ilvl w:val="0"/>
          <w:numId w:val="18"/>
        </w:numPr>
      </w:pPr>
      <w:r>
        <w:t>paediatric rehabilitation.</w:t>
      </w:r>
    </w:p>
    <w:p w14:paraId="4C36809E" w14:textId="77777777" w:rsidR="00896ECA" w:rsidRDefault="00896ECA" w:rsidP="00896ECA">
      <w:pPr>
        <w:pStyle w:val="Body"/>
      </w:pPr>
      <w:r>
        <w:t>The policy applies to all referrals made for these services irrespective of:</w:t>
      </w:r>
    </w:p>
    <w:p w14:paraId="61F0FD1F" w14:textId="77777777" w:rsidR="00896ECA" w:rsidRDefault="00896ECA" w:rsidP="00896ECA">
      <w:pPr>
        <w:pStyle w:val="Bullet1"/>
      </w:pPr>
      <w:r>
        <w:t>the referring clinician</w:t>
      </w:r>
    </w:p>
    <w:p w14:paraId="1BE45DF1" w14:textId="77777777" w:rsidR="00970CC3" w:rsidRDefault="00970CC3" w:rsidP="00970CC3">
      <w:pPr>
        <w:pStyle w:val="Bullet1"/>
      </w:pPr>
      <w:r>
        <w:t>referral by an internal clinician</w:t>
      </w:r>
    </w:p>
    <w:p w14:paraId="752B724A" w14:textId="086B0D4C" w:rsidR="00896ECA" w:rsidRDefault="00896ECA" w:rsidP="00896ECA">
      <w:pPr>
        <w:pStyle w:val="Bullet1"/>
      </w:pPr>
      <w:r>
        <w:t xml:space="preserve">if the patient has </w:t>
      </w:r>
      <w:r w:rsidR="00811902">
        <w:t>self-</w:t>
      </w:r>
      <w:r>
        <w:t xml:space="preserve">referred to </w:t>
      </w:r>
      <w:r w:rsidR="00811902">
        <w:t>the</w:t>
      </w:r>
      <w:r w:rsidR="00ED2484">
        <w:t xml:space="preserve"> </w:t>
      </w:r>
      <w:r>
        <w:t>service</w:t>
      </w:r>
    </w:p>
    <w:p w14:paraId="2392BC92" w14:textId="64F65D7A" w:rsidR="00896ECA" w:rsidRDefault="00896ECA" w:rsidP="00896ECA">
      <w:pPr>
        <w:pStyle w:val="Bullet1"/>
      </w:pPr>
      <w:r>
        <w:t xml:space="preserve">the provider </w:t>
      </w:r>
      <w:r w:rsidR="00977180">
        <w:t>that</w:t>
      </w:r>
      <w:r>
        <w:t xml:space="preserve"> deliver</w:t>
      </w:r>
      <w:r w:rsidR="00977180">
        <w:t>s</w:t>
      </w:r>
      <w:r>
        <w:t xml:space="preserve"> the service</w:t>
      </w:r>
    </w:p>
    <w:p w14:paraId="4F58EF6D" w14:textId="08BA1165" w:rsidR="00896ECA" w:rsidRDefault="00896ECA" w:rsidP="00896ECA">
      <w:pPr>
        <w:pStyle w:val="Bullet1"/>
      </w:pPr>
      <w:r>
        <w:t xml:space="preserve">referral to a </w:t>
      </w:r>
      <w:r w:rsidR="00520B48">
        <w:t>Medicare Benefits Schedule (</w:t>
      </w:r>
      <w:r>
        <w:t>MBS</w:t>
      </w:r>
      <w:r w:rsidR="00520B48">
        <w:t>)</w:t>
      </w:r>
      <w:r>
        <w:t xml:space="preserve"> service</w:t>
      </w:r>
      <w:r w:rsidR="00425D1E">
        <w:t>,</w:t>
      </w:r>
      <w:r>
        <w:t xml:space="preserve"> partially funded through Medicare </w:t>
      </w:r>
    </w:p>
    <w:p w14:paraId="56BE74C0" w14:textId="77777777" w:rsidR="004B06AF" w:rsidRDefault="00896ECA" w:rsidP="00896ECA">
      <w:pPr>
        <w:pStyle w:val="Bullet1"/>
      </w:pPr>
      <w:r>
        <w:t>the patient’s private health insurance status</w:t>
      </w:r>
    </w:p>
    <w:p w14:paraId="21E5FFE4" w14:textId="12317A41" w:rsidR="00896ECA" w:rsidRDefault="004B06AF" w:rsidP="00896ECA">
      <w:pPr>
        <w:pStyle w:val="Bullet1"/>
      </w:pPr>
      <w:r>
        <w:rPr>
          <w:rStyle w:val="DHHSbodyChar"/>
        </w:rPr>
        <w:t xml:space="preserve">the patient </w:t>
      </w:r>
      <w:r w:rsidR="00EF1383">
        <w:rPr>
          <w:rStyle w:val="DHHSbodyChar"/>
        </w:rPr>
        <w:t xml:space="preserve">being a </w:t>
      </w:r>
      <w:r w:rsidRPr="000B0033">
        <w:rPr>
          <w:rStyle w:val="DHHSbodyChar"/>
        </w:rPr>
        <w:t>Medicare</w:t>
      </w:r>
      <w:r>
        <w:rPr>
          <w:rStyle w:val="DHHSbodyChar"/>
        </w:rPr>
        <w:t>-</w:t>
      </w:r>
      <w:r w:rsidRPr="000B0033">
        <w:rPr>
          <w:rStyle w:val="DHHSbodyChar"/>
        </w:rPr>
        <w:t>ineligible asylum seeker</w:t>
      </w:r>
      <w:r w:rsidR="00896ECA">
        <w:t>.</w:t>
      </w:r>
    </w:p>
    <w:p w14:paraId="5D440658" w14:textId="0F65CFBC" w:rsidR="00DB5CEB" w:rsidRDefault="005E1980" w:rsidP="005E1980">
      <w:pPr>
        <w:pStyle w:val="Heading2"/>
      </w:pPr>
      <w:bookmarkStart w:id="19" w:name="_Toc121210039"/>
      <w:r>
        <w:t>3.</w:t>
      </w:r>
      <w:r w:rsidR="005262AB">
        <w:t>2</w:t>
      </w:r>
      <w:r>
        <w:t xml:space="preserve"> Implementation</w:t>
      </w:r>
      <w:bookmarkEnd w:id="19"/>
    </w:p>
    <w:p w14:paraId="12845452" w14:textId="05906C31" w:rsidR="00E31B03" w:rsidRDefault="00E31B03" w:rsidP="00E31B03">
      <w:pPr>
        <w:pStyle w:val="Body"/>
      </w:pPr>
      <w:r>
        <w:t xml:space="preserve">To implement this policy </w:t>
      </w:r>
      <w:r w:rsidR="008D2E56">
        <w:t xml:space="preserve">Victorian public </w:t>
      </w:r>
      <w:r>
        <w:t>health services should:</w:t>
      </w:r>
    </w:p>
    <w:p w14:paraId="79A38263" w14:textId="22CF8E99" w:rsidR="00E31B03" w:rsidRDefault="00E31B03" w:rsidP="00E31B03">
      <w:pPr>
        <w:pStyle w:val="Bullet1"/>
      </w:pPr>
      <w:r>
        <w:t>develop local policies, protocols and procedures align</w:t>
      </w:r>
      <w:r w:rsidR="008D2E56">
        <w:t>ed</w:t>
      </w:r>
      <w:r>
        <w:t xml:space="preserve"> with the </w:t>
      </w:r>
      <w:r w:rsidR="00C81EF2">
        <w:t xml:space="preserve">policy </w:t>
      </w:r>
      <w:r w:rsidR="00A93066">
        <w:t>objective</w:t>
      </w:r>
      <w:r>
        <w:t>s</w:t>
      </w:r>
    </w:p>
    <w:p w14:paraId="10CDFD70" w14:textId="223F3D92" w:rsidR="00E31B03" w:rsidRDefault="00E31B03" w:rsidP="00E31B03">
      <w:pPr>
        <w:pStyle w:val="Bullet1"/>
      </w:pPr>
      <w:r>
        <w:t xml:space="preserve">identify the health service staff who are responsible for </w:t>
      </w:r>
      <w:r w:rsidR="00C67639">
        <w:t xml:space="preserve">undertaking </w:t>
      </w:r>
      <w:r>
        <w:t xml:space="preserve">the </w:t>
      </w:r>
      <w:r w:rsidR="00C67639">
        <w:t xml:space="preserve">policy </w:t>
      </w:r>
      <w:r>
        <w:t>tasks</w:t>
      </w:r>
    </w:p>
    <w:p w14:paraId="498073B3" w14:textId="6723A335" w:rsidR="00E31B03" w:rsidRDefault="00E31B03" w:rsidP="00E31B03">
      <w:pPr>
        <w:pStyle w:val="Bullet1"/>
      </w:pPr>
      <w:r>
        <w:t>provide training and education programs for staff who manage access to non-admitted specialist services</w:t>
      </w:r>
      <w:r w:rsidR="008144BD">
        <w:t xml:space="preserve"> in keeping with the policy purpose and objectives</w:t>
      </w:r>
    </w:p>
    <w:p w14:paraId="5FE374D7" w14:textId="0B1185B7" w:rsidR="00E31B03" w:rsidRDefault="00E31B03" w:rsidP="00E31B03">
      <w:pPr>
        <w:pStyle w:val="Bullet1"/>
      </w:pPr>
      <w:r>
        <w:t xml:space="preserve">monitor </w:t>
      </w:r>
      <w:r w:rsidR="00496300">
        <w:t xml:space="preserve">and review </w:t>
      </w:r>
      <w:r>
        <w:t xml:space="preserve">the health service’s performance against the policy, particularly </w:t>
      </w:r>
      <w:r w:rsidR="00496300">
        <w:t xml:space="preserve">any updates to the </w:t>
      </w:r>
      <w:r>
        <w:t>policy.</w:t>
      </w:r>
    </w:p>
    <w:p w14:paraId="65049547" w14:textId="79760105" w:rsidR="005E1980" w:rsidRDefault="003D6AEB" w:rsidP="003D6AEB">
      <w:pPr>
        <w:pStyle w:val="Heading2"/>
      </w:pPr>
      <w:bookmarkStart w:id="20" w:name="_Toc121210040"/>
      <w:r>
        <w:t>3.</w:t>
      </w:r>
      <w:r w:rsidR="002B1016">
        <w:t>3</w:t>
      </w:r>
      <w:r>
        <w:t xml:space="preserve"> </w:t>
      </w:r>
      <w:r w:rsidR="005A57DA">
        <w:t>P</w:t>
      </w:r>
      <w:r>
        <w:t>olic</w:t>
      </w:r>
      <w:r w:rsidR="005A57DA">
        <w:t>y context</w:t>
      </w:r>
      <w:bookmarkEnd w:id="20"/>
    </w:p>
    <w:p w14:paraId="58294B9A" w14:textId="459B3082" w:rsidR="00E846AF" w:rsidRDefault="00E846AF" w:rsidP="00E846AF">
      <w:pPr>
        <w:pStyle w:val="Body"/>
      </w:pPr>
      <w:r>
        <w:t xml:space="preserve">This policy aligns with the findings and recommendations of </w:t>
      </w:r>
      <w:hyperlink r:id="rId28" w:history="1">
        <w:r w:rsidR="00502F95">
          <w:rPr>
            <w:rStyle w:val="Hyperlink"/>
          </w:rPr>
          <w:t>Targeting zero, the review of hospital safety and quality assurance in Victoria | health.vic.gov.au</w:t>
        </w:r>
      </w:hyperlink>
      <w:r w:rsidR="00502F95">
        <w:t xml:space="preserve"> </w:t>
      </w:r>
      <w:r>
        <w:t xml:space="preserve">and progresses the Victorian Government’s commitment to zero avoidable harm as described in </w:t>
      </w:r>
      <w:r>
        <w:rPr>
          <w:i/>
        </w:rPr>
        <w:t xml:space="preserve">Better, safer care </w:t>
      </w:r>
      <w:r w:rsidR="00FE5F2C">
        <w:rPr>
          <w:iCs/>
        </w:rPr>
        <w:t>&lt;h</w:t>
      </w:r>
      <w:r w:rsidR="00130C76" w:rsidRPr="00CB2B11">
        <w:rPr>
          <w:iCs/>
        </w:rPr>
        <w:t>ttps</w:t>
      </w:r>
      <w:r w:rsidR="00E72E7A">
        <w:rPr>
          <w:iCs/>
        </w:rPr>
        <w:t>:</w:t>
      </w:r>
      <w:r w:rsidR="00917739" w:rsidRPr="00917739">
        <w:rPr>
          <w:iCs/>
        </w:rPr>
        <w:t>//www.health.vic.gov.au/publications/targeting-zero-the-review-of-hospital-safety-and-quality-assurance-in-victoria</w:t>
      </w:r>
      <w:r w:rsidR="00CB2B11">
        <w:rPr>
          <w:iCs/>
        </w:rPr>
        <w:t>&gt;</w:t>
      </w:r>
      <w:r w:rsidRPr="002C6C2A">
        <w:t>.</w:t>
      </w:r>
    </w:p>
    <w:p w14:paraId="75761518" w14:textId="76727F74" w:rsidR="00E846AF" w:rsidRPr="00831EA5" w:rsidRDefault="00E846AF" w:rsidP="00E846AF">
      <w:pPr>
        <w:pStyle w:val="Body"/>
      </w:pPr>
      <w:r w:rsidRPr="00831EA5">
        <w:rPr>
          <w:rStyle w:val="normaltextrun1"/>
        </w:rPr>
        <w:t xml:space="preserve">The </w:t>
      </w:r>
      <w:r w:rsidRPr="009F6D1E">
        <w:rPr>
          <w:rStyle w:val="normaltextrun1"/>
        </w:rPr>
        <w:t>policy</w:t>
      </w:r>
      <w:r w:rsidRPr="00831EA5">
        <w:rPr>
          <w:rStyle w:val="normaltextrun1"/>
        </w:rPr>
        <w:t xml:space="preserve"> also reflects the key priority areas of the </w:t>
      </w:r>
      <w:hyperlink r:id="rId29" w:history="1">
        <w:r w:rsidRPr="00377699">
          <w:rPr>
            <w:rStyle w:val="Hyperlink"/>
            <w:i/>
          </w:rPr>
          <w:t>Statewide design, service and infrastructure plan for Victoria’s health system 2017–2037</w:t>
        </w:r>
        <w:bookmarkStart w:id="21" w:name="_Hlk34133497"/>
      </w:hyperlink>
      <w:r w:rsidR="00AC5C72">
        <w:rPr>
          <w:rStyle w:val="normaltextrun1"/>
          <w:iCs/>
        </w:rPr>
        <w:t xml:space="preserve"> </w:t>
      </w:r>
      <w:r w:rsidR="00CC3C32">
        <w:rPr>
          <w:rStyle w:val="normaltextrun1"/>
          <w:iCs/>
        </w:rPr>
        <w:t>&lt;</w:t>
      </w:r>
      <w:r w:rsidR="00802E2B">
        <w:rPr>
          <w:rStyle w:val="normaltextrun1"/>
          <w:iCs/>
        </w:rPr>
        <w:t>h</w:t>
      </w:r>
      <w:r w:rsidR="00D4689F" w:rsidRPr="00D4689F">
        <w:rPr>
          <w:rStyle w:val="normaltextrun1"/>
          <w:iCs/>
        </w:rPr>
        <w:t>ttps://www.health.vic.gov.au/health-system-design-planning/statewide-design-service-and-infrastructure-plan</w:t>
      </w:r>
      <w:r w:rsidR="00CC3C32">
        <w:rPr>
          <w:rStyle w:val="normaltextrun1"/>
          <w:iCs/>
        </w:rPr>
        <w:t>&gt;</w:t>
      </w:r>
      <w:r>
        <w:rPr>
          <w:rStyle w:val="normaltextrun1"/>
        </w:rPr>
        <w:t xml:space="preserve"> </w:t>
      </w:r>
      <w:bookmarkEnd w:id="21"/>
      <w:r w:rsidRPr="00831EA5">
        <w:rPr>
          <w:rStyle w:val="normaltextrun1"/>
        </w:rPr>
        <w:t>designed to ensure all Victorians receive the best possible health</w:t>
      </w:r>
      <w:r>
        <w:rPr>
          <w:rStyle w:val="normaltextrun1"/>
        </w:rPr>
        <w:t xml:space="preserve"> </w:t>
      </w:r>
      <w:r w:rsidRPr="00831EA5">
        <w:rPr>
          <w:rStyle w:val="normaltextrun1"/>
        </w:rPr>
        <w:t xml:space="preserve">care – no matter </w:t>
      </w:r>
      <w:r w:rsidR="00A938D6" w:rsidRPr="00831EA5">
        <w:rPr>
          <w:rStyle w:val="normaltextrun1"/>
        </w:rPr>
        <w:t>who they are</w:t>
      </w:r>
      <w:r w:rsidR="00A938D6">
        <w:rPr>
          <w:rStyle w:val="normaltextrun1"/>
        </w:rPr>
        <w:t>,</w:t>
      </w:r>
      <w:r w:rsidR="00A938D6" w:rsidRPr="00831EA5">
        <w:rPr>
          <w:rStyle w:val="normaltextrun1"/>
        </w:rPr>
        <w:t xml:space="preserve"> </w:t>
      </w:r>
      <w:r w:rsidRPr="00831EA5">
        <w:rPr>
          <w:rStyle w:val="normaltextrun1"/>
        </w:rPr>
        <w:t>what their condition</w:t>
      </w:r>
      <w:r w:rsidR="00A938D6">
        <w:rPr>
          <w:rStyle w:val="normaltextrun1"/>
        </w:rPr>
        <w:t xml:space="preserve"> or</w:t>
      </w:r>
      <w:r w:rsidRPr="00831EA5">
        <w:rPr>
          <w:rStyle w:val="normaltextrun1"/>
        </w:rPr>
        <w:t xml:space="preserve"> where they are treated</w:t>
      </w:r>
      <w:r w:rsidR="00A938D6">
        <w:rPr>
          <w:rStyle w:val="normaltextrun1"/>
        </w:rPr>
        <w:t>.</w:t>
      </w:r>
      <w:r>
        <w:rPr>
          <w:rStyle w:val="normaltextrun1"/>
        </w:rPr>
        <w:t xml:space="preserve"> </w:t>
      </w:r>
    </w:p>
    <w:p w14:paraId="2CA8DCE8" w14:textId="5E346F52" w:rsidR="006035CC" w:rsidRDefault="006035CC" w:rsidP="006035CC">
      <w:pPr>
        <w:pStyle w:val="Body"/>
        <w:rPr>
          <w:rStyle w:val="normaltextrun"/>
          <w:szCs w:val="21"/>
        </w:rPr>
      </w:pPr>
      <w:r w:rsidRPr="00156703">
        <w:rPr>
          <w:szCs w:val="21"/>
        </w:rPr>
        <w:t>Health Service Partnership</w:t>
      </w:r>
      <w:r>
        <w:rPr>
          <w:szCs w:val="21"/>
        </w:rPr>
        <w:t xml:space="preserve">s may identify non-admitted services as a </w:t>
      </w:r>
      <w:r w:rsidRPr="003F092F">
        <w:rPr>
          <w:rStyle w:val="normaltextrun"/>
          <w:szCs w:val="21"/>
        </w:rPr>
        <w:t xml:space="preserve">locally identified </w:t>
      </w:r>
      <w:r>
        <w:rPr>
          <w:rStyle w:val="normaltextrun"/>
          <w:szCs w:val="21"/>
        </w:rPr>
        <w:t xml:space="preserve">strategic </w:t>
      </w:r>
      <w:r w:rsidRPr="003F092F">
        <w:rPr>
          <w:rStyle w:val="normaltextrun"/>
          <w:szCs w:val="21"/>
        </w:rPr>
        <w:t>priorit</w:t>
      </w:r>
      <w:r>
        <w:rPr>
          <w:rStyle w:val="normaltextrun"/>
          <w:szCs w:val="21"/>
        </w:rPr>
        <w:t xml:space="preserve">y. This policy applies when </w:t>
      </w:r>
      <w:r w:rsidR="00046EAF">
        <w:rPr>
          <w:rStyle w:val="normaltextrun"/>
          <w:szCs w:val="21"/>
        </w:rPr>
        <w:t xml:space="preserve">health services within a </w:t>
      </w:r>
      <w:r w:rsidRPr="00156703">
        <w:rPr>
          <w:szCs w:val="21"/>
        </w:rPr>
        <w:t>Health Service Partnership</w:t>
      </w:r>
      <w:r>
        <w:rPr>
          <w:szCs w:val="21"/>
        </w:rPr>
        <w:t xml:space="preserve"> </w:t>
      </w:r>
      <w:r w:rsidRPr="00156703">
        <w:rPr>
          <w:szCs w:val="21"/>
        </w:rPr>
        <w:t>work together</w:t>
      </w:r>
      <w:r>
        <w:rPr>
          <w:szCs w:val="21"/>
        </w:rPr>
        <w:t xml:space="preserve"> </w:t>
      </w:r>
      <w:r>
        <w:rPr>
          <w:szCs w:val="21"/>
        </w:rPr>
        <w:lastRenderedPageBreak/>
        <w:t xml:space="preserve">to </w:t>
      </w:r>
      <w:r w:rsidRPr="00C61A99">
        <w:t xml:space="preserve">develop efficient approaches to managing common operational needs, challenges and risks across its </w:t>
      </w:r>
      <w:r>
        <w:t xml:space="preserve">health </w:t>
      </w:r>
      <w:r w:rsidRPr="00C61A99">
        <w:t>services</w:t>
      </w:r>
      <w:r>
        <w:t xml:space="preserve"> when delivering non-admitted services</w:t>
      </w:r>
      <w:r w:rsidRPr="00C61A99">
        <w:t>.</w:t>
      </w:r>
    </w:p>
    <w:p w14:paraId="1FCE032E" w14:textId="77777777" w:rsidR="000E421A" w:rsidRDefault="00E846AF" w:rsidP="00E846AF">
      <w:pPr>
        <w:pStyle w:val="Body"/>
      </w:pPr>
      <w:r>
        <w:t xml:space="preserve">This policy should also be read in conjunction with: </w:t>
      </w:r>
    </w:p>
    <w:p w14:paraId="78D3C658" w14:textId="3BACC854" w:rsidR="00E846AF" w:rsidRPr="003A727C" w:rsidRDefault="00E846AF" w:rsidP="00E846AF">
      <w:pPr>
        <w:pStyle w:val="Bullet1"/>
      </w:pPr>
      <w:r>
        <w:t xml:space="preserve">any </w:t>
      </w:r>
      <w:hyperlink r:id="rId30" w:history="1">
        <w:r w:rsidR="00784AF6" w:rsidRPr="00784AF6">
          <w:rPr>
            <w:rStyle w:val="BodyChar"/>
          </w:rPr>
          <w:t>statewide referral criteria</w:t>
        </w:r>
      </w:hyperlink>
      <w:r w:rsidRPr="00C34FAB">
        <w:t xml:space="preserve"> </w:t>
      </w:r>
      <w:r w:rsidR="00CF6180">
        <w:t xml:space="preserve">published by the department </w:t>
      </w:r>
      <w:r>
        <w:t>&lt;</w:t>
      </w:r>
      <w:r w:rsidRPr="00000916">
        <w:t>https://src.health.vic.gov.au</w:t>
      </w:r>
      <w:r>
        <w:t>&gt;</w:t>
      </w:r>
      <w:r w:rsidRPr="0094660B">
        <w:t xml:space="preserve"> </w:t>
      </w:r>
    </w:p>
    <w:p w14:paraId="6F6D0ECF" w14:textId="4392290C" w:rsidR="00E846AF" w:rsidRDefault="00B64AA2" w:rsidP="00E846AF">
      <w:pPr>
        <w:pStyle w:val="Bullet1"/>
        <w:rPr>
          <w:i/>
        </w:rPr>
      </w:pPr>
      <w:hyperlink r:id="rId31" w:history="1">
        <w:r w:rsidR="003761C8">
          <w:rPr>
            <w:rStyle w:val="Hyperlink"/>
          </w:rPr>
          <w:t>Health Independence Program guidelines</w:t>
        </w:r>
      </w:hyperlink>
      <w:r w:rsidR="003761C8">
        <w:rPr>
          <w:i/>
        </w:rPr>
        <w:t xml:space="preserve"> </w:t>
      </w:r>
      <w:r w:rsidR="00FD36AB">
        <w:rPr>
          <w:i/>
        </w:rPr>
        <w:t>&lt;</w:t>
      </w:r>
      <w:r w:rsidR="00175668">
        <w:t>h</w:t>
      </w:r>
      <w:r w:rsidR="00175668" w:rsidRPr="00175668">
        <w:t>ttps://www.health.vic.gov.au/patient-care/health-independence-program-guidelines</w:t>
      </w:r>
      <w:r w:rsidR="00175668">
        <w:t>&gt;</w:t>
      </w:r>
    </w:p>
    <w:p w14:paraId="45DE0A51" w14:textId="54296142" w:rsidR="00E846AF" w:rsidRDefault="00E846AF" w:rsidP="00E846AF">
      <w:pPr>
        <w:pStyle w:val="Bullet1"/>
      </w:pPr>
      <w:r>
        <w:t xml:space="preserve">the department’s annual publication </w:t>
      </w:r>
      <w:hyperlink r:id="rId32" w:history="1">
        <w:r w:rsidR="00511194">
          <w:rPr>
            <w:rStyle w:val="Hyperlink"/>
          </w:rPr>
          <w:t>Policy and funding guidelines for health services</w:t>
        </w:r>
      </w:hyperlink>
      <w:r w:rsidR="00511194">
        <w:t xml:space="preserve"> </w:t>
      </w:r>
      <w:r w:rsidR="0014558C" w:rsidRPr="00D36E84">
        <w:t>&lt;https://www.health.vic.gov.au/policy-and-funding-guidelines-for-health-services&gt;</w:t>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0D5B81" w:rsidRPr="003E02E6" w14:paraId="6F176ABA" w14:textId="77777777" w:rsidTr="001A544B">
        <w:trPr>
          <w:cantSplit/>
        </w:trPr>
        <w:tc>
          <w:tcPr>
            <w:tcW w:w="0" w:type="auto"/>
            <w:shd w:val="clear" w:color="auto" w:fill="auto"/>
            <w:tcMar>
              <w:top w:w="0" w:type="dxa"/>
              <w:left w:w="0" w:type="dxa"/>
              <w:right w:w="0" w:type="dxa"/>
            </w:tcMar>
          </w:tcPr>
          <w:p w14:paraId="6532F615" w14:textId="01DCADA6" w:rsidR="000D5B81" w:rsidRPr="003E02E6" w:rsidRDefault="00B64AA2" w:rsidP="006131D5">
            <w:pPr>
              <w:pStyle w:val="Bullet1"/>
            </w:pPr>
            <w:hyperlink r:id="rId33" w:history="1">
              <w:r w:rsidR="00462A38">
                <w:rPr>
                  <w:rStyle w:val="Hyperlink"/>
                </w:rPr>
                <w:t>MBS billing policy framework - Victorian public hospitals</w:t>
              </w:r>
            </w:hyperlink>
            <w:r w:rsidR="00462A38" w:rsidRPr="003E02E6">
              <w:t xml:space="preserve"> </w:t>
            </w:r>
            <w:r w:rsidR="00C15A63" w:rsidRPr="003E02E6">
              <w:t>&lt;https://www.health.vic.gov.au/funding-performance-accountability/mbs-billing-policy-framework-victorian-public-hospitals&gt;</w:t>
            </w:r>
            <w:r w:rsidR="009E5008" w:rsidRPr="003E02E6">
              <w:t xml:space="preserve"> </w:t>
            </w:r>
          </w:p>
        </w:tc>
      </w:tr>
    </w:tbl>
    <w:p w14:paraId="7FF9D966" w14:textId="0487D8C7" w:rsidR="002F33BD" w:rsidRDefault="00B119BC" w:rsidP="002F33BD">
      <w:pPr>
        <w:pStyle w:val="Bullet1"/>
        <w:rPr>
          <w:rFonts w:ascii="Calibri" w:hAnsi="Calibri"/>
          <w:sz w:val="22"/>
        </w:rPr>
      </w:pPr>
      <w:hyperlink r:id="rId34" w:history="1">
        <w:r w:rsidR="00D65B1C">
          <w:rPr>
            <w:rStyle w:val="Hyperlink"/>
          </w:rPr>
          <w:t>Specialist clinics communication toolkit</w:t>
        </w:r>
      </w:hyperlink>
      <w:r w:rsidR="00D65B1C">
        <w:t xml:space="preserve"> </w:t>
      </w:r>
      <w:r w:rsidR="002F33BD">
        <w:t>&lt;https</w:t>
      </w:r>
      <w:r>
        <w:t>:</w:t>
      </w:r>
      <w:r w:rsidRPr="00B119BC">
        <w:t>//www.health.vic.gov.au/patient-care/specialist-clinics-communication-toolkit</w:t>
      </w:r>
      <w:r w:rsidR="002F33BD">
        <w:t>&gt;</w:t>
      </w:r>
    </w:p>
    <w:p w14:paraId="6C215E99" w14:textId="2F160C93" w:rsidR="00E846AF" w:rsidRPr="00AD0707" w:rsidRDefault="00B64AA2" w:rsidP="00324309">
      <w:pPr>
        <w:pStyle w:val="Bullet1"/>
      </w:pPr>
      <w:hyperlink r:id="rId35" w:history="1">
        <w:r w:rsidR="00FF76DD" w:rsidRPr="009C479D">
          <w:rPr>
            <w:rStyle w:val="Hyperlink"/>
          </w:rPr>
          <w:t>Why treat in turn works</w:t>
        </w:r>
      </w:hyperlink>
      <w:r w:rsidR="00CE1B1A" w:rsidRPr="002F33BD">
        <w:rPr>
          <w:i/>
        </w:rPr>
        <w:t xml:space="preserve"> </w:t>
      </w:r>
      <w:r w:rsidR="004E458B">
        <w:t>&lt;h</w:t>
      </w:r>
      <w:r w:rsidR="004E458B" w:rsidRPr="004E458B">
        <w:t>ttps://www.health.vic.gov.au/publications/why-treat-in-turn-works</w:t>
      </w:r>
      <w:r w:rsidR="004E458B">
        <w:t>&gt;</w:t>
      </w:r>
    </w:p>
    <w:p w14:paraId="0169AFEC" w14:textId="3CB12AC2" w:rsidR="003E4DAB" w:rsidRPr="00800F9C" w:rsidRDefault="00B64AA2" w:rsidP="00E846AF">
      <w:pPr>
        <w:pStyle w:val="Bullet1"/>
        <w:rPr>
          <w:i/>
        </w:rPr>
      </w:pPr>
      <w:hyperlink r:id="rId36" w:history="1">
        <w:r w:rsidR="003E4DAB" w:rsidRPr="00996698">
          <w:rPr>
            <w:rStyle w:val="BodyChar"/>
            <w:i/>
            <w:iCs/>
          </w:rPr>
          <w:t>Addendum to National Health Reform Agreement 2020-2025</w:t>
        </w:r>
      </w:hyperlink>
      <w:r w:rsidR="003E4DAB">
        <w:rPr>
          <w:iCs/>
        </w:rPr>
        <w:t xml:space="preserve"> </w:t>
      </w:r>
      <w:r w:rsidR="003E4DAB" w:rsidRPr="00000916">
        <w:rPr>
          <w:iCs/>
        </w:rPr>
        <w:t xml:space="preserve">between the </w:t>
      </w:r>
      <w:r w:rsidR="003E4DAB">
        <w:rPr>
          <w:iCs/>
        </w:rPr>
        <w:t>Australian</w:t>
      </w:r>
      <w:r w:rsidR="003E4DAB" w:rsidRPr="00957ADD">
        <w:rPr>
          <w:iCs/>
        </w:rPr>
        <w:t xml:space="preserve"> </w:t>
      </w:r>
      <w:r w:rsidR="003E4DAB" w:rsidRPr="00000916">
        <w:rPr>
          <w:iCs/>
        </w:rPr>
        <w:t xml:space="preserve">Government and </w:t>
      </w:r>
      <w:r w:rsidR="003E4DAB" w:rsidRPr="4A82134B">
        <w:t>all</w:t>
      </w:r>
      <w:r w:rsidR="003E4DAB">
        <w:rPr>
          <w:iCs/>
        </w:rPr>
        <w:t xml:space="preserve"> state and territory governments &lt;</w:t>
      </w:r>
      <w:r w:rsidR="003E4DAB" w:rsidRPr="00927D41">
        <w:rPr>
          <w:iCs/>
        </w:rPr>
        <w:t>https://www.health.gov.au/initiatives-and-programs/2020-25-national-health-reform-agreement-nhra</w:t>
      </w:r>
      <w:r w:rsidR="003E4DAB">
        <w:rPr>
          <w:iCs/>
        </w:rPr>
        <w:t>&gt;</w:t>
      </w:r>
    </w:p>
    <w:p w14:paraId="4E8EA21D" w14:textId="4C270E4B" w:rsidR="003E4DAB" w:rsidRPr="00AD0707" w:rsidRDefault="00B64AA2" w:rsidP="00E846AF">
      <w:pPr>
        <w:pStyle w:val="Bullet1"/>
        <w:rPr>
          <w:i/>
        </w:rPr>
      </w:pPr>
      <w:hyperlink r:id="rId37" w:history="1">
        <w:r w:rsidR="002B19B1">
          <w:rPr>
            <w:rStyle w:val="Hyperlink"/>
          </w:rPr>
          <w:t>The NSQHS Standards | Australian Commission on Safety and Quality in Health Care</w:t>
        </w:r>
      </w:hyperlink>
      <w:r w:rsidR="002B19B1">
        <w:t xml:space="preserve"> </w:t>
      </w:r>
      <w:r w:rsidR="003E4DAB">
        <w:t>&lt;h</w:t>
      </w:r>
      <w:r w:rsidR="003E4DAB" w:rsidRPr="00CE1C9E">
        <w:t>ttps://www.safetyandquality.gov.au/standards/nsqhs-standards</w:t>
      </w:r>
      <w:r w:rsidR="003E4DAB">
        <w:t>&gt;</w:t>
      </w:r>
    </w:p>
    <w:p w14:paraId="50EE00E9" w14:textId="4425FFA7" w:rsidR="003E4DAB" w:rsidRDefault="00B64AA2" w:rsidP="00E846AF">
      <w:pPr>
        <w:pStyle w:val="Bullet1"/>
      </w:pPr>
      <w:hyperlink r:id="rId38" w:history="1">
        <w:r w:rsidR="008D461E">
          <w:rPr>
            <w:rStyle w:val="Hyperlink"/>
          </w:rPr>
          <w:t>Strategic planning guidelines for Victorian health services</w:t>
        </w:r>
      </w:hyperlink>
      <w:r w:rsidR="008D461E">
        <w:rPr>
          <w:i/>
        </w:rPr>
        <w:t xml:space="preserve"> </w:t>
      </w:r>
      <w:r w:rsidR="003E4DAB">
        <w:rPr>
          <w:i/>
        </w:rPr>
        <w:t>&lt;h</w:t>
      </w:r>
      <w:r w:rsidR="003E4DAB" w:rsidRPr="00B503D0">
        <w:rPr>
          <w:iCs/>
        </w:rPr>
        <w:t>ttps://www.health.vic.gov.au/publications/strategic-planning-guidelines-for-victorian-health-services</w:t>
      </w:r>
      <w:r w:rsidR="003E4DAB">
        <w:rPr>
          <w:iCs/>
        </w:rPr>
        <w:t>&gt;</w:t>
      </w:r>
    </w:p>
    <w:p w14:paraId="55A5CFCC" w14:textId="54F6ABE7" w:rsidR="003E4DAB" w:rsidRDefault="00B64AA2" w:rsidP="00E846AF">
      <w:pPr>
        <w:pStyle w:val="Bullet1"/>
      </w:pPr>
      <w:hyperlink r:id="rId39" w:history="1">
        <w:r w:rsidR="0027411A" w:rsidRPr="0027411A">
          <w:rPr>
            <w:rStyle w:val="Hyperlink"/>
          </w:rPr>
          <w:t>Elective surgery access policy 2015</w:t>
        </w:r>
      </w:hyperlink>
      <w:r w:rsidR="0027411A">
        <w:t xml:space="preserve"> </w:t>
      </w:r>
      <w:r w:rsidR="003E4DAB">
        <w:t>&lt;h</w:t>
      </w:r>
      <w:r w:rsidR="003E4DAB" w:rsidRPr="00B016B8">
        <w:t>ttps://www.health.vic.gov.au/publications/elective-surgery-access-policy-2015</w:t>
      </w:r>
      <w:r w:rsidR="003E4DAB">
        <w:t>&gt;</w:t>
      </w:r>
    </w:p>
    <w:p w14:paraId="5521A731" w14:textId="4ADF06E9" w:rsidR="003E4DAB" w:rsidRDefault="00B64AA2" w:rsidP="00E846AF">
      <w:pPr>
        <w:pStyle w:val="Bullet1"/>
      </w:pPr>
      <w:hyperlink r:id="rId40" w:history="1">
        <w:r w:rsidR="00B30E4B">
          <w:rPr>
            <w:rStyle w:val="Hyperlink"/>
          </w:rPr>
          <w:t>Performance monitoring framework</w:t>
        </w:r>
      </w:hyperlink>
      <w:r w:rsidR="00B30E4B">
        <w:rPr>
          <w:iCs/>
        </w:rPr>
        <w:t xml:space="preserve"> </w:t>
      </w:r>
      <w:r w:rsidR="003E4DAB">
        <w:rPr>
          <w:iCs/>
        </w:rPr>
        <w:t>&lt;h</w:t>
      </w:r>
      <w:r w:rsidR="003E4DAB" w:rsidRPr="00FC42C8">
        <w:rPr>
          <w:iCs/>
        </w:rPr>
        <w:t>ttps://www.health.vic.gov.au/funding-performance-accountability/performance-monitoring-framework</w:t>
      </w:r>
      <w:r w:rsidR="003E4DAB">
        <w:rPr>
          <w:iCs/>
        </w:rPr>
        <w:t>&gt;</w:t>
      </w:r>
    </w:p>
    <w:p w14:paraId="0717D3BA" w14:textId="7C667652" w:rsidR="003E4DAB" w:rsidRPr="002674AB" w:rsidRDefault="00B64AA2" w:rsidP="00E846AF">
      <w:pPr>
        <w:pStyle w:val="Bullet1"/>
        <w:rPr>
          <w:rStyle w:val="Emphasis"/>
          <w:i/>
        </w:rPr>
      </w:pPr>
      <w:hyperlink r:id="rId41" w:history="1">
        <w:r w:rsidR="00990662">
          <w:rPr>
            <w:rStyle w:val="Hyperlink"/>
          </w:rPr>
          <w:t>Victorian Integrated Non-Admitted Health (VINAH) dataset</w:t>
        </w:r>
      </w:hyperlink>
      <w:r w:rsidR="00990662" w:rsidRPr="00FE7BF3">
        <w:rPr>
          <w:rStyle w:val="Emphasis"/>
          <w:b w:val="0"/>
          <w:bCs w:val="0"/>
          <w:iCs/>
        </w:rPr>
        <w:t xml:space="preserve"> </w:t>
      </w:r>
      <w:r w:rsidR="003E4DAB" w:rsidRPr="00FE7BF3">
        <w:rPr>
          <w:rStyle w:val="Emphasis"/>
          <w:b w:val="0"/>
          <w:bCs w:val="0"/>
          <w:iCs/>
        </w:rPr>
        <w:t>&lt;https://www.health.vic.gov.au/data-reporting/victorian-integrated-non-admitted-health-vinah-dataset&gt;</w:t>
      </w:r>
      <w:r w:rsidR="00B80CF6">
        <w:rPr>
          <w:rStyle w:val="Emphasis"/>
          <w:b w:val="0"/>
          <w:bCs w:val="0"/>
          <w:iCs/>
        </w:rPr>
        <w:t>.</w:t>
      </w:r>
    </w:p>
    <w:p w14:paraId="1092D25F" w14:textId="22AD37A8" w:rsidR="008C4DD5" w:rsidRDefault="008C4DD5">
      <w:pPr>
        <w:spacing w:after="0" w:line="240" w:lineRule="auto"/>
        <w:rPr>
          <w:rFonts w:eastAsia="Times"/>
        </w:rPr>
      </w:pPr>
      <w:r>
        <w:br w:type="page"/>
      </w:r>
    </w:p>
    <w:p w14:paraId="6A3CF4FB" w14:textId="2C910777" w:rsidR="00DE145E" w:rsidRDefault="008C4DD5" w:rsidP="008C4DD5">
      <w:pPr>
        <w:pStyle w:val="Heading1"/>
      </w:pPr>
      <w:bookmarkStart w:id="22" w:name="_Toc121210041"/>
      <w:r>
        <w:lastRenderedPageBreak/>
        <w:t xml:space="preserve">4. </w:t>
      </w:r>
      <w:r w:rsidR="00807CDF">
        <w:t>Roles and responsibilities</w:t>
      </w:r>
      <w:bookmarkEnd w:id="22"/>
    </w:p>
    <w:p w14:paraId="7D10AF56" w14:textId="36614304" w:rsidR="008C4DD5" w:rsidRDefault="008C4DD5" w:rsidP="008C4DD5">
      <w:pPr>
        <w:pStyle w:val="Heading2"/>
      </w:pPr>
      <w:bookmarkStart w:id="23" w:name="_Toc121210042"/>
      <w:r>
        <w:t>4.1 The department</w:t>
      </w:r>
      <w:bookmarkEnd w:id="23"/>
    </w:p>
    <w:p w14:paraId="556971F4" w14:textId="17C72BEF" w:rsidR="007C276C" w:rsidRDefault="007C276C" w:rsidP="007C276C">
      <w:pPr>
        <w:pStyle w:val="Body"/>
      </w:pPr>
      <w:r>
        <w:t xml:space="preserve">The department is responsible for delivering government policy directions and priorities </w:t>
      </w:r>
      <w:r w:rsidR="00364E59">
        <w:t>by</w:t>
      </w:r>
      <w:r>
        <w:t xml:space="preserve"> </w:t>
      </w:r>
      <w:r w:rsidR="00844544">
        <w:t xml:space="preserve">Victorian </w:t>
      </w:r>
      <w:r>
        <w:t>public health services and</w:t>
      </w:r>
      <w:r w:rsidR="00004CF5">
        <w:t xml:space="preserve"> supporting</w:t>
      </w:r>
      <w:r>
        <w:t xml:space="preserve"> linkages between</w:t>
      </w:r>
      <w:r w:rsidR="00004CF5">
        <w:t xml:space="preserve"> Victorian public health services and</w:t>
      </w:r>
      <w:r>
        <w:t xml:space="preserve"> community-based services and providers.</w:t>
      </w:r>
    </w:p>
    <w:p w14:paraId="49457EAC" w14:textId="29C813A1" w:rsidR="007C276C" w:rsidRDefault="007C276C" w:rsidP="007C276C">
      <w:pPr>
        <w:pStyle w:val="Body"/>
      </w:pPr>
      <w:r>
        <w:t>Timely access to non-admitted specialist services can affect patient health outcomes and influence demands on other parts of the health system. As the system manager the department is responsible for</w:t>
      </w:r>
      <w:r w:rsidR="00FC5265">
        <w:t xml:space="preserve"> non-admitted care services</w:t>
      </w:r>
      <w:r w:rsidR="00FD2E6D">
        <w:t xml:space="preserve"> including</w:t>
      </w:r>
      <w:r>
        <w:t>:</w:t>
      </w:r>
    </w:p>
    <w:p w14:paraId="0A196EF2" w14:textId="7368EED8" w:rsidR="007C276C" w:rsidRDefault="007C276C" w:rsidP="007C276C">
      <w:pPr>
        <w:pStyle w:val="Bullet1"/>
      </w:pPr>
      <w:r>
        <w:t>strategic and system planning to anticipate and manage</w:t>
      </w:r>
      <w:r w:rsidR="004617D7">
        <w:t>:</w:t>
      </w:r>
    </w:p>
    <w:p w14:paraId="0CC1E0F5" w14:textId="77777777" w:rsidR="007C276C" w:rsidRDefault="007C276C" w:rsidP="00A26AF6">
      <w:pPr>
        <w:pStyle w:val="Bullet1"/>
        <w:numPr>
          <w:ilvl w:val="0"/>
          <w:numId w:val="10"/>
        </w:numPr>
        <w:ind w:left="568"/>
      </w:pPr>
      <w:r>
        <w:t>demand for non-admitted specialist services</w:t>
      </w:r>
    </w:p>
    <w:p w14:paraId="04DFBC79" w14:textId="77777777" w:rsidR="007C276C" w:rsidRDefault="007C276C" w:rsidP="00A26AF6">
      <w:pPr>
        <w:pStyle w:val="Bullet1"/>
        <w:numPr>
          <w:ilvl w:val="0"/>
          <w:numId w:val="10"/>
        </w:numPr>
        <w:ind w:left="568"/>
      </w:pPr>
      <w:r>
        <w:t>the length of time that people wait for services</w:t>
      </w:r>
    </w:p>
    <w:p w14:paraId="164E1A8B" w14:textId="77777777" w:rsidR="007C276C" w:rsidRDefault="007C276C" w:rsidP="00A26AF6">
      <w:pPr>
        <w:pStyle w:val="Bullet1"/>
        <w:numPr>
          <w:ilvl w:val="0"/>
          <w:numId w:val="10"/>
        </w:numPr>
        <w:ind w:left="568"/>
      </w:pPr>
      <w:r>
        <w:t>gaps in service availability</w:t>
      </w:r>
    </w:p>
    <w:p w14:paraId="4D5CFCE5" w14:textId="77777777" w:rsidR="007C276C" w:rsidRDefault="007C276C" w:rsidP="00A26AF6">
      <w:pPr>
        <w:pStyle w:val="Bullet1"/>
        <w:numPr>
          <w:ilvl w:val="0"/>
          <w:numId w:val="10"/>
        </w:numPr>
        <w:ind w:left="568"/>
      </w:pPr>
      <w:r>
        <w:t>the approval of proposed new services and the discontinuation of services</w:t>
      </w:r>
    </w:p>
    <w:p w14:paraId="035EB217" w14:textId="77777777" w:rsidR="007C276C" w:rsidRDefault="007C276C" w:rsidP="00A26AF6">
      <w:pPr>
        <w:pStyle w:val="Bullet1"/>
        <w:numPr>
          <w:ilvl w:val="0"/>
          <w:numId w:val="10"/>
        </w:numPr>
        <w:ind w:left="568"/>
      </w:pPr>
      <w:r>
        <w:t>emerging and innovative treatments and technologies</w:t>
      </w:r>
    </w:p>
    <w:p w14:paraId="62E2C81D" w14:textId="62306F54" w:rsidR="007C276C" w:rsidRPr="00F92482" w:rsidRDefault="007C276C" w:rsidP="007C276C">
      <w:pPr>
        <w:pStyle w:val="Bullet1"/>
      </w:pPr>
      <w:r w:rsidRPr="00F92482">
        <w:t>supporting the services described in the</w:t>
      </w:r>
      <w:r w:rsidR="00786578">
        <w:t xml:space="preserve"> policy</w:t>
      </w:r>
      <w:r w:rsidRPr="00F92482">
        <w:t xml:space="preserve"> ‘</w:t>
      </w:r>
      <w:r w:rsidR="005F4119">
        <w:t xml:space="preserve">statement of </w:t>
      </w:r>
      <w:r>
        <w:t>purpose’</w:t>
      </w:r>
      <w:r w:rsidRPr="00F92482" w:rsidDel="00786578">
        <w:t xml:space="preserve"> </w:t>
      </w:r>
      <w:r w:rsidR="00786578">
        <w:t>by</w:t>
      </w:r>
      <w:r w:rsidR="00786578" w:rsidRPr="00F92482">
        <w:t xml:space="preserve"> </w:t>
      </w:r>
      <w:r w:rsidRPr="00F92482">
        <w:t>invest</w:t>
      </w:r>
      <w:r>
        <w:t>ing</w:t>
      </w:r>
      <w:r w:rsidRPr="00F92482">
        <w:t xml:space="preserve"> in non-admitted specialist services, including allocati</w:t>
      </w:r>
      <w:r>
        <w:t>ng</w:t>
      </w:r>
      <w:r w:rsidRPr="00F92482">
        <w:t xml:space="preserve"> growth funding and reallocati</w:t>
      </w:r>
      <w:r>
        <w:t>ng</w:t>
      </w:r>
      <w:r w:rsidRPr="00F92482">
        <w:t xml:space="preserve"> funds</w:t>
      </w:r>
    </w:p>
    <w:p w14:paraId="3123DD5F" w14:textId="156A2B7A" w:rsidR="007C276C" w:rsidRDefault="007C276C" w:rsidP="007C276C">
      <w:pPr>
        <w:pStyle w:val="Bullet1"/>
      </w:pPr>
      <w:r>
        <w:t>supporting high-quality, evidence-informed clinical services through quality</w:t>
      </w:r>
      <w:r w:rsidR="00FD01C3">
        <w:t xml:space="preserve"> and safety</w:t>
      </w:r>
      <w:r>
        <w:t xml:space="preserve">, pricing and funding frameworks that incentivise </w:t>
      </w:r>
      <w:r w:rsidR="00171079">
        <w:t>achieving the policy objectives</w:t>
      </w:r>
    </w:p>
    <w:p w14:paraId="47F06160" w14:textId="77777777" w:rsidR="007C276C" w:rsidRDefault="007C276C" w:rsidP="007C276C">
      <w:pPr>
        <w:pStyle w:val="Bullet1"/>
      </w:pPr>
      <w:r>
        <w:t xml:space="preserve">describing and implementing capability frameworks, performance monitoring frameworks, statewide </w:t>
      </w:r>
      <w:r w:rsidRPr="00B2599A">
        <w:t>workforce strategies</w:t>
      </w:r>
      <w:r>
        <w:t xml:space="preserve"> and statewide referral criteria</w:t>
      </w:r>
    </w:p>
    <w:p w14:paraId="6BD46DDF" w14:textId="77777777" w:rsidR="007C276C" w:rsidRDefault="007C276C" w:rsidP="007C276C">
      <w:pPr>
        <w:pStyle w:val="Bullet1"/>
      </w:pPr>
      <w:r>
        <w:t>describing the rights and responsibilities of health services, referring clinicians and patients</w:t>
      </w:r>
    </w:p>
    <w:p w14:paraId="4F880796" w14:textId="013D2D66" w:rsidR="007C276C" w:rsidRDefault="007C276C" w:rsidP="007C276C">
      <w:pPr>
        <w:pStyle w:val="Bullet1"/>
      </w:pPr>
      <w:r>
        <w:t>providing the authority for health services to develop local policies, protocols and procedures</w:t>
      </w:r>
    </w:p>
    <w:p w14:paraId="4D261423" w14:textId="1D0EB38D" w:rsidR="007C276C" w:rsidRDefault="007C276C" w:rsidP="007C276C">
      <w:pPr>
        <w:pStyle w:val="Bullet1"/>
      </w:pPr>
      <w:r>
        <w:t xml:space="preserve">describing a statement of priorities for each public health service that is consistent with strategic plans for </w:t>
      </w:r>
      <w:r w:rsidR="00E77C7C">
        <w:t xml:space="preserve">Victorian </w:t>
      </w:r>
      <w:r>
        <w:t>public health services and aligned with government policy directions and priorities.</w:t>
      </w:r>
    </w:p>
    <w:p w14:paraId="4C54CC47" w14:textId="6D1DDB2E" w:rsidR="008C4DD5" w:rsidRDefault="00725502" w:rsidP="00725502">
      <w:pPr>
        <w:pStyle w:val="Heading2"/>
      </w:pPr>
      <w:bookmarkStart w:id="24" w:name="_Toc121210043"/>
      <w:r>
        <w:t>4.2 Health services</w:t>
      </w:r>
      <w:bookmarkEnd w:id="24"/>
    </w:p>
    <w:p w14:paraId="4C096D58" w14:textId="10217321" w:rsidR="00842277" w:rsidRDefault="002F6C7A" w:rsidP="00842277">
      <w:pPr>
        <w:pStyle w:val="Body"/>
      </w:pPr>
      <w:bookmarkStart w:id="25" w:name="_Hlk4404667"/>
      <w:r>
        <w:t>Victorian public h</w:t>
      </w:r>
      <w:r w:rsidR="00842277">
        <w:t>ealth services are responsible for:</w:t>
      </w:r>
    </w:p>
    <w:p w14:paraId="20B49972" w14:textId="7F896E87" w:rsidR="00842277" w:rsidRDefault="003E7991" w:rsidP="00842277">
      <w:pPr>
        <w:pStyle w:val="Bullet1"/>
      </w:pPr>
      <w:r>
        <w:t xml:space="preserve">a shared </w:t>
      </w:r>
      <w:r w:rsidR="002D0633">
        <w:t>duty of care</w:t>
      </w:r>
      <w:r>
        <w:t xml:space="preserve"> for</w:t>
      </w:r>
      <w:r w:rsidR="00842277" w:rsidRPr="00821B73">
        <w:t xml:space="preserve"> </w:t>
      </w:r>
      <w:r w:rsidR="00842277">
        <w:t>each</w:t>
      </w:r>
      <w:r w:rsidR="00842277" w:rsidRPr="00821B73">
        <w:t xml:space="preserve"> patient </w:t>
      </w:r>
      <w:r w:rsidR="00842277">
        <w:t>o</w:t>
      </w:r>
      <w:r w:rsidR="00842277" w:rsidRPr="00821B73">
        <w:t xml:space="preserve">nce a referral </w:t>
      </w:r>
      <w:r w:rsidR="00842277">
        <w:t>is</w:t>
      </w:r>
      <w:r w:rsidR="00842277" w:rsidRPr="00821B73">
        <w:t xml:space="preserve"> accepted </w:t>
      </w:r>
      <w:r w:rsidR="00842277">
        <w:t>(w</w:t>
      </w:r>
      <w:r w:rsidR="00842277" w:rsidRPr="00821B73">
        <w:t xml:space="preserve">hile a </w:t>
      </w:r>
      <w:r w:rsidR="00842277" w:rsidRPr="000C0DAF">
        <w:t>patient is on a list of patients waiting for a new appointment this includ</w:t>
      </w:r>
      <w:r w:rsidR="00842277" w:rsidRPr="00821B73">
        <w:t xml:space="preserve">es taking reasonable efforts to provide services within </w:t>
      </w:r>
      <w:r w:rsidR="00842277">
        <w:t xml:space="preserve">the agreed </w:t>
      </w:r>
      <w:r w:rsidR="00842277" w:rsidRPr="00821B73">
        <w:t>timeframes</w:t>
      </w:r>
      <w:r w:rsidR="00842277">
        <w:t>;</w:t>
      </w:r>
      <w:r w:rsidR="00842277" w:rsidRPr="00821B73">
        <w:t xml:space="preserve"> communicating with </w:t>
      </w:r>
      <w:r w:rsidR="00580F32">
        <w:t xml:space="preserve">the </w:t>
      </w:r>
      <w:r w:rsidR="00842277">
        <w:t>patient</w:t>
      </w:r>
      <w:r w:rsidR="00690A5D">
        <w:t>,</w:t>
      </w:r>
      <w:r w:rsidR="00842277" w:rsidRPr="00821B73">
        <w:t xml:space="preserve"> referring clinician</w:t>
      </w:r>
      <w:r w:rsidR="00580F32">
        <w:t>(</w:t>
      </w:r>
      <w:r w:rsidR="00842277" w:rsidRPr="00821B73">
        <w:t>s</w:t>
      </w:r>
      <w:r w:rsidR="00580F32">
        <w:t>)</w:t>
      </w:r>
      <w:r w:rsidR="00842277" w:rsidRPr="00821B73">
        <w:t xml:space="preserve"> and nominated </w:t>
      </w:r>
      <w:r w:rsidR="00842277">
        <w:t>GP;</w:t>
      </w:r>
      <w:r w:rsidR="00842277" w:rsidRPr="00821B73">
        <w:t xml:space="preserve"> and responding to </w:t>
      </w:r>
      <w:r w:rsidR="00842277">
        <w:t xml:space="preserve">known </w:t>
      </w:r>
      <w:r w:rsidR="00842277" w:rsidRPr="00821B73">
        <w:t xml:space="preserve">changes </w:t>
      </w:r>
      <w:r w:rsidR="00580F32">
        <w:t>in</w:t>
      </w:r>
      <w:r w:rsidR="00842277" w:rsidRPr="00821B73">
        <w:t xml:space="preserve"> the patient’s condition</w:t>
      </w:r>
      <w:r w:rsidR="00842277">
        <w:t>)</w:t>
      </w:r>
    </w:p>
    <w:p w14:paraId="4B6F6109" w14:textId="3D870F46" w:rsidR="00842277" w:rsidRPr="00776544" w:rsidRDefault="00842277" w:rsidP="00842277">
      <w:pPr>
        <w:pStyle w:val="Bullet1"/>
      </w:pPr>
      <w:r w:rsidRPr="00776544">
        <w:t>providing the cultural</w:t>
      </w:r>
      <w:r w:rsidR="00945EBC" w:rsidRPr="00776544">
        <w:t xml:space="preserve"> safety</w:t>
      </w:r>
      <w:r w:rsidR="00093227" w:rsidRPr="00776544">
        <w:t xml:space="preserve"> (including</w:t>
      </w:r>
      <w:r w:rsidR="00397DDB" w:rsidRPr="00776544">
        <w:t xml:space="preserve"> for family violence)</w:t>
      </w:r>
      <w:r w:rsidRPr="00776544">
        <w:t xml:space="preserve">, linguistic or disability support </w:t>
      </w:r>
      <w:r w:rsidR="00B12630" w:rsidRPr="00776544">
        <w:t xml:space="preserve">a </w:t>
      </w:r>
      <w:r w:rsidRPr="00776544">
        <w:t>patient require</w:t>
      </w:r>
      <w:r w:rsidR="00B12630" w:rsidRPr="00776544">
        <w:t>s</w:t>
      </w:r>
      <w:r w:rsidR="00D67797" w:rsidRPr="00776544">
        <w:t>,</w:t>
      </w:r>
      <w:r w:rsidRPr="00776544">
        <w:t xml:space="preserve"> including </w:t>
      </w:r>
      <w:r w:rsidR="00182184" w:rsidRPr="00776544">
        <w:t xml:space="preserve">liaison </w:t>
      </w:r>
      <w:r w:rsidR="000E6650" w:rsidRPr="00776544">
        <w:t>services to support C</w:t>
      </w:r>
      <w:r w:rsidR="0086641A" w:rsidRPr="00776544">
        <w:t>ultur</w:t>
      </w:r>
      <w:r w:rsidR="00182184" w:rsidRPr="00776544">
        <w:t>ally and Linguistically Diverse (CALD) patients</w:t>
      </w:r>
      <w:r w:rsidR="0086641A" w:rsidRPr="00776544">
        <w:t xml:space="preserve"> and</w:t>
      </w:r>
      <w:r w:rsidRPr="00776544">
        <w:t xml:space="preserve"> Aboriginal liaison officer</w:t>
      </w:r>
      <w:r w:rsidR="00182184" w:rsidRPr="00776544">
        <w:t>s</w:t>
      </w:r>
      <w:r w:rsidR="00690C46" w:rsidRPr="00776544">
        <w:t xml:space="preserve"> </w:t>
      </w:r>
    </w:p>
    <w:p w14:paraId="0AEA8012" w14:textId="5CD34D00" w:rsidR="00842277" w:rsidRDefault="00842277" w:rsidP="00842277">
      <w:pPr>
        <w:pStyle w:val="Bullet1"/>
      </w:pPr>
      <w:r>
        <w:t>recognising and, where possible, minimising the ‘cost’ incurred by</w:t>
      </w:r>
      <w:r w:rsidR="0014317F">
        <w:t xml:space="preserve"> the</w:t>
      </w:r>
      <w:r>
        <w:t xml:space="preserve"> patient</w:t>
      </w:r>
      <w:r w:rsidR="0014317F">
        <w:t xml:space="preserve"> their family</w:t>
      </w:r>
      <w:r>
        <w:t xml:space="preserve"> and carer</w:t>
      </w:r>
      <w:r w:rsidR="0014317F">
        <w:t>(</w:t>
      </w:r>
      <w:r>
        <w:t>s</w:t>
      </w:r>
      <w:r w:rsidR="0014317F">
        <w:t>)</w:t>
      </w:r>
      <w:r>
        <w:t xml:space="preserve"> attending </w:t>
      </w:r>
      <w:r w:rsidR="00EB2E0F">
        <w:t xml:space="preserve">non-admitted </w:t>
      </w:r>
      <w:r>
        <w:t>specialist services (for example, missed work, childcare, parking charges, travel times) and other factors that drive non-attendance (for example, appointment times, transport, parking availability)</w:t>
      </w:r>
    </w:p>
    <w:p w14:paraId="051E3D16" w14:textId="73287819" w:rsidR="00732DD0" w:rsidRDefault="00842277" w:rsidP="00732DD0">
      <w:pPr>
        <w:pStyle w:val="Bullet1"/>
      </w:pPr>
      <w:r w:rsidRPr="002C6C2A">
        <w:t xml:space="preserve">offering services via </w:t>
      </w:r>
      <w:r w:rsidR="00713E1C">
        <w:t xml:space="preserve">virtual care </w:t>
      </w:r>
      <w:r w:rsidRPr="002C6C2A">
        <w:t xml:space="preserve">preferably using </w:t>
      </w:r>
      <w:r w:rsidR="00D17D9C">
        <w:t xml:space="preserve">telehealth </w:t>
      </w:r>
      <w:r w:rsidRPr="002C6C2A">
        <w:t>video</w:t>
      </w:r>
      <w:r w:rsidR="00D75BC5">
        <w:t xml:space="preserve"> calling</w:t>
      </w:r>
      <w:r w:rsidR="00451D83">
        <w:t>,</w:t>
      </w:r>
      <w:r w:rsidRPr="002C6C2A">
        <w:t xml:space="preserve"> to enable the transmission of voice, data, images and information (for example</w:t>
      </w:r>
      <w:r w:rsidR="00713E1C">
        <w:t>,</w:t>
      </w:r>
      <w:r w:rsidRPr="002C6C2A">
        <w:t xml:space="preserve"> electronic prescriptions or </w:t>
      </w:r>
      <w:r w:rsidRPr="002C6C2A">
        <w:lastRenderedPageBreak/>
        <w:t xml:space="preserve">orders for investigations) between </w:t>
      </w:r>
      <w:r w:rsidR="001C14AE">
        <w:t xml:space="preserve">patients and </w:t>
      </w:r>
      <w:r w:rsidR="004B68E1">
        <w:t>other health</w:t>
      </w:r>
      <w:r w:rsidR="00EE10DB">
        <w:t>care</w:t>
      </w:r>
      <w:r w:rsidR="00D17D9C">
        <w:t xml:space="preserve"> </w:t>
      </w:r>
      <w:r w:rsidR="00EE10DB">
        <w:t>partners</w:t>
      </w:r>
      <w:r w:rsidR="00732DD0">
        <w:t xml:space="preserve"> aligned with </w:t>
      </w:r>
      <w:hyperlink r:id="rId42" w:history="1">
        <w:r w:rsidR="00BC0589">
          <w:rPr>
            <w:rStyle w:val="Hyperlink"/>
          </w:rPr>
          <w:t>Victoria’s digital health roadmap</w:t>
        </w:r>
      </w:hyperlink>
      <w:r w:rsidR="00BC0589" w:rsidRPr="002D7863">
        <w:rPr>
          <w:i/>
          <w:iCs/>
        </w:rPr>
        <w:t xml:space="preserve"> </w:t>
      </w:r>
      <w:r w:rsidR="00732DD0">
        <w:t>&lt;h</w:t>
      </w:r>
      <w:r w:rsidR="00732DD0" w:rsidRPr="00AE56D7">
        <w:t>ttps://www.health.vic.gov.au/publications/victorias-digital-health-roadmap</w:t>
      </w:r>
      <w:r w:rsidR="00732DD0">
        <w:t>&gt;</w:t>
      </w:r>
    </w:p>
    <w:p w14:paraId="6E255991" w14:textId="60622DBB" w:rsidR="00842277" w:rsidRDefault="00842277" w:rsidP="00842277">
      <w:pPr>
        <w:pStyle w:val="Bullet1"/>
      </w:pPr>
      <w:r>
        <w:t>offering as many services as possible in</w:t>
      </w:r>
      <w:r w:rsidR="00E64020">
        <w:t>:</w:t>
      </w:r>
    </w:p>
    <w:p w14:paraId="29EA0757" w14:textId="77777777" w:rsidR="00842277" w:rsidRDefault="00842277" w:rsidP="4A82134B">
      <w:pPr>
        <w:pStyle w:val="Bullet1"/>
        <w:numPr>
          <w:ilvl w:val="0"/>
          <w:numId w:val="11"/>
        </w:numPr>
        <w:ind w:left="568"/>
      </w:pPr>
      <w:r>
        <w:t>outreach locations</w:t>
      </w:r>
    </w:p>
    <w:p w14:paraId="12284B3B" w14:textId="77777777" w:rsidR="00842277" w:rsidRDefault="00842277" w:rsidP="4A82134B">
      <w:pPr>
        <w:pStyle w:val="Bullet1"/>
        <w:numPr>
          <w:ilvl w:val="0"/>
          <w:numId w:val="11"/>
        </w:numPr>
        <w:ind w:left="568"/>
      </w:pPr>
      <w:r>
        <w:t>the person’s home (where appropriate and agreed to by the patient)</w:t>
      </w:r>
    </w:p>
    <w:p w14:paraId="2EDAD9DF" w14:textId="7ED34FDE" w:rsidR="00842277" w:rsidRDefault="00842277" w:rsidP="4A82134B">
      <w:pPr>
        <w:pStyle w:val="Bullet1"/>
        <w:numPr>
          <w:ilvl w:val="0"/>
          <w:numId w:val="11"/>
        </w:numPr>
        <w:ind w:left="568"/>
      </w:pPr>
      <w:r>
        <w:t xml:space="preserve">in culturally appropriate and safe spaces with appropriate cultural and linguistic support including partnerships with local Aboriginal community-controlled </w:t>
      </w:r>
      <w:r w:rsidR="00FE74CC">
        <w:t xml:space="preserve">health </w:t>
      </w:r>
      <w:r>
        <w:t>organisations</w:t>
      </w:r>
    </w:p>
    <w:p w14:paraId="1CE505C6" w14:textId="77777777" w:rsidR="00842277" w:rsidRDefault="00842277" w:rsidP="4A82134B">
      <w:pPr>
        <w:pStyle w:val="Bullet1"/>
        <w:numPr>
          <w:ilvl w:val="0"/>
          <w:numId w:val="11"/>
        </w:numPr>
        <w:ind w:left="568"/>
      </w:pPr>
      <w:r>
        <w:t>options outside of normal business hours</w:t>
      </w:r>
    </w:p>
    <w:p w14:paraId="191B3487" w14:textId="77777777" w:rsidR="00842277" w:rsidRDefault="00842277" w:rsidP="4A82134B">
      <w:pPr>
        <w:pStyle w:val="Bullet1"/>
        <w:numPr>
          <w:ilvl w:val="0"/>
          <w:numId w:val="11"/>
        </w:numPr>
        <w:ind w:left="568"/>
      </w:pPr>
      <w:r w:rsidRPr="00EB393D">
        <w:t>multiple healthcare provider clinics</w:t>
      </w:r>
    </w:p>
    <w:p w14:paraId="43BAF057" w14:textId="77777777" w:rsidR="00842277" w:rsidRDefault="00842277" w:rsidP="00842277">
      <w:pPr>
        <w:pStyle w:val="Bullet1"/>
      </w:pPr>
      <w:r>
        <w:t>minimising the cancellation of appointments or clinics, particularly through managing planned staff absences and conflicting work schedules</w:t>
      </w:r>
    </w:p>
    <w:p w14:paraId="75A31683" w14:textId="56A63B62" w:rsidR="00842277" w:rsidRDefault="00842277" w:rsidP="00842277">
      <w:pPr>
        <w:pStyle w:val="Bullet1"/>
      </w:pPr>
      <w:r w:rsidRPr="002C6C2A">
        <w:t>offering services such as electronic or telephone advice lines to support referring clinicians to reduce</w:t>
      </w:r>
      <w:r w:rsidR="00D572AF">
        <w:t xml:space="preserve"> inappropriate</w:t>
      </w:r>
      <w:r w:rsidRPr="002C6C2A">
        <w:t xml:space="preserve"> </w:t>
      </w:r>
      <w:r w:rsidR="002049C8">
        <w:t xml:space="preserve">referrals and </w:t>
      </w:r>
      <w:r w:rsidRPr="002C6C2A">
        <w:t>demand for non-admitted specialist services</w:t>
      </w:r>
    </w:p>
    <w:p w14:paraId="0CA3A8C9" w14:textId="77777777" w:rsidR="00842277" w:rsidRDefault="00842277" w:rsidP="00842277">
      <w:pPr>
        <w:pStyle w:val="Bullet1"/>
      </w:pPr>
      <w:r>
        <w:t>accepting all referrals that meet statewide or, in their absence, local referral criteria</w:t>
      </w:r>
    </w:p>
    <w:p w14:paraId="7D8EF0F8" w14:textId="54A12CAC" w:rsidR="00842277" w:rsidRDefault="00842277" w:rsidP="00842277">
      <w:pPr>
        <w:pStyle w:val="Bullet1"/>
      </w:pPr>
      <w:r>
        <w:t xml:space="preserve">ensuring the health service has the </w:t>
      </w:r>
      <w:r w:rsidRPr="0068439F">
        <w:t xml:space="preserve">capability and capacity </w:t>
      </w:r>
      <w:r>
        <w:t>to deliver services (this includes the availability of suitably credentialled</w:t>
      </w:r>
      <w:r w:rsidR="00D8460C">
        <w:t xml:space="preserve"> and privileged</w:t>
      </w:r>
      <w:r w:rsidDel="00EE4F87">
        <w:t xml:space="preserve"> </w:t>
      </w:r>
      <w:r>
        <w:t xml:space="preserve">staff and outlining their scope of practice) </w:t>
      </w:r>
    </w:p>
    <w:p w14:paraId="6FBF6502" w14:textId="453275FA" w:rsidR="00842277" w:rsidRDefault="00842277" w:rsidP="00842277">
      <w:pPr>
        <w:pStyle w:val="Bullet1"/>
      </w:pPr>
      <w:r>
        <w:t xml:space="preserve">using collaborative and shared service delivery models between </w:t>
      </w:r>
      <w:r w:rsidR="00D231F5">
        <w:t xml:space="preserve">Victorian public </w:t>
      </w:r>
      <w:r>
        <w:t>health services and improving integration with primary care</w:t>
      </w:r>
    </w:p>
    <w:p w14:paraId="1C92F4F1" w14:textId="67747E0B" w:rsidR="00842277" w:rsidRDefault="00842277" w:rsidP="00842277">
      <w:pPr>
        <w:pStyle w:val="Bullet1"/>
      </w:pPr>
      <w:r>
        <w:t>ensuring appropriate, equitable access to services by treating each patient in turn based on their clinical need</w:t>
      </w:r>
      <w:r w:rsidR="005D727B">
        <w:t>,</w:t>
      </w:r>
      <w:r w:rsidR="00CA0F54">
        <w:t xml:space="preserve"> </w:t>
      </w:r>
      <w:r w:rsidR="00CA0F54" w:rsidRPr="00DE145E">
        <w:t>related psychosocial factors</w:t>
      </w:r>
      <w:r w:rsidR="00CA0F54">
        <w:t xml:space="preserve"> and any disparities in access</w:t>
      </w:r>
      <w:r w:rsidR="00635A2B">
        <w:t xml:space="preserve"> to health care</w:t>
      </w:r>
    </w:p>
    <w:p w14:paraId="415F9B17" w14:textId="47C7A0DE" w:rsidR="00E02426" w:rsidRPr="00297472" w:rsidRDefault="00E02426" w:rsidP="00E02426">
      <w:pPr>
        <w:pStyle w:val="Bullet1"/>
      </w:pPr>
      <w:bookmarkStart w:id="26" w:name="_Hlk22018295"/>
      <w:r w:rsidRPr="00E81FFE">
        <w:t xml:space="preserve">identifying groups </w:t>
      </w:r>
      <w:r w:rsidR="003C55CC">
        <w:t>who</w:t>
      </w:r>
      <w:r w:rsidR="003C55CC" w:rsidRPr="00E81FFE">
        <w:t xml:space="preserve"> </w:t>
      </w:r>
      <w:r w:rsidRPr="00E81FFE">
        <w:t>encounter disparities in access</w:t>
      </w:r>
      <w:r w:rsidR="003C55CC">
        <w:t>ing</w:t>
      </w:r>
      <w:r w:rsidRPr="00E81FFE">
        <w:t xml:space="preserve"> </w:t>
      </w:r>
      <w:r w:rsidR="003C55CC">
        <w:t>health</w:t>
      </w:r>
      <w:r w:rsidRPr="00E81FFE">
        <w:t xml:space="preserve"> care to services in their local community and describing how the health service </w:t>
      </w:r>
      <w:r>
        <w:t xml:space="preserve">will address </w:t>
      </w:r>
      <w:r w:rsidRPr="00E81FFE">
        <w:t>physical, psychological, social or structural barriers</w:t>
      </w:r>
      <w:r w:rsidR="00CE119C">
        <w:t xml:space="preserve">, particularly for intersectional groups and Aboriginal </w:t>
      </w:r>
      <w:r w:rsidR="00B50309">
        <w:t>communities</w:t>
      </w:r>
    </w:p>
    <w:p w14:paraId="4CCB74BA" w14:textId="1155FA83" w:rsidR="00842277" w:rsidRDefault="00842277" w:rsidP="00842277">
      <w:pPr>
        <w:pStyle w:val="Bullet1"/>
      </w:pPr>
      <w:r>
        <w:t xml:space="preserve">working to improve </w:t>
      </w:r>
      <w:r w:rsidR="006C73F1">
        <w:t xml:space="preserve">patient and referring clinician </w:t>
      </w:r>
      <w:r>
        <w:t>communication</w:t>
      </w:r>
      <w:r w:rsidR="00972AB1">
        <w:t>s</w:t>
      </w:r>
      <w:r>
        <w:t>, connection and coordination of non-admitted specialist services</w:t>
      </w:r>
    </w:p>
    <w:p w14:paraId="3449DFBC" w14:textId="044455FF" w:rsidR="00842277" w:rsidRDefault="00842277" w:rsidP="00842277">
      <w:pPr>
        <w:pStyle w:val="Bullet1"/>
      </w:pPr>
      <w:r>
        <w:t>ensuring no unilateral restrictions, unrelated to clinical need</w:t>
      </w:r>
      <w:r w:rsidR="00E26935">
        <w:t xml:space="preserve"> (</w:t>
      </w:r>
      <w:r w:rsidR="002E4EA4">
        <w:t xml:space="preserve">for example </w:t>
      </w:r>
      <w:r w:rsidR="001A283A">
        <w:t>where the patient lives</w:t>
      </w:r>
      <w:r w:rsidR="000F3539">
        <w:t>,</w:t>
      </w:r>
      <w:r w:rsidR="009A4B2C">
        <w:t xml:space="preserve"> or a lack of appointments</w:t>
      </w:r>
      <w:r w:rsidR="00E26935">
        <w:t>)</w:t>
      </w:r>
      <w:r>
        <w:t>, are applied to access</w:t>
      </w:r>
      <w:r w:rsidR="008076FB">
        <w:t xml:space="preserve">, </w:t>
      </w:r>
      <w:r w:rsidR="004B137B">
        <w:t xml:space="preserve">to </w:t>
      </w:r>
      <w:r>
        <w:t>either</w:t>
      </w:r>
      <w:r w:rsidR="0097332B">
        <w:t xml:space="preserve"> initial</w:t>
      </w:r>
      <w:r>
        <w:t xml:space="preserve"> or ongoing services</w:t>
      </w:r>
    </w:p>
    <w:p w14:paraId="1118F2CF" w14:textId="58D07420" w:rsidR="00842277" w:rsidRPr="005A5280" w:rsidRDefault="00842277" w:rsidP="00842277">
      <w:pPr>
        <w:pStyle w:val="Bullet1"/>
      </w:pPr>
      <w:r>
        <w:t>performing r</w:t>
      </w:r>
      <w:r w:rsidRPr="005A5280">
        <w:t xml:space="preserve">outine administrative and clinical audits of all </w:t>
      </w:r>
      <w:r>
        <w:t xml:space="preserve">patients </w:t>
      </w:r>
      <w:r w:rsidRPr="005A5280">
        <w:t xml:space="preserve">waiting </w:t>
      </w:r>
      <w:r>
        <w:t xml:space="preserve">for a new or review </w:t>
      </w:r>
      <w:r w:rsidR="00172DF2">
        <w:t xml:space="preserve">of their </w:t>
      </w:r>
      <w:r>
        <w:t>appointment</w:t>
      </w:r>
    </w:p>
    <w:p w14:paraId="0527BBEE" w14:textId="06F624EC" w:rsidR="00842277" w:rsidRDefault="00842277" w:rsidP="00842277">
      <w:pPr>
        <w:pStyle w:val="Bullet1"/>
      </w:pPr>
      <w:r>
        <w:t>understanding local demand</w:t>
      </w:r>
      <w:r w:rsidR="005252D9">
        <w:t>,</w:t>
      </w:r>
      <w:r>
        <w:t xml:space="preserve"> and planning with the department and other providers to meet demand and minimise gaps in service availability</w:t>
      </w:r>
      <w:r w:rsidR="005B589D">
        <w:t xml:space="preserve"> </w:t>
      </w:r>
    </w:p>
    <w:p w14:paraId="0FD164DD" w14:textId="3E2412A3" w:rsidR="00842277" w:rsidRDefault="00842277" w:rsidP="00842277">
      <w:pPr>
        <w:pStyle w:val="Bullet1"/>
      </w:pPr>
      <w:r>
        <w:t>ensuring that information provided to patients</w:t>
      </w:r>
      <w:r w:rsidR="005B589D">
        <w:t>,</w:t>
      </w:r>
      <w:r w:rsidDel="005B589D">
        <w:t xml:space="preserve"> </w:t>
      </w:r>
      <w:r>
        <w:t>their</w:t>
      </w:r>
      <w:r w:rsidR="005B589D">
        <w:t xml:space="preserve"> family and</w:t>
      </w:r>
      <w:r>
        <w:t xml:space="preserve"> carers about access to services is consistent with this policy</w:t>
      </w:r>
      <w:r w:rsidR="00723CC7">
        <w:t xml:space="preserve"> and </w:t>
      </w:r>
      <w:r w:rsidR="00AE6375">
        <w:t xml:space="preserve">is accessible for each patient meeting their </w:t>
      </w:r>
      <w:r w:rsidR="00F35092">
        <w:t>communication needs</w:t>
      </w:r>
    </w:p>
    <w:bookmarkEnd w:id="26"/>
    <w:p w14:paraId="6F17254F" w14:textId="3EFCDEB2" w:rsidR="00842277" w:rsidRDefault="00842277" w:rsidP="00842277">
      <w:pPr>
        <w:pStyle w:val="Bullet1"/>
      </w:pPr>
      <w:r>
        <w:t>ensuring appropriate discharge planning</w:t>
      </w:r>
      <w:r w:rsidR="00473A16">
        <w:t xml:space="preserve"> that is</w:t>
      </w:r>
      <w:r>
        <w:t xml:space="preserve"> linked to the reason for referral given by the referring clinician</w:t>
      </w:r>
      <w:r w:rsidR="0022006C">
        <w:t xml:space="preserve"> </w:t>
      </w:r>
    </w:p>
    <w:p w14:paraId="65FF3C49" w14:textId="77777777" w:rsidR="00842277" w:rsidRDefault="00842277" w:rsidP="00842277">
      <w:pPr>
        <w:pStyle w:val="Bullet1"/>
      </w:pPr>
      <w:r>
        <w:t>monitoring the impact of services and rapidly responding to inadequate performance or changes in demand</w:t>
      </w:r>
    </w:p>
    <w:p w14:paraId="0BB8AEA4" w14:textId="77777777" w:rsidR="00842277" w:rsidRDefault="00842277" w:rsidP="00842277">
      <w:pPr>
        <w:pStyle w:val="Bullet1"/>
      </w:pPr>
      <w:r>
        <w:t>advising the department of temporary or long-term reductions to capability or capacity that will affect availability or waiting times (this must include a proposed management plan to ensure all patients waiting for an appointment receive the required service; this may require a transfer to another health service)</w:t>
      </w:r>
    </w:p>
    <w:bookmarkEnd w:id="25"/>
    <w:p w14:paraId="47106F31" w14:textId="77777777" w:rsidR="00842277" w:rsidRDefault="00842277" w:rsidP="00842277">
      <w:pPr>
        <w:pStyle w:val="Bullet1"/>
      </w:pPr>
      <w:r>
        <w:t>meeting all requirements for claiming monies through Medicare (for example, required referrals, Medicare eligibility) if the health service chooses to offer MBS-billed services (private consultations in a public room) in addition to public consultations in a public room</w:t>
      </w:r>
    </w:p>
    <w:p w14:paraId="5C868BAF" w14:textId="77777777" w:rsidR="00842277" w:rsidRDefault="00842277" w:rsidP="00842277">
      <w:pPr>
        <w:pStyle w:val="Bullet1"/>
      </w:pPr>
      <w:r>
        <w:lastRenderedPageBreak/>
        <w:t>performance monitoring and oversight, including complete and accurate referral management</w:t>
      </w:r>
    </w:p>
    <w:p w14:paraId="30A98D18" w14:textId="762F62C1" w:rsidR="00842277" w:rsidRDefault="00842277" w:rsidP="00E81A15">
      <w:pPr>
        <w:pStyle w:val="Bullet1"/>
      </w:pPr>
      <w:r>
        <w:t xml:space="preserve">ensuring compliance with the </w:t>
      </w:r>
      <w:r w:rsidR="00E81A15" w:rsidRPr="005D2ECB">
        <w:t xml:space="preserve">department’s annual publication </w:t>
      </w:r>
      <w:hyperlink r:id="rId43" w:history="1">
        <w:r w:rsidR="00E81A15" w:rsidRPr="005D2ECB">
          <w:rPr>
            <w:rStyle w:val="Hyperlink"/>
          </w:rPr>
          <w:t>Policy and funding guidelines for health services</w:t>
        </w:r>
      </w:hyperlink>
      <w:r w:rsidR="00E81A15" w:rsidRPr="005D2ECB">
        <w:t xml:space="preserve"> &lt;</w:t>
      </w:r>
      <w:hyperlink r:id="rId44" w:history="1">
        <w:r w:rsidR="00E81A15" w:rsidRPr="005D2ECB">
          <w:rPr>
            <w:rStyle w:val="Hyperlink"/>
            <w:color w:val="auto"/>
            <w:u w:val="none"/>
          </w:rPr>
          <w:t>https://www.health.vic.gov.au/policy-and-funding-guidelines-for-health-services</w:t>
        </w:r>
      </w:hyperlink>
      <w:r w:rsidR="00E81A15" w:rsidRPr="005D2ECB">
        <w:t>&gt;</w:t>
      </w:r>
      <w:r w:rsidR="008B3E44" w:rsidRPr="005D2ECB">
        <w:rPr>
          <w:i/>
          <w:iCs/>
        </w:rPr>
        <w:t>,</w:t>
      </w:r>
      <w:r w:rsidR="008B3E44">
        <w:rPr>
          <w:i/>
          <w:iCs/>
        </w:rPr>
        <w:t xml:space="preserve"> </w:t>
      </w:r>
      <w:r w:rsidR="008B3E44" w:rsidRPr="00B320AA">
        <w:t>the</w:t>
      </w:r>
      <w:r w:rsidRPr="00B320AA">
        <w:t xml:space="preserve"> </w:t>
      </w:r>
      <w:hyperlink r:id="rId45" w:history="1">
        <w:r w:rsidR="0007398D">
          <w:rPr>
            <w:rStyle w:val="Hyperlink"/>
          </w:rPr>
          <w:t>Performance monitoring framework</w:t>
        </w:r>
      </w:hyperlink>
      <w:r w:rsidR="0007398D">
        <w:rPr>
          <w:iCs/>
        </w:rPr>
        <w:t xml:space="preserve"> &lt;h</w:t>
      </w:r>
      <w:r w:rsidR="0007398D" w:rsidRPr="00FC42C8">
        <w:rPr>
          <w:iCs/>
        </w:rPr>
        <w:t>ttps://www.health.vic.gov.au/funding-performance-accountability/performance-monitoring-framework</w:t>
      </w:r>
      <w:r w:rsidR="0007398D">
        <w:rPr>
          <w:iCs/>
        </w:rPr>
        <w:t>&gt;</w:t>
      </w:r>
      <w:r w:rsidR="00E81A15">
        <w:t xml:space="preserve"> </w:t>
      </w:r>
      <w:r w:rsidR="00224B41" w:rsidRPr="00E81A15">
        <w:rPr>
          <w:iCs/>
        </w:rPr>
        <w:t>and other</w:t>
      </w:r>
      <w:r w:rsidR="00577EAF">
        <w:rPr>
          <w:iCs/>
        </w:rPr>
        <w:t xml:space="preserve"> </w:t>
      </w:r>
      <w:hyperlink r:id="rId46" w:history="1">
        <w:r w:rsidR="00577EAF">
          <w:rPr>
            <w:rStyle w:val="Hyperlink"/>
          </w:rPr>
          <w:t>Funding, performance and accountability</w:t>
        </w:r>
      </w:hyperlink>
      <w:r w:rsidR="00D85A89" w:rsidRPr="00E81A15">
        <w:rPr>
          <w:iCs/>
        </w:rPr>
        <w:t xml:space="preserve"> </w:t>
      </w:r>
      <w:r w:rsidR="00D828B9" w:rsidRPr="00E81A15">
        <w:rPr>
          <w:iCs/>
        </w:rPr>
        <w:t xml:space="preserve">policies &lt;https://www.health.vic.gov.au/hospitals-and-health-services/funding-performance-and-accountability&gt; </w:t>
      </w:r>
      <w:r>
        <w:t xml:space="preserve">and </w:t>
      </w:r>
      <w:r w:rsidRPr="00B2599A">
        <w:t>workforce strategies</w:t>
      </w:r>
      <w:r>
        <w:t xml:space="preserve"> by</w:t>
      </w:r>
      <w:r w:rsidR="008076FB">
        <w:t>:</w:t>
      </w:r>
    </w:p>
    <w:p w14:paraId="7396A75C" w14:textId="77777777" w:rsidR="00842277" w:rsidRDefault="00842277" w:rsidP="4A82134B">
      <w:pPr>
        <w:pStyle w:val="Bullet1"/>
        <w:numPr>
          <w:ilvl w:val="0"/>
          <w:numId w:val="12"/>
        </w:numPr>
        <w:ind w:left="568"/>
      </w:pPr>
      <w:r>
        <w:t>ensuring the accurate and timely submission of data and other information</w:t>
      </w:r>
    </w:p>
    <w:p w14:paraId="759F65DC" w14:textId="77777777" w:rsidR="00842277" w:rsidRDefault="00842277" w:rsidP="4A82134B">
      <w:pPr>
        <w:pStyle w:val="Bullet1"/>
        <w:numPr>
          <w:ilvl w:val="0"/>
          <w:numId w:val="12"/>
        </w:numPr>
        <w:ind w:left="568"/>
      </w:pPr>
      <w:r>
        <w:t>reporting any emerging risk of potential performance issues</w:t>
      </w:r>
    </w:p>
    <w:p w14:paraId="7F13A96C" w14:textId="01FACAD3" w:rsidR="00842277" w:rsidRDefault="00842277" w:rsidP="4A82134B">
      <w:pPr>
        <w:pStyle w:val="Bullet1"/>
        <w:numPr>
          <w:ilvl w:val="0"/>
          <w:numId w:val="12"/>
        </w:numPr>
        <w:ind w:left="568"/>
      </w:pPr>
      <w:r>
        <w:t xml:space="preserve">collaborating with other health services and health system partners to meet the health needs of </w:t>
      </w:r>
      <w:r w:rsidR="00723CC7">
        <w:t>your</w:t>
      </w:r>
      <w:r>
        <w:t xml:space="preserve"> communities.</w:t>
      </w:r>
    </w:p>
    <w:p w14:paraId="2D6E6A8C" w14:textId="7FB52DCE" w:rsidR="00725502" w:rsidRDefault="006576B6" w:rsidP="006576B6">
      <w:pPr>
        <w:pStyle w:val="Heading2"/>
      </w:pPr>
      <w:bookmarkStart w:id="27" w:name="_Toc121210044"/>
      <w:r>
        <w:t>4.3 Referring clinicians</w:t>
      </w:r>
      <w:bookmarkEnd w:id="27"/>
    </w:p>
    <w:p w14:paraId="7CCE5EC9" w14:textId="77777777" w:rsidR="002C2FED" w:rsidRDefault="002C2FED" w:rsidP="002C2FED">
      <w:pPr>
        <w:pStyle w:val="Body"/>
        <w:rPr>
          <w:lang w:eastAsia="en-AU"/>
        </w:rPr>
      </w:pPr>
      <w:r>
        <w:rPr>
          <w:lang w:eastAsia="en-AU"/>
        </w:rPr>
        <w:t>Referring clinicians (internal and external to the health service) are responsible for:</w:t>
      </w:r>
    </w:p>
    <w:p w14:paraId="141739C3" w14:textId="1F8624FD" w:rsidR="002C2FED" w:rsidRDefault="002C2FED" w:rsidP="002C2FED">
      <w:pPr>
        <w:pStyle w:val="Bullet1"/>
      </w:pPr>
      <w:r>
        <w:t xml:space="preserve">considering options available to the patient in the community setting and </w:t>
      </w:r>
      <w:r w:rsidRPr="007A1BDF">
        <w:t>inform</w:t>
      </w:r>
      <w:r>
        <w:t>ing</w:t>
      </w:r>
      <w:r w:rsidRPr="007A1BDF">
        <w:t xml:space="preserve"> </w:t>
      </w:r>
      <w:r>
        <w:t xml:space="preserve">the </w:t>
      </w:r>
      <w:r w:rsidRPr="007A1BDF">
        <w:t xml:space="preserve">patient of current treatment options so </w:t>
      </w:r>
      <w:r w:rsidR="00284A64">
        <w:t xml:space="preserve">that </w:t>
      </w:r>
      <w:r>
        <w:t xml:space="preserve">the </w:t>
      </w:r>
      <w:r w:rsidRPr="007A1BDF">
        <w:t xml:space="preserve">patient can </w:t>
      </w:r>
      <w:r>
        <w:t xml:space="preserve">participate in decision making about their future care and treatments </w:t>
      </w:r>
      <w:r w:rsidR="004F28C7">
        <w:rPr>
          <w:rFonts w:cs="Arial"/>
          <w:lang w:eastAsia="en-AU"/>
        </w:rPr>
        <w:t>&lt;h</w:t>
      </w:r>
      <w:r w:rsidR="004F28C7" w:rsidRPr="004F28C7">
        <w:rPr>
          <w:rFonts w:cs="Arial"/>
          <w:lang w:eastAsia="en-AU"/>
        </w:rPr>
        <w:t>ttps://www.racgp.org.au/running-a-practice/practice-standards/standards-5th-edition/standards-for-general-practices-5th-ed</w:t>
      </w:r>
      <w:r w:rsidR="004F28C7">
        <w:rPr>
          <w:rFonts w:cs="Arial"/>
          <w:lang w:eastAsia="en-AU"/>
        </w:rPr>
        <w:t>&gt;</w:t>
      </w:r>
    </w:p>
    <w:p w14:paraId="5A0FA150" w14:textId="2FFC78DD" w:rsidR="002C2FED" w:rsidRDefault="002C2FED" w:rsidP="002C2FED">
      <w:pPr>
        <w:pStyle w:val="Bullet1"/>
      </w:pPr>
      <w:r>
        <w:t>ensuring referrals to health services for non-admitted specialist services are made with the patient’s agreement, recognis</w:t>
      </w:r>
      <w:r w:rsidR="00E94648">
        <w:t>es</w:t>
      </w:r>
      <w:r>
        <w:t xml:space="preserve"> the content of any advance care directive and including that the patient has agreed that their personal and health information can be shared with the health service</w:t>
      </w:r>
    </w:p>
    <w:p w14:paraId="24AC721A" w14:textId="59FEC8D0" w:rsidR="002C2FED" w:rsidRDefault="002C2FED" w:rsidP="002C2FED">
      <w:pPr>
        <w:pStyle w:val="Bullet1"/>
      </w:pPr>
      <w:r>
        <w:t xml:space="preserve">complying with statewide or local referral criteria and providing complete and accurate information on the referral requests to streamline the referral process and patient access </w:t>
      </w:r>
      <w:r w:rsidR="00E3792D">
        <w:rPr>
          <w:rFonts w:cs="Arial"/>
          <w:lang w:eastAsia="en-AU"/>
        </w:rPr>
        <w:t>&lt;h</w:t>
      </w:r>
      <w:r w:rsidR="00E3792D" w:rsidRPr="00E3792D">
        <w:rPr>
          <w:rFonts w:cs="Arial"/>
          <w:lang w:eastAsia="en-AU"/>
        </w:rPr>
        <w:t>ttps://www.ama.com.au/articles/10-minimum-standards-communication-between-health-services-and-general-practitioners-and</w:t>
      </w:r>
      <w:r w:rsidR="00E3792D">
        <w:rPr>
          <w:rFonts w:cs="Arial"/>
          <w:lang w:eastAsia="en-AU"/>
        </w:rPr>
        <w:t xml:space="preserve">&gt;, </w:t>
      </w:r>
      <w:r w:rsidR="00475AF3">
        <w:rPr>
          <w:rFonts w:cs="Arial"/>
          <w:lang w:eastAsia="en-AU"/>
        </w:rPr>
        <w:t>noting</w:t>
      </w:r>
      <w:r w:rsidR="00984F3A">
        <w:rPr>
          <w:rFonts w:cs="Arial"/>
          <w:lang w:eastAsia="en-AU"/>
        </w:rPr>
        <w:t xml:space="preserve"> </w:t>
      </w:r>
      <w:r>
        <w:t xml:space="preserve">the minimum referral </w:t>
      </w:r>
      <w:r w:rsidR="00E3792D">
        <w:t xml:space="preserve">information </w:t>
      </w:r>
      <w:r>
        <w:t xml:space="preserve">required is detailed in Appendix </w:t>
      </w:r>
      <w:r w:rsidR="00B87BC1">
        <w:t>1</w:t>
      </w:r>
    </w:p>
    <w:p w14:paraId="3BE107A8" w14:textId="42EF8E0D" w:rsidR="00975532" w:rsidRDefault="00975532" w:rsidP="002C2FED">
      <w:pPr>
        <w:pStyle w:val="Bullet1"/>
      </w:pPr>
      <w:r>
        <w:t xml:space="preserve">providing their contact details and indicating their preferred method of communication </w:t>
      </w:r>
      <w:r w:rsidRPr="003777FD">
        <w:t>for correspondence with the health service</w:t>
      </w:r>
    </w:p>
    <w:p w14:paraId="06A2027A" w14:textId="024E4CFD" w:rsidR="002C2FED" w:rsidRDefault="002C2FED" w:rsidP="002C2FED">
      <w:pPr>
        <w:pStyle w:val="Bullet1"/>
      </w:pPr>
      <w:r>
        <w:t>continuing to monitor the patient’s condition and notifying the health service if there is a change in the patient’s condition that could affect the urgency of treatment</w:t>
      </w:r>
      <w:r w:rsidR="00992065">
        <w:t>,</w:t>
      </w:r>
      <w:r>
        <w:t xml:space="preserve"> or the care required.</w:t>
      </w:r>
    </w:p>
    <w:p w14:paraId="64AB46F2" w14:textId="77322326" w:rsidR="006576B6" w:rsidRDefault="002C2FED" w:rsidP="002C2FED">
      <w:pPr>
        <w:pStyle w:val="Heading2"/>
      </w:pPr>
      <w:bookmarkStart w:id="28" w:name="_Toc121210045"/>
      <w:r>
        <w:t>4.4. Patients</w:t>
      </w:r>
      <w:r w:rsidR="00347C39">
        <w:t xml:space="preserve"> and consumers</w:t>
      </w:r>
      <w:bookmarkEnd w:id="28"/>
    </w:p>
    <w:p w14:paraId="596CD46C" w14:textId="51308084" w:rsidR="00166AA4" w:rsidRDefault="00166AA4" w:rsidP="00166AA4">
      <w:pPr>
        <w:pStyle w:val="Body"/>
      </w:pPr>
      <w:r>
        <w:t>Patients</w:t>
      </w:r>
      <w:r w:rsidR="00132B58">
        <w:t xml:space="preserve"> and consumers</w:t>
      </w:r>
      <w:r>
        <w:t xml:space="preserve"> are responsible for:</w:t>
      </w:r>
    </w:p>
    <w:p w14:paraId="3F1E11B8" w14:textId="0FEB9E6F" w:rsidR="00166AA4" w:rsidRDefault="00166AA4" w:rsidP="00166AA4">
      <w:pPr>
        <w:pStyle w:val="Bullet1"/>
      </w:pPr>
      <w:r>
        <w:t xml:space="preserve">participating as much as </w:t>
      </w:r>
      <w:r w:rsidR="00347C39">
        <w:t xml:space="preserve">able </w:t>
      </w:r>
      <w:r w:rsidR="00172A3B">
        <w:t>or</w:t>
      </w:r>
      <w:r>
        <w:t xml:space="preserve"> desired in decision making about their</w:t>
      </w:r>
      <w:r w:rsidRPr="007A1BDF">
        <w:t xml:space="preserve"> care </w:t>
      </w:r>
    </w:p>
    <w:p w14:paraId="7F9A9B8D" w14:textId="621D6C81" w:rsidR="00166AA4" w:rsidRPr="00373E0E" w:rsidRDefault="00166AA4" w:rsidP="00166AA4">
      <w:pPr>
        <w:pStyle w:val="Bullet1"/>
      </w:pPr>
      <w:r>
        <w:t xml:space="preserve">participating as much as </w:t>
      </w:r>
      <w:r w:rsidR="00E83DBB">
        <w:t xml:space="preserve">able </w:t>
      </w:r>
      <w:r w:rsidR="00172A3B">
        <w:t>or</w:t>
      </w:r>
      <w:r>
        <w:t xml:space="preserve"> desired in the care plan developed</w:t>
      </w:r>
      <w:r w:rsidR="00E83DBB">
        <w:t>,</w:t>
      </w:r>
      <w:r>
        <w:t xml:space="preserve"> noting that unpaid carers </w:t>
      </w:r>
      <w:r w:rsidR="00E83DBB">
        <w:t xml:space="preserve">and family </w:t>
      </w:r>
      <w:r>
        <w:t xml:space="preserve">are partners in the planning and delivery of care and support </w:t>
      </w:r>
    </w:p>
    <w:p w14:paraId="4DF6A8F5" w14:textId="6344836D" w:rsidR="00166AA4" w:rsidRDefault="00166AA4" w:rsidP="00166AA4">
      <w:pPr>
        <w:pStyle w:val="Bullet1"/>
      </w:pPr>
      <w:r>
        <w:t>consenting to their personal and health information being shared between the health service, referring clinician, their nominated GP and other health service providers as required to facilitate their treatment or care</w:t>
      </w:r>
    </w:p>
    <w:p w14:paraId="0193AFE3" w14:textId="01D4D0F2" w:rsidR="00166AA4" w:rsidRDefault="00166AA4" w:rsidP="00166AA4">
      <w:pPr>
        <w:pStyle w:val="Bullet1"/>
      </w:pPr>
      <w:r>
        <w:t>providing their contact details and indicating their preferred method of communication</w:t>
      </w:r>
      <w:r w:rsidR="0030695C">
        <w:t xml:space="preserve"> </w:t>
      </w:r>
      <w:r w:rsidR="007B7056" w:rsidRPr="003777FD">
        <w:t xml:space="preserve">for correspondence with the health service </w:t>
      </w:r>
      <w:r w:rsidR="003777FD" w:rsidRPr="003777FD">
        <w:t xml:space="preserve">between and </w:t>
      </w:r>
      <w:r w:rsidR="007B7056" w:rsidRPr="003777FD">
        <w:t>during clinical consultations</w:t>
      </w:r>
    </w:p>
    <w:p w14:paraId="0A3F6EC2" w14:textId="689BA66B" w:rsidR="004C716C" w:rsidRDefault="004C716C" w:rsidP="004C716C">
      <w:pPr>
        <w:pStyle w:val="Bullet1"/>
      </w:pPr>
      <w:r>
        <w:t>responding to correspondence and requests from the health service</w:t>
      </w:r>
      <w:r w:rsidR="005425C8">
        <w:t xml:space="preserve"> in a timely manner</w:t>
      </w:r>
    </w:p>
    <w:p w14:paraId="6073E57E" w14:textId="429086A7" w:rsidR="00ED639C" w:rsidRPr="00A6784E" w:rsidRDefault="00ED639C" w:rsidP="00ED639C">
      <w:pPr>
        <w:pStyle w:val="Bullet1"/>
      </w:pPr>
      <w:r w:rsidRPr="00A6784E">
        <w:lastRenderedPageBreak/>
        <w:t xml:space="preserve">consenting </w:t>
      </w:r>
      <w:r w:rsidR="009F6DAF">
        <w:t xml:space="preserve">where possible </w:t>
      </w:r>
      <w:r w:rsidRPr="00A6784E">
        <w:t xml:space="preserve">to </w:t>
      </w:r>
      <w:r w:rsidR="004603DE">
        <w:t xml:space="preserve">offers to </w:t>
      </w:r>
      <w:r>
        <w:t>receiv</w:t>
      </w:r>
      <w:r w:rsidR="004603DE">
        <w:t>e</w:t>
      </w:r>
      <w:r>
        <w:t xml:space="preserve"> </w:t>
      </w:r>
      <w:r w:rsidRPr="00A6784E">
        <w:t>home-delivered services</w:t>
      </w:r>
      <w:r>
        <w:t xml:space="preserve"> or services delivered via </w:t>
      </w:r>
      <w:r w:rsidR="00FC0220">
        <w:t>virtual care (</w:t>
      </w:r>
      <w:r>
        <w:t>telehealth</w:t>
      </w:r>
      <w:r w:rsidR="00FC0220">
        <w:t>)</w:t>
      </w:r>
    </w:p>
    <w:p w14:paraId="19CF4DDE" w14:textId="0104AD45" w:rsidR="00166AA4" w:rsidRDefault="00166AA4" w:rsidP="00166AA4">
      <w:pPr>
        <w:pStyle w:val="Bullet1"/>
      </w:pPr>
      <w:r>
        <w:t>preparing for appointments or services</w:t>
      </w:r>
      <w:r w:rsidR="468D89BE">
        <w:t xml:space="preserve">, </w:t>
      </w:r>
      <w:r w:rsidR="00FC0220">
        <w:t>for example</w:t>
      </w:r>
      <w:r>
        <w:t xml:space="preserve"> accessing any required tests and investigations</w:t>
      </w:r>
      <w:r w:rsidR="00183953">
        <w:t>,</w:t>
      </w:r>
      <w:r>
        <w:t xml:space="preserve"> and being available or attending at the arranged time</w:t>
      </w:r>
    </w:p>
    <w:p w14:paraId="40EAEC2E" w14:textId="77777777" w:rsidR="00166AA4" w:rsidRDefault="00166AA4" w:rsidP="00166AA4">
      <w:pPr>
        <w:pStyle w:val="Bullet1"/>
      </w:pPr>
      <w:r>
        <w:t xml:space="preserve">informing the health service about: </w:t>
      </w:r>
    </w:p>
    <w:p w14:paraId="0F737E56" w14:textId="36FB6D3B" w:rsidR="00166AA4" w:rsidRDefault="00166AA4" w:rsidP="4A82134B">
      <w:pPr>
        <w:pStyle w:val="Bullet1"/>
        <w:numPr>
          <w:ilvl w:val="0"/>
          <w:numId w:val="13"/>
        </w:numPr>
        <w:ind w:left="568"/>
      </w:pPr>
      <w:r>
        <w:t>their reliance on a carer</w:t>
      </w:r>
      <w:r w:rsidR="009B79A5">
        <w:t>,</w:t>
      </w:r>
      <w:r w:rsidR="00B901B8">
        <w:t xml:space="preserve"> family member</w:t>
      </w:r>
      <w:r w:rsidR="009B79A5">
        <w:t xml:space="preserve"> or supporter</w:t>
      </w:r>
    </w:p>
    <w:p w14:paraId="5CC26E53" w14:textId="1F14D587" w:rsidR="00166AA4" w:rsidRDefault="00166AA4" w:rsidP="4A82134B">
      <w:pPr>
        <w:pStyle w:val="Bullet1"/>
        <w:numPr>
          <w:ilvl w:val="0"/>
          <w:numId w:val="13"/>
        </w:numPr>
        <w:ind w:left="568"/>
      </w:pPr>
      <w:r>
        <w:t>the need for cultural</w:t>
      </w:r>
      <w:r w:rsidR="008362F8">
        <w:t xml:space="preserve"> safe</w:t>
      </w:r>
      <w:r w:rsidR="00CA734C">
        <w:t>ty</w:t>
      </w:r>
      <w:r>
        <w:t>, linguistic or disability support</w:t>
      </w:r>
    </w:p>
    <w:p w14:paraId="2A0F5220" w14:textId="7A0C3C9B" w:rsidR="00166AA4" w:rsidRDefault="00166AA4" w:rsidP="4A82134B">
      <w:pPr>
        <w:pStyle w:val="Bullet1"/>
        <w:numPr>
          <w:ilvl w:val="0"/>
          <w:numId w:val="13"/>
        </w:numPr>
        <w:ind w:left="568"/>
      </w:pPr>
      <w:r>
        <w:t>changes to their clinical condition</w:t>
      </w:r>
      <w:r w:rsidR="00B901B8">
        <w:t>(</w:t>
      </w:r>
      <w:r>
        <w:t>s</w:t>
      </w:r>
      <w:r w:rsidR="00B901B8">
        <w:t>)</w:t>
      </w:r>
    </w:p>
    <w:p w14:paraId="28CE65A6" w14:textId="544A32EF" w:rsidR="00166AA4" w:rsidRDefault="00166AA4" w:rsidP="4A82134B">
      <w:pPr>
        <w:pStyle w:val="Bullet1"/>
        <w:numPr>
          <w:ilvl w:val="0"/>
          <w:numId w:val="13"/>
        </w:numPr>
        <w:ind w:left="568"/>
      </w:pPr>
      <w:r>
        <w:t xml:space="preserve">issues that may impact on the suitability of their home for the safe delivery of services </w:t>
      </w:r>
    </w:p>
    <w:p w14:paraId="111E6AD9" w14:textId="3DD042FB" w:rsidR="00166AA4" w:rsidRDefault="00166AA4" w:rsidP="4A82134B">
      <w:pPr>
        <w:pStyle w:val="Bullet1"/>
        <w:numPr>
          <w:ilvl w:val="0"/>
          <w:numId w:val="13"/>
        </w:numPr>
        <w:ind w:left="568"/>
      </w:pPr>
      <w:r>
        <w:t xml:space="preserve">their reliance on transport </w:t>
      </w:r>
      <w:r w:rsidR="000D3334">
        <w:t xml:space="preserve">and accommodation </w:t>
      </w:r>
      <w:r>
        <w:t>support</w:t>
      </w:r>
    </w:p>
    <w:p w14:paraId="56F5BCA1" w14:textId="5720CAE9" w:rsidR="00166AA4" w:rsidRDefault="00166AA4" w:rsidP="4A82134B">
      <w:pPr>
        <w:pStyle w:val="Bullet1"/>
        <w:numPr>
          <w:ilvl w:val="0"/>
          <w:numId w:val="13"/>
        </w:numPr>
        <w:ind w:left="568"/>
      </w:pPr>
      <w:r>
        <w:t>their contact details, nominated GP</w:t>
      </w:r>
      <w:r w:rsidR="001E0A78">
        <w:t xml:space="preserve"> and</w:t>
      </w:r>
      <w:r>
        <w:t xml:space="preserve"> next of kin</w:t>
      </w:r>
      <w:r w:rsidR="00A85A46">
        <w:t xml:space="preserve"> or </w:t>
      </w:r>
      <w:r w:rsidR="009764EE">
        <w:t>m</w:t>
      </w:r>
      <w:r w:rsidR="00A85A46">
        <w:t xml:space="preserve">edical </w:t>
      </w:r>
      <w:r w:rsidR="008576B0">
        <w:t>treatment decision maker</w:t>
      </w:r>
      <w:r w:rsidR="008C0A1D">
        <w:t xml:space="preserve"> </w:t>
      </w:r>
      <w:r w:rsidR="001F5DEA">
        <w:t xml:space="preserve">as described in the </w:t>
      </w:r>
      <w:hyperlink r:id="rId47" w:history="1">
        <w:r w:rsidR="001F5DEA" w:rsidRPr="001F5DEA">
          <w:rPr>
            <w:rStyle w:val="Hyperlink"/>
          </w:rPr>
          <w:t>Medical Treatment Planning and Decisions Act 2016</w:t>
        </w:r>
      </w:hyperlink>
      <w:r w:rsidR="001F5DEA">
        <w:t xml:space="preserve"> </w:t>
      </w:r>
      <w:r w:rsidR="008C0A1D">
        <w:t>&lt;</w:t>
      </w:r>
      <w:r w:rsidR="008C0A1D" w:rsidRPr="001C64D1">
        <w:t>https://www.legislation.vic.gov.au/in-force/acts/medical-treatment-planning-and-decisions-act-2016/009</w:t>
      </w:r>
      <w:r w:rsidR="008C0A1D">
        <w:t xml:space="preserve">&gt; </w:t>
      </w:r>
    </w:p>
    <w:p w14:paraId="2C52565D" w14:textId="77777777" w:rsidR="00166AA4" w:rsidRDefault="00166AA4" w:rsidP="4A82134B">
      <w:pPr>
        <w:pStyle w:val="Bullet1"/>
        <w:numPr>
          <w:ilvl w:val="0"/>
          <w:numId w:val="13"/>
        </w:numPr>
        <w:ind w:left="568"/>
      </w:pPr>
      <w:r>
        <w:t>their inability to be available or attend a scheduled appointment or service</w:t>
      </w:r>
    </w:p>
    <w:p w14:paraId="6DC7FA82" w14:textId="19AD7D2C" w:rsidR="00166AA4" w:rsidRDefault="00166AA4" w:rsidP="4A82134B">
      <w:pPr>
        <w:pStyle w:val="Bullet1"/>
        <w:numPr>
          <w:ilvl w:val="0"/>
          <w:numId w:val="13"/>
        </w:numPr>
        <w:ind w:left="568"/>
      </w:pPr>
      <w:r>
        <w:t>if they are ‘not ready for care’ or cannot be available or attend a scheduled appointment or service for any reason.</w:t>
      </w:r>
    </w:p>
    <w:p w14:paraId="242417AE" w14:textId="33F503AD" w:rsidR="00166AA4" w:rsidRDefault="00166AA4" w:rsidP="0059339D">
      <w:pPr>
        <w:spacing w:after="0" w:line="240" w:lineRule="auto"/>
        <w:ind w:left="284" w:hanging="284"/>
        <w:rPr>
          <w:rFonts w:eastAsia="Times"/>
        </w:rPr>
      </w:pPr>
      <w:r>
        <w:br w:type="page"/>
      </w:r>
    </w:p>
    <w:p w14:paraId="599ADF42" w14:textId="58414B6C" w:rsidR="002C2FED" w:rsidRDefault="00C23B34" w:rsidP="00605815">
      <w:pPr>
        <w:pStyle w:val="Heading1"/>
      </w:pPr>
      <w:bookmarkStart w:id="29" w:name="_Toc121210046"/>
      <w:r>
        <w:lastRenderedPageBreak/>
        <w:t>5. Managing and monitoring resources</w:t>
      </w:r>
      <w:bookmarkEnd w:id="29"/>
    </w:p>
    <w:p w14:paraId="5BF75256" w14:textId="7EB50365" w:rsidR="00605815" w:rsidRDefault="00605815" w:rsidP="00605815">
      <w:pPr>
        <w:pStyle w:val="Heading2"/>
      </w:pPr>
      <w:bookmarkStart w:id="30" w:name="_Toc121210047"/>
      <w:r>
        <w:t>5.1 Allocating resources</w:t>
      </w:r>
      <w:bookmarkEnd w:id="30"/>
    </w:p>
    <w:p w14:paraId="71161897" w14:textId="6F1D44DE" w:rsidR="00C23D52" w:rsidRDefault="00C23D52" w:rsidP="00C23D52">
      <w:pPr>
        <w:pStyle w:val="Body"/>
      </w:pPr>
      <w:r w:rsidRPr="00320A29">
        <w:t xml:space="preserve">Improving the performance of non-admitted </w:t>
      </w:r>
      <w:r w:rsidR="00106B78">
        <w:t xml:space="preserve">specialist </w:t>
      </w:r>
      <w:r w:rsidRPr="00320A29">
        <w:t xml:space="preserve">services is key to achieving safe, effective care and maximising access for patients. To this end, </w:t>
      </w:r>
      <w:r w:rsidR="00106B78">
        <w:t xml:space="preserve">Victorian public </w:t>
      </w:r>
      <w:r w:rsidRPr="00320A29">
        <w:t xml:space="preserve">health services must prioritise the efficient and effective management of resources. </w:t>
      </w:r>
    </w:p>
    <w:p w14:paraId="77BA3A42" w14:textId="77777777" w:rsidR="00C23D52" w:rsidRDefault="00C23D52" w:rsidP="00C23D52">
      <w:pPr>
        <w:pStyle w:val="Body"/>
      </w:pPr>
      <w:r>
        <w:t xml:space="preserve">To allocate resources effectively, health services must: </w:t>
      </w:r>
    </w:p>
    <w:p w14:paraId="3E59FB46" w14:textId="77777777" w:rsidR="00C23D52" w:rsidRPr="00320A29" w:rsidRDefault="00C23D52" w:rsidP="00C23D52">
      <w:pPr>
        <w:pStyle w:val="Bullet1"/>
      </w:pPr>
      <w:r w:rsidRPr="00320A29">
        <w:t xml:space="preserve">evaluate historical data and forecast demand for non-admitted services </w:t>
      </w:r>
    </w:p>
    <w:p w14:paraId="1D098BAA" w14:textId="4142FD7F" w:rsidR="00C23D52" w:rsidRPr="00956C30" w:rsidRDefault="00C23D52" w:rsidP="00C23D52">
      <w:pPr>
        <w:pStyle w:val="Bullet1"/>
      </w:pPr>
      <w:r w:rsidRPr="00320A29">
        <w:t>plan services to meet performance targets for the services required and the number of waiting patients</w:t>
      </w:r>
      <w:r w:rsidRPr="00956C30">
        <w:t xml:space="preserve"> </w:t>
      </w:r>
    </w:p>
    <w:p w14:paraId="123FCD6E" w14:textId="4D377989" w:rsidR="00C23D52" w:rsidRPr="00956C30" w:rsidRDefault="00C23D52" w:rsidP="00C23D52">
      <w:pPr>
        <w:pStyle w:val="Bullet1"/>
      </w:pPr>
      <w:r w:rsidRPr="00956C30">
        <w:t>have comprehensive, formalised governance policies to guide decision making when allocating resources between specialities and between specific clinics</w:t>
      </w:r>
      <w:r w:rsidR="008F18B7">
        <w:t xml:space="preserve"> or services</w:t>
      </w:r>
      <w:r w:rsidRPr="00956C30">
        <w:t>.</w:t>
      </w:r>
    </w:p>
    <w:p w14:paraId="34B8B22E" w14:textId="77777777" w:rsidR="00C23D52" w:rsidRDefault="00C23D52" w:rsidP="00C23D52">
      <w:pPr>
        <w:pStyle w:val="Body"/>
      </w:pPr>
      <w:r w:rsidRPr="00956C30">
        <w:t xml:space="preserve">Equitable allocation of resources includes ensuring that time and resources are dedicated to waiting lists </w:t>
      </w:r>
      <w:r>
        <w:t xml:space="preserve">for all services </w:t>
      </w:r>
      <w:r w:rsidRPr="00956C30">
        <w:t xml:space="preserve">in accordance with transparent local policy. </w:t>
      </w:r>
    </w:p>
    <w:p w14:paraId="2C98518C" w14:textId="7543190D" w:rsidR="00C23D52" w:rsidRDefault="00C23D52" w:rsidP="00C23D52">
      <w:pPr>
        <w:pStyle w:val="Body"/>
      </w:pPr>
      <w:r>
        <w:t>Eligible persons attending public h</w:t>
      </w:r>
      <w:r w:rsidR="00A70C6C">
        <w:t>ealth service</w:t>
      </w:r>
      <w:r>
        <w:t>s are entitled to be treated as public patients for all non-admitted services. If a health service also provides the same services on a private basis, a patient may choose to be treated as a private patient</w:t>
      </w:r>
      <w:r w:rsidR="009E029A">
        <w:t xml:space="preserve"> in accordance with </w:t>
      </w:r>
      <w:r w:rsidR="000623EB">
        <w:t>the</w:t>
      </w:r>
      <w:r w:rsidR="00675EF4">
        <w:t xml:space="preserve"> </w:t>
      </w:r>
      <w:hyperlink r:id="rId48" w:history="1">
        <w:r w:rsidR="00675EF4">
          <w:rPr>
            <w:rStyle w:val="Hyperlink"/>
          </w:rPr>
          <w:t>MBS billing policy framework - Victorian public hospitals</w:t>
        </w:r>
      </w:hyperlink>
      <w:r w:rsidR="00675EF4" w:rsidRPr="003E02E6">
        <w:t xml:space="preserve"> &lt;https://www.health.vic.gov.au/funding-performance-accountability/mbs-billing-policy-framework-victorian-public-hospitals</w:t>
      </w:r>
      <w:r w:rsidR="00675EF4">
        <w:t>&gt;</w:t>
      </w:r>
      <w:r w:rsidR="00325DE3">
        <w:t>.</w:t>
      </w:r>
    </w:p>
    <w:p w14:paraId="6A7D4298" w14:textId="275FA7FB" w:rsidR="00C23D52" w:rsidRDefault="00C23D52" w:rsidP="00C23D52">
      <w:pPr>
        <w:pStyle w:val="Body"/>
      </w:pPr>
      <w:r>
        <w:t xml:space="preserve">Local policies </w:t>
      </w:r>
      <w:r w:rsidR="006517E2">
        <w:t xml:space="preserve">and procedures </w:t>
      </w:r>
      <w:r>
        <w:t xml:space="preserve">must </w:t>
      </w:r>
      <w:r w:rsidRPr="00956C30">
        <w:t xml:space="preserve">ensure </w:t>
      </w:r>
      <w:r w:rsidRPr="001F1939">
        <w:t xml:space="preserve">patients </w:t>
      </w:r>
      <w:r>
        <w:t xml:space="preserve">referred to a </w:t>
      </w:r>
      <w:r w:rsidR="008167FA">
        <w:t xml:space="preserve">Victorian </w:t>
      </w:r>
      <w:r>
        <w:t xml:space="preserve">public health service </w:t>
      </w:r>
      <w:r w:rsidRPr="001F1939">
        <w:t>are treated in turn</w:t>
      </w:r>
      <w:r>
        <w:t>,</w:t>
      </w:r>
      <w:r w:rsidRPr="00956C30">
        <w:t xml:space="preserve"> </w:t>
      </w:r>
      <w:r w:rsidRPr="00320A29">
        <w:t>regardless of insurance status</w:t>
      </w:r>
      <w:r>
        <w:t>,</w:t>
      </w:r>
      <w:r w:rsidRPr="00320A29">
        <w:t xml:space="preserve"> capacity to pay</w:t>
      </w:r>
      <w:r>
        <w:t xml:space="preserve"> or differences in the source of funding for the service</w:t>
      </w:r>
      <w:r w:rsidR="00BB1B30" w:rsidRPr="00BB1B30">
        <w:t xml:space="preserve"> </w:t>
      </w:r>
      <w:r w:rsidR="00BB1B30">
        <w:t>(</w:t>
      </w:r>
      <w:r w:rsidR="00264D50">
        <w:t>in addition</w:t>
      </w:r>
      <w:r w:rsidR="00BB1B30">
        <w:t xml:space="preserve"> see section 7)</w:t>
      </w:r>
      <w:r w:rsidR="00264D50">
        <w:t>.</w:t>
      </w:r>
    </w:p>
    <w:p w14:paraId="23794767" w14:textId="3BAB98BD" w:rsidR="00605815" w:rsidRDefault="00C23D52" w:rsidP="00C23D52">
      <w:pPr>
        <w:pStyle w:val="Heading2"/>
      </w:pPr>
      <w:bookmarkStart w:id="31" w:name="_Toc121210048"/>
      <w:r>
        <w:t>5.2 Capability and capacity</w:t>
      </w:r>
      <w:bookmarkEnd w:id="31"/>
    </w:p>
    <w:p w14:paraId="5558158F" w14:textId="2B44E842" w:rsidR="002D6C87" w:rsidRDefault="00404DC6" w:rsidP="002D6C87">
      <w:pPr>
        <w:pStyle w:val="Body"/>
      </w:pPr>
      <w:r>
        <w:t>Victorian public h</w:t>
      </w:r>
      <w:r w:rsidR="002D6C87">
        <w:t xml:space="preserve">ealth services must only accept referrals where they have the capability and capacity to provide safe and </w:t>
      </w:r>
      <w:r w:rsidR="00CF1AE4">
        <w:t>appropriate</w:t>
      </w:r>
      <w:r w:rsidR="002D6C87">
        <w:t xml:space="preserve"> </w:t>
      </w:r>
      <w:r>
        <w:t xml:space="preserve">non-admitted specialist health </w:t>
      </w:r>
      <w:r w:rsidR="002D6C87">
        <w:t>care.</w:t>
      </w:r>
    </w:p>
    <w:p w14:paraId="2F3FFC59" w14:textId="77777777" w:rsidR="002D6C87" w:rsidRDefault="002D6C87" w:rsidP="002D6C87">
      <w:pPr>
        <w:pStyle w:val="Body"/>
      </w:pPr>
      <w:r>
        <w:t xml:space="preserve">Health services must: </w:t>
      </w:r>
    </w:p>
    <w:p w14:paraId="44C09D4D" w14:textId="7C6E461B" w:rsidR="002D6C87" w:rsidRDefault="002D6C87" w:rsidP="002D6C87">
      <w:pPr>
        <w:pStyle w:val="Bullet1"/>
      </w:pPr>
      <w:r>
        <w:t>ensure they have the necessary workforce, clinical support services, equipment</w:t>
      </w:r>
      <w:r w:rsidR="00083018">
        <w:t>,</w:t>
      </w:r>
      <w:r>
        <w:t xml:space="preserve"> infrastructure and clinical governance to deliver safe and </w:t>
      </w:r>
      <w:r w:rsidR="00E03813">
        <w:t>appropriate</w:t>
      </w:r>
      <w:r>
        <w:t xml:space="preserve"> care considering the complexity and care needs of individual patients</w:t>
      </w:r>
    </w:p>
    <w:p w14:paraId="2C5F6AF1" w14:textId="6361AAAD" w:rsidR="002D6C87" w:rsidRDefault="002D6C87" w:rsidP="002D6C87">
      <w:pPr>
        <w:pStyle w:val="Bullet1"/>
      </w:pPr>
      <w:r>
        <w:t>advise the department of any changes to their capability and capacity, whether temporary</w:t>
      </w:r>
      <w:r w:rsidRPr="00B02004">
        <w:t xml:space="preserve"> </w:t>
      </w:r>
      <w:r>
        <w:t>or permanent,</w:t>
      </w:r>
      <w:r w:rsidRPr="00B02004">
        <w:t xml:space="preserve"> </w:t>
      </w:r>
      <w:r>
        <w:t xml:space="preserve">and provide the department with details of a proposed management plan to ensure patients waiting for non-admitted </w:t>
      </w:r>
      <w:r w:rsidR="00B34E59">
        <w:t xml:space="preserve">specialist </w:t>
      </w:r>
      <w:r>
        <w:t xml:space="preserve">services are appropriately </w:t>
      </w:r>
      <w:r w:rsidR="00FE10A1">
        <w:t>managed or</w:t>
      </w:r>
      <w:r>
        <w:t xml:space="preserve"> referred to another provider.</w:t>
      </w:r>
    </w:p>
    <w:p w14:paraId="410F4DF2" w14:textId="5A2E22D7" w:rsidR="00C23D52" w:rsidRDefault="00B34E59" w:rsidP="002D6C87">
      <w:pPr>
        <w:pStyle w:val="Body"/>
      </w:pPr>
      <w:r>
        <w:rPr>
          <w:rStyle w:val="DHHSbodyChar"/>
        </w:rPr>
        <w:t>Victorian public h</w:t>
      </w:r>
      <w:r w:rsidR="002D6C87" w:rsidRPr="006B2D99">
        <w:rPr>
          <w:rStyle w:val="DHHSbodyChar"/>
        </w:rPr>
        <w:t>ealth services should have processes in place to manage temporary and long-term changes to the capability and capacity of the health service. This should include information for patients</w:t>
      </w:r>
      <w:r w:rsidR="00276A13">
        <w:rPr>
          <w:rStyle w:val="DHHSbodyChar"/>
        </w:rPr>
        <w:t xml:space="preserve"> and </w:t>
      </w:r>
      <w:r>
        <w:rPr>
          <w:rStyle w:val="DHHSbodyChar"/>
        </w:rPr>
        <w:t xml:space="preserve">their family and </w:t>
      </w:r>
      <w:r w:rsidR="00276A13">
        <w:rPr>
          <w:rStyle w:val="DHHSbodyChar"/>
        </w:rPr>
        <w:t>carers</w:t>
      </w:r>
      <w:r w:rsidR="002D6C87" w:rsidRPr="006B2D99">
        <w:rPr>
          <w:rStyle w:val="DHHSbodyChar"/>
        </w:rPr>
        <w:t>, the community, GPs, referring clinicians and community-based providers as well as mechanisms for referring patients to health services with the capability and capacity to manage their care</w:t>
      </w:r>
      <w:r w:rsidR="002D6C87">
        <w:t>.</w:t>
      </w:r>
    </w:p>
    <w:p w14:paraId="39DA44BC" w14:textId="57D32B81" w:rsidR="00E846AF" w:rsidRDefault="002D6C87" w:rsidP="002D6C87">
      <w:pPr>
        <w:pStyle w:val="Heading2"/>
      </w:pPr>
      <w:bookmarkStart w:id="32" w:name="_Toc121210049"/>
      <w:r>
        <w:lastRenderedPageBreak/>
        <w:t>5.3 Public and private patients</w:t>
      </w:r>
      <w:bookmarkEnd w:id="32"/>
    </w:p>
    <w:p w14:paraId="2E793C6D" w14:textId="2B10BA0E" w:rsidR="00781EC6" w:rsidRDefault="00523A0D" w:rsidP="00523A0D">
      <w:pPr>
        <w:pStyle w:val="Body"/>
      </w:pPr>
      <w:r>
        <w:t xml:space="preserve">All non-admitted </w:t>
      </w:r>
      <w:r w:rsidR="0082052F">
        <w:t xml:space="preserve">specialist </w:t>
      </w:r>
      <w:r>
        <w:t xml:space="preserve">services </w:t>
      </w:r>
      <w:r w:rsidRPr="00632DD6">
        <w:rPr>
          <w:b/>
          <w:bCs/>
        </w:rPr>
        <w:t>must be</w:t>
      </w:r>
      <w:r>
        <w:t xml:space="preserve"> available as a public consultation provided in public rooms. </w:t>
      </w:r>
    </w:p>
    <w:p w14:paraId="6599FDE4" w14:textId="77777777" w:rsidR="004879D5" w:rsidRDefault="004879D5" w:rsidP="004879D5">
      <w:pPr>
        <w:pStyle w:val="Body"/>
      </w:pPr>
      <w:r>
        <w:t xml:space="preserve">All follow-up, non-admitted specialist services, after a public admission to the health service </w:t>
      </w:r>
      <w:r w:rsidRPr="004879D5">
        <w:rPr>
          <w:b/>
          <w:bCs/>
        </w:rPr>
        <w:t>must be</w:t>
      </w:r>
      <w:r>
        <w:t xml:space="preserve"> provided as a public consultation provided in a public room.</w:t>
      </w:r>
    </w:p>
    <w:p w14:paraId="4EDE215B" w14:textId="77777777" w:rsidR="000443F3" w:rsidRDefault="00F94344" w:rsidP="00781EC6">
      <w:pPr>
        <w:pStyle w:val="Body"/>
      </w:pPr>
      <w:r>
        <w:t xml:space="preserve">Local policies must not prevent patients from accessing free public hospital non-admitted specialist services. </w:t>
      </w:r>
    </w:p>
    <w:p w14:paraId="6819C8AF" w14:textId="04F890F8" w:rsidR="00781EC6" w:rsidRDefault="00B540C0" w:rsidP="00781EC6">
      <w:pPr>
        <w:pStyle w:val="Body"/>
      </w:pPr>
      <w:r>
        <w:t xml:space="preserve">A referral to a named medical specialist must not be used as a prerequisite for access to non-admitted </w:t>
      </w:r>
      <w:r w:rsidR="00702A80">
        <w:t xml:space="preserve">specialist </w:t>
      </w:r>
      <w:r>
        <w:t>services</w:t>
      </w:r>
      <w:r w:rsidR="00BB2441">
        <w:t xml:space="preserve">. </w:t>
      </w:r>
    </w:p>
    <w:p w14:paraId="33737457" w14:textId="3BC11F41" w:rsidR="00523A0D" w:rsidRDefault="00CF739F" w:rsidP="00523A0D">
      <w:pPr>
        <w:pStyle w:val="Body"/>
      </w:pPr>
      <w:r>
        <w:t xml:space="preserve">Victorian public </w:t>
      </w:r>
      <w:r w:rsidR="00BE2D15">
        <w:t>h</w:t>
      </w:r>
      <w:r w:rsidR="00523A0D">
        <w:t>ealth services may also offer private consultations in public rooms</w:t>
      </w:r>
      <w:r w:rsidR="0080179B">
        <w:t xml:space="preserve"> in accordance with </w:t>
      </w:r>
      <w:hyperlink r:id="rId49" w:history="1">
        <w:r w:rsidR="00675EF4">
          <w:rPr>
            <w:rStyle w:val="Hyperlink"/>
          </w:rPr>
          <w:t>MBS billing policy framework - Victorian public hospitals</w:t>
        </w:r>
      </w:hyperlink>
      <w:r w:rsidR="00675EF4" w:rsidRPr="003E02E6">
        <w:t xml:space="preserve"> &lt;https://www.health.vic.gov.au/funding-performance-accountability/mbs-billing-policy-framework-victorian-public-hospitals</w:t>
      </w:r>
      <w:r w:rsidR="00B731AB">
        <w:t>&gt;</w:t>
      </w:r>
      <w:r w:rsidR="00675EF4">
        <w:t xml:space="preserve"> </w:t>
      </w:r>
      <w:r w:rsidR="0080179B">
        <w:t>(see section 7.1)</w:t>
      </w:r>
      <w:r w:rsidR="00523A0D">
        <w:t xml:space="preserve">. </w:t>
      </w:r>
      <w:r w:rsidR="00523A0D" w:rsidRPr="00956B65">
        <w:t>H</w:t>
      </w:r>
      <w:r w:rsidR="00523A0D">
        <w:t>ealth services</w:t>
      </w:r>
      <w:r w:rsidR="00523A0D" w:rsidRPr="00956B65">
        <w:t xml:space="preserve"> must not direct patients</w:t>
      </w:r>
      <w:r w:rsidR="00D426AF">
        <w:t>,</w:t>
      </w:r>
      <w:r w:rsidR="00523A0D" w:rsidRPr="00956B65">
        <w:t xml:space="preserve"> or their </w:t>
      </w:r>
      <w:r w:rsidR="000F7D37">
        <w:t>medical treatment decision maker</w:t>
      </w:r>
      <w:r w:rsidR="00D426AF">
        <w:t>,</w:t>
      </w:r>
      <w:r w:rsidR="00523A0D" w:rsidRPr="00956B65">
        <w:t xml:space="preserve"> towards a choice about being treated as a public or private patient</w:t>
      </w:r>
      <w:r w:rsidR="00523A0D">
        <w:t>.</w:t>
      </w:r>
    </w:p>
    <w:p w14:paraId="6F42F83B" w14:textId="497E8BCF" w:rsidR="00523A0D" w:rsidRDefault="00523A0D" w:rsidP="00523A0D">
      <w:pPr>
        <w:pStyle w:val="Body"/>
      </w:pPr>
      <w:r>
        <w:t xml:space="preserve">Patients </w:t>
      </w:r>
      <w:r w:rsidR="00DB302D">
        <w:t xml:space="preserve">and consumers </w:t>
      </w:r>
      <w:r>
        <w:t>may choose to elect to become a public patient at any time. This change in patient status is effective from the date of the change onwards and should not be retrospectively backdated.</w:t>
      </w:r>
    </w:p>
    <w:p w14:paraId="7739EC56" w14:textId="77777777" w:rsidR="00523A0D" w:rsidRDefault="00523A0D" w:rsidP="00523A0D">
      <w:pPr>
        <w:pStyle w:val="Body"/>
      </w:pPr>
      <w:r w:rsidRPr="00956B65">
        <w:t>Medicare</w:t>
      </w:r>
      <w:r>
        <w:t>-</w:t>
      </w:r>
      <w:r w:rsidRPr="00956B65">
        <w:t xml:space="preserve">eligible patients must elect to be treated as a private patient via the patient election form before, at the time of, or as soon as possible after </w:t>
      </w:r>
      <w:r>
        <w:t>the</w:t>
      </w:r>
      <w:r w:rsidRPr="00956B65">
        <w:t xml:space="preserve"> first consultation. </w:t>
      </w:r>
      <w:r w:rsidRPr="00D9448A">
        <w:t>H</w:t>
      </w:r>
      <w:r>
        <w:t>ealth services</w:t>
      </w:r>
      <w:r w:rsidRPr="00D9448A">
        <w:t xml:space="preserve"> must ensure eligible </w:t>
      </w:r>
      <w:r>
        <w:t>patients</w:t>
      </w:r>
      <w:r w:rsidRPr="00D9448A">
        <w:t xml:space="preserve"> who have elected to be treated as private patients have done so based on informed financial consent</w:t>
      </w:r>
      <w:r>
        <w:t xml:space="preserve">. </w:t>
      </w:r>
    </w:p>
    <w:p w14:paraId="042C97A8" w14:textId="621F4E7F" w:rsidR="00523A0D" w:rsidRDefault="00523A0D" w:rsidP="00523A0D">
      <w:pPr>
        <w:pStyle w:val="Body"/>
      </w:pPr>
      <w:r w:rsidRPr="00F46793">
        <w:t>P</w:t>
      </w:r>
      <w:r>
        <w:t xml:space="preserve">rivate referrals and any list of waiting patients </w:t>
      </w:r>
      <w:r w:rsidR="009A4131">
        <w:t xml:space="preserve">must be </w:t>
      </w:r>
      <w:r>
        <w:t xml:space="preserve">maintained by </w:t>
      </w:r>
      <w:r w:rsidR="009A4131">
        <w:t xml:space="preserve">the </w:t>
      </w:r>
      <w:r>
        <w:t xml:space="preserve">individual specialist medical practitioner as part of their private practice. Private lists maintained by specialist medical practitioners as part of their private practice must be kept separate from the list of patients waiting for a public </w:t>
      </w:r>
      <w:r w:rsidR="00C068B7">
        <w:t xml:space="preserve">consultation </w:t>
      </w:r>
      <w:r>
        <w:t xml:space="preserve">or </w:t>
      </w:r>
      <w:r w:rsidR="00C068B7">
        <w:t xml:space="preserve">a </w:t>
      </w:r>
      <w:r>
        <w:t>private consultation provided in public rooms.</w:t>
      </w:r>
    </w:p>
    <w:p w14:paraId="5B38E860" w14:textId="2FE2AE24" w:rsidR="00CE67DC" w:rsidRDefault="00CE67DC">
      <w:pPr>
        <w:spacing w:after="0" w:line="240" w:lineRule="auto"/>
        <w:rPr>
          <w:rFonts w:eastAsia="Times"/>
        </w:rPr>
      </w:pPr>
      <w:r>
        <w:br w:type="page"/>
      </w:r>
    </w:p>
    <w:p w14:paraId="263F658F" w14:textId="39E9C382" w:rsidR="002D6C87" w:rsidRDefault="00D671DB" w:rsidP="00D671DB">
      <w:pPr>
        <w:pStyle w:val="Heading1"/>
      </w:pPr>
      <w:bookmarkStart w:id="33" w:name="_Toc121210050"/>
      <w:r>
        <w:lastRenderedPageBreak/>
        <w:t xml:space="preserve">6. </w:t>
      </w:r>
      <w:r w:rsidR="00CE67DC">
        <w:t>Communication</w:t>
      </w:r>
      <w:r w:rsidR="00807CDF">
        <w:t>s</w:t>
      </w:r>
      <w:bookmarkEnd w:id="33"/>
    </w:p>
    <w:p w14:paraId="0C31B5F2" w14:textId="010E42EB" w:rsidR="002D6C87" w:rsidRDefault="00D671DB" w:rsidP="00D671DB">
      <w:pPr>
        <w:pStyle w:val="Heading2"/>
      </w:pPr>
      <w:bookmarkStart w:id="34" w:name="_Toc121210051"/>
      <w:r>
        <w:t>6.1 Principles for communication</w:t>
      </w:r>
      <w:bookmarkEnd w:id="34"/>
    </w:p>
    <w:p w14:paraId="21A46B2F" w14:textId="7BDB35B1" w:rsidR="007D7C15" w:rsidRPr="001557F4" w:rsidRDefault="007D7C15" w:rsidP="007D7C15">
      <w:pPr>
        <w:pStyle w:val="Body"/>
      </w:pPr>
      <w:r>
        <w:t>All verbal or written c</w:t>
      </w:r>
      <w:r w:rsidRPr="001557F4">
        <w:t>ommunication</w:t>
      </w:r>
      <w:r w:rsidR="00741724">
        <w:t>s</w:t>
      </w:r>
      <w:r w:rsidRPr="001557F4">
        <w:t xml:space="preserve"> with patients</w:t>
      </w:r>
      <w:r w:rsidR="00CD71AA">
        <w:t xml:space="preserve"> </w:t>
      </w:r>
      <w:r w:rsidRPr="001557F4">
        <w:t>referring clinician</w:t>
      </w:r>
      <w:r w:rsidR="00575BCA">
        <w:t>(</w:t>
      </w:r>
      <w:r w:rsidRPr="001557F4">
        <w:t>s</w:t>
      </w:r>
      <w:r w:rsidR="00575BCA">
        <w:t>)</w:t>
      </w:r>
      <w:r w:rsidRPr="001557F4">
        <w:t xml:space="preserve"> and a patient’s nominated </w:t>
      </w:r>
      <w:r>
        <w:t>GP</w:t>
      </w:r>
      <w:r w:rsidRPr="001557F4">
        <w:t xml:space="preserve"> must</w:t>
      </w:r>
      <w:r>
        <w:t xml:space="preserve"> be</w:t>
      </w:r>
      <w:r w:rsidRPr="001557F4">
        <w:t xml:space="preserve">: </w:t>
      </w:r>
    </w:p>
    <w:p w14:paraId="3BB0B527" w14:textId="77777777" w:rsidR="007D7C15" w:rsidRDefault="007D7C15" w:rsidP="007D7C15">
      <w:pPr>
        <w:pStyle w:val="Bullet1"/>
      </w:pPr>
      <w:r w:rsidRPr="00F75217">
        <w:t>timely</w:t>
      </w:r>
    </w:p>
    <w:p w14:paraId="137727BC" w14:textId="23A7AFD4" w:rsidR="008349DA" w:rsidRPr="008C4809" w:rsidRDefault="008349DA" w:rsidP="007D7C15">
      <w:pPr>
        <w:pStyle w:val="Bullet1"/>
      </w:pPr>
      <w:r w:rsidRPr="008C4809">
        <w:t xml:space="preserve">delivered using the </w:t>
      </w:r>
      <w:r w:rsidR="0011056A">
        <w:t xml:space="preserve">patient’s </w:t>
      </w:r>
      <w:r w:rsidRPr="008C4809">
        <w:t>preferred method of communication</w:t>
      </w:r>
    </w:p>
    <w:p w14:paraId="05227329" w14:textId="3965F932" w:rsidR="007D7C15" w:rsidRDefault="007D7C15" w:rsidP="007D7C15">
      <w:pPr>
        <w:pStyle w:val="Bullet1"/>
      </w:pPr>
      <w:r w:rsidRPr="00F75217">
        <w:t xml:space="preserve">compliant with relevant privacy </w:t>
      </w:r>
      <w:r>
        <w:t xml:space="preserve">and health record </w:t>
      </w:r>
      <w:r w:rsidRPr="00F75217">
        <w:t>legislation</w:t>
      </w:r>
      <w:r w:rsidR="00575BCA">
        <w:t>,</w:t>
      </w:r>
      <w:r w:rsidRPr="00F75217">
        <w:t xml:space="preserve"> </w:t>
      </w:r>
      <w:r w:rsidR="00575BCA">
        <w:t xml:space="preserve">regulation </w:t>
      </w:r>
      <w:r w:rsidRPr="00F75217">
        <w:t xml:space="preserve">and </w:t>
      </w:r>
      <w:r w:rsidR="00575BCA">
        <w:t>standards</w:t>
      </w:r>
      <w:r w:rsidR="00BB0D2A">
        <w:rPr>
          <w:rStyle w:val="FootnoteReference"/>
        </w:rPr>
        <w:footnoteReference w:id="2"/>
      </w:r>
    </w:p>
    <w:p w14:paraId="6C8623B1" w14:textId="3A04F2E8" w:rsidR="000A0B5E" w:rsidRDefault="00AE56D7" w:rsidP="007D7C15">
      <w:pPr>
        <w:pStyle w:val="Bullet1"/>
      </w:pPr>
      <w:r>
        <w:t xml:space="preserve">aligned with </w:t>
      </w:r>
      <w:hyperlink r:id="rId50" w:history="1">
        <w:r w:rsidR="00B731AB">
          <w:rPr>
            <w:rStyle w:val="Hyperlink"/>
          </w:rPr>
          <w:t>Victoria’s digital health roadmap</w:t>
        </w:r>
      </w:hyperlink>
      <w:r w:rsidR="00B731AB" w:rsidRPr="002D7863">
        <w:rPr>
          <w:i/>
          <w:iCs/>
        </w:rPr>
        <w:t xml:space="preserve"> </w:t>
      </w:r>
      <w:r w:rsidR="00B731AB">
        <w:t>&lt;h</w:t>
      </w:r>
      <w:r w:rsidR="00B731AB" w:rsidRPr="00AE56D7">
        <w:t>ttps://www.health.vic.gov.au/publications/victorias-digital-health-roadmap</w:t>
      </w:r>
      <w:r w:rsidR="00B731AB">
        <w:t xml:space="preserve"> </w:t>
      </w:r>
      <w:r>
        <w:t>&gt;</w:t>
      </w:r>
    </w:p>
    <w:p w14:paraId="15A8A525" w14:textId="77777777" w:rsidR="007D7C15" w:rsidRDefault="007D7C15" w:rsidP="007D7C15">
      <w:pPr>
        <w:pStyle w:val="Bullet1"/>
      </w:pPr>
      <w:r w:rsidRPr="00F75217">
        <w:t>documented in the patient’s health record</w:t>
      </w:r>
      <w:r>
        <w:t>.</w:t>
      </w:r>
    </w:p>
    <w:p w14:paraId="6E657802" w14:textId="77777777" w:rsidR="009603D0" w:rsidRDefault="00EA72BA" w:rsidP="00381AAB">
      <w:pPr>
        <w:pStyle w:val="Bullet1"/>
        <w:numPr>
          <w:ilvl w:val="0"/>
          <w:numId w:val="0"/>
        </w:numPr>
      </w:pPr>
      <w:r w:rsidRPr="006E1FC2">
        <w:t xml:space="preserve">Victorian public health services should work towards </w:t>
      </w:r>
      <w:r w:rsidR="00381AAB" w:rsidRPr="006E1FC2">
        <w:t>verbal or written communications being</w:t>
      </w:r>
      <w:r w:rsidRPr="006E1FC2">
        <w:t xml:space="preserve"> </w:t>
      </w:r>
      <w:r w:rsidR="002E1DCC" w:rsidRPr="006E1FC2">
        <w:t>in the patient’s preferred language as well as English</w:t>
      </w:r>
      <w:r w:rsidR="00381AAB" w:rsidRPr="006E1FC2">
        <w:t>.</w:t>
      </w:r>
      <w:r w:rsidR="00381AAB">
        <w:t xml:space="preserve"> </w:t>
      </w:r>
    </w:p>
    <w:p w14:paraId="497DFCC4" w14:textId="406F51B6" w:rsidR="002F33BD" w:rsidRDefault="007D7C15" w:rsidP="002F33BD">
      <w:pPr>
        <w:rPr>
          <w:rFonts w:ascii="Calibri" w:hAnsi="Calibri"/>
          <w:sz w:val="22"/>
        </w:rPr>
      </w:pPr>
      <w:r w:rsidRPr="003E02E6">
        <w:t xml:space="preserve">When communicating about referral management and appointments with patients and referring clinicians, </w:t>
      </w:r>
      <w:r w:rsidR="007C0041" w:rsidRPr="003E02E6">
        <w:t xml:space="preserve">Victorian public </w:t>
      </w:r>
      <w:r w:rsidRPr="003E02E6">
        <w:t>health services</w:t>
      </w:r>
      <w:r w:rsidR="00A75D4A" w:rsidRPr="003E02E6">
        <w:t xml:space="preserve"> are strongly recommended to</w:t>
      </w:r>
      <w:r w:rsidRPr="003E02E6">
        <w:t xml:space="preserve"> adopt Victoria’s communication templates and information sheets about specialist clinics </w:t>
      </w:r>
      <w:r w:rsidR="00F0678D" w:rsidRPr="003E02E6">
        <w:t xml:space="preserve">which </w:t>
      </w:r>
      <w:r w:rsidRPr="003E02E6">
        <w:t xml:space="preserve">are available in </w:t>
      </w:r>
      <w:r w:rsidR="00101726">
        <w:t>2</w:t>
      </w:r>
      <w:r w:rsidR="00E3560C">
        <w:t>2</w:t>
      </w:r>
      <w:r w:rsidR="00101726">
        <w:t xml:space="preserve"> community </w:t>
      </w:r>
      <w:r w:rsidRPr="003E02E6">
        <w:t>languages</w:t>
      </w:r>
      <w:r w:rsidR="001011B9">
        <w:t xml:space="preserve"> </w:t>
      </w:r>
      <w:r w:rsidR="002F33BD">
        <w:t>&lt;https://</w:t>
      </w:r>
      <w:hyperlink r:id="rId51" w:history="1">
        <w:r w:rsidR="002F33BD" w:rsidRPr="001E655F">
          <w:rPr>
            <w:rStyle w:val="Hyperlink"/>
            <w:color w:val="auto"/>
            <w:u w:val="none"/>
          </w:rPr>
          <w:t>www.health.vic.gov.au/patient-care/specialist-clinics-communication-toolkit</w:t>
        </w:r>
      </w:hyperlink>
      <w:r w:rsidR="002F33BD">
        <w:t>&gt;.</w:t>
      </w:r>
    </w:p>
    <w:p w14:paraId="1B29F45C" w14:textId="673DBF0B" w:rsidR="00D671DB" w:rsidRDefault="007D7C15" w:rsidP="007D7C15">
      <w:pPr>
        <w:pStyle w:val="Heading2"/>
      </w:pPr>
      <w:bookmarkStart w:id="36" w:name="_Toc121210052"/>
      <w:r>
        <w:t>6.2 Information about non-admitted specialist services</w:t>
      </w:r>
      <w:bookmarkEnd w:id="36"/>
    </w:p>
    <w:p w14:paraId="406FF563" w14:textId="6BACBF34" w:rsidR="00FE4536" w:rsidRPr="000C0DAF" w:rsidRDefault="00AD6442" w:rsidP="00FE4536">
      <w:pPr>
        <w:pStyle w:val="Body"/>
      </w:pPr>
      <w:r>
        <w:t>Victorian public h</w:t>
      </w:r>
      <w:r w:rsidR="00FE4536">
        <w:t xml:space="preserve">ealth services must </w:t>
      </w:r>
      <w:r w:rsidR="00D52C82">
        <w:t xml:space="preserve">have </w:t>
      </w:r>
      <w:r w:rsidR="0055150D">
        <w:t>publicly</w:t>
      </w:r>
      <w:r w:rsidR="00D52C82">
        <w:t xml:space="preserve"> available </w:t>
      </w:r>
      <w:r w:rsidR="0055150D">
        <w:t xml:space="preserve">information </w:t>
      </w:r>
      <w:r w:rsidR="003E5AC3">
        <w:t xml:space="preserve">on their website about </w:t>
      </w:r>
      <w:r w:rsidR="00D52C82">
        <w:t xml:space="preserve">non-admitted </w:t>
      </w:r>
      <w:r w:rsidR="00106B78">
        <w:t xml:space="preserve">specialist </w:t>
      </w:r>
      <w:r w:rsidR="00D52C82">
        <w:t xml:space="preserve">services </w:t>
      </w:r>
      <w:r w:rsidR="00BF2F9B">
        <w:t>including</w:t>
      </w:r>
      <w:r w:rsidR="00FE4536" w:rsidRPr="000C0DAF">
        <w:t xml:space="preserve">: </w:t>
      </w:r>
    </w:p>
    <w:p w14:paraId="2225B886" w14:textId="10EB9E3F" w:rsidR="00FE4536" w:rsidRPr="000C0DAF" w:rsidRDefault="00BF2F9B" w:rsidP="00FE4536">
      <w:pPr>
        <w:pStyle w:val="Bullet1"/>
      </w:pPr>
      <w:r>
        <w:t xml:space="preserve">a list of the non-admitted </w:t>
      </w:r>
      <w:r w:rsidR="00106B78">
        <w:t xml:space="preserve">specialist </w:t>
      </w:r>
      <w:r>
        <w:t xml:space="preserve">services </w:t>
      </w:r>
      <w:r w:rsidR="00FE4536" w:rsidRPr="000C0DAF">
        <w:t>availab</w:t>
      </w:r>
      <w:r>
        <w:t>le</w:t>
      </w:r>
      <w:r w:rsidR="00FE4536" w:rsidRPr="000C0DAF">
        <w:t xml:space="preserve"> at the health service </w:t>
      </w:r>
    </w:p>
    <w:p w14:paraId="1C24B331" w14:textId="3A35FB83" w:rsidR="00FE4536" w:rsidRDefault="00386CE8" w:rsidP="00FE4536">
      <w:pPr>
        <w:pStyle w:val="Bullet1"/>
      </w:pPr>
      <w:r w:rsidRPr="00386CE8">
        <w:t xml:space="preserve">estimated or </w:t>
      </w:r>
      <w:r w:rsidR="007F2579" w:rsidRPr="00386CE8">
        <w:t>real-time</w:t>
      </w:r>
      <w:r w:rsidR="00FE4536">
        <w:t xml:space="preserve"> waiting or clearance times for newly referred patients (both high-priority and routine access)</w:t>
      </w:r>
      <w:r w:rsidR="00603238">
        <w:t xml:space="preserve"> for these services</w:t>
      </w:r>
    </w:p>
    <w:p w14:paraId="46FB0F5B" w14:textId="77777777" w:rsidR="00FE4536" w:rsidRDefault="00FE4536" w:rsidP="00FE4536">
      <w:pPr>
        <w:pStyle w:val="Bullet1"/>
      </w:pPr>
      <w:r>
        <w:t xml:space="preserve">relevant referral criteria and advice to support clinical decision making about referring patients </w:t>
      </w:r>
    </w:p>
    <w:p w14:paraId="2888E483" w14:textId="77777777" w:rsidR="00FE4536" w:rsidRDefault="00FE4536" w:rsidP="00FE4536">
      <w:pPr>
        <w:pStyle w:val="Bullet1"/>
      </w:pPr>
      <w:r>
        <w:t>the single point of contact for the service.</w:t>
      </w:r>
    </w:p>
    <w:p w14:paraId="26B32FE3" w14:textId="5D302FAA" w:rsidR="00FE4536" w:rsidRDefault="00077C17" w:rsidP="00DC44D2">
      <w:pPr>
        <w:pStyle w:val="Bodyafterbullets"/>
      </w:pPr>
      <w:r>
        <w:t>Victorian public h</w:t>
      </w:r>
      <w:r w:rsidR="00FE4536">
        <w:t xml:space="preserve">ealth services must also detail on their website information about: </w:t>
      </w:r>
    </w:p>
    <w:p w14:paraId="4340D714" w14:textId="6672531F" w:rsidR="00FE4536" w:rsidRDefault="00FE4536" w:rsidP="00FE4536">
      <w:pPr>
        <w:pStyle w:val="Bullet1"/>
      </w:pPr>
      <w:r>
        <w:t>the referral processes, including electronic referrals</w:t>
      </w:r>
    </w:p>
    <w:p w14:paraId="2987FC46" w14:textId="77777777" w:rsidR="00FE4536" w:rsidRDefault="00FE4536" w:rsidP="00FE4536">
      <w:pPr>
        <w:pStyle w:val="Bullet1"/>
      </w:pPr>
      <w:r>
        <w:t>how referrals are assessed, accepted, directed and triaged at the health service</w:t>
      </w:r>
    </w:p>
    <w:p w14:paraId="60E5D362" w14:textId="0216BB13" w:rsidR="00FE4536" w:rsidRDefault="00FE4536" w:rsidP="00FE4536">
      <w:pPr>
        <w:pStyle w:val="Bullet1"/>
      </w:pPr>
      <w:r>
        <w:lastRenderedPageBreak/>
        <w:t xml:space="preserve">clinical prioritisation, including how patients recently discharged from a service </w:t>
      </w:r>
      <w:r w:rsidR="00BC326F">
        <w:t>can gain rapid access</w:t>
      </w:r>
      <w:r>
        <w:t xml:space="preserve"> if they </w:t>
      </w:r>
      <w:r w:rsidR="00BF1FA1">
        <w:t xml:space="preserve">need to be </w:t>
      </w:r>
      <w:r>
        <w:t xml:space="preserve">re-referred </w:t>
      </w:r>
      <w:r w:rsidR="00991FD5">
        <w:t xml:space="preserve">to the same or related service </w:t>
      </w:r>
      <w:r>
        <w:t>for the same presenting problem</w:t>
      </w:r>
    </w:p>
    <w:p w14:paraId="6BEB3B27" w14:textId="161CD91B" w:rsidR="00FE4536" w:rsidRDefault="00FE4536" w:rsidP="00FE4536">
      <w:pPr>
        <w:pStyle w:val="Bullet1"/>
      </w:pPr>
      <w:r>
        <w:t xml:space="preserve">minimum referral </w:t>
      </w:r>
      <w:r w:rsidR="00077C17">
        <w:t xml:space="preserve">information </w:t>
      </w:r>
      <w:r>
        <w:t xml:space="preserve">required for all referrals (see Appendix </w:t>
      </w:r>
      <w:r w:rsidR="004C6B99">
        <w:t>1</w:t>
      </w:r>
      <w:r>
        <w:t>)</w:t>
      </w:r>
    </w:p>
    <w:p w14:paraId="3A493E3B" w14:textId="77777777" w:rsidR="00FE4536" w:rsidRPr="001B5A3E" w:rsidRDefault="00FE4536" w:rsidP="00FE4536">
      <w:pPr>
        <w:pStyle w:val="Bullet1"/>
      </w:pPr>
      <w:r w:rsidRPr="001B5A3E">
        <w:t>referral validity periods</w:t>
      </w:r>
      <w:r>
        <w:t xml:space="preserve"> </w:t>
      </w:r>
    </w:p>
    <w:p w14:paraId="26E5290A" w14:textId="104ADBC7" w:rsidR="00FE4536" w:rsidRDefault="00FE4536" w:rsidP="00FE4536">
      <w:pPr>
        <w:pStyle w:val="Bullet1"/>
      </w:pPr>
      <w:r>
        <w:t>GP liaison services</w:t>
      </w:r>
      <w:r w:rsidR="00077C17">
        <w:t xml:space="preserve"> provided by the health service</w:t>
      </w:r>
    </w:p>
    <w:p w14:paraId="08135EB0" w14:textId="0BCED999" w:rsidR="00E33E4B" w:rsidRDefault="00E33E4B" w:rsidP="00E33E4B">
      <w:pPr>
        <w:pStyle w:val="Bullet1"/>
      </w:pPr>
      <w:r w:rsidRPr="00E37198">
        <w:t xml:space="preserve">local policies and procedures about access </w:t>
      </w:r>
      <w:r w:rsidR="00170950">
        <w:t xml:space="preserve">to overcome </w:t>
      </w:r>
      <w:r w:rsidR="006801BE" w:rsidRPr="008E657A">
        <w:t xml:space="preserve">physical, psychosocial </w:t>
      </w:r>
      <w:r w:rsidR="006801BE">
        <w:t xml:space="preserve">and structural </w:t>
      </w:r>
      <w:r w:rsidR="006801BE" w:rsidRPr="008E657A">
        <w:t>barriers to accessing services</w:t>
      </w:r>
    </w:p>
    <w:p w14:paraId="010D39F7" w14:textId="77777777" w:rsidR="00340A75" w:rsidRDefault="00FE4536" w:rsidP="00FE4536">
      <w:pPr>
        <w:pStyle w:val="Bullet1"/>
      </w:pPr>
      <w:r>
        <w:t>local policies and procedures about the availability of disability, cultural and linguistic support</w:t>
      </w:r>
    </w:p>
    <w:p w14:paraId="74725EB2" w14:textId="77777777" w:rsidR="003F1755" w:rsidRDefault="003F1755" w:rsidP="003F1755">
      <w:pPr>
        <w:pStyle w:val="Bullet1"/>
      </w:pPr>
      <w:r w:rsidRPr="00F75217">
        <w:t xml:space="preserve">cultural </w:t>
      </w:r>
      <w:r>
        <w:t>support available to</w:t>
      </w:r>
      <w:r w:rsidRPr="00F75217">
        <w:t xml:space="preserve"> Aboriginal people</w:t>
      </w:r>
    </w:p>
    <w:p w14:paraId="5C93099B" w14:textId="796723E8" w:rsidR="00FE4536" w:rsidRDefault="00FE4536" w:rsidP="00FE4536">
      <w:pPr>
        <w:pStyle w:val="Bullet1"/>
      </w:pPr>
      <w:r>
        <w:t>transport</w:t>
      </w:r>
      <w:r w:rsidR="00067FCE">
        <w:t xml:space="preserve"> and parking</w:t>
      </w:r>
      <w:r>
        <w:t xml:space="preserve"> options</w:t>
      </w:r>
    </w:p>
    <w:p w14:paraId="4B13C0BD" w14:textId="53701C21" w:rsidR="00FE4536" w:rsidRDefault="00FE4536" w:rsidP="00FE4536">
      <w:pPr>
        <w:pStyle w:val="Bullet1"/>
      </w:pPr>
      <w:r>
        <w:t>options t</w:t>
      </w:r>
      <w:r w:rsidR="00067FCE">
        <w:t>o</w:t>
      </w:r>
      <w:r>
        <w:t xml:space="preserve"> reduce the number of times patients must physically go to the health service </w:t>
      </w:r>
      <w:r w:rsidR="005277CA">
        <w:t>or a particular location</w:t>
      </w:r>
      <w:r w:rsidR="000C4548">
        <w:t>,</w:t>
      </w:r>
      <w:r w:rsidR="005277CA">
        <w:t xml:space="preserve"> </w:t>
      </w:r>
      <w:r>
        <w:t xml:space="preserve">for example, the use of </w:t>
      </w:r>
      <w:r w:rsidRPr="00EB393D">
        <w:t>multiple healthcare provider specialist clinics</w:t>
      </w:r>
      <w:r>
        <w:t xml:space="preserve">, outreach, </w:t>
      </w:r>
      <w:r w:rsidR="00067FCE">
        <w:t>virtual care</w:t>
      </w:r>
      <w:r>
        <w:t>, home-delivered services and services available outside of normal business hours</w:t>
      </w:r>
    </w:p>
    <w:p w14:paraId="4FD5E096" w14:textId="7D50F9D7" w:rsidR="00FE4536" w:rsidRDefault="00FE4536" w:rsidP="00FE4536">
      <w:pPr>
        <w:pStyle w:val="Bullet1"/>
      </w:pPr>
      <w:r>
        <w:t>patients’ rights and responsibilities</w:t>
      </w:r>
    </w:p>
    <w:p w14:paraId="5B15B0BC" w14:textId="0B9EA9F9" w:rsidR="00FE4536" w:rsidRDefault="00FE4536" w:rsidP="00FE4536">
      <w:pPr>
        <w:pStyle w:val="Bullet1"/>
      </w:pPr>
      <w:r w:rsidRPr="00284A53">
        <w:t>compliance with privacy principles governing the collection, use and disclosure of health information</w:t>
      </w:r>
      <w:r w:rsidR="000C4548">
        <w:t xml:space="preserve">, for example, </w:t>
      </w:r>
      <w:r>
        <w:t>a ‘</w:t>
      </w:r>
      <w:r w:rsidR="004F28F0">
        <w:t xml:space="preserve">patient information </w:t>
      </w:r>
      <w:r>
        <w:t>collection</w:t>
      </w:r>
      <w:r w:rsidRPr="00284A53">
        <w:t xml:space="preserve"> statement</w:t>
      </w:r>
      <w:r>
        <w:t>’</w:t>
      </w:r>
      <w:r w:rsidRPr="00284A53">
        <w:t xml:space="preserve"> </w:t>
      </w:r>
      <w:r w:rsidR="004D0800">
        <w:t xml:space="preserve">that </w:t>
      </w:r>
      <w:r w:rsidRPr="00284A53">
        <w:t xml:space="preserve">explains to the patient the reasons why their health information and </w:t>
      </w:r>
      <w:r>
        <w:t>GP</w:t>
      </w:r>
      <w:r w:rsidRPr="00284A53">
        <w:t>’s contact details are being collected</w:t>
      </w:r>
    </w:p>
    <w:p w14:paraId="6A29F8C2" w14:textId="0E7FDF48" w:rsidR="00FE4536" w:rsidRDefault="00FE4536" w:rsidP="00FE4536">
      <w:pPr>
        <w:pStyle w:val="Bullet1"/>
      </w:pPr>
      <w:r>
        <w:t>booking procedures, how to reschedule appointments and what patients should do if they are unable to attend or have missed a scheduled appointment.</w:t>
      </w:r>
    </w:p>
    <w:p w14:paraId="27ED77A7" w14:textId="62E06FE3" w:rsidR="00B642B3" w:rsidRPr="00A610AF" w:rsidRDefault="0042463D" w:rsidP="00A610AF">
      <w:pPr>
        <w:pStyle w:val="Body"/>
      </w:pPr>
      <w:r>
        <w:t xml:space="preserve">In accordance with </w:t>
      </w:r>
      <w:hyperlink r:id="rId52" w:history="1">
        <w:r w:rsidR="00C6649D">
          <w:rPr>
            <w:rStyle w:val="Hyperlink"/>
          </w:rPr>
          <w:t>MBS billing policy framework - Victorian public hospitals</w:t>
        </w:r>
      </w:hyperlink>
      <w:r w:rsidR="00C6649D" w:rsidRPr="003E02E6">
        <w:t xml:space="preserve"> &lt;https://www.health.vic.gov.au/funding-performance-accountability/mbs-billing-policy-framework-victorian-public-hospitals</w:t>
      </w:r>
      <w:r w:rsidR="00C24705">
        <w:rPr>
          <w:rFonts w:cs="Arial"/>
          <w:color w:val="2A2736"/>
        </w:rPr>
        <w:t>&gt;</w:t>
      </w:r>
      <w:r>
        <w:t xml:space="preserve"> w</w:t>
      </w:r>
      <w:r w:rsidR="00B642B3" w:rsidRPr="00A610AF">
        <w:t xml:space="preserve">here the public hospital offers MBS-billed services the following information </w:t>
      </w:r>
      <w:r w:rsidR="00A610AF" w:rsidRPr="00A610AF">
        <w:t>must</w:t>
      </w:r>
      <w:r w:rsidR="00B642B3" w:rsidRPr="00A610AF">
        <w:t xml:space="preserve"> </w:t>
      </w:r>
      <w:r w:rsidR="000C4548">
        <w:t xml:space="preserve">be </w:t>
      </w:r>
      <w:r w:rsidR="00A610AF">
        <w:t xml:space="preserve">detailed on the </w:t>
      </w:r>
      <w:r w:rsidR="00CE01A4">
        <w:t>h</w:t>
      </w:r>
      <w:r w:rsidR="00A610AF">
        <w:t>ealth service’s website</w:t>
      </w:r>
      <w:r w:rsidR="00B642B3" w:rsidRPr="00A610AF">
        <w:t>:</w:t>
      </w:r>
    </w:p>
    <w:p w14:paraId="5C140660" w14:textId="51278326" w:rsidR="00B642B3" w:rsidRPr="00A610AF" w:rsidRDefault="00B642B3" w:rsidP="00A610AF">
      <w:pPr>
        <w:pStyle w:val="Bullet1"/>
      </w:pPr>
      <w:r w:rsidRPr="00A610AF">
        <w:t>the specialty areas offer</w:t>
      </w:r>
      <w:r w:rsidR="000C4548">
        <w:t>ing</w:t>
      </w:r>
      <w:r w:rsidRPr="00A610AF">
        <w:t xml:space="preserve"> both public and private (MBS-billed) services</w:t>
      </w:r>
    </w:p>
    <w:p w14:paraId="0745805F" w14:textId="66EFC59A" w:rsidR="00B642B3" w:rsidRPr="00A610AF" w:rsidRDefault="00B642B3" w:rsidP="00A610AF">
      <w:pPr>
        <w:pStyle w:val="Bullet1"/>
        <w:rPr>
          <w:rStyle w:val="Hyperlink"/>
          <w:color w:val="auto"/>
          <w:u w:val="none"/>
        </w:rPr>
      </w:pPr>
      <w:r w:rsidRPr="00A610AF">
        <w:t>the names of medical specialists exercising rights of private practice in each speciality</w:t>
      </w:r>
      <w:r w:rsidR="0042463D">
        <w:t>.</w:t>
      </w:r>
    </w:p>
    <w:p w14:paraId="46D6E708" w14:textId="0A2B0EC9" w:rsidR="007D7C15" w:rsidRDefault="004A51AC" w:rsidP="004A51AC">
      <w:pPr>
        <w:pStyle w:val="Heading2"/>
      </w:pPr>
      <w:bookmarkStart w:id="37" w:name="_Toc121210053"/>
      <w:r>
        <w:t>6.3 Communication</w:t>
      </w:r>
      <w:r w:rsidR="00B30272">
        <w:t>s</w:t>
      </w:r>
      <w:r>
        <w:t xml:space="preserve"> with patients</w:t>
      </w:r>
      <w:bookmarkEnd w:id="37"/>
    </w:p>
    <w:p w14:paraId="1673ACA3" w14:textId="12B60ED5" w:rsidR="00D06049" w:rsidRDefault="00DF0297" w:rsidP="00D06049">
      <w:pPr>
        <w:pStyle w:val="Body"/>
      </w:pPr>
      <w:r>
        <w:t xml:space="preserve">The patients preferred method of communication </w:t>
      </w:r>
      <w:r w:rsidRPr="00BA709B">
        <w:t xml:space="preserve">for correspondence with the </w:t>
      </w:r>
      <w:r w:rsidR="008D046F">
        <w:t xml:space="preserve">Victorian public </w:t>
      </w:r>
      <w:r w:rsidRPr="00BA709B">
        <w:t>health service and during clinical consultations</w:t>
      </w:r>
      <w:r>
        <w:t xml:space="preserve"> should be recorded</w:t>
      </w:r>
      <w:r w:rsidR="00956160">
        <w:t xml:space="preserve"> and a</w:t>
      </w:r>
      <w:r w:rsidR="00D06049">
        <w:t>ll communication</w:t>
      </w:r>
      <w:r w:rsidR="00B30272">
        <w:t>s</w:t>
      </w:r>
      <w:r w:rsidR="00D06049">
        <w:t xml:space="preserve"> </w:t>
      </w:r>
      <w:r w:rsidR="00D06049" w:rsidRPr="002C6C2A">
        <w:t>should use the</w:t>
      </w:r>
      <w:r w:rsidR="00D06049">
        <w:t xml:space="preserve"> patient’s preferred method</w:t>
      </w:r>
      <w:r w:rsidR="00B30272">
        <w:t>(s)</w:t>
      </w:r>
      <w:r w:rsidR="00D06049">
        <w:t xml:space="preserve"> of </w:t>
      </w:r>
      <w:r w:rsidR="00192B0A">
        <w:t xml:space="preserve">written and verbal </w:t>
      </w:r>
      <w:r w:rsidR="00D06049">
        <w:t>communication from the options available at the health service</w:t>
      </w:r>
      <w:r w:rsidR="009A7768">
        <w:t>.</w:t>
      </w:r>
      <w:r w:rsidR="00D06049">
        <w:t xml:space="preserve"> </w:t>
      </w:r>
      <w:r w:rsidR="009A7768">
        <w:t>F</w:t>
      </w:r>
      <w:r w:rsidR="00D06049">
        <w:t xml:space="preserve">or example </w:t>
      </w:r>
      <w:r w:rsidR="000A28A4">
        <w:t xml:space="preserve">telephone, </w:t>
      </w:r>
      <w:r w:rsidR="00D06049">
        <w:t>letter, text or email.</w:t>
      </w:r>
    </w:p>
    <w:p w14:paraId="6EB2B198" w14:textId="77777777" w:rsidR="00D06049" w:rsidRPr="008865F7" w:rsidRDefault="00D06049" w:rsidP="00D06049">
      <w:pPr>
        <w:pStyle w:val="Body"/>
      </w:pPr>
      <w:r w:rsidRPr="008865F7">
        <w:t xml:space="preserve">Communication with patients, whatever the medium, must: </w:t>
      </w:r>
    </w:p>
    <w:p w14:paraId="5853FFE4" w14:textId="77777777" w:rsidR="00D06049" w:rsidRDefault="00D06049" w:rsidP="00D06049">
      <w:pPr>
        <w:pStyle w:val="Bullet1"/>
      </w:pPr>
      <w:r>
        <w:t>be compliant with all relevant privacy and health records legislation and requirements</w:t>
      </w:r>
    </w:p>
    <w:p w14:paraId="298CA86B" w14:textId="57D09706" w:rsidR="00D06049" w:rsidRPr="008865F7" w:rsidRDefault="00D06049" w:rsidP="00D06049">
      <w:pPr>
        <w:pStyle w:val="Bullet1"/>
      </w:pPr>
      <w:r w:rsidRPr="008865F7">
        <w:t xml:space="preserve">be in plain </w:t>
      </w:r>
      <w:r w:rsidRPr="00F75217">
        <w:t>English</w:t>
      </w:r>
      <w:r w:rsidRPr="008865F7">
        <w:t>, suitable for people with English literacy</w:t>
      </w:r>
      <w:r>
        <w:t xml:space="preserve"> below </w:t>
      </w:r>
      <w:r w:rsidRPr="008865F7">
        <w:t xml:space="preserve">level 1, as </w:t>
      </w:r>
      <w:r>
        <w:t xml:space="preserve">described by the Australian Bureau of Statistics </w:t>
      </w:r>
      <w:r w:rsidR="00AD5C93">
        <w:t>&lt;</w:t>
      </w:r>
      <w:hyperlink r:id="rId53" w:history="1">
        <w:r w:rsidRPr="00AD5C93">
          <w:rPr>
            <w:rStyle w:val="BodyChar"/>
          </w:rPr>
          <w:t>https://www.abs.gov.au/ausstats/abs@.nsf/Lookup/4228.0Appendix202011-12</w:t>
        </w:r>
      </w:hyperlink>
      <w:r w:rsidR="00AD5C93">
        <w:rPr>
          <w:rStyle w:val="BodyChar"/>
        </w:rPr>
        <w:t>&gt;</w:t>
      </w:r>
      <w:r>
        <w:t>: “</w:t>
      </w:r>
      <w:r w:rsidRPr="002C6C2A">
        <w:rPr>
          <w:rFonts w:cs="Arial"/>
          <w:i/>
          <w:iCs/>
          <w:color w:val="333333"/>
          <w:shd w:val="clear" w:color="auto" w:fill="FFFFFF"/>
        </w:rPr>
        <w:t>Only basic vocabulary knowledge is required, and the reader is not required to understand the structure of sentences or paragraphs or make use of other text features.</w:t>
      </w:r>
      <w:r>
        <w:rPr>
          <w:rFonts w:cs="Arial"/>
          <w:color w:val="333333"/>
          <w:shd w:val="clear" w:color="auto" w:fill="FFFFFF"/>
        </w:rPr>
        <w:t>”</w:t>
      </w:r>
    </w:p>
    <w:p w14:paraId="1425DB81" w14:textId="6CDFB0DB" w:rsidR="00D06049" w:rsidRPr="00AD67B7" w:rsidRDefault="006817D8" w:rsidP="002F33BD">
      <w:pPr>
        <w:pStyle w:val="Bullet1"/>
      </w:pPr>
      <w:r w:rsidRPr="00AD67B7">
        <w:t>be available in the consumer’s preferred community language</w:t>
      </w:r>
      <w:r w:rsidR="005A7701" w:rsidRPr="00AD67B7">
        <w:t xml:space="preserve"> in written or </w:t>
      </w:r>
      <w:r w:rsidR="008A5E32" w:rsidRPr="00AD67B7">
        <w:t>verbal</w:t>
      </w:r>
      <w:r w:rsidR="009A7941" w:rsidRPr="00AD67B7">
        <w:t xml:space="preserve"> communications </w:t>
      </w:r>
      <w:r w:rsidR="005A7701" w:rsidRPr="00AD67B7">
        <w:t>with the assistance of a</w:t>
      </w:r>
      <w:r w:rsidR="00EC5944" w:rsidRPr="00AD67B7">
        <w:t xml:space="preserve"> translator or a</w:t>
      </w:r>
      <w:r w:rsidR="005A7701" w:rsidRPr="00AD67B7">
        <w:t>n interpreter</w:t>
      </w:r>
      <w:r w:rsidR="004D1B18" w:rsidRPr="00AD67B7">
        <w:t xml:space="preserve">. </w:t>
      </w:r>
      <w:r w:rsidR="00AD67B7" w:rsidRPr="00AD67B7">
        <w:t xml:space="preserve">The use of </w:t>
      </w:r>
      <w:r w:rsidR="00D06049" w:rsidRPr="00AD67B7">
        <w:t>Victoria’s communication templates and information sheets about specialist clinics</w:t>
      </w:r>
      <w:r w:rsidR="001F6B60">
        <w:t xml:space="preserve"> available in multiple </w:t>
      </w:r>
      <w:r w:rsidR="001F6B60">
        <w:lastRenderedPageBreak/>
        <w:t>languages</w:t>
      </w:r>
      <w:r w:rsidR="00AD67B7" w:rsidRPr="00AD67B7">
        <w:t xml:space="preserve"> </w:t>
      </w:r>
      <w:r w:rsidR="002F33BD">
        <w:t>&lt;https://</w:t>
      </w:r>
      <w:hyperlink r:id="rId54" w:history="1">
        <w:r w:rsidR="002F33BD" w:rsidRPr="001E655F">
          <w:rPr>
            <w:rStyle w:val="Hyperlink"/>
            <w:color w:val="auto"/>
            <w:u w:val="none"/>
          </w:rPr>
          <w:t>www.health.vic.gov.au/patient-care/specialist-clinics-communication-toolkit</w:t>
        </w:r>
      </w:hyperlink>
      <w:r w:rsidR="002F33BD">
        <w:t xml:space="preserve">&gt; </w:t>
      </w:r>
      <w:r w:rsidR="00AD67B7" w:rsidRPr="00AD67B7">
        <w:t>is strongly recommended</w:t>
      </w:r>
    </w:p>
    <w:p w14:paraId="5FD63BF7" w14:textId="77777777" w:rsidR="00D06049" w:rsidRDefault="00D06049" w:rsidP="00D06049">
      <w:pPr>
        <w:pStyle w:val="Bullet1"/>
      </w:pPr>
      <w:r w:rsidRPr="00F75217">
        <w:t xml:space="preserve">have accessible options for patients with </w:t>
      </w:r>
      <w:r>
        <w:t xml:space="preserve">a </w:t>
      </w:r>
      <w:r w:rsidRPr="00F75217">
        <w:t xml:space="preserve">visual </w:t>
      </w:r>
      <w:r>
        <w:t>or</w:t>
      </w:r>
      <w:r w:rsidRPr="00F75217">
        <w:t xml:space="preserve"> hearing impairment</w:t>
      </w:r>
    </w:p>
    <w:p w14:paraId="4D76D604" w14:textId="61B13ECE" w:rsidR="00C66964" w:rsidRDefault="00C66964" w:rsidP="00D06049">
      <w:pPr>
        <w:pStyle w:val="Bullet1"/>
      </w:pPr>
      <w:r w:rsidRPr="007F4595">
        <w:t>have accessible options for autistic patients</w:t>
      </w:r>
      <w:r w:rsidR="004F2E25">
        <w:t>/patients with autism</w:t>
      </w:r>
      <w:r w:rsidR="00633DD1">
        <w:t xml:space="preserve"> </w:t>
      </w:r>
      <w:r w:rsidR="00D25D4C">
        <w:t>&lt;h</w:t>
      </w:r>
      <w:r w:rsidR="00D25D4C" w:rsidRPr="00D25D4C">
        <w:t>ttps://bjgpopen.org/content/6/1/BJGPO.2021.0174</w:t>
      </w:r>
      <w:r w:rsidR="00D25D4C">
        <w:t>&gt;</w:t>
      </w:r>
    </w:p>
    <w:p w14:paraId="651F7627" w14:textId="5198E4A3" w:rsidR="004A51AC" w:rsidRDefault="00D06049" w:rsidP="00D06049">
      <w:pPr>
        <w:pStyle w:val="Bullet1"/>
      </w:pPr>
      <w:r w:rsidRPr="00726A24">
        <w:t xml:space="preserve">consider the communication, language and cultural needs of groups that encounter </w:t>
      </w:r>
      <w:r>
        <w:t xml:space="preserve">disparities in access to care </w:t>
      </w:r>
      <w:r w:rsidRPr="00726A24">
        <w:t xml:space="preserve">including Aboriginal people, </w:t>
      </w:r>
      <w:r w:rsidR="004B3EA1">
        <w:t>refugees and asylum seekers</w:t>
      </w:r>
      <w:r>
        <w:t>.</w:t>
      </w:r>
    </w:p>
    <w:p w14:paraId="625C0E0D" w14:textId="52F05308" w:rsidR="00CE67DC" w:rsidRDefault="00910A4A" w:rsidP="00910A4A">
      <w:pPr>
        <w:pStyle w:val="Heading3"/>
      </w:pPr>
      <w:r>
        <w:t>6.3.1 Outcomes of referral request</w:t>
      </w:r>
    </w:p>
    <w:p w14:paraId="2C25ABDD" w14:textId="510FDEE0" w:rsidR="007E594D" w:rsidRDefault="007E594D" w:rsidP="007E594D">
      <w:pPr>
        <w:pStyle w:val="Body"/>
      </w:pPr>
      <w:r>
        <w:t xml:space="preserve">Within </w:t>
      </w:r>
      <w:r w:rsidRPr="00DE416A">
        <w:rPr>
          <w:b/>
          <w:bCs/>
        </w:rPr>
        <w:t>eight working days</w:t>
      </w:r>
      <w:r>
        <w:t xml:space="preserve"> of receiving a valid referral the </w:t>
      </w:r>
      <w:r w:rsidR="008D046F">
        <w:t xml:space="preserve">Victorian public </w:t>
      </w:r>
      <w:r>
        <w:t xml:space="preserve">health service </w:t>
      </w:r>
      <w:r w:rsidRPr="001871EC">
        <w:rPr>
          <w:b/>
          <w:bCs/>
        </w:rPr>
        <w:t xml:space="preserve">must </w:t>
      </w:r>
      <w:r>
        <w:t>inform the patient in writing</w:t>
      </w:r>
      <w:r w:rsidR="009629CB">
        <w:t>,</w:t>
      </w:r>
      <w:r w:rsidR="009A7768">
        <w:t xml:space="preserve"> using their preferred method of </w:t>
      </w:r>
      <w:r w:rsidR="001E227C">
        <w:t>correspondence available fro</w:t>
      </w:r>
      <w:r w:rsidR="009629CB">
        <w:t>m the health service,</w:t>
      </w:r>
      <w:r>
        <w:t xml:space="preserve"> if the referral has been:</w:t>
      </w:r>
    </w:p>
    <w:p w14:paraId="3C3EF555" w14:textId="468458E3" w:rsidR="007E594D" w:rsidRDefault="007E594D" w:rsidP="0010102B">
      <w:pPr>
        <w:pStyle w:val="Bullet1"/>
      </w:pPr>
      <w:r>
        <w:t>not accepted</w:t>
      </w:r>
      <w:r w:rsidR="00F5049F">
        <w:t xml:space="preserve">, </w:t>
      </w:r>
    </w:p>
    <w:p w14:paraId="5656929F" w14:textId="5E52C43F" w:rsidR="007E594D" w:rsidRDefault="007E594D" w:rsidP="0010102B">
      <w:pPr>
        <w:pStyle w:val="Bullet1"/>
      </w:pPr>
      <w:r>
        <w:t xml:space="preserve">accepted and an appointment has been scheduled and if the service can be provided by </w:t>
      </w:r>
      <w:r w:rsidR="00A528BF">
        <w:t xml:space="preserve">virtual care </w:t>
      </w:r>
      <w:r>
        <w:t>or in the person’s home (if the service is required within 30 calendar days of the referral being received by the health service), or</w:t>
      </w:r>
    </w:p>
    <w:p w14:paraId="5243C84F" w14:textId="07DE50EB" w:rsidR="007E594D" w:rsidRDefault="007E594D" w:rsidP="0010102B">
      <w:pPr>
        <w:pStyle w:val="Bullet1"/>
      </w:pPr>
      <w:r>
        <w:t>accepted and that they have been placed on a list of waiting patients.</w:t>
      </w:r>
    </w:p>
    <w:p w14:paraId="42C99486" w14:textId="562146AD" w:rsidR="00910A4A" w:rsidRDefault="007E594D" w:rsidP="007E594D">
      <w:pPr>
        <w:pStyle w:val="Body"/>
      </w:pPr>
      <w:r w:rsidRPr="002C6C2A">
        <w:t>If the referral is accepted</w:t>
      </w:r>
      <w:r w:rsidR="003B2FCF">
        <w:t>,</w:t>
      </w:r>
      <w:r w:rsidRPr="002C6C2A">
        <w:t xml:space="preserve"> but an appointment is not yet scheduled</w:t>
      </w:r>
      <w:r w:rsidR="003B2FCF">
        <w:t>,</w:t>
      </w:r>
      <w:r w:rsidRPr="002C6C2A">
        <w:t xml:space="preserve"> the health service must inform the patient in writing about the expected waiting time, based on current wait or clearance times for the service, for an appointment</w:t>
      </w:r>
      <w:r w:rsidR="002B4F42">
        <w:t>.</w:t>
      </w:r>
      <w:r w:rsidRPr="002C6C2A">
        <w:t xml:space="preserve"> </w:t>
      </w:r>
      <w:r w:rsidR="00D83CDD">
        <w:t>F</w:t>
      </w:r>
      <w:r w:rsidRPr="002C6C2A">
        <w:t xml:space="preserve">or example, </w:t>
      </w:r>
      <w:r w:rsidR="003B2FCF">
        <w:t xml:space="preserve">an </w:t>
      </w:r>
      <w:r w:rsidRPr="002C6C2A">
        <w:t>appointment will be available in a specified number of months.</w:t>
      </w:r>
      <w:r w:rsidR="0001242E">
        <w:t xml:space="preserve"> </w:t>
      </w:r>
      <w:r>
        <w:t>(Also see section 7</w:t>
      </w:r>
      <w:r w:rsidRPr="00D96377">
        <w:t>.2</w:t>
      </w:r>
      <w:r>
        <w:t>.)</w:t>
      </w:r>
    </w:p>
    <w:p w14:paraId="44A82D09" w14:textId="3B8CD6D6" w:rsidR="00CE67DC" w:rsidRDefault="0010102B" w:rsidP="0010102B">
      <w:pPr>
        <w:pStyle w:val="Heading3"/>
      </w:pPr>
      <w:r>
        <w:t>6.3.2 Postponement of a scheduled appointment by the health service</w:t>
      </w:r>
    </w:p>
    <w:p w14:paraId="5EFAE3A2" w14:textId="1BD54345" w:rsidR="003568FE" w:rsidRDefault="003568FE" w:rsidP="003568FE">
      <w:pPr>
        <w:pStyle w:val="Body"/>
      </w:pPr>
      <w:bookmarkStart w:id="38" w:name="_Hlk6297104"/>
      <w:r>
        <w:t>If the</w:t>
      </w:r>
      <w:r w:rsidR="008D046F">
        <w:t xml:space="preserve"> Victorian public</w:t>
      </w:r>
      <w:r>
        <w:t xml:space="preserve"> health service needs to postpone a scheduled appointment</w:t>
      </w:r>
      <w:r w:rsidRPr="00D616B0">
        <w:t xml:space="preserve"> </w:t>
      </w:r>
      <w:r w:rsidR="004B0D86">
        <w:t>it</w:t>
      </w:r>
      <w:r>
        <w:t xml:space="preserve"> </w:t>
      </w:r>
      <w:r w:rsidRPr="00E70331">
        <w:rPr>
          <w:b/>
          <w:bCs/>
        </w:rPr>
        <w:t>must</w:t>
      </w:r>
      <w:r>
        <w:t>:</w:t>
      </w:r>
    </w:p>
    <w:p w14:paraId="59FB9451" w14:textId="77777777" w:rsidR="003568FE" w:rsidRDefault="003568FE" w:rsidP="003568FE">
      <w:pPr>
        <w:pStyle w:val="Bullet1"/>
      </w:pPr>
      <w:r>
        <w:t>contact the patient as soon as possible</w:t>
      </w:r>
    </w:p>
    <w:p w14:paraId="2375D8CB" w14:textId="29B3AE59" w:rsidR="003568FE" w:rsidRDefault="003568FE" w:rsidP="003568FE">
      <w:pPr>
        <w:pStyle w:val="Bullet1"/>
      </w:pPr>
      <w:r>
        <w:t>offer the patient a choice of appointment times and dates</w:t>
      </w:r>
      <w:r w:rsidR="00331C2C">
        <w:t>,</w:t>
      </w:r>
      <w:r>
        <w:t xml:space="preserve"> considering the patient’s personal circumstances</w:t>
      </w:r>
      <w:r w:rsidR="008A5E32">
        <w:t>;</w:t>
      </w:r>
      <w:r>
        <w:t xml:space="preserve"> for example, it may be difficult for a patient living outside the metropolitan area to physically attend the earliest appointment in the morning at a metropolitan health service</w:t>
      </w:r>
    </w:p>
    <w:p w14:paraId="7B0AB6C3" w14:textId="77777777" w:rsidR="003568FE" w:rsidRDefault="003568FE" w:rsidP="003568FE">
      <w:pPr>
        <w:pStyle w:val="Bullet1"/>
      </w:pPr>
      <w:r>
        <w:t>reschedule the appointment as soon as practicable</w:t>
      </w:r>
    </w:p>
    <w:p w14:paraId="651260EE" w14:textId="77777777" w:rsidR="003568FE" w:rsidRDefault="003568FE" w:rsidP="003568FE">
      <w:pPr>
        <w:pStyle w:val="Bullet1"/>
      </w:pPr>
      <w:r>
        <w:t>notify the patient of the new appointment date and time via written or verbal communication, or both,</w:t>
      </w:r>
      <w:r w:rsidRPr="00CA1B38">
        <w:t xml:space="preserve"> </w:t>
      </w:r>
      <w:r>
        <w:t xml:space="preserve">within </w:t>
      </w:r>
      <w:r w:rsidRPr="005A58D8">
        <w:rPr>
          <w:b/>
          <w:bCs/>
        </w:rPr>
        <w:t>five working days</w:t>
      </w:r>
      <w:r>
        <w:t xml:space="preserve"> of the postponed appointment date.</w:t>
      </w:r>
    </w:p>
    <w:p w14:paraId="0D1D81AD" w14:textId="77777777" w:rsidR="003568FE" w:rsidRDefault="003568FE" w:rsidP="003568FE">
      <w:pPr>
        <w:pStyle w:val="Body"/>
      </w:pPr>
      <w:r>
        <w:t xml:space="preserve">If the health service needs to postpone a scheduled appointment on the day of the appointment and the patient has already travelled to, or arrived at, the health service, the health service </w:t>
      </w:r>
      <w:r w:rsidRPr="00327AEB">
        <w:rPr>
          <w:b/>
          <w:bCs/>
        </w:rPr>
        <w:t xml:space="preserve">must </w:t>
      </w:r>
      <w:r>
        <w:t>immediately offer the patient:</w:t>
      </w:r>
    </w:p>
    <w:p w14:paraId="40047CF3" w14:textId="77777777" w:rsidR="003568FE" w:rsidRDefault="003568FE" w:rsidP="003568FE">
      <w:pPr>
        <w:pStyle w:val="Bullet1"/>
      </w:pPr>
      <w:r>
        <w:t>the opportunity to discuss with a clinical staff member any issues that might arise because of the postponement</w:t>
      </w:r>
    </w:p>
    <w:p w14:paraId="073A4B79" w14:textId="451228C1" w:rsidR="003568FE" w:rsidRDefault="003568FE" w:rsidP="003568FE">
      <w:pPr>
        <w:pStyle w:val="Bullet1"/>
      </w:pPr>
      <w:r>
        <w:t>assistance and, if appropriate, reimbursement for transport</w:t>
      </w:r>
      <w:r w:rsidR="00E76E37">
        <w:t>, accommodation</w:t>
      </w:r>
      <w:r>
        <w:t xml:space="preserve"> and parking costs claimed by the patient</w:t>
      </w:r>
    </w:p>
    <w:p w14:paraId="626E2896" w14:textId="3EE99B13" w:rsidR="003568FE" w:rsidRDefault="003568FE" w:rsidP="003568FE">
      <w:pPr>
        <w:pStyle w:val="Bullet1"/>
      </w:pPr>
      <w:r>
        <w:t>contact details for th</w:t>
      </w:r>
      <w:r w:rsidR="00CA59EF">
        <w:t xml:space="preserve">e </w:t>
      </w:r>
      <w:r w:rsidR="007616B2">
        <w:t xml:space="preserve">non-admitted specialist </w:t>
      </w:r>
      <w:r>
        <w:t>service unit should the patient need further information</w:t>
      </w:r>
    </w:p>
    <w:p w14:paraId="3717F535" w14:textId="5D46DA4E" w:rsidR="003568FE" w:rsidRDefault="003568FE" w:rsidP="003568FE">
      <w:pPr>
        <w:pStyle w:val="Bullet1"/>
      </w:pPr>
      <w:r>
        <w:t xml:space="preserve">the process </w:t>
      </w:r>
      <w:r w:rsidR="00CA59EF">
        <w:t xml:space="preserve">and assistance as </w:t>
      </w:r>
      <w:r w:rsidR="007616B2">
        <w:t>needed</w:t>
      </w:r>
      <w:r w:rsidR="00CA59EF">
        <w:t xml:space="preserve"> </w:t>
      </w:r>
      <w:r>
        <w:t>for making a complaint.</w:t>
      </w:r>
    </w:p>
    <w:p w14:paraId="251AA95C" w14:textId="6517BB1A" w:rsidR="0010102B" w:rsidRDefault="007A5B2B" w:rsidP="007A5B2B">
      <w:pPr>
        <w:pStyle w:val="Heading2"/>
      </w:pPr>
      <w:bookmarkStart w:id="39" w:name="_Toc121210054"/>
      <w:bookmarkEnd w:id="38"/>
      <w:r>
        <w:lastRenderedPageBreak/>
        <w:t>6.4 Communication</w:t>
      </w:r>
      <w:r w:rsidR="004E20E0">
        <w:t>s</w:t>
      </w:r>
      <w:r>
        <w:t xml:space="preserve"> with referring clinicians</w:t>
      </w:r>
      <w:bookmarkEnd w:id="39"/>
    </w:p>
    <w:p w14:paraId="2A085F45" w14:textId="7FF3F1B6" w:rsidR="009332A1" w:rsidRDefault="009332A1" w:rsidP="009332A1">
      <w:pPr>
        <w:pStyle w:val="Body"/>
      </w:pPr>
      <w:r>
        <w:t>The transfer of patient information must comply with the privacy principles defined in the</w:t>
      </w:r>
      <w:r w:rsidR="00E72D29">
        <w:t xml:space="preserve"> </w:t>
      </w:r>
      <w:hyperlink r:id="rId55" w:history="1">
        <w:r w:rsidR="00E72D29">
          <w:rPr>
            <w:rStyle w:val="Hyperlink"/>
          </w:rPr>
          <w:t>Privacy and Data Protection Act 2014</w:t>
        </w:r>
      </w:hyperlink>
      <w:r>
        <w:t xml:space="preserve"> </w:t>
      </w:r>
      <w:r w:rsidR="0013205E">
        <w:t>&lt;</w:t>
      </w:r>
      <w:r w:rsidR="0013205E" w:rsidRPr="004865C9">
        <w:t>https://www.legislation.vic.gov.au/in-force/acts/privacy-and-data-protection-act-2014/028</w:t>
      </w:r>
      <w:r w:rsidR="0013205E">
        <w:t>&gt;</w:t>
      </w:r>
      <w:r>
        <w:rPr>
          <w:iCs/>
        </w:rPr>
        <w:t>,</w:t>
      </w:r>
      <w:r>
        <w:rPr>
          <w:i/>
        </w:rPr>
        <w:t xml:space="preserve"> </w:t>
      </w:r>
      <w:r>
        <w:t xml:space="preserve">the </w:t>
      </w:r>
      <w:hyperlink r:id="rId56" w:history="1">
        <w:r w:rsidR="008A4007">
          <w:rPr>
            <w:rStyle w:val="Hyperlink"/>
          </w:rPr>
          <w:t>Health Records Act 2001</w:t>
        </w:r>
      </w:hyperlink>
      <w:r w:rsidR="008A4007">
        <w:t xml:space="preserve"> </w:t>
      </w:r>
      <w:r w:rsidR="002E5B64" w:rsidRPr="00EE3225">
        <w:rPr>
          <w:szCs w:val="21"/>
        </w:rPr>
        <w:t>&lt;https://www.legislation.vic.gov.au/in-force/acts/health-records-act-2001/047&gt;</w:t>
      </w:r>
      <w:r w:rsidR="00B67263">
        <w:rPr>
          <w:szCs w:val="21"/>
        </w:rPr>
        <w:t xml:space="preserve"> </w:t>
      </w:r>
      <w:r>
        <w:t>and any other applicable legislation</w:t>
      </w:r>
      <w:r w:rsidR="00A13D14">
        <w:t xml:space="preserve"> (see section </w:t>
      </w:r>
      <w:r w:rsidR="00B02F63">
        <w:t>6.1</w:t>
      </w:r>
      <w:r w:rsidR="004355B9">
        <w:t>)</w:t>
      </w:r>
      <w:r>
        <w:t xml:space="preserve">. </w:t>
      </w:r>
    </w:p>
    <w:p w14:paraId="66D10F92" w14:textId="18A64CF2" w:rsidR="009332A1" w:rsidRDefault="000D4081" w:rsidP="009332A1">
      <w:pPr>
        <w:pStyle w:val="Body"/>
      </w:pPr>
      <w:r>
        <w:t>Victorian public h</w:t>
      </w:r>
      <w:r w:rsidR="009332A1">
        <w:t>ealth services must communicate with referring clinicians using their preferred methods of written and verbal communication from the options available at the health service.</w:t>
      </w:r>
    </w:p>
    <w:p w14:paraId="70E1D95B" w14:textId="2103C24A" w:rsidR="007A5B2B" w:rsidRDefault="001E3E1D" w:rsidP="001E3E1D">
      <w:pPr>
        <w:pStyle w:val="Heading3"/>
      </w:pPr>
      <w:r>
        <w:t>6.4.1 Incomplete referrals</w:t>
      </w:r>
    </w:p>
    <w:p w14:paraId="30DA7B64" w14:textId="050B520F" w:rsidR="004367AF" w:rsidRDefault="004367AF" w:rsidP="004367AF">
      <w:pPr>
        <w:pStyle w:val="Body"/>
      </w:pPr>
      <w:r>
        <w:t xml:space="preserve">Referrals that are incomplete or do not have the required information to assess the referral, </w:t>
      </w:r>
      <w:r w:rsidRPr="00FD0D26">
        <w:rPr>
          <w:b/>
          <w:bCs/>
        </w:rPr>
        <w:t>must not</w:t>
      </w:r>
      <w:r>
        <w:t xml:space="preserve"> be accepted.</w:t>
      </w:r>
    </w:p>
    <w:p w14:paraId="48BC6F5D" w14:textId="0DE74230" w:rsidR="004367AF" w:rsidRDefault="004367AF" w:rsidP="004367AF">
      <w:pPr>
        <w:pStyle w:val="Body"/>
      </w:pPr>
      <w:r>
        <w:t xml:space="preserve">The </w:t>
      </w:r>
      <w:r w:rsidR="00A05D4B">
        <w:t xml:space="preserve">Victorian public </w:t>
      </w:r>
      <w:r>
        <w:t xml:space="preserve">health service must notify the referring clinician in writing of this decision within </w:t>
      </w:r>
      <w:r w:rsidRPr="000C7429">
        <w:rPr>
          <w:b/>
          <w:bCs/>
        </w:rPr>
        <w:t>eight working days</w:t>
      </w:r>
      <w:r>
        <w:t xml:space="preserve"> of the health service receiving the referral request.</w:t>
      </w:r>
      <w:r w:rsidRPr="00943634">
        <w:t xml:space="preserve"> </w:t>
      </w:r>
    </w:p>
    <w:p w14:paraId="284164E1" w14:textId="4096209A" w:rsidR="001E3E1D" w:rsidRDefault="004367AF" w:rsidP="004367AF">
      <w:pPr>
        <w:pStyle w:val="Body"/>
      </w:pPr>
      <w:r>
        <w:t>Where a referral is incomplete but</w:t>
      </w:r>
      <w:r w:rsidR="00866DA8">
        <w:t xml:space="preserve"> likely to be </w:t>
      </w:r>
      <w:r w:rsidR="006245C6">
        <w:t>categorised as ‘</w:t>
      </w:r>
      <w:r>
        <w:t>high</w:t>
      </w:r>
      <w:r w:rsidR="006245C6">
        <w:t xml:space="preserve"> </w:t>
      </w:r>
      <w:r>
        <w:t>priority</w:t>
      </w:r>
      <w:r w:rsidR="006245C6">
        <w:t>’</w:t>
      </w:r>
      <w:r>
        <w:t xml:space="preserve">, the </w:t>
      </w:r>
      <w:r w:rsidR="00803520">
        <w:t>referring clinician</w:t>
      </w:r>
      <w:r>
        <w:t xml:space="preserve"> should be contacted </w:t>
      </w:r>
      <w:r w:rsidR="005B46DE">
        <w:t>verbally</w:t>
      </w:r>
      <w:r>
        <w:t xml:space="preserve"> for the remaining information so the referral can be assessed immediately.</w:t>
      </w:r>
    </w:p>
    <w:p w14:paraId="4B4E7631" w14:textId="4C3CF5CC" w:rsidR="0010102B" w:rsidRDefault="004367AF" w:rsidP="004367AF">
      <w:pPr>
        <w:pStyle w:val="Heading3"/>
      </w:pPr>
      <w:r>
        <w:t>6.4.2 Complete referrals</w:t>
      </w:r>
    </w:p>
    <w:p w14:paraId="7B4ABC08" w14:textId="508645B8" w:rsidR="0014098F" w:rsidRDefault="0014098F" w:rsidP="0014098F">
      <w:pPr>
        <w:pStyle w:val="Body"/>
      </w:pPr>
      <w:bookmarkStart w:id="40" w:name="_Hlk534640257"/>
      <w:r>
        <w:t xml:space="preserve">Within </w:t>
      </w:r>
      <w:r w:rsidRPr="000C7429">
        <w:rPr>
          <w:b/>
          <w:bCs/>
        </w:rPr>
        <w:t>eight working days</w:t>
      </w:r>
      <w:r>
        <w:t xml:space="preserve"> of receiving a valid referral the </w:t>
      </w:r>
      <w:r w:rsidR="006A297F">
        <w:t xml:space="preserve">Victorian public </w:t>
      </w:r>
      <w:r>
        <w:t xml:space="preserve">health service </w:t>
      </w:r>
      <w:r w:rsidRPr="00FD0D26">
        <w:rPr>
          <w:b/>
          <w:bCs/>
        </w:rPr>
        <w:t xml:space="preserve">must </w:t>
      </w:r>
      <w:r>
        <w:t>inform the referring clinician in writing:</w:t>
      </w:r>
    </w:p>
    <w:p w14:paraId="7D1C83D3" w14:textId="6BB8B0A4" w:rsidR="0014098F" w:rsidRPr="000C7429" w:rsidRDefault="0014098F" w:rsidP="0014098F">
      <w:pPr>
        <w:pStyle w:val="Bullet1"/>
      </w:pPr>
      <w:r w:rsidRPr="000C7429">
        <w:t xml:space="preserve">if the </w:t>
      </w:r>
      <w:r w:rsidR="00DB16D3" w:rsidRPr="000C7429">
        <w:t xml:space="preserve">non-admitted specialist </w:t>
      </w:r>
      <w:r w:rsidRPr="000C7429">
        <w:t>service is not available through the health service</w:t>
      </w:r>
      <w:r w:rsidR="00E235CB" w:rsidRPr="000C7429">
        <w:t xml:space="preserve"> and the referral cannot be accepted</w:t>
      </w:r>
    </w:p>
    <w:p w14:paraId="49FA3ED9" w14:textId="7A1504BD" w:rsidR="0014098F" w:rsidRPr="000C7429" w:rsidRDefault="0014098F" w:rsidP="0014098F">
      <w:pPr>
        <w:pStyle w:val="Bullet1"/>
      </w:pPr>
      <w:r w:rsidRPr="000C7429">
        <w:t xml:space="preserve">if the referral has not been accepted because the </w:t>
      </w:r>
      <w:r w:rsidR="0026451B" w:rsidRPr="000C7429">
        <w:t>referral</w:t>
      </w:r>
      <w:r w:rsidRPr="000C7429">
        <w:t xml:space="preserve"> does not meet the statewide referral criteria</w:t>
      </w:r>
      <w:r w:rsidR="004B0E79">
        <w:t xml:space="preserve"> </w:t>
      </w:r>
      <w:r w:rsidR="004B0E79" w:rsidRPr="00FD0D26">
        <w:t xml:space="preserve">or </w:t>
      </w:r>
      <w:r w:rsidR="00261E4B" w:rsidRPr="00FD0D26">
        <w:t>for any other reason</w:t>
      </w:r>
    </w:p>
    <w:p w14:paraId="2049D4CA" w14:textId="77777777" w:rsidR="0014098F" w:rsidRPr="000C7429" w:rsidRDefault="0014098F" w:rsidP="0014098F">
      <w:pPr>
        <w:pStyle w:val="Bullet1"/>
      </w:pPr>
      <w:r w:rsidRPr="000C7429">
        <w:t>if the referral has been accepted and an appointment has been scheduled with the appropriate service</w:t>
      </w:r>
    </w:p>
    <w:p w14:paraId="63B06319" w14:textId="4F45F47E" w:rsidR="0014098F" w:rsidRPr="000C7429" w:rsidRDefault="0014098F" w:rsidP="001A544B">
      <w:pPr>
        <w:pStyle w:val="Bullet1"/>
      </w:pPr>
      <w:r w:rsidRPr="000C7429">
        <w:t xml:space="preserve">if the referral has been accepted and </w:t>
      </w:r>
      <w:r w:rsidR="00361785" w:rsidRPr="000C7429">
        <w:t xml:space="preserve">that </w:t>
      </w:r>
      <w:r w:rsidRPr="000C7429">
        <w:t>an appointment will be provided</w:t>
      </w:r>
      <w:r w:rsidR="00785A7B" w:rsidRPr="000C7429">
        <w:t xml:space="preserve"> </w:t>
      </w:r>
      <w:r w:rsidR="0035314A" w:rsidRPr="000C7429">
        <w:t xml:space="preserve">and </w:t>
      </w:r>
      <w:bookmarkStart w:id="41" w:name="_Hlk85032065"/>
      <w:r w:rsidRPr="000C7429">
        <w:t>the expected waiting time for an appointment based on current waiting</w:t>
      </w:r>
      <w:r w:rsidR="00361785" w:rsidRPr="000C7429">
        <w:t xml:space="preserve"> </w:t>
      </w:r>
      <w:r w:rsidRPr="000C7429">
        <w:t xml:space="preserve">times or clearance times for the service (for example, </w:t>
      </w:r>
      <w:r w:rsidR="00BC5F4D" w:rsidRPr="000C7429">
        <w:t xml:space="preserve">an </w:t>
      </w:r>
      <w:r w:rsidRPr="000C7429">
        <w:t xml:space="preserve">appointment will be available in </w:t>
      </w:r>
      <w:r w:rsidR="009D3EB9" w:rsidRPr="000C7429">
        <w:t xml:space="preserve">a specified </w:t>
      </w:r>
      <w:r w:rsidRPr="000C7429">
        <w:t>number of months).</w:t>
      </w:r>
    </w:p>
    <w:p w14:paraId="59AE606F" w14:textId="3F4B681E" w:rsidR="004367AF" w:rsidRDefault="00AB5709" w:rsidP="00AB5709">
      <w:pPr>
        <w:pStyle w:val="Heading2"/>
      </w:pPr>
      <w:bookmarkStart w:id="42" w:name="_Toc121210055"/>
      <w:bookmarkEnd w:id="40"/>
      <w:bookmarkEnd w:id="41"/>
      <w:r>
        <w:t>6.5 Clinical communication</w:t>
      </w:r>
      <w:r w:rsidR="005C705F">
        <w:t>s</w:t>
      </w:r>
      <w:bookmarkEnd w:id="42"/>
    </w:p>
    <w:p w14:paraId="7625B3DD" w14:textId="77777777" w:rsidR="002872A3" w:rsidRDefault="002872A3" w:rsidP="002872A3">
      <w:pPr>
        <w:pStyle w:val="Body"/>
      </w:pPr>
      <w:r>
        <w:t>A clinical handover is t</w:t>
      </w:r>
      <w:r w:rsidRPr="00CF28BA">
        <w:t>he transfer of professional responsibility and accountability for some or all aspects of care for a patient, or group of patients, to another person or professional group on a temporary or permanent basis.</w:t>
      </w:r>
      <w:r>
        <w:t xml:space="preserve"> </w:t>
      </w:r>
    </w:p>
    <w:p w14:paraId="4BDDFA0B" w14:textId="247688E4" w:rsidR="008173D3" w:rsidRDefault="008173D3" w:rsidP="008173D3">
      <w:pPr>
        <w:pStyle w:val="Body"/>
      </w:pPr>
      <w:r>
        <w:t xml:space="preserve">Well-timed, efficient, effective and safe clinical handover is a requirement of the </w:t>
      </w:r>
      <w:r w:rsidRPr="006710C6">
        <w:rPr>
          <w:i/>
        </w:rPr>
        <w:t xml:space="preserve">National Safety and Quality Health Service </w:t>
      </w:r>
      <w:r w:rsidR="00AF13C4">
        <w:rPr>
          <w:rFonts w:cs="Calluna"/>
          <w:color w:val="000000"/>
        </w:rPr>
        <w:t xml:space="preserve">under the Communicating for Safety Standard </w:t>
      </w:r>
      <w:r w:rsidR="00C70067">
        <w:rPr>
          <w:rFonts w:cs="Calluna"/>
          <w:color w:val="000000"/>
        </w:rPr>
        <w:t>– Communication at clinical handover &lt;</w:t>
      </w:r>
      <w:r w:rsidR="00C70067" w:rsidRPr="00C70067">
        <w:rPr>
          <w:rFonts w:cs="Calluna"/>
          <w:color w:val="000000"/>
        </w:rPr>
        <w:t>https://www.safetyandquality.gov.au/standards/nsqhs-standards/communicating-safety-standard/communication-clinical-handover</w:t>
      </w:r>
      <w:r w:rsidR="00C70067">
        <w:rPr>
          <w:rFonts w:cs="Calluna"/>
          <w:color w:val="000000"/>
        </w:rPr>
        <w:t>&gt;</w:t>
      </w:r>
      <w:r>
        <w:rPr>
          <w:rFonts w:cs="Calluna"/>
          <w:color w:val="000000"/>
        </w:rPr>
        <w:t>.</w:t>
      </w:r>
      <w:r w:rsidRPr="00F16A62">
        <w:rPr>
          <w:vertAlign w:val="superscript"/>
        </w:rPr>
        <w:t xml:space="preserve"> </w:t>
      </w:r>
    </w:p>
    <w:p w14:paraId="1DCE6206" w14:textId="277F0B6C" w:rsidR="008173D3" w:rsidRDefault="002B27B2" w:rsidP="008173D3">
      <w:pPr>
        <w:pStyle w:val="Body"/>
      </w:pPr>
      <w:r>
        <w:t>Victorian public</w:t>
      </w:r>
      <w:r w:rsidR="005D7A77">
        <w:t xml:space="preserve"> h</w:t>
      </w:r>
      <w:r w:rsidR="00EC6748">
        <w:t xml:space="preserve">ealth services </w:t>
      </w:r>
      <w:r w:rsidR="008173D3">
        <w:t xml:space="preserve">are encouraged to </w:t>
      </w:r>
      <w:r w:rsidR="00605A15">
        <w:t>use</w:t>
      </w:r>
      <w:r w:rsidR="008173D3">
        <w:t xml:space="preserve"> the ‘letter to the patient’ </w:t>
      </w:r>
      <w:r w:rsidR="00752302">
        <w:t xml:space="preserve">style </w:t>
      </w:r>
      <w:r w:rsidR="0010791A">
        <w:t>&lt;h</w:t>
      </w:r>
      <w:r w:rsidR="0010791A" w:rsidRPr="0010791A">
        <w:t>ttps://www.aomrc.org.uk/reports-guidance/please-write-to-me-writing-outpatient-clinic-letters-to-patients-guidance/</w:t>
      </w:r>
      <w:r w:rsidR="0010791A">
        <w:t>&gt;</w:t>
      </w:r>
      <w:r w:rsidR="0010791A" w:rsidRPr="0010791A">
        <w:t xml:space="preserve"> </w:t>
      </w:r>
      <w:r w:rsidR="00B35A6F">
        <w:t>and send the written communication using the referring clinician</w:t>
      </w:r>
      <w:r w:rsidR="008F2FF2">
        <w:t>’</w:t>
      </w:r>
      <w:r w:rsidR="00B35A6F">
        <w:t xml:space="preserve">s nominated </w:t>
      </w:r>
      <w:r>
        <w:t xml:space="preserve">secure </w:t>
      </w:r>
      <w:r w:rsidR="00C12380">
        <w:t xml:space="preserve">written </w:t>
      </w:r>
      <w:r w:rsidR="00B35A6F">
        <w:t>communication</w:t>
      </w:r>
      <w:r w:rsidR="00C12380">
        <w:t xml:space="preserve"> method</w:t>
      </w:r>
      <w:r w:rsidR="0010791A">
        <w:t>.</w:t>
      </w:r>
    </w:p>
    <w:p w14:paraId="1193347C" w14:textId="6F70B0BE" w:rsidR="008173D3" w:rsidRDefault="005D7A77" w:rsidP="008173D3">
      <w:pPr>
        <w:pStyle w:val="Body"/>
      </w:pPr>
      <w:r>
        <w:lastRenderedPageBreak/>
        <w:t>Referring clinicians, a</w:t>
      </w:r>
      <w:r w:rsidR="008173D3">
        <w:t>s part of the clinical handover, should indicate one of the following as the reason for the referral request:</w:t>
      </w:r>
    </w:p>
    <w:p w14:paraId="57512448" w14:textId="2BEEB486" w:rsidR="008173D3" w:rsidRPr="00895FCC" w:rsidRDefault="00786CD6" w:rsidP="0003277C">
      <w:pPr>
        <w:pStyle w:val="Bullet1"/>
        <w:rPr>
          <w:rStyle w:val="DHHSbodyChar"/>
        </w:rPr>
      </w:pPr>
      <w:r>
        <w:rPr>
          <w:rStyle w:val="DHHSbodyChar"/>
        </w:rPr>
        <w:t xml:space="preserve">non-admitted specialist </w:t>
      </w:r>
      <w:r w:rsidR="008173D3" w:rsidRPr="00895FCC">
        <w:rPr>
          <w:rStyle w:val="DHHSbodyChar"/>
        </w:rPr>
        <w:t>service</w:t>
      </w:r>
      <w:r>
        <w:rPr>
          <w:rStyle w:val="DHHSbodyChar"/>
        </w:rPr>
        <w:t xml:space="preserve"> i</w:t>
      </w:r>
      <w:r w:rsidR="008173D3" w:rsidRPr="00895FCC">
        <w:rPr>
          <w:rStyle w:val="DHHSbodyChar"/>
        </w:rPr>
        <w:t xml:space="preserve">s to establish a diagnosis, provide clinical assessment or inform a treatment plan </w:t>
      </w:r>
    </w:p>
    <w:p w14:paraId="5EE9B093" w14:textId="51395C30" w:rsidR="008173D3" w:rsidRPr="00895FCC" w:rsidRDefault="008173D3" w:rsidP="0003277C">
      <w:pPr>
        <w:pStyle w:val="Bullet1"/>
        <w:rPr>
          <w:rStyle w:val="DHHSbodyChar"/>
        </w:rPr>
      </w:pPr>
      <w:r w:rsidRPr="00895FCC">
        <w:rPr>
          <w:rStyle w:val="DHHSbodyChar"/>
        </w:rPr>
        <w:t>partnership care between the patient, GP and the health service (</w:t>
      </w:r>
      <w:r w:rsidR="00F104E3">
        <w:rPr>
          <w:rStyle w:val="DHHSbodyChar"/>
        </w:rPr>
        <w:t>for example,</w:t>
      </w:r>
      <w:r w:rsidRPr="00895FCC">
        <w:t xml:space="preserve"> patients with chronic or progressive conditions </w:t>
      </w:r>
      <w:r>
        <w:t>who</w:t>
      </w:r>
      <w:r w:rsidRPr="00895FCC">
        <w:t xml:space="preserve"> require ongoing </w:t>
      </w:r>
      <w:r w:rsidRPr="00895FCC">
        <w:rPr>
          <w:rStyle w:val="DHHSbodyChar"/>
        </w:rPr>
        <w:t>specialist advice or services to improve and optimise people’s function and participation in activities of daily living)</w:t>
      </w:r>
    </w:p>
    <w:p w14:paraId="4627F01D" w14:textId="77777777" w:rsidR="008173D3" w:rsidRDefault="008173D3" w:rsidP="0003277C">
      <w:pPr>
        <w:pStyle w:val="Bullet1"/>
        <w:rPr>
          <w:rStyle w:val="DHHSbodyChar"/>
        </w:rPr>
      </w:pPr>
      <w:r w:rsidRPr="00895FCC">
        <w:rPr>
          <w:rStyle w:val="DHHSbodyChar"/>
        </w:rPr>
        <w:t>specific tests</w:t>
      </w:r>
      <w:r w:rsidRPr="00BE339F">
        <w:rPr>
          <w:rStyle w:val="DHHSbodyChar"/>
        </w:rPr>
        <w:t xml:space="preserve"> or investigations that cannot be ordered, accessed or interpreted through the primary care system</w:t>
      </w:r>
    </w:p>
    <w:p w14:paraId="053353EB" w14:textId="20927E52" w:rsidR="008173D3" w:rsidRPr="00BE339F" w:rsidRDefault="008173D3" w:rsidP="0003277C">
      <w:pPr>
        <w:pStyle w:val="Bullet1"/>
        <w:rPr>
          <w:rStyle w:val="DHHSbodyChar"/>
        </w:rPr>
      </w:pPr>
      <w:r>
        <w:rPr>
          <w:rStyle w:val="DHHSbodyChar"/>
        </w:rPr>
        <w:t xml:space="preserve">a </w:t>
      </w:r>
      <w:r w:rsidRPr="00BE339F">
        <w:rPr>
          <w:rStyle w:val="DHHSbodyChar"/>
        </w:rPr>
        <w:t xml:space="preserve">treatment or an </w:t>
      </w:r>
      <w:r>
        <w:rPr>
          <w:rStyle w:val="DHHSbodyChar"/>
        </w:rPr>
        <w:t>intervention.</w:t>
      </w:r>
    </w:p>
    <w:p w14:paraId="4789D195" w14:textId="77777777" w:rsidR="003308E5" w:rsidRDefault="008173D3" w:rsidP="008173D3">
      <w:pPr>
        <w:pStyle w:val="Body"/>
      </w:pPr>
      <w:r w:rsidRPr="002C6C2A">
        <w:t>When a patient requires more than one appointment the health service must provide information on the proposed management or treatment plan</w:t>
      </w:r>
      <w:r w:rsidR="00E27460" w:rsidRPr="00E27460">
        <w:t xml:space="preserve"> </w:t>
      </w:r>
      <w:r w:rsidR="00E27460" w:rsidRPr="002C6C2A">
        <w:t>to the referring clinician and patient</w:t>
      </w:r>
      <w:r w:rsidR="00D1450A">
        <w:t xml:space="preserve">. This </w:t>
      </w:r>
      <w:r w:rsidR="00552ABA">
        <w:t>must</w:t>
      </w:r>
      <w:r w:rsidRPr="002C6C2A">
        <w:t xml:space="preserve"> includ</w:t>
      </w:r>
      <w:r w:rsidR="00552ABA">
        <w:t>e</w:t>
      </w:r>
      <w:r w:rsidRPr="002C6C2A">
        <w:t xml:space="preserve"> the planned response to clinical deterioration or a change in the </w:t>
      </w:r>
      <w:r w:rsidR="009D15C6">
        <w:t xml:space="preserve">clinical care </w:t>
      </w:r>
      <w:r w:rsidRPr="002C6C2A">
        <w:t>needs of the patient.</w:t>
      </w:r>
    </w:p>
    <w:p w14:paraId="7D57D559" w14:textId="0D3A1DAB" w:rsidR="008173D3" w:rsidRDefault="008173D3" w:rsidP="008173D3">
      <w:pPr>
        <w:pStyle w:val="Body"/>
      </w:pPr>
      <w:r>
        <w:t xml:space="preserve">When the reason for the request has been delivered and the patient is discharged, a written clinical handover must be supplied to the referring clinician and copied to the patient. Health services are encouraged to </w:t>
      </w:r>
      <w:r w:rsidR="0010424F">
        <w:t>use</w:t>
      </w:r>
      <w:r>
        <w:t xml:space="preserve"> the ‘letter to the patient’ </w:t>
      </w:r>
      <w:r w:rsidR="009A4637">
        <w:t xml:space="preserve">style </w:t>
      </w:r>
      <w:r w:rsidR="006C6CD6">
        <w:t>&lt;h</w:t>
      </w:r>
      <w:r w:rsidR="006C6CD6" w:rsidRPr="0010791A">
        <w:t>ttps://www.aomrc.org.uk/reports-guidance/please-write-to-me-writing-outpatient-clinic-letters-to-patients-guidance/</w:t>
      </w:r>
      <w:r w:rsidR="006C6CD6">
        <w:t>&gt;</w:t>
      </w:r>
      <w:r w:rsidR="006C6CD6" w:rsidRPr="0010791A">
        <w:t xml:space="preserve"> </w:t>
      </w:r>
      <w:r w:rsidR="009A4637">
        <w:t xml:space="preserve">and send the written communication using the referring clinician’s </w:t>
      </w:r>
      <w:r w:rsidR="0004723A">
        <w:t xml:space="preserve">and patient’s </w:t>
      </w:r>
      <w:r w:rsidR="009A4637">
        <w:t>nominated written communication method</w:t>
      </w:r>
      <w:r>
        <w:t>.</w:t>
      </w:r>
    </w:p>
    <w:p w14:paraId="2DA0B058" w14:textId="1E744F69" w:rsidR="008173D3" w:rsidRDefault="008173D3" w:rsidP="008173D3">
      <w:pPr>
        <w:pStyle w:val="Body"/>
      </w:pPr>
      <w:r>
        <w:t xml:space="preserve">This communication should include information on how to </w:t>
      </w:r>
      <w:r w:rsidR="0051361C">
        <w:t>request ra</w:t>
      </w:r>
      <w:r w:rsidR="000335E8">
        <w:t>pid</w:t>
      </w:r>
      <w:r w:rsidR="0051361C">
        <w:t xml:space="preserve"> </w:t>
      </w:r>
      <w:r>
        <w:t xml:space="preserve">access </w:t>
      </w:r>
      <w:r w:rsidR="000335E8">
        <w:t xml:space="preserve">back </w:t>
      </w:r>
      <w:r>
        <w:t>to the same service should the patient require follow-up, reassessment or further specialist treatment for the same presenting problem.</w:t>
      </w:r>
    </w:p>
    <w:p w14:paraId="0899E0EF" w14:textId="52A6AD88" w:rsidR="008173D3" w:rsidRDefault="008173D3" w:rsidP="008173D3">
      <w:pPr>
        <w:pStyle w:val="Body"/>
      </w:pPr>
      <w:r>
        <w:t xml:space="preserve">If for any reason the </w:t>
      </w:r>
      <w:r w:rsidR="00CA5D69">
        <w:t xml:space="preserve">Victorian public </w:t>
      </w:r>
      <w:r>
        <w:t>health service is removing the patient from the appointment list the health service</w:t>
      </w:r>
      <w:r w:rsidRPr="000642FF">
        <w:rPr>
          <w:b/>
          <w:bCs/>
        </w:rPr>
        <w:t xml:space="preserve"> must</w:t>
      </w:r>
      <w:r>
        <w:t xml:space="preserve"> inform the referring clinician and patient in writing</w:t>
      </w:r>
      <w:r w:rsidR="00A31787">
        <w:t xml:space="preserve"> by their nominated method</w:t>
      </w:r>
      <w:r w:rsidR="00130073">
        <w:t>s for written communications</w:t>
      </w:r>
      <w:r>
        <w:t>.</w:t>
      </w:r>
    </w:p>
    <w:p w14:paraId="0B4AB172" w14:textId="3C318643" w:rsidR="00AB5709" w:rsidRDefault="00256B03" w:rsidP="00256B03">
      <w:pPr>
        <w:pStyle w:val="Heading2"/>
      </w:pPr>
      <w:bookmarkStart w:id="43" w:name="_Toc121210056"/>
      <w:r>
        <w:t xml:space="preserve">6.6 Communication with </w:t>
      </w:r>
      <w:r w:rsidR="00AA18D0">
        <w:t xml:space="preserve">a </w:t>
      </w:r>
      <w:r>
        <w:t>GP</w:t>
      </w:r>
      <w:r w:rsidR="00AC2489">
        <w:t>,</w:t>
      </w:r>
      <w:r>
        <w:t xml:space="preserve"> when not the referring clinician</w:t>
      </w:r>
      <w:bookmarkEnd w:id="43"/>
    </w:p>
    <w:p w14:paraId="0DCACA3F" w14:textId="77777777" w:rsidR="008D1CD6" w:rsidRDefault="00245683" w:rsidP="00245683">
      <w:pPr>
        <w:pStyle w:val="Body"/>
      </w:pPr>
      <w:r>
        <w:t>If the referring clinician is not the patient’s nominated GP, a copy of all c</w:t>
      </w:r>
      <w:r w:rsidRPr="00BC1645">
        <w:t>ommunication</w:t>
      </w:r>
      <w:r w:rsidR="00EB7FE1">
        <w:t>s</w:t>
      </w:r>
      <w:r w:rsidRPr="00BC1645">
        <w:t xml:space="preserve"> about treatment and ongoing care</w:t>
      </w:r>
      <w:r>
        <w:t xml:space="preserve"> should go to the </w:t>
      </w:r>
      <w:r w:rsidRPr="00BC1645">
        <w:t>patient’s nominated GP</w:t>
      </w:r>
      <w:r>
        <w:t xml:space="preserve"> </w:t>
      </w:r>
      <w:r w:rsidRPr="00B721B5">
        <w:t>if the patient consents</w:t>
      </w:r>
      <w:r>
        <w:t xml:space="preserve"> to sharing this information </w:t>
      </w:r>
      <w:r w:rsidR="00E30398">
        <w:rPr>
          <w:rFonts w:cs="Arial"/>
          <w:lang w:eastAsia="en-AU"/>
        </w:rPr>
        <w:t>&lt;h</w:t>
      </w:r>
      <w:r w:rsidR="00E30398" w:rsidRPr="00E3792D">
        <w:rPr>
          <w:rFonts w:cs="Arial"/>
          <w:lang w:eastAsia="en-AU"/>
        </w:rPr>
        <w:t>ttps://www.ama.com.au/articles/10-minimum-standards-communication-between-health-services-and-general-practitioners-and</w:t>
      </w:r>
      <w:r w:rsidR="00E30398">
        <w:rPr>
          <w:rFonts w:cs="Arial"/>
          <w:lang w:eastAsia="en-AU"/>
        </w:rPr>
        <w:t>&gt;</w:t>
      </w:r>
      <w:r>
        <w:t xml:space="preserve">. </w:t>
      </w:r>
    </w:p>
    <w:p w14:paraId="6ABF48B4" w14:textId="0056676F" w:rsidR="00245683" w:rsidRDefault="00245683" w:rsidP="00245683">
      <w:pPr>
        <w:pStyle w:val="Body"/>
      </w:pPr>
      <w:r>
        <w:t>The transfer of patient information must comply with the privacy principles defined in the</w:t>
      </w:r>
      <w:r w:rsidR="00B67263">
        <w:t xml:space="preserve"> </w:t>
      </w:r>
      <w:hyperlink r:id="rId57" w:history="1">
        <w:r w:rsidR="00B67263">
          <w:rPr>
            <w:rStyle w:val="Hyperlink"/>
          </w:rPr>
          <w:t>Privacy and Data Protection Act 2014</w:t>
        </w:r>
      </w:hyperlink>
      <w:r w:rsidR="00B67263">
        <w:t xml:space="preserve"> &lt;</w:t>
      </w:r>
      <w:r w:rsidR="00B67263" w:rsidRPr="004865C9">
        <w:t>https://www.legislation.vic.gov.au/in-force/acts/privacy-and-data-protection-act-2014/028</w:t>
      </w:r>
      <w:r w:rsidR="00B67263">
        <w:t>&gt;</w:t>
      </w:r>
      <w:r w:rsidR="00B67263">
        <w:rPr>
          <w:iCs/>
        </w:rPr>
        <w:t>,</w:t>
      </w:r>
      <w:r w:rsidR="00B67263">
        <w:rPr>
          <w:i/>
        </w:rPr>
        <w:t xml:space="preserve"> </w:t>
      </w:r>
      <w:r w:rsidR="00B67263">
        <w:t xml:space="preserve">the </w:t>
      </w:r>
      <w:hyperlink r:id="rId58" w:history="1">
        <w:r w:rsidR="00B67263">
          <w:rPr>
            <w:rStyle w:val="Hyperlink"/>
          </w:rPr>
          <w:t>Health Records Act 2001</w:t>
        </w:r>
      </w:hyperlink>
      <w:r w:rsidR="00B67263">
        <w:t xml:space="preserve"> </w:t>
      </w:r>
      <w:r w:rsidR="00B67263" w:rsidRPr="00EE3225">
        <w:rPr>
          <w:szCs w:val="21"/>
        </w:rPr>
        <w:t>&lt;https://www.legislation.vic.gov.au/in-force/acts/health-records-act-2001/047&gt;</w:t>
      </w:r>
      <w:r>
        <w:t xml:space="preserve"> and any other applicable legislation</w:t>
      </w:r>
      <w:r w:rsidR="00BC3555">
        <w:t xml:space="preserve"> (</w:t>
      </w:r>
      <w:r w:rsidR="004D56CF">
        <w:t xml:space="preserve">see </w:t>
      </w:r>
      <w:r w:rsidR="00BC3555">
        <w:t>section 6.</w:t>
      </w:r>
      <w:r w:rsidR="00A80C2F">
        <w:t>1)</w:t>
      </w:r>
      <w:r>
        <w:t>.</w:t>
      </w:r>
    </w:p>
    <w:p w14:paraId="6FEC2E7D" w14:textId="79249C3E" w:rsidR="00245683" w:rsidRDefault="00245683">
      <w:pPr>
        <w:spacing w:after="0" w:line="240" w:lineRule="auto"/>
        <w:rPr>
          <w:rFonts w:eastAsia="Times"/>
        </w:rPr>
      </w:pPr>
      <w:r>
        <w:br w:type="page"/>
      </w:r>
    </w:p>
    <w:p w14:paraId="0C8AE1D3" w14:textId="0E48D5E1" w:rsidR="00256B03" w:rsidRDefault="003232A8" w:rsidP="003232A8">
      <w:pPr>
        <w:pStyle w:val="Heading1"/>
      </w:pPr>
      <w:bookmarkStart w:id="44" w:name="_Toc121210057"/>
      <w:r>
        <w:lastRenderedPageBreak/>
        <w:t>7. Access management</w:t>
      </w:r>
      <w:bookmarkEnd w:id="44"/>
    </w:p>
    <w:p w14:paraId="5AC95FD4" w14:textId="77777777" w:rsidR="001623C3" w:rsidRDefault="00C90BFE" w:rsidP="00C90BFE">
      <w:pPr>
        <w:pStyle w:val="Body"/>
      </w:pPr>
      <w:r>
        <w:t xml:space="preserve">Access management impacts the </w:t>
      </w:r>
      <w:r w:rsidR="00DC6BA4">
        <w:t xml:space="preserve">Victorian public </w:t>
      </w:r>
      <w:r>
        <w:t xml:space="preserve">health service’s ability to manage non-admitted </w:t>
      </w:r>
      <w:r w:rsidR="00DC6BA4">
        <w:t xml:space="preserve">specialist </w:t>
      </w:r>
      <w:r>
        <w:t>services</w:t>
      </w:r>
      <w:r w:rsidR="00D83AD4">
        <w:t>.</w:t>
      </w:r>
      <w:r>
        <w:t xml:space="preserve"> </w:t>
      </w:r>
      <w:r w:rsidR="00D83AD4">
        <w:t>I</w:t>
      </w:r>
      <w:r>
        <w:t xml:space="preserve">t </w:t>
      </w:r>
      <w:r w:rsidR="002303E7">
        <w:t xml:space="preserve">begins when a referral is received and </w:t>
      </w:r>
      <w:r>
        <w:t>should be performed by people with the required skill set and authority.</w:t>
      </w:r>
      <w:r w:rsidR="006D51E9">
        <w:t xml:space="preserve"> </w:t>
      </w:r>
    </w:p>
    <w:p w14:paraId="4DBF46E5" w14:textId="00C4323A" w:rsidR="00C90BFE" w:rsidRDefault="001623C3" w:rsidP="00C90BFE">
      <w:pPr>
        <w:pStyle w:val="Body"/>
      </w:pPr>
      <w:r w:rsidRPr="00EF77D8">
        <w:t xml:space="preserve">Victorian public health services are strongly recommended to </w:t>
      </w:r>
      <w:r w:rsidR="00F94FAB" w:rsidRPr="00EF77D8">
        <w:t>support</w:t>
      </w:r>
      <w:r w:rsidRPr="00EF77D8">
        <w:t xml:space="preserve"> electronic referral within the health service, between health services and from external clinicians.</w:t>
      </w:r>
    </w:p>
    <w:p w14:paraId="3E0FA41F" w14:textId="776EEB5F" w:rsidR="00C90BFE" w:rsidRDefault="00D50659" w:rsidP="00C90BFE">
      <w:pPr>
        <w:pStyle w:val="Body"/>
      </w:pPr>
      <w:r>
        <w:t>After a referral has been accepted a</w:t>
      </w:r>
      <w:r w:rsidR="00C90BFE">
        <w:t>dditional</w:t>
      </w:r>
      <w:r w:rsidR="0067255E">
        <w:t xml:space="preserve">/initial </w:t>
      </w:r>
      <w:r w:rsidR="00C90BFE">
        <w:t>clinical assessments may be required to identify the patient’s current or ongoing needs, or to identify an individualised care plan, or both.</w:t>
      </w:r>
    </w:p>
    <w:p w14:paraId="7918066F" w14:textId="4232F5D9" w:rsidR="00C90BFE" w:rsidRDefault="00C90BFE" w:rsidP="00C90BFE">
      <w:pPr>
        <w:pStyle w:val="Body"/>
      </w:pPr>
      <w:r w:rsidRPr="006F7DC9">
        <w:t xml:space="preserve">While a referral may be addressed to a specific </w:t>
      </w:r>
      <w:r w:rsidR="00CC33E6">
        <w:t xml:space="preserve">non-admitted specialist </w:t>
      </w:r>
      <w:r w:rsidRPr="006F7DC9">
        <w:t xml:space="preserve">service there may be instances when another service is more appropriate to meet the patient’s needs. </w:t>
      </w:r>
      <w:r w:rsidR="001D492D">
        <w:t>T</w:t>
      </w:r>
      <w:r w:rsidR="001D492D" w:rsidRPr="006F7DC9">
        <w:t>o streamline care</w:t>
      </w:r>
      <w:r w:rsidR="001D492D">
        <w:t>,</w:t>
      </w:r>
      <w:r w:rsidR="001D492D" w:rsidRPr="006F7DC9">
        <w:t xml:space="preserve"> </w:t>
      </w:r>
      <w:r w:rsidR="001D492D">
        <w:t>h</w:t>
      </w:r>
      <w:r w:rsidRPr="006F7DC9">
        <w:t xml:space="preserve">ealth services should direct referrals internally to the most appropriate </w:t>
      </w:r>
      <w:r w:rsidR="00425BAA">
        <w:t xml:space="preserve">non-admitted specialist </w:t>
      </w:r>
      <w:r w:rsidRPr="006F7DC9">
        <w:t>service available. For example, a referral to a medical clinic may be directed to a multidisciplinary service</w:t>
      </w:r>
      <w:r w:rsidR="002E1365">
        <w:t>,</w:t>
      </w:r>
      <w:r w:rsidRPr="006F7DC9">
        <w:t xml:space="preserve"> or a referral to a specific campus may be directed to a service at another campus.</w:t>
      </w:r>
      <w:r>
        <w:t xml:space="preserve"> </w:t>
      </w:r>
    </w:p>
    <w:p w14:paraId="29BBD3FA" w14:textId="05D7BDFF" w:rsidR="00C90BFE" w:rsidRDefault="003F6DF9" w:rsidP="00C90BFE">
      <w:pPr>
        <w:pStyle w:val="Body"/>
      </w:pPr>
      <w:r>
        <w:t>A</w:t>
      </w:r>
      <w:r w:rsidR="00C90BFE">
        <w:t>ll services must be available as a public consultation provided in public rooms</w:t>
      </w:r>
      <w:r w:rsidR="00F05BD7" w:rsidRPr="00F05BD7">
        <w:t xml:space="preserve"> </w:t>
      </w:r>
      <w:r w:rsidR="00F05BD7">
        <w:t xml:space="preserve">and referral to a named medical specialist </w:t>
      </w:r>
      <w:r w:rsidR="00F05BD7" w:rsidRPr="00821214">
        <w:rPr>
          <w:b/>
          <w:bCs/>
        </w:rPr>
        <w:t>must not</w:t>
      </w:r>
      <w:r w:rsidR="00F05BD7">
        <w:t xml:space="preserve"> be used as a prerequisite for access to non-admitted </w:t>
      </w:r>
      <w:r w:rsidR="008135DB">
        <w:t xml:space="preserve">specialist </w:t>
      </w:r>
      <w:r w:rsidR="00F05BD7">
        <w:t>services</w:t>
      </w:r>
      <w:r w:rsidR="00592A36">
        <w:t>. R</w:t>
      </w:r>
      <w:r>
        <w:t>eferrals should be addressed to the clinical service rather than individual clinicians at the health service</w:t>
      </w:r>
      <w:r w:rsidR="00C90BFE">
        <w:t>.</w:t>
      </w:r>
    </w:p>
    <w:p w14:paraId="36C2AAA7" w14:textId="2F26A98C" w:rsidR="005759F2" w:rsidRDefault="005759F2" w:rsidP="005759F2">
      <w:pPr>
        <w:pStyle w:val="Heading2"/>
      </w:pPr>
      <w:bookmarkStart w:id="45" w:name="_Toc121210058"/>
      <w:r>
        <w:t>7.1 Referral content</w:t>
      </w:r>
      <w:bookmarkEnd w:id="45"/>
    </w:p>
    <w:p w14:paraId="65199312" w14:textId="2391C09B" w:rsidR="005759F2" w:rsidRPr="00BE339F" w:rsidRDefault="005759F2" w:rsidP="005759F2">
      <w:pPr>
        <w:pStyle w:val="Body"/>
        <w:rPr>
          <w:rStyle w:val="DHHSbodyChar"/>
        </w:rPr>
      </w:pPr>
      <w:r>
        <w:t>Appendix 1 lists the mandatory information required for a referral request to be accepted</w:t>
      </w:r>
      <w:r w:rsidR="0014334C">
        <w:t>, directed to the most appropriate service</w:t>
      </w:r>
      <w:r>
        <w:t xml:space="preserve"> and clinically prioritised. Where referrals are made verbally and require immediate action, they may not include all mandatory referral components (for example, as described in the statewide referral criteria). In these situations, the information available at the time should be recorded.</w:t>
      </w:r>
    </w:p>
    <w:p w14:paraId="4B43A458" w14:textId="77777777" w:rsidR="00541854" w:rsidRDefault="00541854" w:rsidP="00541854">
      <w:pPr>
        <w:pStyle w:val="Body"/>
      </w:pPr>
      <w:r>
        <w:t>Internal referrals, referrals from non-medical clinicians and self-referrals should be treated the same as referrals from a GP or other medical clinician.</w:t>
      </w:r>
    </w:p>
    <w:p w14:paraId="125180E1" w14:textId="77B0E9C6" w:rsidR="0077316C" w:rsidRDefault="005759F2" w:rsidP="005759F2">
      <w:pPr>
        <w:pStyle w:val="Body"/>
      </w:pPr>
      <w:r>
        <w:t xml:space="preserve">Referral validity periods begin from the date the first non-admitted specialist service is provided. Guidelines on validity periods for </w:t>
      </w:r>
      <w:hyperlink r:id="rId59" w:history="1">
        <w:r w:rsidR="008734AA">
          <w:rPr>
            <w:rStyle w:val="Hyperlink"/>
          </w:rPr>
          <w:t>Referring and requesting Medicare services</w:t>
        </w:r>
      </w:hyperlink>
      <w:r w:rsidR="008734AA">
        <w:t xml:space="preserve"> </w:t>
      </w:r>
      <w:r>
        <w:t>&lt;</w:t>
      </w:r>
      <w:r w:rsidRPr="00F053AB">
        <w:t>https://www.servicesaustralia.gov.au/referring-and-requesting-medicare-services?context=20</w:t>
      </w:r>
      <w:r>
        <w:t xml:space="preserve">&gt; also apply to all other referrals to Victorian public health services. </w:t>
      </w:r>
    </w:p>
    <w:p w14:paraId="3043E978" w14:textId="77777777" w:rsidR="005759F2" w:rsidRPr="00A948D2" w:rsidRDefault="005759F2" w:rsidP="005759F2">
      <w:pPr>
        <w:pStyle w:val="Body"/>
        <w:rPr>
          <w:rStyle w:val="DHHSbodyChar"/>
        </w:rPr>
      </w:pPr>
      <w:r w:rsidRPr="00A948D2">
        <w:rPr>
          <w:rStyle w:val="DHHSbodyChar"/>
        </w:rPr>
        <w:t>Indefinite referrals are appropriate for partnership care between the patient, their GP and the health service (</w:t>
      </w:r>
      <w:r>
        <w:rPr>
          <w:rStyle w:val="DHHSbodyChar"/>
        </w:rPr>
        <w:t xml:space="preserve">for example, </w:t>
      </w:r>
      <w:r w:rsidRPr="00A948D2">
        <w:t>patients with chronic or progressive conditions requir</w:t>
      </w:r>
      <w:r>
        <w:t>ing</w:t>
      </w:r>
      <w:r w:rsidRPr="00A948D2">
        <w:t xml:space="preserve"> ongoing </w:t>
      </w:r>
      <w:r w:rsidRPr="00A948D2">
        <w:rPr>
          <w:rStyle w:val="DHHSbodyChar"/>
        </w:rPr>
        <w:t xml:space="preserve">specialist advice or </w:t>
      </w:r>
      <w:r w:rsidRPr="00A948D2">
        <w:rPr>
          <w:rStyle w:val="DHHSbodyChar"/>
          <w:rFonts w:eastAsia="MS Mincho"/>
        </w:rPr>
        <w:t>services to improve and op</w:t>
      </w:r>
      <w:r>
        <w:rPr>
          <w:rStyle w:val="DHHSbodyChar"/>
          <w:rFonts w:eastAsia="MS Mincho"/>
        </w:rPr>
        <w:t>timise a person’s</w:t>
      </w:r>
      <w:r w:rsidRPr="00A948D2">
        <w:rPr>
          <w:rStyle w:val="DHHSbodyChar"/>
          <w:rFonts w:eastAsia="MS Mincho"/>
        </w:rPr>
        <w:t xml:space="preserve"> function and participation in </w:t>
      </w:r>
      <w:r>
        <w:rPr>
          <w:rStyle w:val="DHHSbodyChar"/>
          <w:rFonts w:eastAsia="MS Mincho"/>
        </w:rPr>
        <w:t>their</w:t>
      </w:r>
      <w:r w:rsidRPr="00A948D2">
        <w:rPr>
          <w:rStyle w:val="DHHSbodyChar"/>
          <w:rFonts w:eastAsia="MS Mincho"/>
        </w:rPr>
        <w:t xml:space="preserve"> daily living)</w:t>
      </w:r>
      <w:r>
        <w:rPr>
          <w:rStyle w:val="DHHSbodyChar"/>
          <w:rFonts w:eastAsia="MS Mincho"/>
        </w:rPr>
        <w:t xml:space="preserve"> and </w:t>
      </w:r>
      <w:r>
        <w:t>associated care referrals</w:t>
      </w:r>
      <w:r w:rsidRPr="00A948D2">
        <w:rPr>
          <w:rStyle w:val="DHHSbodyChar"/>
          <w:rFonts w:eastAsia="MS Mincho"/>
        </w:rPr>
        <w:t>.</w:t>
      </w:r>
    </w:p>
    <w:p w14:paraId="06E65F23" w14:textId="08A1A829" w:rsidR="00D41282" w:rsidRDefault="005873FF" w:rsidP="00423B78">
      <w:pPr>
        <w:pStyle w:val="Heading2"/>
      </w:pPr>
      <w:bookmarkStart w:id="46" w:name="_Toc121210059"/>
      <w:r>
        <w:t>7.</w:t>
      </w:r>
      <w:r w:rsidR="00652857">
        <w:t>2</w:t>
      </w:r>
      <w:r>
        <w:t xml:space="preserve"> </w:t>
      </w:r>
      <w:r w:rsidR="00423B78">
        <w:t>Referral acceptance and clinical prioritisation</w:t>
      </w:r>
      <w:bookmarkEnd w:id="46"/>
    </w:p>
    <w:p w14:paraId="0219BF8C" w14:textId="0F7893B5" w:rsidR="002B3BCE" w:rsidRDefault="002B3BCE" w:rsidP="002B3BCE">
      <w:pPr>
        <w:pStyle w:val="Body"/>
      </w:pPr>
      <w:r>
        <w:t>An initial needs screening</w:t>
      </w:r>
      <w:r w:rsidR="009401CB">
        <w:t xml:space="preserve"> of referrals</w:t>
      </w:r>
      <w:r w:rsidR="00E965BB">
        <w:t xml:space="preserve"> </w:t>
      </w:r>
      <w:r>
        <w:t>must:</w:t>
      </w:r>
    </w:p>
    <w:p w14:paraId="30D61B60" w14:textId="77777777" w:rsidR="002B3BCE" w:rsidRDefault="002B3BCE" w:rsidP="00B65C86">
      <w:pPr>
        <w:pStyle w:val="Bullet1"/>
      </w:pPr>
      <w:r>
        <w:t>identify the best service for the patient</w:t>
      </w:r>
    </w:p>
    <w:p w14:paraId="20E51097" w14:textId="77777777" w:rsidR="002B3BCE" w:rsidRDefault="002B3BCE" w:rsidP="00B65C86">
      <w:pPr>
        <w:pStyle w:val="Bullet1"/>
      </w:pPr>
      <w:r>
        <w:t>assign a clinical prioritisation category to the referral</w:t>
      </w:r>
    </w:p>
    <w:p w14:paraId="0EBA2BC1" w14:textId="77777777" w:rsidR="002B3BCE" w:rsidRDefault="002B3BCE" w:rsidP="00B65C86">
      <w:pPr>
        <w:pStyle w:val="Bullet1"/>
      </w:pPr>
      <w:r>
        <w:t>minimise the risk of harm to the patient while they wait for treatment</w:t>
      </w:r>
    </w:p>
    <w:p w14:paraId="172D35C0" w14:textId="77777777" w:rsidR="002B3BCE" w:rsidRDefault="002B3BCE" w:rsidP="00B65C86">
      <w:pPr>
        <w:pStyle w:val="Bullet1"/>
      </w:pPr>
      <w:r>
        <w:lastRenderedPageBreak/>
        <w:t>ensure each patient is treated in turn.</w:t>
      </w:r>
    </w:p>
    <w:p w14:paraId="3C73C7CA" w14:textId="77777777" w:rsidR="002B3BCE" w:rsidRDefault="002B3BCE" w:rsidP="002B3BCE">
      <w:pPr>
        <w:pStyle w:val="Body"/>
      </w:pPr>
      <w:r>
        <w:t xml:space="preserve">Statewide referral criteria describe </w:t>
      </w:r>
      <w:r w:rsidRPr="00711829">
        <w:t xml:space="preserve">when a patient </w:t>
      </w:r>
      <w:r>
        <w:t>can</w:t>
      </w:r>
      <w:r w:rsidRPr="00711829">
        <w:t xml:space="preserve"> be referred to a </w:t>
      </w:r>
      <w:r>
        <w:t xml:space="preserve">Victorian </w:t>
      </w:r>
      <w:r w:rsidRPr="00711829">
        <w:t xml:space="preserve">public </w:t>
      </w:r>
      <w:r>
        <w:t>health</w:t>
      </w:r>
      <w:r w:rsidRPr="00711829">
        <w:t xml:space="preserve"> </w:t>
      </w:r>
      <w:r>
        <w:t xml:space="preserve">service </w:t>
      </w:r>
      <w:r w:rsidRPr="00711829">
        <w:t xml:space="preserve">and conditions that are out of scope for public </w:t>
      </w:r>
      <w:r>
        <w:t>health</w:t>
      </w:r>
      <w:r w:rsidRPr="00711829">
        <w:t xml:space="preserve"> services</w:t>
      </w:r>
      <w:r>
        <w:t xml:space="preserve">. In the absence of statewide referral criteria, local referral criteria describe </w:t>
      </w:r>
      <w:r w:rsidRPr="00711829">
        <w:t xml:space="preserve">when a patient should be referred </w:t>
      </w:r>
      <w:r>
        <w:t xml:space="preserve">to a specific health service </w:t>
      </w:r>
      <w:r w:rsidRPr="00711829">
        <w:t xml:space="preserve">and conditions that are out of scope for </w:t>
      </w:r>
      <w:r>
        <w:t>that health</w:t>
      </w:r>
      <w:r w:rsidRPr="00711829">
        <w:t xml:space="preserve"> service</w:t>
      </w:r>
      <w:r>
        <w:t xml:space="preserve">. </w:t>
      </w:r>
    </w:p>
    <w:p w14:paraId="40C45D56" w14:textId="41E0C68D" w:rsidR="002B3BCE" w:rsidRPr="00DB30CE" w:rsidRDefault="002B3BCE" w:rsidP="002B3BCE">
      <w:pPr>
        <w:pStyle w:val="Body"/>
        <w:rPr>
          <w:i/>
        </w:rPr>
      </w:pPr>
      <w:r>
        <w:t>If the requested service is available, health services must accept referrals that meet statewide referral criteria or, in the</w:t>
      </w:r>
      <w:r w:rsidR="001D3FA3">
        <w:t>ir</w:t>
      </w:r>
      <w:r>
        <w:t xml:space="preserve"> absence, local clinical criteria. </w:t>
      </w:r>
      <w:bookmarkStart w:id="47" w:name="_Hlk18394661"/>
      <w:bookmarkStart w:id="48" w:name="_Hlk18395655"/>
      <w:r>
        <w:t xml:space="preserve">The head of the unit or clinical lead for the service should be accountable for ensuring referrals are accepted in line with statewide and local referral criteria. </w:t>
      </w:r>
      <w:bookmarkEnd w:id="47"/>
      <w:bookmarkEnd w:id="48"/>
    </w:p>
    <w:p w14:paraId="483D749F" w14:textId="428A4BF4" w:rsidR="002B3BCE" w:rsidRDefault="002B3BCE" w:rsidP="002B3BCE">
      <w:pPr>
        <w:pStyle w:val="Body"/>
      </w:pPr>
      <w:r w:rsidRPr="002C6C2A">
        <w:t>Asylum seekers may not be able to access diagnostic tests before referral to</w:t>
      </w:r>
      <w:r w:rsidR="001F6B60">
        <w:t xml:space="preserve"> </w:t>
      </w:r>
      <w:r w:rsidRPr="002C6C2A">
        <w:t xml:space="preserve">or attending a non-admitted service. Health services should consider </w:t>
      </w:r>
      <w:r w:rsidR="0043040E">
        <w:t>such</w:t>
      </w:r>
      <w:r w:rsidRPr="002C6C2A">
        <w:t xml:space="preserve"> referrals within the context of the patient’s health or social circumstances.</w:t>
      </w:r>
    </w:p>
    <w:p w14:paraId="0FF55590" w14:textId="3A428779" w:rsidR="00BE4A61" w:rsidRDefault="00BE4A61" w:rsidP="00BE4A61">
      <w:pPr>
        <w:pStyle w:val="Body"/>
      </w:pPr>
      <w:r>
        <w:t xml:space="preserve">All referrals for HIP services must also meet the criteria listed in the </w:t>
      </w:r>
      <w:hyperlink r:id="rId60" w:history="1">
        <w:r w:rsidR="0098131F">
          <w:rPr>
            <w:rStyle w:val="Hyperlink"/>
          </w:rPr>
          <w:t>Health Independence Program guidelines</w:t>
        </w:r>
      </w:hyperlink>
      <w:r w:rsidR="0098131F">
        <w:rPr>
          <w:i/>
        </w:rPr>
        <w:t xml:space="preserve"> &lt;</w:t>
      </w:r>
      <w:r w:rsidR="0098131F">
        <w:t>h</w:t>
      </w:r>
      <w:r w:rsidR="0098131F" w:rsidRPr="00175668">
        <w:t>ttps://www.health.vic.gov.au/patient-care/health-independence-program-guidelines</w:t>
      </w:r>
      <w:r w:rsidR="00957C67">
        <w:t>&gt;</w:t>
      </w:r>
      <w:r>
        <w:t>.</w:t>
      </w:r>
    </w:p>
    <w:p w14:paraId="78AFE36E" w14:textId="77777777" w:rsidR="002B3BCE" w:rsidRPr="00A87116" w:rsidRDefault="002B3BCE" w:rsidP="002B3BCE">
      <w:pPr>
        <w:pStyle w:val="Body"/>
      </w:pPr>
      <w:r w:rsidRPr="00A87116">
        <w:t xml:space="preserve">The following </w:t>
      </w:r>
      <w:r w:rsidRPr="006937D3">
        <w:rPr>
          <w:b/>
          <w:bCs/>
        </w:rPr>
        <w:t>must not</w:t>
      </w:r>
      <w:r w:rsidRPr="00A87116">
        <w:t xml:space="preserve"> be used as reasons for not accepting referrals that meet statewide referral criteria or local clinical criteria:</w:t>
      </w:r>
    </w:p>
    <w:p w14:paraId="0EB4F3D7" w14:textId="77777777" w:rsidR="002B3BCE" w:rsidRPr="00A87116" w:rsidRDefault="002B3BCE" w:rsidP="00B65C86">
      <w:pPr>
        <w:pStyle w:val="Bullet1"/>
      </w:pPr>
      <w:r w:rsidRPr="00A87116">
        <w:t>where the patient lives</w:t>
      </w:r>
    </w:p>
    <w:p w14:paraId="4EFB42C4" w14:textId="77777777" w:rsidR="002B3BCE" w:rsidRPr="00A87116" w:rsidRDefault="002B3BCE" w:rsidP="00B65C86">
      <w:pPr>
        <w:pStyle w:val="Bullet1"/>
      </w:pPr>
      <w:r w:rsidRPr="00A87116">
        <w:t>to whom the referral is addressed</w:t>
      </w:r>
    </w:p>
    <w:p w14:paraId="183D33DE" w14:textId="77777777" w:rsidR="002B3BCE" w:rsidRDefault="002B3BCE" w:rsidP="00B65C86">
      <w:pPr>
        <w:pStyle w:val="Bullet1"/>
      </w:pPr>
      <w:r w:rsidRPr="00A87116">
        <w:t>a long list of patients waiting for appointments</w:t>
      </w:r>
    </w:p>
    <w:p w14:paraId="7EFB9D3E" w14:textId="77777777" w:rsidR="002B3BCE" w:rsidRDefault="002B3BCE" w:rsidP="00B65C86">
      <w:pPr>
        <w:pStyle w:val="Bullet1"/>
      </w:pPr>
      <w:r w:rsidRPr="00A87116">
        <w:t>a lack of appointments for public consultations.</w:t>
      </w:r>
    </w:p>
    <w:p w14:paraId="15CC4C50" w14:textId="4C6B5AC1" w:rsidR="002B3BCE" w:rsidRDefault="002B3BCE" w:rsidP="002B3BCE">
      <w:pPr>
        <w:pStyle w:val="Body"/>
      </w:pPr>
      <w:r>
        <w:t>Victoria has two clinical priority categories for non-admitted acute services: high-priority access and routine access. The department does not support health services creating additional priority categories.</w:t>
      </w:r>
    </w:p>
    <w:p w14:paraId="5998450B" w14:textId="77777777" w:rsidR="002B3BCE" w:rsidRPr="00B65C86" w:rsidRDefault="002B3BCE" w:rsidP="002B3BCE">
      <w:pPr>
        <w:pStyle w:val="Body"/>
        <w:rPr>
          <w:b/>
          <w:bCs/>
        </w:rPr>
      </w:pPr>
      <w:r w:rsidRPr="00B65C86">
        <w:rPr>
          <w:b/>
          <w:bCs/>
        </w:rPr>
        <w:t>High-priority access</w:t>
      </w:r>
    </w:p>
    <w:p w14:paraId="419DA8BD" w14:textId="0BD3DA47" w:rsidR="002B3BCE" w:rsidRDefault="002B3BCE" w:rsidP="002B3BCE">
      <w:pPr>
        <w:pStyle w:val="Body"/>
      </w:pPr>
      <w:r>
        <w:t xml:space="preserve">If accepted, an appointment must be scheduled within 30 calendar days of </w:t>
      </w:r>
      <w:r w:rsidR="006D071A">
        <w:t xml:space="preserve">the referral being </w:t>
      </w:r>
      <w:r w:rsidR="006D071A" w:rsidRPr="001E652F">
        <w:t>received</w:t>
      </w:r>
      <w:r>
        <w:t>. This includes where immediate access to the service is required – for example, post-acute care.</w:t>
      </w:r>
    </w:p>
    <w:p w14:paraId="585F2A28" w14:textId="04C62EC9" w:rsidR="002B3BCE" w:rsidRPr="00B65C86" w:rsidRDefault="002B3BCE" w:rsidP="002B3BCE">
      <w:pPr>
        <w:pStyle w:val="Body"/>
        <w:rPr>
          <w:b/>
          <w:bCs/>
        </w:rPr>
      </w:pPr>
      <w:r w:rsidRPr="00B65C86">
        <w:rPr>
          <w:b/>
          <w:bCs/>
        </w:rPr>
        <w:t>Routine priority access</w:t>
      </w:r>
    </w:p>
    <w:p w14:paraId="55E13605" w14:textId="77777777" w:rsidR="002B3BCE" w:rsidRDefault="002B3BCE" w:rsidP="002B3BCE">
      <w:pPr>
        <w:pStyle w:val="Body"/>
      </w:pPr>
      <w:r>
        <w:t xml:space="preserve">If accepted, an appointment must be made for within 365 calendar days of the referral being </w:t>
      </w:r>
      <w:r w:rsidRPr="001E652F">
        <w:t>received</w:t>
      </w:r>
      <w:r>
        <w:t>.</w:t>
      </w:r>
    </w:p>
    <w:p w14:paraId="2B05EEBE" w14:textId="77777777" w:rsidR="00542DF1" w:rsidRDefault="00542DF1" w:rsidP="00542DF1">
      <w:pPr>
        <w:pStyle w:val="Body"/>
      </w:pPr>
      <w:r>
        <w:t>Sometimes a patient may need an urgent assessment to support rapid access to services.</w:t>
      </w:r>
    </w:p>
    <w:p w14:paraId="3BE23076" w14:textId="77777777" w:rsidR="002B3BCE" w:rsidRPr="00E668C1" w:rsidRDefault="002B3BCE" w:rsidP="002B3BCE">
      <w:pPr>
        <w:pStyle w:val="Body"/>
      </w:pPr>
      <w:r w:rsidRPr="00E668C1">
        <w:t xml:space="preserve">New information from the referring clinician may support a review of the clinical prioritisation category. </w:t>
      </w:r>
      <w:r w:rsidRPr="002C6C2A">
        <w:t>Any change in a patient’s clinical prioritisation category must be authorised by a head of unit, or their delegate.</w:t>
      </w:r>
    </w:p>
    <w:p w14:paraId="1408DEA2" w14:textId="7B081B6C" w:rsidR="00F57FC6" w:rsidRPr="000A28EA" w:rsidRDefault="00F57FC6" w:rsidP="00F57FC6">
      <w:pPr>
        <w:pStyle w:val="Body"/>
      </w:pPr>
      <w:r>
        <w:t xml:space="preserve">If a health service anticipates that an appointment </w:t>
      </w:r>
      <w:r w:rsidRPr="001F6FE2">
        <w:t>will not be possible within a reasonable period</w:t>
      </w:r>
      <w:r>
        <w:t>, the</w:t>
      </w:r>
      <w:r w:rsidR="00854ED7">
        <w:t xml:space="preserve"> referral</w:t>
      </w:r>
      <w:r>
        <w:t xml:space="preserve"> must </w:t>
      </w:r>
      <w:r w:rsidR="00854ED7">
        <w:t xml:space="preserve">be </w:t>
      </w:r>
      <w:r>
        <w:t>accept</w:t>
      </w:r>
      <w:r w:rsidR="00854ED7">
        <w:t>ed</w:t>
      </w:r>
      <w:r w:rsidR="00A87D70">
        <w:t>,</w:t>
      </w:r>
      <w:r>
        <w:t xml:space="preserve"> and the referring clinician </w:t>
      </w:r>
      <w:r w:rsidR="00854ED7">
        <w:t xml:space="preserve">advised </w:t>
      </w:r>
      <w:r>
        <w:t>in writing of the anticipated delay. This correspondence should advise the referring clinician of alternative services that may provide a more convenient or timely service to the patient. This will give the patient and referring clinician the opportunity to identify and implement an alternative management strategy.</w:t>
      </w:r>
    </w:p>
    <w:p w14:paraId="5663FEB4" w14:textId="77777777" w:rsidR="00BB4696" w:rsidRDefault="00BB4696" w:rsidP="00BB4696">
      <w:pPr>
        <w:pStyle w:val="Heading3"/>
      </w:pPr>
      <w:r>
        <w:lastRenderedPageBreak/>
        <w:t>7.2.1 Equitable access, clinical prioritisation and treating in turn</w:t>
      </w:r>
    </w:p>
    <w:p w14:paraId="552F212C" w14:textId="77777777" w:rsidR="00BB4696" w:rsidRDefault="00BB4696" w:rsidP="00BB4696">
      <w:pPr>
        <w:pStyle w:val="Body"/>
      </w:pPr>
      <w:r>
        <w:t xml:space="preserve">Local </w:t>
      </w:r>
      <w:r w:rsidRPr="00EA6E96">
        <w:t>poli</w:t>
      </w:r>
      <w:r>
        <w:t xml:space="preserve">cies and procedures must ensure </w:t>
      </w:r>
      <w:r w:rsidRPr="00EA6E96">
        <w:t xml:space="preserve">each </w:t>
      </w:r>
      <w:r>
        <w:t>patient</w:t>
      </w:r>
      <w:r w:rsidRPr="00EA6E96">
        <w:t xml:space="preserve"> referred to the </w:t>
      </w:r>
      <w:r>
        <w:t xml:space="preserve">Victorian public </w:t>
      </w:r>
      <w:r w:rsidRPr="00EA6E96">
        <w:t>health service is treated in turn</w:t>
      </w:r>
      <w:r>
        <w:t xml:space="preserve"> -</w:t>
      </w:r>
      <w:r w:rsidRPr="00EA6E96">
        <w:t xml:space="preserve"> based on their clinical need</w:t>
      </w:r>
      <w:r>
        <w:t xml:space="preserve">, </w:t>
      </w:r>
      <w:r w:rsidRPr="00EA6E96">
        <w:t>related psychosocial factors</w:t>
      </w:r>
      <w:r>
        <w:t xml:space="preserve"> and disparities in access to care.</w:t>
      </w:r>
      <w:r w:rsidRPr="00EA6E96">
        <w:t xml:space="preserve"> </w:t>
      </w:r>
    </w:p>
    <w:p w14:paraId="0C187066" w14:textId="77777777" w:rsidR="00BB4696" w:rsidRDefault="00BB4696" w:rsidP="00BB4696">
      <w:pPr>
        <w:pStyle w:val="Body"/>
      </w:pPr>
      <w:r>
        <w:t>The head of the unit or clinical lead for the service should be accountable for ensuring each person is treated in turn for the services they oversee.</w:t>
      </w:r>
    </w:p>
    <w:p w14:paraId="209CC39C" w14:textId="2D605232" w:rsidR="00BB4696" w:rsidRDefault="00BB4696" w:rsidP="00BB4696">
      <w:pPr>
        <w:pStyle w:val="Body"/>
      </w:pPr>
      <w:r>
        <w:t>Treating in turn recognises that a strict ‘in-turn queue’ does not ensure patients are treated equitably or within clinically appropriate timeframes</w:t>
      </w:r>
      <w:r w:rsidR="009315CC">
        <w:t xml:space="preserve"> &lt;h</w:t>
      </w:r>
      <w:r w:rsidR="009315CC" w:rsidRPr="004E458B">
        <w:t>ttps://www.health.vic.gov.au/publications/why-treat-in-turn-works</w:t>
      </w:r>
      <w:r w:rsidR="009315CC">
        <w:t>&gt;</w:t>
      </w:r>
      <w:r>
        <w:t>. The t</w:t>
      </w:r>
      <w:r w:rsidRPr="008E7EAE">
        <w:t xml:space="preserve">reating in turn </w:t>
      </w:r>
      <w:r>
        <w:t xml:space="preserve">construct </w:t>
      </w:r>
      <w:r w:rsidRPr="008E7EAE">
        <w:t>allows exemptions for</w:t>
      </w:r>
      <w:r>
        <w:t xml:space="preserve"> when earlier access is required including:</w:t>
      </w:r>
    </w:p>
    <w:p w14:paraId="3909073F" w14:textId="77777777" w:rsidR="00BB4696" w:rsidRDefault="00BB4696" w:rsidP="00BB4696">
      <w:pPr>
        <w:pStyle w:val="Bullet1"/>
      </w:pPr>
      <w:r>
        <w:t>a patient’s urgency is reassessed</w:t>
      </w:r>
    </w:p>
    <w:p w14:paraId="2A67D1FB" w14:textId="77777777" w:rsidR="00BB4696" w:rsidRDefault="00BB4696" w:rsidP="00BB4696">
      <w:pPr>
        <w:pStyle w:val="Bullet1"/>
      </w:pPr>
      <w:r>
        <w:t>the health service has previously postponed the service</w:t>
      </w:r>
    </w:p>
    <w:p w14:paraId="6BEF58B5" w14:textId="77777777" w:rsidR="00BB4696" w:rsidRPr="00542A09" w:rsidRDefault="00BB4696" w:rsidP="00BB4696">
      <w:pPr>
        <w:pStyle w:val="Bullet1"/>
      </w:pPr>
      <w:r>
        <w:t>there is limited resource availability (for example, patients must attend a specific campus or service due to their clinical condition)</w:t>
      </w:r>
    </w:p>
    <w:p w14:paraId="582AFF61" w14:textId="77777777" w:rsidR="00BB4696" w:rsidRPr="000474E2" w:rsidRDefault="00BB4696" w:rsidP="00BB4696">
      <w:pPr>
        <w:pStyle w:val="Bullet1"/>
      </w:pPr>
      <w:r w:rsidRPr="000474E2">
        <w:t>a patient previously discharged requires further treatment or care from the same or related service for the same presenting problem</w:t>
      </w:r>
    </w:p>
    <w:p w14:paraId="04940E2C" w14:textId="77777777" w:rsidR="00BB4696" w:rsidRPr="000609B7" w:rsidRDefault="00BB4696" w:rsidP="00BB4696">
      <w:pPr>
        <w:pStyle w:val="Bullet1"/>
      </w:pPr>
      <w:r w:rsidRPr="000609B7">
        <w:t>a patient’s physical, psychological or social situation impedes their equitable access to care</w:t>
      </w:r>
      <w:r w:rsidRPr="000609B7">
        <w:rPr>
          <w:sz w:val="22"/>
          <w:szCs w:val="22"/>
        </w:rPr>
        <w:t>.</w:t>
      </w:r>
    </w:p>
    <w:p w14:paraId="3EF070F8" w14:textId="77777777" w:rsidR="00BB4696" w:rsidRDefault="00BB4696" w:rsidP="00BB4696">
      <w:pPr>
        <w:pStyle w:val="Bodyafterbullets"/>
      </w:pPr>
      <w:r>
        <w:t xml:space="preserve">The following </w:t>
      </w:r>
      <w:r w:rsidRPr="00CF22DA">
        <w:rPr>
          <w:b/>
          <w:bCs/>
        </w:rPr>
        <w:t>do not</w:t>
      </w:r>
      <w:r>
        <w:t xml:space="preserve"> constitute a valid reason for departing from treating in turn:</w:t>
      </w:r>
    </w:p>
    <w:p w14:paraId="292AC2C5" w14:textId="77777777" w:rsidR="00BB4696" w:rsidRDefault="00BB4696" w:rsidP="00BB4696">
      <w:pPr>
        <w:pStyle w:val="Bullet1"/>
      </w:pPr>
      <w:r>
        <w:t>referral by an internal clinician</w:t>
      </w:r>
    </w:p>
    <w:p w14:paraId="687ECFE3" w14:textId="77777777" w:rsidR="00BB4696" w:rsidRDefault="00BB4696" w:rsidP="00BB4696">
      <w:pPr>
        <w:pStyle w:val="Bullet1"/>
      </w:pPr>
      <w:r>
        <w:t>referral by a specific clinician</w:t>
      </w:r>
    </w:p>
    <w:p w14:paraId="63FA2CE0" w14:textId="77777777" w:rsidR="00BB4696" w:rsidRDefault="00BB4696" w:rsidP="00BB4696">
      <w:pPr>
        <w:pStyle w:val="Bullet1"/>
      </w:pPr>
      <w:r>
        <w:t>a request by a clinician to give precedence to a person</w:t>
      </w:r>
    </w:p>
    <w:p w14:paraId="0F987F6B" w14:textId="77777777" w:rsidR="00BB4696" w:rsidRDefault="00BB4696" w:rsidP="00BB4696">
      <w:pPr>
        <w:pStyle w:val="Bullet1"/>
      </w:pPr>
      <w:r>
        <w:t>the service is provided as a private consultation in a public room</w:t>
      </w:r>
    </w:p>
    <w:p w14:paraId="685CF0E1" w14:textId="50E3352A" w:rsidR="00BB4696" w:rsidRDefault="00BB4696" w:rsidP="00BB4696">
      <w:pPr>
        <w:pStyle w:val="Bullet1"/>
      </w:pPr>
      <w:r>
        <w:t>a patient’s private health insurance status</w:t>
      </w:r>
      <w:r w:rsidR="001A222F">
        <w:t xml:space="preserve"> or Medicare eligibility</w:t>
      </w:r>
    </w:p>
    <w:p w14:paraId="5091CCBE" w14:textId="77777777" w:rsidR="00BB4696" w:rsidRPr="005142D3" w:rsidRDefault="00BB4696" w:rsidP="00BB4696">
      <w:pPr>
        <w:pStyle w:val="Bullet1"/>
      </w:pPr>
      <w:r>
        <w:t>demand for non-admitted specialist services.</w:t>
      </w:r>
    </w:p>
    <w:p w14:paraId="685C19D7" w14:textId="195817DD" w:rsidR="00423B78" w:rsidRDefault="00C7668C" w:rsidP="00D10326">
      <w:pPr>
        <w:pStyle w:val="Heading3"/>
      </w:pPr>
      <w:r>
        <w:t>7.2.</w:t>
      </w:r>
      <w:r w:rsidR="00BB4696">
        <w:t>2</w:t>
      </w:r>
      <w:r>
        <w:t xml:space="preserve"> High-priority access</w:t>
      </w:r>
    </w:p>
    <w:p w14:paraId="5DE1CC28" w14:textId="2550BB7C" w:rsidR="00D10326" w:rsidRDefault="00D10326" w:rsidP="00D10326">
      <w:pPr>
        <w:pStyle w:val="Body"/>
      </w:pPr>
      <w:r w:rsidRPr="00EC47DF">
        <w:t>Patients who require high-priority access must have an appointment arranged within eight working days of accepting the referral</w:t>
      </w:r>
      <w:r w:rsidR="00382784" w:rsidRPr="00EC47DF">
        <w:t xml:space="preserve"> and the appointment </w:t>
      </w:r>
      <w:r w:rsidR="00747A1A" w:rsidRPr="00EC47DF">
        <w:t xml:space="preserve">must be </w:t>
      </w:r>
      <w:r w:rsidR="001E3403" w:rsidRPr="00EC47DF">
        <w:t>scheduled</w:t>
      </w:r>
      <w:r w:rsidR="00747A1A" w:rsidRPr="00EC47DF">
        <w:t xml:space="preserve"> within </w:t>
      </w:r>
      <w:r w:rsidR="00AA1F03" w:rsidRPr="00EC47DF">
        <w:t xml:space="preserve">30 calendar days of </w:t>
      </w:r>
      <w:r w:rsidR="00187AE6" w:rsidRPr="00EC47DF">
        <w:t>receiv</w:t>
      </w:r>
      <w:r w:rsidR="000900B4" w:rsidRPr="00EC47DF">
        <w:t>ing the referral</w:t>
      </w:r>
      <w:r w:rsidRPr="00EC47DF">
        <w:t>.</w:t>
      </w:r>
    </w:p>
    <w:p w14:paraId="3A6212B8" w14:textId="1829BC60" w:rsidR="00D10326" w:rsidRDefault="00D10326" w:rsidP="00D10326">
      <w:pPr>
        <w:pStyle w:val="Body"/>
      </w:pPr>
      <w:r>
        <w:t xml:space="preserve">Referrals are categorised as ‘high priority’ if the patient has a condition that has the potential to deteriorate quickly, with significant consequences for health and quality of life if not managed promptly. </w:t>
      </w:r>
    </w:p>
    <w:p w14:paraId="5E042A56" w14:textId="639836A6" w:rsidR="00C7668C" w:rsidRDefault="00D10326" w:rsidP="00D10326">
      <w:pPr>
        <w:pStyle w:val="Heading3"/>
      </w:pPr>
      <w:r>
        <w:t>7.2.</w:t>
      </w:r>
      <w:r w:rsidR="00BB4696">
        <w:t>3</w:t>
      </w:r>
      <w:r>
        <w:t xml:space="preserve"> Routine access</w:t>
      </w:r>
    </w:p>
    <w:p w14:paraId="1BDED372" w14:textId="14364702" w:rsidR="009F3EAA" w:rsidRDefault="009F3EAA" w:rsidP="009F3EAA">
      <w:pPr>
        <w:pStyle w:val="Body"/>
      </w:pPr>
      <w:r w:rsidRPr="000A28EA">
        <w:t xml:space="preserve">Referrals are categorised as </w:t>
      </w:r>
      <w:r w:rsidR="007A4D32">
        <w:t xml:space="preserve">requiring </w:t>
      </w:r>
      <w:r w:rsidRPr="000A28EA">
        <w:t>routine</w:t>
      </w:r>
      <w:r w:rsidR="007A4D32">
        <w:t xml:space="preserve"> access</w:t>
      </w:r>
      <w:r w:rsidRPr="000A28EA">
        <w:t xml:space="preserve"> if the p</w:t>
      </w:r>
      <w:r w:rsidR="00690E96">
        <w:t>erson</w:t>
      </w:r>
      <w:r w:rsidRPr="000A28EA">
        <w:t>’s condition is unlikely to deteriorate quickly or have significant consequences to the</w:t>
      </w:r>
      <w:r w:rsidR="009922FC">
        <w:t>ir</w:t>
      </w:r>
      <w:r w:rsidRPr="000A28EA">
        <w:t xml:space="preserve"> health and quality of life if the service is delayed beyond 30 calendar days.</w:t>
      </w:r>
      <w:r>
        <w:t xml:space="preserve"> If a referral is accepted</w:t>
      </w:r>
      <w:r w:rsidR="002A0985">
        <w:t>,</w:t>
      </w:r>
      <w:r>
        <w:t xml:space="preserve"> a</w:t>
      </w:r>
      <w:r w:rsidRPr="000A28EA">
        <w:t xml:space="preserve">n appointment </w:t>
      </w:r>
      <w:r>
        <w:t>must</w:t>
      </w:r>
      <w:r w:rsidRPr="000A28EA">
        <w:t xml:space="preserve"> be made within 365 calendar days of the referral being received.</w:t>
      </w:r>
    </w:p>
    <w:p w14:paraId="4E627249" w14:textId="77777777" w:rsidR="009F3EAA" w:rsidRDefault="009F3EAA" w:rsidP="009F3EAA">
      <w:pPr>
        <w:pStyle w:val="Body"/>
      </w:pPr>
      <w:r w:rsidRPr="000F2421">
        <w:t>Within eight working days of the referral being received health services must notify the patient and referring clinician in writing that a referral has been accepted and assessed as requiring routine access.</w:t>
      </w:r>
    </w:p>
    <w:p w14:paraId="2B40BF29" w14:textId="44A9283A" w:rsidR="00C27CCC" w:rsidRDefault="00C27CCC" w:rsidP="000453AF">
      <w:pPr>
        <w:pStyle w:val="Heading3"/>
      </w:pPr>
      <w:r>
        <w:lastRenderedPageBreak/>
        <w:t>7.2.</w:t>
      </w:r>
      <w:r w:rsidR="00BB4696">
        <w:t>4</w:t>
      </w:r>
      <w:r>
        <w:t xml:space="preserve"> Internal and associated care referrals</w:t>
      </w:r>
    </w:p>
    <w:p w14:paraId="6FA84B9C" w14:textId="3EB048C5" w:rsidR="00C27CCC" w:rsidRDefault="00C27CCC" w:rsidP="00C27CCC">
      <w:pPr>
        <w:pStyle w:val="Body"/>
      </w:pPr>
      <w:r w:rsidRPr="00F97BE3">
        <w:t xml:space="preserve">Internal referrals are from a health professional working within the same </w:t>
      </w:r>
      <w:r>
        <w:t xml:space="preserve">Victorian public </w:t>
      </w:r>
      <w:r w:rsidRPr="00F97BE3">
        <w:t>hea</w:t>
      </w:r>
      <w:r>
        <w:t>l</w:t>
      </w:r>
      <w:r w:rsidRPr="00F97BE3">
        <w:t>th service</w:t>
      </w:r>
      <w:r>
        <w:t xml:space="preserve">. This includes clinicians </w:t>
      </w:r>
      <w:r w:rsidRPr="00F97BE3">
        <w:t>in emergency departments, inpatient units</w:t>
      </w:r>
      <w:r>
        <w:t xml:space="preserve"> and</w:t>
      </w:r>
      <w:r w:rsidRPr="00F97BE3">
        <w:t xml:space="preserve"> other </w:t>
      </w:r>
      <w:r>
        <w:t xml:space="preserve">non-admitted </w:t>
      </w:r>
      <w:r w:rsidRPr="00F97BE3">
        <w:t xml:space="preserve">specialist </w:t>
      </w:r>
      <w:r>
        <w:t>services.</w:t>
      </w:r>
    </w:p>
    <w:p w14:paraId="2669A4D2" w14:textId="77777777" w:rsidR="00C27CCC" w:rsidRDefault="00C27CCC" w:rsidP="00C27CCC">
      <w:pPr>
        <w:pStyle w:val="Body"/>
      </w:pPr>
      <w:r w:rsidRPr="00F97BE3">
        <w:t xml:space="preserve">Health services </w:t>
      </w:r>
      <w:r>
        <w:t>can only</w:t>
      </w:r>
      <w:r w:rsidRPr="00F97BE3">
        <w:t xml:space="preserve"> accept referrals from internal referring clinicians for </w:t>
      </w:r>
      <w:r>
        <w:t xml:space="preserve">non-admitted </w:t>
      </w:r>
      <w:r w:rsidRPr="00F97BE3">
        <w:t>specialist services for</w:t>
      </w:r>
      <w:r>
        <w:t>:</w:t>
      </w:r>
    </w:p>
    <w:p w14:paraId="3DE4DD96" w14:textId="20FD39AB" w:rsidR="00C27CCC" w:rsidRDefault="00C27CCC" w:rsidP="00C27CCC">
      <w:pPr>
        <w:pStyle w:val="Bullet1"/>
      </w:pPr>
      <w:r>
        <w:t>patients that require high-priority access</w:t>
      </w:r>
      <w:r w:rsidR="00C16F72">
        <w:t xml:space="preserve"> to services</w:t>
      </w:r>
    </w:p>
    <w:p w14:paraId="1015A068" w14:textId="77777777" w:rsidR="00C27CCC" w:rsidRDefault="00C27CCC" w:rsidP="00C27CCC">
      <w:pPr>
        <w:pStyle w:val="Bullet1"/>
      </w:pPr>
      <w:r w:rsidRPr="00F97BE3">
        <w:t>associated care referrals</w:t>
      </w:r>
    </w:p>
    <w:p w14:paraId="28B77240" w14:textId="77777777" w:rsidR="00C27CCC" w:rsidRDefault="00C27CCC" w:rsidP="00C27CCC">
      <w:pPr>
        <w:pStyle w:val="Bullet1"/>
      </w:pPr>
      <w:r w:rsidRPr="00F97BE3">
        <w:t>referrals for clinical review following an inpatient episode of care</w:t>
      </w:r>
    </w:p>
    <w:p w14:paraId="20A6CB22" w14:textId="77777777" w:rsidR="00C27CCC" w:rsidRDefault="00C27CCC" w:rsidP="00C27CCC">
      <w:pPr>
        <w:pStyle w:val="Bullet1"/>
      </w:pPr>
      <w:r w:rsidRPr="00B800F7">
        <w:t xml:space="preserve">referrals generated by the health service solely to meet MBS claiming requirements. </w:t>
      </w:r>
    </w:p>
    <w:p w14:paraId="71A0B429" w14:textId="20289E39" w:rsidR="00360D8D" w:rsidRPr="00C27CCC" w:rsidRDefault="00360D8D" w:rsidP="00360D8D">
      <w:pPr>
        <w:pStyle w:val="Body"/>
      </w:pPr>
      <w:r w:rsidRPr="00800B0F">
        <w:t xml:space="preserve">Referrals for </w:t>
      </w:r>
      <w:r>
        <w:t>HIP</w:t>
      </w:r>
      <w:r w:rsidRPr="00800B0F">
        <w:t xml:space="preserve"> services may be accepted from internal referring clinicians and </w:t>
      </w:r>
      <w:r>
        <w:t xml:space="preserve">as noted in the </w:t>
      </w:r>
      <w:hyperlink r:id="rId61" w:history="1">
        <w:r w:rsidR="00181023">
          <w:rPr>
            <w:rStyle w:val="Hyperlink"/>
          </w:rPr>
          <w:t>Health Independence Program guidelines</w:t>
        </w:r>
      </w:hyperlink>
      <w:r w:rsidR="00181023">
        <w:rPr>
          <w:i/>
        </w:rPr>
        <w:t xml:space="preserve"> &lt;</w:t>
      </w:r>
      <w:r w:rsidR="00181023">
        <w:t>h</w:t>
      </w:r>
      <w:r w:rsidR="00181023" w:rsidRPr="00175668">
        <w:t>ttps://www.health.vic.gov.au/patient-care/health-independence-program-guidelines</w:t>
      </w:r>
      <w:r>
        <w:t>&gt;</w:t>
      </w:r>
      <w:r w:rsidRPr="006D04CB">
        <w:t>.</w:t>
      </w:r>
    </w:p>
    <w:p w14:paraId="39CB8E93" w14:textId="77777777" w:rsidR="00C27CCC" w:rsidRDefault="00C27CCC" w:rsidP="00C27CCC">
      <w:pPr>
        <w:pStyle w:val="Body"/>
      </w:pPr>
      <w:r w:rsidRPr="00A3318B">
        <w:rPr>
          <w:rStyle w:val="DHHSbodyChar"/>
        </w:rPr>
        <w:t>Associated care referrals are referrals made by a health professional working within the same health</w:t>
      </w:r>
      <w:r>
        <w:t xml:space="preserve"> service. These include:</w:t>
      </w:r>
    </w:p>
    <w:p w14:paraId="51297238" w14:textId="77777777" w:rsidR="00C27CCC" w:rsidRPr="00800B0F" w:rsidRDefault="00C27CCC" w:rsidP="00C27CCC">
      <w:pPr>
        <w:pStyle w:val="Bullet1"/>
      </w:pPr>
      <w:r w:rsidRPr="00800B0F">
        <w:t xml:space="preserve">referrals to another specialist for preoperative review or clearance </w:t>
      </w:r>
      <w:r>
        <w:t>before</w:t>
      </w:r>
      <w:r w:rsidRPr="00800B0F">
        <w:t xml:space="preserve"> surgery</w:t>
      </w:r>
    </w:p>
    <w:p w14:paraId="3E0FBFDC" w14:textId="77777777" w:rsidR="00C27CCC" w:rsidRDefault="00C27CCC" w:rsidP="00C27CCC">
      <w:pPr>
        <w:pStyle w:val="Bullet1"/>
      </w:pPr>
      <w:r w:rsidRPr="006D04CB">
        <w:t>any requests for assessment, investigations</w:t>
      </w:r>
      <w:r>
        <w:t>,</w:t>
      </w:r>
      <w:r w:rsidRPr="006D04CB">
        <w:t xml:space="preserve"> or diagnostic tests </w:t>
      </w:r>
      <w:r>
        <w:t>where</w:t>
      </w:r>
      <w:r w:rsidRPr="006D04CB">
        <w:t xml:space="preserve"> the outcome is required to inform or progress treatment planning for the same reason for referral</w:t>
      </w:r>
      <w:r>
        <w:t>.</w:t>
      </w:r>
    </w:p>
    <w:p w14:paraId="1A7A88F9" w14:textId="77777777" w:rsidR="004A2BB9" w:rsidRDefault="004A2BB9" w:rsidP="004A2BB9">
      <w:pPr>
        <w:pStyle w:val="Heading3"/>
      </w:pPr>
      <w:r>
        <w:t>7.2.5 MBS billed services</w:t>
      </w:r>
    </w:p>
    <w:p w14:paraId="69E56749" w14:textId="77777777" w:rsidR="004A2BB9" w:rsidRPr="00AE7870" w:rsidRDefault="004A2BB9" w:rsidP="004A2BB9">
      <w:pPr>
        <w:pStyle w:val="Body"/>
      </w:pPr>
      <w:r w:rsidRPr="00AE7870">
        <w:t xml:space="preserve">If the </w:t>
      </w:r>
      <w:r>
        <w:t xml:space="preserve">Victorian public </w:t>
      </w:r>
      <w:r w:rsidRPr="00AE7870">
        <w:t>health service provides the service through a</w:t>
      </w:r>
      <w:r>
        <w:t>n</w:t>
      </w:r>
      <w:r w:rsidRPr="00AE7870">
        <w:t xml:space="preserve"> MBS</w:t>
      </w:r>
      <w:r>
        <w:t>-billed</w:t>
      </w:r>
      <w:r w:rsidRPr="00AE7870">
        <w:t xml:space="preserve"> clinic</w:t>
      </w:r>
      <w:r>
        <w:t>, as a</w:t>
      </w:r>
      <w:r w:rsidRPr="00AE7870">
        <w:t xml:space="preserve"> </w:t>
      </w:r>
      <w:r>
        <w:t xml:space="preserve">private consultation in public rooms, </w:t>
      </w:r>
      <w:r w:rsidRPr="00AE7870">
        <w:t xml:space="preserve">the health service is responsible </w:t>
      </w:r>
      <w:r>
        <w:t xml:space="preserve">for gaining consent from the patient to be treated as a private patient and </w:t>
      </w:r>
      <w:r w:rsidRPr="00AE7870">
        <w:t>all requirements for claiming monies through Medicare.</w:t>
      </w:r>
    </w:p>
    <w:p w14:paraId="20B84984" w14:textId="77777777" w:rsidR="004A2BB9" w:rsidRDefault="004A2BB9" w:rsidP="004A2BB9">
      <w:pPr>
        <w:pStyle w:val="Body"/>
        <w:rPr>
          <w:lang w:eastAsia="en-AU"/>
        </w:rPr>
      </w:pPr>
      <w:r>
        <w:t>‘Named referrals’, are a requirement for MBS-billed services provided by public health services. A patient may choose to assign Medicare benefits at subsequent appointments and be referred by a public hospital health professional, who has referral rights for the non-admitted specialist service, to a ‘named practitioner’ when clinically appropriate. The health service must have appropriate policies and protocols to govern this process and ensure the correct name is recorded to meet MBS-billing requirements for new referrals; when there is a change in the treating doctor; or when a further referral is required to continue or complete the episode of care.</w:t>
      </w:r>
    </w:p>
    <w:p w14:paraId="58E9194E" w14:textId="71B7BC9B" w:rsidR="004A2BB9" w:rsidRDefault="004A2BB9" w:rsidP="004A2BB9">
      <w:pPr>
        <w:pStyle w:val="Body"/>
      </w:pPr>
      <w:r w:rsidRPr="00AF640D">
        <w:rPr>
          <w:lang w:eastAsia="en-AU"/>
        </w:rPr>
        <w:t>The specialist clinicians providing the service must meet eligibility criteria to be able to provide professional services that will attract Medicare benefits. This includes recognition as a specialist or consultant physician as specified under the</w:t>
      </w:r>
      <w:r w:rsidR="008D032B">
        <w:rPr>
          <w:lang w:eastAsia="en-AU"/>
        </w:rPr>
        <w:t xml:space="preserve"> </w:t>
      </w:r>
      <w:hyperlink r:id="rId62" w:history="1">
        <w:r w:rsidR="008D032B">
          <w:rPr>
            <w:rStyle w:val="Hyperlink"/>
          </w:rPr>
          <w:t>Health Insurance Act 1973</w:t>
        </w:r>
      </w:hyperlink>
      <w:r w:rsidRPr="00AF640D">
        <w:rPr>
          <w:lang w:eastAsia="en-AU"/>
        </w:rPr>
        <w:t xml:space="preserve"> </w:t>
      </w:r>
      <w:r>
        <w:rPr>
          <w:lang w:eastAsia="en-AU"/>
        </w:rPr>
        <w:t>&lt;</w:t>
      </w:r>
      <w:r w:rsidRPr="005D0BDF">
        <w:rPr>
          <w:lang w:eastAsia="en-AU"/>
        </w:rPr>
        <w:t>https://www.legislation.gov.au/Details/C2017C00255</w:t>
      </w:r>
      <w:r>
        <w:rPr>
          <w:lang w:eastAsia="en-AU"/>
        </w:rPr>
        <w:t xml:space="preserve">&gt;. </w:t>
      </w:r>
    </w:p>
    <w:p w14:paraId="7B3FDD7C" w14:textId="25EDEE56" w:rsidR="00D10326" w:rsidRDefault="009F3EAA" w:rsidP="009F3EAA">
      <w:pPr>
        <w:pStyle w:val="Heading3"/>
      </w:pPr>
      <w:r>
        <w:t>7.2.</w:t>
      </w:r>
      <w:r w:rsidR="004A2BB9">
        <w:t>6</w:t>
      </w:r>
      <w:r>
        <w:t xml:space="preserve"> Transfers</w:t>
      </w:r>
    </w:p>
    <w:p w14:paraId="672ADF6E" w14:textId="6998ACBD" w:rsidR="004843A7" w:rsidRDefault="0097592B" w:rsidP="0097592B">
      <w:pPr>
        <w:pStyle w:val="Body"/>
      </w:pPr>
      <w:r>
        <w:t xml:space="preserve">A </w:t>
      </w:r>
      <w:r w:rsidR="00BE0BC8">
        <w:t xml:space="preserve">Victorian public </w:t>
      </w:r>
      <w:r>
        <w:t>health service can only transfer a referral to another health service</w:t>
      </w:r>
      <w:r w:rsidR="00BF152A">
        <w:t>,</w:t>
      </w:r>
      <w:r>
        <w:t xml:space="preserve"> </w:t>
      </w:r>
      <w:r w:rsidR="00F10BF2">
        <w:t xml:space="preserve">before or after the referral is </w:t>
      </w:r>
      <w:r w:rsidR="00F10BF2" w:rsidRPr="00FC0361">
        <w:t>acc</w:t>
      </w:r>
      <w:r w:rsidR="00BF152A" w:rsidRPr="00FC0361">
        <w:t>epted</w:t>
      </w:r>
      <w:r w:rsidR="00BF152A">
        <w:t xml:space="preserve">, </w:t>
      </w:r>
      <w:r>
        <w:t xml:space="preserve">if the patient provides their consent. </w:t>
      </w:r>
    </w:p>
    <w:p w14:paraId="3B09C284" w14:textId="6B7356AA" w:rsidR="00C42D41" w:rsidRDefault="00F87CF0" w:rsidP="0097592B">
      <w:pPr>
        <w:pStyle w:val="Body"/>
      </w:pPr>
      <w:r>
        <w:t>The health service</w:t>
      </w:r>
      <w:r w:rsidR="00BF152A">
        <w:t xml:space="preserve"> that received the referral</w:t>
      </w:r>
      <w:r>
        <w:t xml:space="preserve"> is responsible for arranging </w:t>
      </w:r>
      <w:r w:rsidR="00F40059">
        <w:t>a transfer to another health service</w:t>
      </w:r>
      <w:r w:rsidR="00CE3604">
        <w:t xml:space="preserve">, requests </w:t>
      </w:r>
      <w:r w:rsidR="008D75EE">
        <w:t xml:space="preserve">for action </w:t>
      </w:r>
      <w:r w:rsidR="00CE3604">
        <w:t>should not be made to the referring clinician</w:t>
      </w:r>
      <w:r w:rsidR="00F40059">
        <w:t xml:space="preserve">. </w:t>
      </w:r>
      <w:r w:rsidR="0097592B">
        <w:t xml:space="preserve">The health service that received the referral request should inform the referring clinician of the transfer once the patient has agreed to the transfer. </w:t>
      </w:r>
    </w:p>
    <w:p w14:paraId="078B43E7" w14:textId="5798B8D4" w:rsidR="00862729" w:rsidRDefault="00BE0BC8" w:rsidP="0097592B">
      <w:pPr>
        <w:pStyle w:val="Body"/>
      </w:pPr>
      <w:r>
        <w:lastRenderedPageBreak/>
        <w:t>Note, Victorian public h</w:t>
      </w:r>
      <w:r w:rsidR="0097592B">
        <w:t xml:space="preserve">ealth services should not seek to transfer referrals </w:t>
      </w:r>
      <w:r>
        <w:t xml:space="preserve">which </w:t>
      </w:r>
      <w:r w:rsidR="0097592B">
        <w:t>meet statewide referral criteria for services available at that health service.</w:t>
      </w:r>
    </w:p>
    <w:p w14:paraId="1FC319DC" w14:textId="6B2A5604" w:rsidR="009F3EAA" w:rsidRDefault="008E4CC9" w:rsidP="00BB4696">
      <w:pPr>
        <w:pStyle w:val="Heading2"/>
      </w:pPr>
      <w:bookmarkStart w:id="49" w:name="_Toc121210060"/>
      <w:bookmarkStart w:id="50" w:name="_Hlk85034338"/>
      <w:r>
        <w:t>7.</w:t>
      </w:r>
      <w:r w:rsidR="00432CB0">
        <w:t>3</w:t>
      </w:r>
      <w:r>
        <w:t xml:space="preserve"> Communication</w:t>
      </w:r>
      <w:r w:rsidR="0072602E">
        <w:t>s</w:t>
      </w:r>
      <w:r>
        <w:t xml:space="preserve"> with patients</w:t>
      </w:r>
      <w:r w:rsidR="00D24DAC">
        <w:t xml:space="preserve"> with an</w:t>
      </w:r>
      <w:r w:rsidR="00015E18">
        <w:t xml:space="preserve"> accepted referral</w:t>
      </w:r>
      <w:bookmarkEnd w:id="49"/>
    </w:p>
    <w:p w14:paraId="045160FE" w14:textId="41B5DB86" w:rsidR="00351A11" w:rsidRDefault="00351A11" w:rsidP="00351A11">
      <w:pPr>
        <w:pStyle w:val="Body"/>
      </w:pPr>
      <w:r>
        <w:t xml:space="preserve">When a </w:t>
      </w:r>
      <w:r w:rsidRPr="00037D64">
        <w:t>referral has been accepted</w:t>
      </w:r>
      <w:r>
        <w:t xml:space="preserve">, </w:t>
      </w:r>
      <w:r w:rsidR="002324DD" w:rsidRPr="00BF04BA">
        <w:t>directed</w:t>
      </w:r>
      <w:r w:rsidR="000334A9" w:rsidRPr="00BF04BA">
        <w:t xml:space="preserve"> </w:t>
      </w:r>
      <w:r w:rsidRPr="00BF04BA">
        <w:t>and</w:t>
      </w:r>
      <w:r w:rsidR="000334A9">
        <w:t xml:space="preserve"> </w:t>
      </w:r>
      <w:r w:rsidR="002324DD">
        <w:t>triaged</w:t>
      </w:r>
      <w:r>
        <w:t>, the health service must provide written information to the patient</w:t>
      </w:r>
      <w:r w:rsidR="00932BB6">
        <w:t xml:space="preserve"> </w:t>
      </w:r>
      <w:r w:rsidR="00D732B9">
        <w:t>(</w:t>
      </w:r>
      <w:r w:rsidR="00932BB6">
        <w:t xml:space="preserve">and any </w:t>
      </w:r>
      <w:r w:rsidR="00A27C7F">
        <w:t xml:space="preserve">authorised </w:t>
      </w:r>
      <w:r w:rsidR="00F8313D">
        <w:t>medical treatment decision maker</w:t>
      </w:r>
      <w:r w:rsidR="00667605">
        <w:t xml:space="preserve"> or a child’s parent</w:t>
      </w:r>
      <w:r w:rsidR="005F50CA">
        <w:t>, guardian or another person with parental responsibility</w:t>
      </w:r>
      <w:r w:rsidR="00D732B9">
        <w:t>)</w:t>
      </w:r>
      <w:r>
        <w:t xml:space="preserve"> including:</w:t>
      </w:r>
    </w:p>
    <w:p w14:paraId="41029643" w14:textId="3914D3AF" w:rsidR="00351A11" w:rsidRDefault="00351A11" w:rsidP="00B2264A">
      <w:pPr>
        <w:pStyle w:val="Bullet1"/>
      </w:pPr>
      <w:r>
        <w:t>an acknowledgement of the referral</w:t>
      </w:r>
      <w:r w:rsidRPr="001B2183">
        <w:t xml:space="preserve">, </w:t>
      </w:r>
      <w:r>
        <w:t xml:space="preserve">the </w:t>
      </w:r>
      <w:r w:rsidR="004D451E">
        <w:t xml:space="preserve">non-admitted specialist </w:t>
      </w:r>
      <w:r>
        <w:t xml:space="preserve">service unit </w:t>
      </w:r>
      <w:r w:rsidR="00A55476">
        <w:t xml:space="preserve">or team who </w:t>
      </w:r>
      <w:r>
        <w:t xml:space="preserve">will </w:t>
      </w:r>
      <w:r w:rsidR="00E66E4F">
        <w:t xml:space="preserve">be </w:t>
      </w:r>
      <w:r>
        <w:t>deliver</w:t>
      </w:r>
      <w:r w:rsidR="00E66E4F">
        <w:t>ing</w:t>
      </w:r>
      <w:r>
        <w:t xml:space="preserve"> the</w:t>
      </w:r>
      <w:r w:rsidR="00BF04BA">
        <w:t xml:space="preserve"> </w:t>
      </w:r>
      <w:r>
        <w:t>service requested and any tests or investigations that must be completed before the appointment</w:t>
      </w:r>
    </w:p>
    <w:p w14:paraId="1B4B65B4" w14:textId="7C9BE5FB" w:rsidR="00351A11" w:rsidRDefault="00351A11" w:rsidP="00B2264A">
      <w:pPr>
        <w:pStyle w:val="Bullet1"/>
      </w:pPr>
      <w:r>
        <w:t xml:space="preserve">contact details for the </w:t>
      </w:r>
      <w:r w:rsidR="00D259CB">
        <w:t xml:space="preserve">non-admitted specialist </w:t>
      </w:r>
      <w:r>
        <w:t>service unit</w:t>
      </w:r>
    </w:p>
    <w:p w14:paraId="560D0AE4" w14:textId="0A0BBCB9" w:rsidR="00683D18" w:rsidRDefault="00351A11" w:rsidP="00683D18">
      <w:pPr>
        <w:pStyle w:val="Bullet1"/>
      </w:pPr>
      <w:r>
        <w:t>how t</w:t>
      </w:r>
      <w:r w:rsidR="00FC28A8">
        <w:t>o</w:t>
      </w:r>
      <w:r>
        <w:t xml:space="preserve"> indicate their preferred method of communication from those available at the health service</w:t>
      </w:r>
      <w:r w:rsidR="00272683">
        <w:t xml:space="preserve"> for</w:t>
      </w:r>
      <w:r w:rsidR="00FE020A">
        <w:t xml:space="preserve"> </w:t>
      </w:r>
      <w:r w:rsidR="00F4616F">
        <w:t xml:space="preserve">notification </w:t>
      </w:r>
      <w:r w:rsidR="001976AF">
        <w:t>and communication about</w:t>
      </w:r>
      <w:r w:rsidR="00F4616F">
        <w:t xml:space="preserve"> their</w:t>
      </w:r>
      <w:r w:rsidR="0028142D">
        <w:t xml:space="preserve"> appointment</w:t>
      </w:r>
      <w:r w:rsidR="00BD04FF">
        <w:t xml:space="preserve"> (for example, via text messages or email)</w:t>
      </w:r>
    </w:p>
    <w:p w14:paraId="50C009DA" w14:textId="4938CF44" w:rsidR="00351A11" w:rsidRDefault="00351A11" w:rsidP="00252C94">
      <w:pPr>
        <w:pStyle w:val="Bullet1"/>
      </w:pPr>
      <w:bookmarkStart w:id="51" w:name="_Hlk85034365"/>
      <w:r>
        <w:t>how</w:t>
      </w:r>
      <w:bookmarkEnd w:id="50"/>
      <w:r>
        <w:t xml:space="preserve"> their appointment </w:t>
      </w:r>
      <w:r w:rsidR="00272683">
        <w:t>w</w:t>
      </w:r>
      <w:r w:rsidR="008836A4">
        <w:t>ill</w:t>
      </w:r>
      <w:r w:rsidR="009B0569">
        <w:t xml:space="preserve"> or can </w:t>
      </w:r>
      <w:r>
        <w:t>be scheduled, including the expected waiting time</w:t>
      </w:r>
      <w:r w:rsidR="00025980">
        <w:t>,</w:t>
      </w:r>
      <w:r>
        <w:t xml:space="preserve"> based on current waiting times or clearance times for the service</w:t>
      </w:r>
      <w:r w:rsidR="00025980">
        <w:t>,</w:t>
      </w:r>
      <w:r>
        <w:t xml:space="preserve"> and available patient-focused booking systems</w:t>
      </w:r>
    </w:p>
    <w:p w14:paraId="7246D007" w14:textId="6E61B345" w:rsidR="00351A11" w:rsidRDefault="00351A11" w:rsidP="00B2264A">
      <w:pPr>
        <w:pStyle w:val="Bullet1"/>
      </w:pPr>
      <w:r>
        <w:t>a</w:t>
      </w:r>
      <w:r w:rsidR="001E27DF">
        <w:t>ll</w:t>
      </w:r>
      <w:r>
        <w:t xml:space="preserve"> </w:t>
      </w:r>
      <w:r w:rsidR="001E27DF">
        <w:t xml:space="preserve">available </w:t>
      </w:r>
      <w:r>
        <w:t xml:space="preserve">options for the </w:t>
      </w:r>
      <w:r w:rsidR="001E27DF">
        <w:t>delivery of care</w:t>
      </w:r>
      <w:r>
        <w:t xml:space="preserve"> </w:t>
      </w:r>
      <w:r w:rsidR="00AC1755">
        <w:t xml:space="preserve">(for example, </w:t>
      </w:r>
      <w:r>
        <w:t xml:space="preserve">outreach, </w:t>
      </w:r>
      <w:r w:rsidR="00D21587">
        <w:t>virtual care</w:t>
      </w:r>
      <w:r>
        <w:t>, home-delivered services and services available outside of normal business hours</w:t>
      </w:r>
      <w:r w:rsidR="009D339F">
        <w:t>)</w:t>
      </w:r>
      <w:r w:rsidR="00F1537F" w:rsidRPr="00F1537F">
        <w:t xml:space="preserve"> </w:t>
      </w:r>
      <w:r w:rsidR="00F1537F">
        <w:t>and how to indicate their preferred method of receiving care at their appointment</w:t>
      </w:r>
    </w:p>
    <w:p w14:paraId="21A78299" w14:textId="3FFD16B8" w:rsidR="00351A11" w:rsidRDefault="00351A11" w:rsidP="00B2264A">
      <w:pPr>
        <w:pStyle w:val="Bullet1"/>
      </w:pPr>
      <w:r>
        <w:t xml:space="preserve">information </w:t>
      </w:r>
      <w:r w:rsidR="00076518">
        <w:t>about how to access</w:t>
      </w:r>
      <w:r w:rsidR="009D339F">
        <w:t xml:space="preserve"> the health service</w:t>
      </w:r>
      <w:r w:rsidR="001B31D5">
        <w:t>’s</w:t>
      </w:r>
      <w:r w:rsidR="00076518">
        <w:t xml:space="preserve"> </w:t>
      </w:r>
      <w:r w:rsidR="00D60C05">
        <w:t>Aboriginal cultural and language s</w:t>
      </w:r>
      <w:r w:rsidR="000E5795">
        <w:t>upport</w:t>
      </w:r>
      <w:r w:rsidR="001B31D5">
        <w:t xml:space="preserve"> services</w:t>
      </w:r>
      <w:r w:rsidR="006B777D">
        <w:t>, other</w:t>
      </w:r>
      <w:r w:rsidR="00076518">
        <w:t xml:space="preserve"> </w:t>
      </w:r>
      <w:r>
        <w:t xml:space="preserve">cultural and linguistic </w:t>
      </w:r>
      <w:r w:rsidR="0075285E">
        <w:t>divers</w:t>
      </w:r>
      <w:r w:rsidR="00A401B2">
        <w:t>ity</w:t>
      </w:r>
      <w:r w:rsidR="0075285E">
        <w:t xml:space="preserve"> </w:t>
      </w:r>
      <w:r>
        <w:t>support</w:t>
      </w:r>
      <w:r w:rsidR="001B31D5">
        <w:t>s</w:t>
      </w:r>
      <w:r>
        <w:t>, disability support and transport</w:t>
      </w:r>
      <w:r w:rsidR="00DD2211">
        <w:t xml:space="preserve"> and accommodation</w:t>
      </w:r>
      <w:r>
        <w:t xml:space="preserve"> assistance (</w:t>
      </w:r>
      <w:r w:rsidR="0075285E">
        <w:t>where</w:t>
      </w:r>
      <w:r>
        <w:t xml:space="preserve"> eligible)</w:t>
      </w:r>
    </w:p>
    <w:p w14:paraId="3249EA58" w14:textId="4BBB74A2" w:rsidR="00351A11" w:rsidRDefault="00351A11" w:rsidP="00B2264A">
      <w:pPr>
        <w:pStyle w:val="Bullet1"/>
      </w:pPr>
      <w:r>
        <w:t>the expectation that they agree that their personal and health information will be shared between staff at the health service and with the referring clinician, their nominated GP or other health service providers as required to facilitate their treatment or care</w:t>
      </w:r>
      <w:r w:rsidR="0087007B">
        <w:t>,</w:t>
      </w:r>
      <w:r>
        <w:t xml:space="preserve"> </w:t>
      </w:r>
      <w:r w:rsidR="00F54E7C">
        <w:t xml:space="preserve">as indicated in the referral </w:t>
      </w:r>
      <w:r w:rsidR="000C7552">
        <w:t xml:space="preserve"> </w:t>
      </w:r>
    </w:p>
    <w:p w14:paraId="58B005BD" w14:textId="3A52C8D2" w:rsidR="00351A11" w:rsidRDefault="00351A11" w:rsidP="00B2264A">
      <w:pPr>
        <w:pStyle w:val="Bullet1"/>
      </w:pPr>
      <w:r>
        <w:t>a ‘collection statement’ regarding their rights, including patient advocacy and the process for addressing complaints</w:t>
      </w:r>
    </w:p>
    <w:p w14:paraId="73D90058" w14:textId="7982A382" w:rsidR="00351A11" w:rsidRDefault="00351A11" w:rsidP="00B2264A">
      <w:pPr>
        <w:pStyle w:val="Bullet1"/>
      </w:pPr>
      <w:r>
        <w:t>their responsibilities including the need to notify the health service about changes to their clinical condition, contact details, nominated GP or next of kin, if they are unable to attend a scheduled appointment, if they are ‘not ready for care’ or if the appointment is no longer required for any other reason</w:t>
      </w:r>
    </w:p>
    <w:p w14:paraId="66EF2441" w14:textId="33B44A38" w:rsidR="00351A11" w:rsidRDefault="00351A11" w:rsidP="00B2264A">
      <w:pPr>
        <w:pStyle w:val="Bullet1"/>
      </w:pPr>
      <w:r>
        <w:t>the implications of not responding to communication from the health service or declining, repeatedly rescheduling or failing to attend a scheduled appointment.</w:t>
      </w:r>
    </w:p>
    <w:p w14:paraId="7F4ECE37" w14:textId="7F33C603" w:rsidR="00351A11" w:rsidRDefault="00351A11" w:rsidP="00752CCC">
      <w:pPr>
        <w:pStyle w:val="Bodyafterbullets"/>
      </w:pPr>
      <w:r>
        <w:t xml:space="preserve">When an </w:t>
      </w:r>
      <w:r w:rsidRPr="0087007B">
        <w:t>appointment is scheduled</w:t>
      </w:r>
      <w:r>
        <w:t>, the health service must provide written information about the appointment including:</w:t>
      </w:r>
    </w:p>
    <w:p w14:paraId="0D4A16CF" w14:textId="3F549DD7" w:rsidR="00351A11" w:rsidRDefault="00351A11" w:rsidP="00B2264A">
      <w:pPr>
        <w:pStyle w:val="Bullet1"/>
      </w:pPr>
      <w:r>
        <w:t>the date and time of the appointment(s)</w:t>
      </w:r>
    </w:p>
    <w:p w14:paraId="6E59BC5E" w14:textId="245D0019" w:rsidR="00351A11" w:rsidRDefault="00351A11" w:rsidP="00B2264A">
      <w:pPr>
        <w:pStyle w:val="Bullet1"/>
      </w:pPr>
      <w:r>
        <w:t>instructions on what to bring and how to prepare for the appointment (for example, tests or investigations that must be completed before the appointment)</w:t>
      </w:r>
    </w:p>
    <w:p w14:paraId="039C52B2" w14:textId="54940304" w:rsidR="00351A11" w:rsidRDefault="00351A11" w:rsidP="00B2264A">
      <w:pPr>
        <w:pStyle w:val="Bullet1"/>
      </w:pPr>
      <w:r>
        <w:t xml:space="preserve">information on the physical location of the service, including a map or written instructions </w:t>
      </w:r>
      <w:r w:rsidR="003612D3">
        <w:t>or</w:t>
      </w:r>
      <w:r w:rsidR="00022258">
        <w:t xml:space="preserve"> </w:t>
      </w:r>
      <w:r>
        <w:t xml:space="preserve">if </w:t>
      </w:r>
      <w:r w:rsidR="005421E6">
        <w:t>virtual care</w:t>
      </w:r>
      <w:r>
        <w:t xml:space="preserve"> is a service delivery option</w:t>
      </w:r>
      <w:r w:rsidR="00607D68">
        <w:t>, including</w:t>
      </w:r>
      <w:r w:rsidR="007F4C19">
        <w:t xml:space="preserve"> </w:t>
      </w:r>
      <w:r w:rsidR="00022258">
        <w:t xml:space="preserve">information </w:t>
      </w:r>
      <w:r w:rsidR="00236DDC">
        <w:t>for</w:t>
      </w:r>
      <w:r w:rsidR="007F4C19">
        <w:t xml:space="preserve"> access</w:t>
      </w:r>
      <w:r w:rsidR="00236DDC">
        <w:t>ing</w:t>
      </w:r>
      <w:r w:rsidR="007F4C19">
        <w:t xml:space="preserve"> the service </w:t>
      </w:r>
      <w:r w:rsidR="000A0195">
        <w:t>using virtual care</w:t>
      </w:r>
    </w:p>
    <w:p w14:paraId="1F1D238C" w14:textId="7BCA521F" w:rsidR="00351A11" w:rsidRDefault="00351A11" w:rsidP="00B2264A">
      <w:pPr>
        <w:pStyle w:val="Bullet1"/>
      </w:pPr>
      <w:r>
        <w:lastRenderedPageBreak/>
        <w:t>the patient’s responsibilities including how to notify the health service about changes to their clinical condition, changes in their contact details, if they are ‘not ready for care’ or unable to attend a scheduled appointment for any other reason, or if the appointment is no longer required.</w:t>
      </w:r>
    </w:p>
    <w:p w14:paraId="3BE98422" w14:textId="4A144076" w:rsidR="00351A11" w:rsidRDefault="00351A11" w:rsidP="00752CCC">
      <w:pPr>
        <w:pStyle w:val="Bodyafterbullets"/>
      </w:pPr>
      <w:r>
        <w:t xml:space="preserve">When a </w:t>
      </w:r>
      <w:r w:rsidRPr="00A935F6">
        <w:t>referral is not accepted</w:t>
      </w:r>
      <w:r>
        <w:t xml:space="preserve"> the health service must:</w:t>
      </w:r>
    </w:p>
    <w:p w14:paraId="087ED0C4" w14:textId="5C0E287C" w:rsidR="00351A11" w:rsidRDefault="00351A11" w:rsidP="00B2264A">
      <w:pPr>
        <w:pStyle w:val="Bullet1"/>
      </w:pPr>
      <w:r>
        <w:t>inform the referring clinician and the patient, providing the reason for the decision</w:t>
      </w:r>
    </w:p>
    <w:p w14:paraId="041B9C77" w14:textId="4159ED51" w:rsidR="00351A11" w:rsidRDefault="00351A11" w:rsidP="00B2264A">
      <w:pPr>
        <w:pStyle w:val="Bullet1"/>
      </w:pPr>
      <w:r>
        <w:t>refer</w:t>
      </w:r>
      <w:r w:rsidR="000F6FCA">
        <w:t xml:space="preserve"> the</w:t>
      </w:r>
      <w:r>
        <w:t xml:space="preserve"> patient back to the referring clinician or GP to arrange an alternative treatment plan.</w:t>
      </w:r>
    </w:p>
    <w:p w14:paraId="18895079" w14:textId="7EBF90DE" w:rsidR="00E41B6D" w:rsidRDefault="00E41B6D" w:rsidP="00E41B6D">
      <w:pPr>
        <w:pStyle w:val="Heading2"/>
      </w:pPr>
      <w:bookmarkStart w:id="52" w:name="_Toc121210061"/>
      <w:bookmarkEnd w:id="51"/>
      <w:r>
        <w:t>7.</w:t>
      </w:r>
      <w:r w:rsidR="00432CB0">
        <w:t>4</w:t>
      </w:r>
      <w:r>
        <w:t xml:space="preserve"> Arranging appointments</w:t>
      </w:r>
      <w:bookmarkEnd w:id="52"/>
    </w:p>
    <w:p w14:paraId="66E0F371" w14:textId="77777777" w:rsidR="00E41B6D" w:rsidRDefault="00E41B6D" w:rsidP="00E41B6D">
      <w:pPr>
        <w:pStyle w:val="Body"/>
      </w:pPr>
      <w:r>
        <w:t>All health services should be planning for a patient-focused booking system as outlined below to give patients choice and minimise patient-initiated postponements.</w:t>
      </w:r>
    </w:p>
    <w:p w14:paraId="5EE82CD0" w14:textId="3540E3DE" w:rsidR="00E41B6D" w:rsidRDefault="00E41B6D" w:rsidP="00E41B6D">
      <w:pPr>
        <w:pStyle w:val="Heading3"/>
      </w:pPr>
      <w:r>
        <w:t>7.</w:t>
      </w:r>
      <w:r w:rsidR="00432CB0">
        <w:t>4</w:t>
      </w:r>
      <w:r>
        <w:t>.1 High-priority access</w:t>
      </w:r>
    </w:p>
    <w:p w14:paraId="0C0BFD95" w14:textId="77777777" w:rsidR="00E41B6D" w:rsidRDefault="00E41B6D" w:rsidP="00E41B6D">
      <w:pPr>
        <w:pStyle w:val="Body"/>
      </w:pPr>
      <w:r>
        <w:t>An appointment should be immediately scheduled and confirmed with the patient if they require high-priority access.</w:t>
      </w:r>
    </w:p>
    <w:p w14:paraId="430C04B0" w14:textId="17A7B51A" w:rsidR="00E41B6D" w:rsidRDefault="00E41B6D" w:rsidP="00E41B6D">
      <w:pPr>
        <w:pStyle w:val="Heading3"/>
      </w:pPr>
      <w:r>
        <w:t>7.</w:t>
      </w:r>
      <w:r w:rsidR="00432CB0">
        <w:t>4</w:t>
      </w:r>
      <w:r>
        <w:t>.2 Routine access or review appointments</w:t>
      </w:r>
    </w:p>
    <w:p w14:paraId="3F1C9952" w14:textId="77777777" w:rsidR="00E41B6D" w:rsidRDefault="00E41B6D" w:rsidP="00E41B6D">
      <w:pPr>
        <w:pStyle w:val="Body"/>
      </w:pPr>
      <w:r>
        <w:t>Patients requiring routine access or a review appointment, should be able to choose an appointment time irrespective of whether the appointment is for a public or private appointment in a public room. They should also be able to indicate a preference for a virtual care service, a home-delivered service or an appointment outside normal business hours when these options are available and clinically appropriate.</w:t>
      </w:r>
    </w:p>
    <w:p w14:paraId="4732C045" w14:textId="625BE69A" w:rsidR="00E41B6D" w:rsidRDefault="00E41B6D" w:rsidP="00E41B6D">
      <w:pPr>
        <w:pStyle w:val="Heading3"/>
      </w:pPr>
      <w:r>
        <w:t>7.</w:t>
      </w:r>
      <w:r w:rsidR="00432CB0">
        <w:t>4</w:t>
      </w:r>
      <w:r>
        <w:t>.3 Patient focus</w:t>
      </w:r>
    </w:p>
    <w:p w14:paraId="0106FCF9" w14:textId="77777777" w:rsidR="00E41B6D" w:rsidRDefault="00E41B6D" w:rsidP="00E41B6D">
      <w:pPr>
        <w:pStyle w:val="Body"/>
      </w:pPr>
      <w:r>
        <w:t xml:space="preserve">Patients </w:t>
      </w:r>
      <w:r w:rsidRPr="00382C62">
        <w:rPr>
          <w:b/>
          <w:bCs/>
        </w:rPr>
        <w:t xml:space="preserve">must </w:t>
      </w:r>
      <w:r>
        <w:t>be offered individual appointment times which accommodate the following:</w:t>
      </w:r>
      <w:r w:rsidRPr="00466CFF">
        <w:t xml:space="preserve"> </w:t>
      </w:r>
    </w:p>
    <w:p w14:paraId="04239123" w14:textId="77777777" w:rsidR="00E41B6D" w:rsidRDefault="00E41B6D" w:rsidP="00E41B6D">
      <w:pPr>
        <w:pStyle w:val="Bullet1"/>
      </w:pPr>
      <w:r>
        <w:t>the availability of a clinician who is familiar with the patient</w:t>
      </w:r>
    </w:p>
    <w:p w14:paraId="6383936D" w14:textId="77777777" w:rsidR="00E41B6D" w:rsidRDefault="00E41B6D" w:rsidP="00E41B6D">
      <w:pPr>
        <w:pStyle w:val="Bullet1"/>
      </w:pPr>
      <w:r>
        <w:t>the patient’s reliance on a carer, on cultural, linguistic or disability support; or on transport or accommodation assistance</w:t>
      </w:r>
    </w:p>
    <w:p w14:paraId="49BBAC46" w14:textId="77777777" w:rsidR="00E41B6D" w:rsidRDefault="00E41B6D" w:rsidP="00E41B6D">
      <w:pPr>
        <w:pStyle w:val="Bullet1"/>
      </w:pPr>
      <w:r>
        <w:t>ensuring cultural safety and the privacy principles are met surrounding the appointment and during the appointment</w:t>
      </w:r>
    </w:p>
    <w:p w14:paraId="3FCCD4B1" w14:textId="4B75E421" w:rsidR="00E41B6D" w:rsidRDefault="00E41B6D" w:rsidP="00E41B6D">
      <w:pPr>
        <w:pStyle w:val="Bullet1"/>
      </w:pPr>
      <w:r>
        <w:t>the patient’s preferred appointment times that improve accessibility and engagement (</w:t>
      </w:r>
      <w:r w:rsidR="003A0E63">
        <w:t>for example</w:t>
      </w:r>
      <w:r w:rsidR="0092613C">
        <w:t xml:space="preserve"> for </w:t>
      </w:r>
      <w:r>
        <w:t xml:space="preserve">autistic patients) </w:t>
      </w:r>
      <w:r w:rsidR="0035498A">
        <w:t>&lt;h</w:t>
      </w:r>
      <w:r w:rsidR="0035498A" w:rsidRPr="00D25D4C">
        <w:t>ttps://bjgpopen.org/content/6/1/BJGPO.2021.0174</w:t>
      </w:r>
      <w:r w:rsidR="0035498A">
        <w:t>&gt;</w:t>
      </w:r>
    </w:p>
    <w:p w14:paraId="30086D48" w14:textId="77777777" w:rsidR="00E41B6D" w:rsidRDefault="00E41B6D" w:rsidP="00E41B6D">
      <w:pPr>
        <w:pStyle w:val="Bullet1"/>
      </w:pPr>
      <w:r>
        <w:t>if the patient is ‘not ready for care’ or cannot attend a scheduled appointment and the service needs to be delayed</w:t>
      </w:r>
    </w:p>
    <w:p w14:paraId="4E553AF9" w14:textId="77777777" w:rsidR="00E41B6D" w:rsidRDefault="00E41B6D" w:rsidP="00E41B6D">
      <w:pPr>
        <w:pStyle w:val="Bullet1"/>
      </w:pPr>
      <w:r>
        <w:t>if the patient requires appointments at predetermined intervals or in response to parameters documented in their treatment plan</w:t>
      </w:r>
    </w:p>
    <w:p w14:paraId="36C437CD" w14:textId="77777777" w:rsidR="00E41B6D" w:rsidRDefault="00E41B6D" w:rsidP="00E41B6D">
      <w:pPr>
        <w:pStyle w:val="Bullet1"/>
      </w:pPr>
      <w:r>
        <w:t>if the patient needs to travel a considerable distance to attend the appointment or if virtual care is a service delivery option</w:t>
      </w:r>
    </w:p>
    <w:p w14:paraId="209D890B" w14:textId="77777777" w:rsidR="00E41B6D" w:rsidRDefault="00E41B6D" w:rsidP="00E41B6D">
      <w:pPr>
        <w:pStyle w:val="Bullet1"/>
      </w:pPr>
      <w:r>
        <w:t>if the patient has been re-referred to the same or related service for the same presenting problem</w:t>
      </w:r>
    </w:p>
    <w:p w14:paraId="569F2F1B" w14:textId="77777777" w:rsidR="00E41B6D" w:rsidRDefault="00E41B6D" w:rsidP="00E41B6D">
      <w:pPr>
        <w:pStyle w:val="Bullet1"/>
      </w:pPr>
      <w:r>
        <w:t>if the patient has complex or multiple health conditions</w:t>
      </w:r>
    </w:p>
    <w:p w14:paraId="33DEFCEB" w14:textId="77777777" w:rsidR="00E41B6D" w:rsidRDefault="00E41B6D" w:rsidP="00E41B6D">
      <w:pPr>
        <w:pStyle w:val="Bullet1"/>
      </w:pPr>
      <w:r>
        <w:t>the need for multiple appointments on the same day or the need for sequential appointments (for example, medical imaging before an appointment).</w:t>
      </w:r>
    </w:p>
    <w:p w14:paraId="50DFFCBC" w14:textId="4CF106E7" w:rsidR="008E4CC9" w:rsidRDefault="00B43608" w:rsidP="00B43608">
      <w:pPr>
        <w:pStyle w:val="Heading2"/>
      </w:pPr>
      <w:bookmarkStart w:id="53" w:name="_Toc121210062"/>
      <w:r>
        <w:lastRenderedPageBreak/>
        <w:t>7.</w:t>
      </w:r>
      <w:r w:rsidR="00432CB0">
        <w:t>5</w:t>
      </w:r>
      <w:r>
        <w:t xml:space="preserve"> Not accepting referrals</w:t>
      </w:r>
      <w:bookmarkEnd w:id="53"/>
    </w:p>
    <w:p w14:paraId="49438FD5" w14:textId="67691A82" w:rsidR="00DF4B03" w:rsidRDefault="00C32A1B" w:rsidP="00DF4B03">
      <w:pPr>
        <w:pStyle w:val="Body"/>
      </w:pPr>
      <w:r>
        <w:t>Victorian public h</w:t>
      </w:r>
      <w:r w:rsidR="00DF4B03">
        <w:t xml:space="preserve">ealth services </w:t>
      </w:r>
      <w:r w:rsidR="00DF4B03" w:rsidRPr="00C10319">
        <w:rPr>
          <w:b/>
          <w:bCs/>
        </w:rPr>
        <w:t>must not</w:t>
      </w:r>
      <w:r w:rsidR="00DF4B03">
        <w:t xml:space="preserve"> accept referrals:</w:t>
      </w:r>
    </w:p>
    <w:p w14:paraId="3FF1BF09" w14:textId="77777777" w:rsidR="00DF4B03" w:rsidRPr="0042728C" w:rsidRDefault="00DF4B03" w:rsidP="00DF4B03">
      <w:pPr>
        <w:pStyle w:val="Bullet1"/>
      </w:pPr>
      <w:r w:rsidRPr="0042728C">
        <w:t>that are incomplete and unable to be assessed (for example, incomplete demographic or clinical information)</w:t>
      </w:r>
    </w:p>
    <w:p w14:paraId="383AA23F" w14:textId="462AE2F0" w:rsidR="00DF4B03" w:rsidRPr="0042728C" w:rsidRDefault="002F29D5" w:rsidP="00DF4B03">
      <w:pPr>
        <w:pStyle w:val="Bullet1"/>
      </w:pPr>
      <w:r>
        <w:t>which</w:t>
      </w:r>
      <w:r w:rsidR="00DF4B03" w:rsidRPr="0042728C">
        <w:t xml:space="preserve"> do not meet statewide referral or, in their absence, local clinical criteria </w:t>
      </w:r>
    </w:p>
    <w:p w14:paraId="3C6F2CE5" w14:textId="43B47FB7" w:rsidR="00DF4B03" w:rsidRPr="0042728C" w:rsidRDefault="00DF4B03" w:rsidP="00DF4B03">
      <w:pPr>
        <w:pStyle w:val="Bullet1"/>
      </w:pPr>
      <w:r w:rsidRPr="0042728C">
        <w:t>whe</w:t>
      </w:r>
      <w:r w:rsidR="00DA28EC">
        <w:t>re</w:t>
      </w:r>
      <w:r w:rsidRPr="0042728C">
        <w:t xml:space="preserve"> the patient requires services not provided by the health service receiv</w:t>
      </w:r>
      <w:r w:rsidR="009C24A8">
        <w:t>ing</w:t>
      </w:r>
      <w:r w:rsidRPr="0042728C">
        <w:t xml:space="preserve"> the referral</w:t>
      </w:r>
    </w:p>
    <w:p w14:paraId="101A1726" w14:textId="7E945ED3" w:rsidR="00DF4B03" w:rsidRPr="0042728C" w:rsidRDefault="00DF4B03" w:rsidP="00DF4B03">
      <w:pPr>
        <w:pStyle w:val="Bullet1"/>
      </w:pPr>
      <w:r w:rsidRPr="0042728C">
        <w:t>when the referral information indicates the patient can be more effectively managed in the primary care setting.</w:t>
      </w:r>
    </w:p>
    <w:p w14:paraId="53F6CAFF" w14:textId="77777777" w:rsidR="00DF4B03" w:rsidRPr="0042728C" w:rsidRDefault="00DF4B03" w:rsidP="00347228">
      <w:pPr>
        <w:pStyle w:val="Bodyafterbullets"/>
      </w:pPr>
      <w:r w:rsidRPr="0042728C">
        <w:t xml:space="preserve">Within </w:t>
      </w:r>
      <w:r w:rsidRPr="005D6678">
        <w:rPr>
          <w:b/>
          <w:bCs/>
        </w:rPr>
        <w:t>eight working days</w:t>
      </w:r>
      <w:r w:rsidRPr="00EB3AB7">
        <w:t xml:space="preserve"> of the referral being received the health service</w:t>
      </w:r>
      <w:r w:rsidRPr="0042728C">
        <w:t xml:space="preserve"> should advise the patient and referring clinician:</w:t>
      </w:r>
    </w:p>
    <w:p w14:paraId="3DD66956" w14:textId="77777777" w:rsidR="00DF4B03" w:rsidRDefault="00DF4B03" w:rsidP="00DF4B03">
      <w:pPr>
        <w:pStyle w:val="Bullet1"/>
      </w:pPr>
      <w:r>
        <w:t>why the referral has not been accepted</w:t>
      </w:r>
    </w:p>
    <w:p w14:paraId="6593D3C5" w14:textId="77777777" w:rsidR="00DF4B03" w:rsidRDefault="00DF4B03" w:rsidP="00DF4B03">
      <w:pPr>
        <w:pStyle w:val="Bullet1"/>
      </w:pPr>
      <w:r>
        <w:t>the circumstances under which the patient may be re-referred (for example, if the patient’s clinical condition changes)</w:t>
      </w:r>
    </w:p>
    <w:p w14:paraId="73300A00" w14:textId="77777777" w:rsidR="00DF4B03" w:rsidRDefault="00DF4B03" w:rsidP="00DF4B03">
      <w:pPr>
        <w:pStyle w:val="Bullet1"/>
      </w:pPr>
      <w:r>
        <w:t>alternative services that may be appropriate.</w:t>
      </w:r>
    </w:p>
    <w:p w14:paraId="7F509772" w14:textId="70B5C5C6" w:rsidR="00751727" w:rsidRDefault="00F31901" w:rsidP="00751727">
      <w:pPr>
        <w:pStyle w:val="Body"/>
      </w:pPr>
      <w:r>
        <w:t>Victorian public h</w:t>
      </w:r>
      <w:r w:rsidR="00DF4B03">
        <w:t xml:space="preserve">ealth services </w:t>
      </w:r>
      <w:r w:rsidR="00DF4B03" w:rsidRPr="004C34DC">
        <w:rPr>
          <w:b/>
          <w:bCs/>
        </w:rPr>
        <w:t>must not</w:t>
      </w:r>
      <w:r w:rsidR="00DF4B03">
        <w:t xml:space="preserve"> accept referrals from internal referring clinicians for specialist clinic services except for</w:t>
      </w:r>
      <w:r w:rsidR="00751727">
        <w:t>:</w:t>
      </w:r>
    </w:p>
    <w:p w14:paraId="51CEE4A1" w14:textId="77777777" w:rsidR="00751727" w:rsidRDefault="00751727" w:rsidP="00751727">
      <w:pPr>
        <w:pStyle w:val="Bullet1"/>
      </w:pPr>
      <w:r>
        <w:t>patients that require high-priority access to services</w:t>
      </w:r>
    </w:p>
    <w:p w14:paraId="0925C3D7" w14:textId="77777777" w:rsidR="00751727" w:rsidRDefault="00751727" w:rsidP="00751727">
      <w:pPr>
        <w:pStyle w:val="Bullet1"/>
      </w:pPr>
      <w:r w:rsidRPr="00F97BE3">
        <w:t>associated care referrals</w:t>
      </w:r>
    </w:p>
    <w:p w14:paraId="08D6D04C" w14:textId="77777777" w:rsidR="00751727" w:rsidRDefault="00751727" w:rsidP="00751727">
      <w:pPr>
        <w:pStyle w:val="Bullet1"/>
      </w:pPr>
      <w:r w:rsidRPr="00F97BE3">
        <w:t>referrals for clinical review following an inpatient episode of care</w:t>
      </w:r>
    </w:p>
    <w:p w14:paraId="3401A823" w14:textId="0BBB3F97" w:rsidR="00751727" w:rsidRDefault="00751727" w:rsidP="00751727">
      <w:pPr>
        <w:pStyle w:val="Bullet1"/>
      </w:pPr>
      <w:r w:rsidRPr="00B800F7">
        <w:t xml:space="preserve">referrals generated by the health service solely to meet MBS claiming requirements </w:t>
      </w:r>
    </w:p>
    <w:p w14:paraId="284522B1" w14:textId="4C58F4FC" w:rsidR="00751727" w:rsidRDefault="00333DD3" w:rsidP="00DF4B03">
      <w:pPr>
        <w:pStyle w:val="Body"/>
      </w:pPr>
      <w:r>
        <w:t>(see section 7.2.4)</w:t>
      </w:r>
      <w:r w:rsidR="005768B6">
        <w:t>.</w:t>
      </w:r>
    </w:p>
    <w:p w14:paraId="1A119C6B" w14:textId="77777777" w:rsidR="002B1136" w:rsidRDefault="002B1136">
      <w:pPr>
        <w:spacing w:after="0" w:line="240" w:lineRule="auto"/>
        <w:rPr>
          <w:rFonts w:eastAsia="MS Gothic" w:cs="Arial"/>
          <w:bCs/>
          <w:color w:val="53565A"/>
          <w:kern w:val="32"/>
          <w:sz w:val="44"/>
          <w:szCs w:val="44"/>
        </w:rPr>
      </w:pPr>
      <w:r>
        <w:br w:type="page"/>
      </w:r>
    </w:p>
    <w:p w14:paraId="692438D3" w14:textId="26250D15" w:rsidR="004367AF" w:rsidRDefault="00B45BEF" w:rsidP="001224BD">
      <w:pPr>
        <w:pStyle w:val="Heading1"/>
      </w:pPr>
      <w:bookmarkStart w:id="54" w:name="_Toc121210063"/>
      <w:r>
        <w:lastRenderedPageBreak/>
        <w:t>8. Managing appointments and waiting patients</w:t>
      </w:r>
      <w:bookmarkEnd w:id="54"/>
    </w:p>
    <w:p w14:paraId="23C5269D" w14:textId="428B19B8" w:rsidR="00B45BEF" w:rsidRDefault="00B45BEF" w:rsidP="001224BD">
      <w:pPr>
        <w:pStyle w:val="Heading2"/>
      </w:pPr>
      <w:bookmarkStart w:id="55" w:name="_Toc121210064"/>
      <w:r>
        <w:t>8.1 Managing waiting patients</w:t>
      </w:r>
      <w:bookmarkEnd w:id="55"/>
    </w:p>
    <w:p w14:paraId="04E1A0C9" w14:textId="309FD1B1" w:rsidR="001224BD" w:rsidRDefault="001224BD" w:rsidP="001224BD">
      <w:pPr>
        <w:pStyle w:val="Body"/>
      </w:pPr>
      <w:r>
        <w:t>The expected waiting time for an appointment should be included in the initial written communication with the patient.</w:t>
      </w:r>
    </w:p>
    <w:p w14:paraId="5EE1DF50" w14:textId="6DF8B9F3" w:rsidR="001224BD" w:rsidRDefault="001224BD" w:rsidP="001224BD">
      <w:pPr>
        <w:pStyle w:val="Body"/>
      </w:pPr>
      <w:r>
        <w:t>The health service must keep complete and accurate records of all communication</w:t>
      </w:r>
      <w:r w:rsidR="00CC63EE">
        <w:t>s</w:t>
      </w:r>
      <w:r>
        <w:t xml:space="preserve"> with the patient, referring clinician</w:t>
      </w:r>
      <w:r w:rsidR="00867F51">
        <w:t>(</w:t>
      </w:r>
      <w:r>
        <w:t>s</w:t>
      </w:r>
      <w:r w:rsidR="00867F51">
        <w:t>)</w:t>
      </w:r>
      <w:r>
        <w:t xml:space="preserve"> and each patient’s nominated GP includ</w:t>
      </w:r>
      <w:r w:rsidR="00867F51">
        <w:t>ing</w:t>
      </w:r>
      <w:r>
        <w:t>:</w:t>
      </w:r>
    </w:p>
    <w:p w14:paraId="1A40E4EB" w14:textId="77777777" w:rsidR="001224BD" w:rsidRDefault="001224BD" w:rsidP="001224BD">
      <w:pPr>
        <w:pStyle w:val="Bullet1"/>
      </w:pPr>
      <w:r>
        <w:t>initial and updated demographic and contact information</w:t>
      </w:r>
    </w:p>
    <w:p w14:paraId="469AD194" w14:textId="77777777" w:rsidR="001224BD" w:rsidRDefault="001224BD" w:rsidP="001224BD">
      <w:pPr>
        <w:pStyle w:val="Bullet1"/>
      </w:pPr>
      <w:r>
        <w:t>the referral’s acceptance</w:t>
      </w:r>
    </w:p>
    <w:p w14:paraId="3C66FC2C" w14:textId="26CEEC85" w:rsidR="001224BD" w:rsidRDefault="001224BD" w:rsidP="001224BD">
      <w:pPr>
        <w:pStyle w:val="Bullet1"/>
      </w:pPr>
      <w:r>
        <w:t>h</w:t>
      </w:r>
      <w:r w:rsidR="005F6CDA">
        <w:t>ealth service</w:t>
      </w:r>
      <w:r>
        <w:t>-initiated and patient-initiated postponements</w:t>
      </w:r>
    </w:p>
    <w:p w14:paraId="55E502EB" w14:textId="482A28BD" w:rsidR="001224BD" w:rsidRDefault="001224BD" w:rsidP="001224BD">
      <w:pPr>
        <w:pStyle w:val="Bullet1"/>
      </w:pPr>
      <w:r>
        <w:t>changes to the patient’s condition communicated by the referring clinician</w:t>
      </w:r>
      <w:r w:rsidR="00CC63EE">
        <w:t xml:space="preserve"> or the patient</w:t>
      </w:r>
    </w:p>
    <w:p w14:paraId="4DADD088" w14:textId="77777777" w:rsidR="001224BD" w:rsidRDefault="001224BD" w:rsidP="001224BD">
      <w:pPr>
        <w:pStyle w:val="Bullet1"/>
      </w:pPr>
      <w:r>
        <w:t>any other communication about the referral.</w:t>
      </w:r>
    </w:p>
    <w:p w14:paraId="21931510" w14:textId="5EACC5F9" w:rsidR="00B45BEF" w:rsidRDefault="00543DB5" w:rsidP="00543DB5">
      <w:pPr>
        <w:pStyle w:val="Heading2"/>
      </w:pPr>
      <w:bookmarkStart w:id="56" w:name="_Toc121210065"/>
      <w:r>
        <w:t>8.2 Short notice or standby lists</w:t>
      </w:r>
      <w:bookmarkEnd w:id="56"/>
    </w:p>
    <w:p w14:paraId="76CBDAF2" w14:textId="77777777" w:rsidR="00060D86" w:rsidRDefault="00060D86" w:rsidP="00060D86">
      <w:pPr>
        <w:pStyle w:val="Body"/>
      </w:pPr>
      <w:r>
        <w:t>Identifying patients who are willing to accept the offer of a consultation on short notice is a strategy that supports the full utilisation of available clinic time.</w:t>
      </w:r>
    </w:p>
    <w:p w14:paraId="059B7239" w14:textId="1CECEB38" w:rsidR="00060D86" w:rsidRDefault="009B1AD4" w:rsidP="00060D86">
      <w:pPr>
        <w:pStyle w:val="Body"/>
      </w:pPr>
      <w:r>
        <w:t>Victorian public h</w:t>
      </w:r>
      <w:r w:rsidR="00060D86">
        <w:t>ealth services must confirm and document that the patient:</w:t>
      </w:r>
    </w:p>
    <w:p w14:paraId="3779B55F" w14:textId="77777777" w:rsidR="00060D86" w:rsidRDefault="00060D86" w:rsidP="00060D86">
      <w:pPr>
        <w:pStyle w:val="Bullet1"/>
      </w:pPr>
      <w:r>
        <w:t>agrees to be on a short notice list</w:t>
      </w:r>
    </w:p>
    <w:p w14:paraId="532FCDFC" w14:textId="09446223" w:rsidR="00060D86" w:rsidRDefault="00060D86" w:rsidP="00060D86">
      <w:pPr>
        <w:pStyle w:val="Bullet1"/>
      </w:pPr>
      <w:r>
        <w:t>agrees to the minimum notice they will be given and i</w:t>
      </w:r>
      <w:r w:rsidR="00332E29">
        <w:t>f</w:t>
      </w:r>
      <w:r w:rsidR="00124833">
        <w:t xml:space="preserve"> they are</w:t>
      </w:r>
      <w:r>
        <w:t xml:space="preserve"> able to attend the service in person or via </w:t>
      </w:r>
      <w:r w:rsidR="003D4757">
        <w:t xml:space="preserve">virtual care </w:t>
      </w:r>
      <w:r w:rsidR="00C76535">
        <w:t>options</w:t>
      </w:r>
      <w:r>
        <w:t xml:space="preserve"> with th</w:t>
      </w:r>
      <w:r w:rsidR="003D4757">
        <w:t>e agreed</w:t>
      </w:r>
      <w:r>
        <w:t xml:space="preserve"> level of notice </w:t>
      </w:r>
    </w:p>
    <w:p w14:paraId="6BFE1988" w14:textId="1AE1E1C3" w:rsidR="00060D86" w:rsidRDefault="00060D86" w:rsidP="00060D86">
      <w:pPr>
        <w:pStyle w:val="Bullet1"/>
      </w:pPr>
      <w:r>
        <w:t>can easily be contacted</w:t>
      </w:r>
      <w:r w:rsidR="00B52F7D">
        <w:t xml:space="preserve"> and their preferred method of communication</w:t>
      </w:r>
      <w:r w:rsidR="00E14B4A">
        <w:t xml:space="preserve"> for a short notice</w:t>
      </w:r>
      <w:r w:rsidR="00D50EBE">
        <w:t xml:space="preserve"> appointment</w:t>
      </w:r>
      <w:r>
        <w:t>.</w:t>
      </w:r>
    </w:p>
    <w:p w14:paraId="01FA2357" w14:textId="77777777" w:rsidR="00124833" w:rsidRDefault="00060D86" w:rsidP="00060D86">
      <w:pPr>
        <w:pStyle w:val="Body"/>
      </w:pPr>
      <w:r>
        <w:t xml:space="preserve">Short notice patients should still be treated in turn. </w:t>
      </w:r>
    </w:p>
    <w:p w14:paraId="0E266035" w14:textId="409FBD24" w:rsidR="00060D86" w:rsidRDefault="00060D86" w:rsidP="00060D86">
      <w:pPr>
        <w:pStyle w:val="Body"/>
      </w:pPr>
      <w:r>
        <w:t>If the patient declines a short notice appointment</w:t>
      </w:r>
      <w:r w:rsidR="00E42AB9">
        <w:t>,</w:t>
      </w:r>
      <w:r>
        <w:t xml:space="preserve"> </w:t>
      </w:r>
      <w:r w:rsidR="007156E0">
        <w:t xml:space="preserve">it </w:t>
      </w:r>
      <w:r>
        <w:t>must not be considered a postponement of their appointment and must not affect the</w:t>
      </w:r>
      <w:r w:rsidR="00EC3120">
        <w:t xml:space="preserve"> timeliness of their</w:t>
      </w:r>
      <w:r>
        <w:t xml:space="preserve"> access to the service.</w:t>
      </w:r>
    </w:p>
    <w:p w14:paraId="2533D6B9" w14:textId="787A148D" w:rsidR="00543DB5" w:rsidRDefault="00060D86" w:rsidP="00060D86">
      <w:pPr>
        <w:pStyle w:val="Heading2"/>
      </w:pPr>
      <w:bookmarkStart w:id="57" w:name="_Toc121210066"/>
      <w:r>
        <w:t>8.3 Validation of patients waiting for appointments</w:t>
      </w:r>
      <w:bookmarkEnd w:id="57"/>
    </w:p>
    <w:p w14:paraId="7D5D803C" w14:textId="790CD286" w:rsidR="000F458F" w:rsidRPr="00342E07" w:rsidRDefault="00DD5EE4" w:rsidP="000F458F">
      <w:pPr>
        <w:pStyle w:val="Body"/>
      </w:pPr>
      <w:r>
        <w:t>Victorian public h</w:t>
      </w:r>
      <w:r w:rsidR="000F458F" w:rsidRPr="00342E07">
        <w:t>ealth services must perform regular administrative and clinical audits of all patients waiting for new and review appointments to validate the list of waiting patients.</w:t>
      </w:r>
    </w:p>
    <w:p w14:paraId="070D741D" w14:textId="77777777" w:rsidR="000F458F" w:rsidRPr="000A28EA" w:rsidRDefault="000F458F" w:rsidP="000F458F">
      <w:pPr>
        <w:pStyle w:val="Body"/>
      </w:pPr>
      <w:r w:rsidRPr="000A28EA">
        <w:t>Administrative audits involve contacting patients waiting for a</w:t>
      </w:r>
      <w:r>
        <w:t xml:space="preserve"> new or review</w:t>
      </w:r>
      <w:r w:rsidRPr="000A28EA">
        <w:t xml:space="preserve"> appointment to confirm:</w:t>
      </w:r>
    </w:p>
    <w:p w14:paraId="2A2C28D2" w14:textId="7BF55A3C" w:rsidR="000F458F" w:rsidRDefault="000F458F" w:rsidP="000F458F">
      <w:pPr>
        <w:pStyle w:val="Bullet1"/>
      </w:pPr>
      <w:r>
        <w:t>the service is still required (for example, the patient has not already received the service elsewhere)</w:t>
      </w:r>
    </w:p>
    <w:p w14:paraId="7B26C12C" w14:textId="27A6EC19" w:rsidR="000F458F" w:rsidRDefault="000F458F" w:rsidP="000F458F">
      <w:pPr>
        <w:pStyle w:val="Bullet1"/>
      </w:pPr>
      <w:r>
        <w:t>the patient’s ability to attend when an appointment becomes available</w:t>
      </w:r>
      <w:r w:rsidR="008C71EB">
        <w:t xml:space="preserve"> </w:t>
      </w:r>
    </w:p>
    <w:p w14:paraId="18CDC0BA" w14:textId="77777777" w:rsidR="000F458F" w:rsidRDefault="000F458F" w:rsidP="000F458F">
      <w:pPr>
        <w:pStyle w:val="Bullet1"/>
      </w:pPr>
      <w:r>
        <w:t>the patient’s current contact details and preferred method of communication.</w:t>
      </w:r>
    </w:p>
    <w:p w14:paraId="28677045" w14:textId="77777777" w:rsidR="000F458F" w:rsidRDefault="000F458F" w:rsidP="0019481C">
      <w:pPr>
        <w:pStyle w:val="Bodyafterbullets"/>
      </w:pPr>
      <w:r w:rsidRPr="00145802">
        <w:t>Clinical audits involve</w:t>
      </w:r>
      <w:r>
        <w:t xml:space="preserve"> a clinician</w:t>
      </w:r>
      <w:r w:rsidRPr="00145802">
        <w:t xml:space="preserve"> </w:t>
      </w:r>
      <w:r>
        <w:t>contacting the patient, or the patient’s referring clinician, or both, to undertake a review of patients waiting for a new or review appointment to determine:</w:t>
      </w:r>
    </w:p>
    <w:p w14:paraId="234AD299" w14:textId="0E939DDF" w:rsidR="000F458F" w:rsidRDefault="000F458F" w:rsidP="000F458F">
      <w:pPr>
        <w:pStyle w:val="Bullet1"/>
      </w:pPr>
      <w:r>
        <w:t>the service is still required (for example, the patient is not declining treatment)</w:t>
      </w:r>
    </w:p>
    <w:p w14:paraId="087DEEA8" w14:textId="77777777" w:rsidR="000F458F" w:rsidRDefault="000F458F" w:rsidP="000F458F">
      <w:pPr>
        <w:pStyle w:val="Bullet1"/>
      </w:pPr>
      <w:r>
        <w:t>if there is any change in the patient’s clinical condition or if there should be a change to the patient’s clinical prioritisation</w:t>
      </w:r>
    </w:p>
    <w:p w14:paraId="623969E9" w14:textId="77777777" w:rsidR="000F458F" w:rsidRDefault="000F458F" w:rsidP="000F458F">
      <w:pPr>
        <w:pStyle w:val="Bullet1"/>
      </w:pPr>
      <w:r>
        <w:lastRenderedPageBreak/>
        <w:t>if there is any reason why the patient should be removed from the list of waiting patients.</w:t>
      </w:r>
    </w:p>
    <w:p w14:paraId="4FA10967" w14:textId="12B80CF9" w:rsidR="000F458F" w:rsidRDefault="000F458F" w:rsidP="000F458F">
      <w:pPr>
        <w:pStyle w:val="Body"/>
      </w:pPr>
      <w:r>
        <w:t>As a minimum</w:t>
      </w:r>
      <w:r w:rsidR="007F4D92">
        <w:t>,</w:t>
      </w:r>
      <w:r>
        <w:t xml:space="preserve"> health services </w:t>
      </w:r>
      <w:r w:rsidR="005E2CD4" w:rsidRPr="00D353AB">
        <w:rPr>
          <w:b/>
          <w:bCs/>
        </w:rPr>
        <w:t>must</w:t>
      </w:r>
      <w:r>
        <w:t xml:space="preserve"> perform:</w:t>
      </w:r>
    </w:p>
    <w:p w14:paraId="6FF294A0" w14:textId="77777777" w:rsidR="000F458F" w:rsidRPr="001B2183" w:rsidRDefault="000F458F" w:rsidP="000F458F">
      <w:pPr>
        <w:pStyle w:val="Bullet1"/>
      </w:pPr>
      <w:r w:rsidRPr="001B2183">
        <w:t>a</w:t>
      </w:r>
      <w:r w:rsidRPr="00D353AB">
        <w:rPr>
          <w:bCs/>
        </w:rPr>
        <w:t xml:space="preserve"> weekly clinical audit of all high-priority</w:t>
      </w:r>
      <w:r w:rsidRPr="005D6051">
        <w:rPr>
          <w:b/>
        </w:rPr>
        <w:t xml:space="preserve"> </w:t>
      </w:r>
      <w:r w:rsidRPr="00D353AB">
        <w:rPr>
          <w:bCs/>
        </w:rPr>
        <w:t>access</w:t>
      </w:r>
      <w:r w:rsidRPr="001B2183">
        <w:t xml:space="preserve"> new referrals for patients who have waited more than 30 calendar days from the referral being received</w:t>
      </w:r>
    </w:p>
    <w:p w14:paraId="483CA0A8" w14:textId="77777777" w:rsidR="000F458F" w:rsidRDefault="000F458F" w:rsidP="000F458F">
      <w:pPr>
        <w:pStyle w:val="Bullet1"/>
      </w:pPr>
      <w:r>
        <w:t xml:space="preserve">a </w:t>
      </w:r>
      <w:r w:rsidRPr="00D353AB">
        <w:t>six-monthly administrative audit and clinical audit of all routine referrals</w:t>
      </w:r>
      <w:r>
        <w:t xml:space="preserve"> for patients who have waited more than 365 days from the referral being received</w:t>
      </w:r>
    </w:p>
    <w:p w14:paraId="7E7352C4" w14:textId="58EC2179" w:rsidR="00060D86" w:rsidRDefault="000F458F" w:rsidP="000F458F">
      <w:pPr>
        <w:pStyle w:val="Bullet1"/>
      </w:pPr>
      <w:r>
        <w:t xml:space="preserve">a six-monthly administrative audit and clinical audit of all patients who have waited more than 365 days for a </w:t>
      </w:r>
      <w:r w:rsidRPr="00D353AB">
        <w:rPr>
          <w:bCs/>
        </w:rPr>
        <w:t>review appointment</w:t>
      </w:r>
      <w:r>
        <w:t>.</w:t>
      </w:r>
    </w:p>
    <w:p w14:paraId="562B6AD6" w14:textId="09BA790E" w:rsidR="00B45BEF" w:rsidRDefault="005E0096" w:rsidP="005E0096">
      <w:pPr>
        <w:pStyle w:val="Heading2"/>
      </w:pPr>
      <w:bookmarkStart w:id="58" w:name="_Toc121210067"/>
      <w:r>
        <w:t>8.4 Patients no longer requiring an appointment</w:t>
      </w:r>
      <w:bookmarkEnd w:id="58"/>
    </w:p>
    <w:p w14:paraId="0B5608A6" w14:textId="01A5F021" w:rsidR="00AC25E0" w:rsidRDefault="00A66B92" w:rsidP="00AC25E0">
      <w:pPr>
        <w:pStyle w:val="Body"/>
      </w:pPr>
      <w:r>
        <w:t>Victorian public h</w:t>
      </w:r>
      <w:r w:rsidR="00AC25E0">
        <w:t xml:space="preserve">ealth services must remove the request for the service </w:t>
      </w:r>
      <w:r>
        <w:t>where</w:t>
      </w:r>
      <w:r w:rsidR="00AC25E0">
        <w:t xml:space="preserve"> the patient</w:t>
      </w:r>
      <w:r w:rsidR="00AC25E0" w:rsidRPr="00870BD5">
        <w:t xml:space="preserve"> </w:t>
      </w:r>
      <w:r w:rsidR="00AC25E0">
        <w:t>informs the health service:</w:t>
      </w:r>
    </w:p>
    <w:p w14:paraId="7E96904F" w14:textId="77777777" w:rsidR="00AC25E0" w:rsidRDefault="00AC25E0" w:rsidP="00AC25E0">
      <w:pPr>
        <w:pStyle w:val="Bullet1"/>
      </w:pPr>
      <w:r>
        <w:t>they no longer require the service because they have, or plan to, receive the service elsewhere</w:t>
      </w:r>
    </w:p>
    <w:p w14:paraId="712B15E4" w14:textId="77777777" w:rsidR="00AC25E0" w:rsidRDefault="00AC25E0" w:rsidP="00AC25E0">
      <w:pPr>
        <w:pStyle w:val="Bullet1"/>
      </w:pPr>
      <w:r>
        <w:t>their presenting problem has resolved</w:t>
      </w:r>
    </w:p>
    <w:p w14:paraId="1CF3BAF3" w14:textId="77777777" w:rsidR="00AC25E0" w:rsidRDefault="00AC25E0" w:rsidP="00AC25E0">
      <w:pPr>
        <w:pStyle w:val="Bullet1"/>
      </w:pPr>
      <w:r>
        <w:t>they are declining treatment.</w:t>
      </w:r>
    </w:p>
    <w:p w14:paraId="4D57BE24" w14:textId="77777777" w:rsidR="00AC25E0" w:rsidRDefault="00AC25E0" w:rsidP="00C93AF4">
      <w:pPr>
        <w:pStyle w:val="Bodyafterbullets"/>
      </w:pPr>
      <w:r>
        <w:t>Health services should remove the request for a service if the patient has:</w:t>
      </w:r>
    </w:p>
    <w:p w14:paraId="3A2637F5" w14:textId="77777777" w:rsidR="00AC25E0" w:rsidRDefault="00AC25E0" w:rsidP="00AC25E0">
      <w:pPr>
        <w:pStyle w:val="Bullet1"/>
      </w:pPr>
      <w:r>
        <w:t>not responded to two separate invitations made through their preferred method of communication to arrange an appointment</w:t>
      </w:r>
    </w:p>
    <w:p w14:paraId="673D736A" w14:textId="30061455" w:rsidR="00AC25E0" w:rsidRDefault="00AC25E0" w:rsidP="00AC25E0">
      <w:pPr>
        <w:pStyle w:val="Bullet1"/>
      </w:pPr>
      <w:r>
        <w:t>not accessed the tests or investigations that must be completed before the appointment</w:t>
      </w:r>
      <w:r w:rsidR="00835898">
        <w:t>,</w:t>
      </w:r>
      <w:r>
        <w:t xml:space="preserve"> on two consecutive occasions</w:t>
      </w:r>
    </w:p>
    <w:p w14:paraId="3B81994D" w14:textId="62FF215E" w:rsidR="00AC25E0" w:rsidRDefault="00AC25E0" w:rsidP="00AC25E0">
      <w:pPr>
        <w:pStyle w:val="Bullet1"/>
      </w:pPr>
      <w:r>
        <w:t xml:space="preserve">failed to attend an arranged initial appointment on two consecutive occasions (except for correctional patients who have no control over their attendance to the appointment). </w:t>
      </w:r>
    </w:p>
    <w:p w14:paraId="75E2F91C" w14:textId="051FDE56" w:rsidR="00AC25E0" w:rsidRDefault="00AC25E0" w:rsidP="00C93AF4">
      <w:pPr>
        <w:pStyle w:val="Bodyafterbullets"/>
      </w:pPr>
      <w:r w:rsidRPr="001B2183">
        <w:t>If the patient fail</w:t>
      </w:r>
      <w:r w:rsidR="004B6C96">
        <w:t>s</w:t>
      </w:r>
      <w:r w:rsidRPr="001B2183">
        <w:t xml:space="preserve"> to respond to invitations to arrange an appointment or has not completed the required tests or investigations required before an appointment, </w:t>
      </w:r>
      <w:r w:rsidRPr="00C97288">
        <w:t xml:space="preserve">the </w:t>
      </w:r>
      <w:r w:rsidR="00C97288" w:rsidRPr="00037585">
        <w:t xml:space="preserve">Victorian public </w:t>
      </w:r>
      <w:r w:rsidRPr="00037585">
        <w:t>health service</w:t>
      </w:r>
      <w:r w:rsidRPr="00037585">
        <w:rPr>
          <w:b/>
          <w:bCs/>
        </w:rPr>
        <w:t xml:space="preserve"> </w:t>
      </w:r>
      <w:r w:rsidRPr="006535D4">
        <w:t>must contact the referring clinician to identify alternative contact details</w:t>
      </w:r>
      <w:r w:rsidRPr="00037585">
        <w:rPr>
          <w:b/>
          <w:bCs/>
        </w:rPr>
        <w:t xml:space="preserve"> </w:t>
      </w:r>
      <w:r w:rsidRPr="006535D4">
        <w:t>before removing the request for a service</w:t>
      </w:r>
      <w:r w:rsidRPr="001B2183">
        <w:t>.</w:t>
      </w:r>
    </w:p>
    <w:p w14:paraId="1F7B94B8" w14:textId="77777777" w:rsidR="00AC25E0" w:rsidRDefault="00AC25E0" w:rsidP="00AC25E0">
      <w:pPr>
        <w:pStyle w:val="Body"/>
      </w:pPr>
      <w:r>
        <w:t>Health services need to exercise discretion to avoid disadvantaging patients in cases of genuine hardship, misunderstandings and unavoidable circumstances.</w:t>
      </w:r>
    </w:p>
    <w:p w14:paraId="63051FE6" w14:textId="315488A7" w:rsidR="00AC25E0" w:rsidRDefault="00AC25E0" w:rsidP="00AC25E0">
      <w:pPr>
        <w:pStyle w:val="Body"/>
      </w:pPr>
      <w:r>
        <w:t xml:space="preserve">The </w:t>
      </w:r>
      <w:r w:rsidR="00C97288">
        <w:t xml:space="preserve">Victorian public </w:t>
      </w:r>
      <w:r>
        <w:t>health service must advise the referring clinician when the request for a service is removed.</w:t>
      </w:r>
    </w:p>
    <w:p w14:paraId="51C2BDAA" w14:textId="0465EDD6" w:rsidR="00AC25E0" w:rsidRDefault="00AC25E0">
      <w:pPr>
        <w:spacing w:after="0" w:line="240" w:lineRule="auto"/>
        <w:rPr>
          <w:rFonts w:eastAsia="Times"/>
        </w:rPr>
      </w:pPr>
      <w:r>
        <w:br w:type="page"/>
      </w:r>
    </w:p>
    <w:p w14:paraId="5561D36D" w14:textId="4E36B043" w:rsidR="005E0096" w:rsidRDefault="00C41438" w:rsidP="00C41438">
      <w:pPr>
        <w:pStyle w:val="Heading1"/>
      </w:pPr>
      <w:bookmarkStart w:id="59" w:name="_Toc121210068"/>
      <w:r>
        <w:lastRenderedPageBreak/>
        <w:t>9. Discharge management</w:t>
      </w:r>
      <w:bookmarkEnd w:id="59"/>
    </w:p>
    <w:p w14:paraId="65D66A03" w14:textId="5425C429" w:rsidR="00280FFB" w:rsidRPr="002C114C" w:rsidRDefault="00280FFB" w:rsidP="00280FFB">
      <w:pPr>
        <w:pStyle w:val="Body"/>
      </w:pPr>
      <w:r w:rsidRPr="002C114C">
        <w:t xml:space="preserve">Discharge planning should start at the beginning of the patient’s non-admitted episode of care. An episode of care includes the treatment </w:t>
      </w:r>
      <w:r w:rsidR="007941B8">
        <w:t xml:space="preserve">contacts and </w:t>
      </w:r>
      <w:r w:rsidRPr="002C114C">
        <w:t>service events delivered within a defined period</w:t>
      </w:r>
      <w:r>
        <w:t>,</w:t>
      </w:r>
      <w:r w:rsidRPr="002C114C">
        <w:t xml:space="preserve"> or delivered over time</w:t>
      </w:r>
      <w:r>
        <w:t>,</w:t>
      </w:r>
      <w:r w:rsidRPr="002C114C">
        <w:t xml:space="preserve"> related to the reason for referral (for example, to deliver specified outcome or ongoing management of chronic or progressive disease).</w:t>
      </w:r>
    </w:p>
    <w:p w14:paraId="271B28D9" w14:textId="77777777" w:rsidR="0052002C" w:rsidRDefault="00280FFB" w:rsidP="00280FFB">
      <w:pPr>
        <w:pStyle w:val="Body"/>
      </w:pPr>
      <w:r w:rsidRPr="002C114C">
        <w:t>Discharge planning should be linked to the reason for referral given by the referring clinician or self-referring patient.</w:t>
      </w:r>
      <w:r>
        <w:t xml:space="preserve"> </w:t>
      </w:r>
    </w:p>
    <w:p w14:paraId="6DADD79E" w14:textId="29B7EFEF" w:rsidR="00280FFB" w:rsidRPr="002C114C" w:rsidRDefault="00EE5D86" w:rsidP="00280FFB">
      <w:pPr>
        <w:pStyle w:val="Body"/>
      </w:pPr>
      <w:r>
        <w:t>Victorian public health services should develop agreed protocols to reduce the variation in practice between clinicians who provide services to similar cohorts of patients (for example, agreeing the number of postoperative reviews</w:t>
      </w:r>
      <w:r w:rsidR="00822A0A">
        <w:t>,</w:t>
      </w:r>
      <w:r>
        <w:t xml:space="preserve"> </w:t>
      </w:r>
      <w:r w:rsidR="00822A0A">
        <w:t xml:space="preserve">using </w:t>
      </w:r>
      <w:r>
        <w:t>criteria-led discharge).</w:t>
      </w:r>
      <w:r w:rsidR="00506C57">
        <w:t xml:space="preserve"> </w:t>
      </w:r>
      <w:r w:rsidR="00280FFB">
        <w:t>Criteria-led discharge facilitates effective discharge planning</w:t>
      </w:r>
      <w:r w:rsidR="00A336AB">
        <w:t xml:space="preserve"> and where</w:t>
      </w:r>
      <w:r w:rsidR="00280FFB">
        <w:t xml:space="preserve"> should be incorporated into local policies and procedures.</w:t>
      </w:r>
    </w:p>
    <w:p w14:paraId="468BB735" w14:textId="6693CF85" w:rsidR="00280FFB" w:rsidRPr="002C114C" w:rsidRDefault="00280FFB" w:rsidP="00280FFB">
      <w:pPr>
        <w:pStyle w:val="Body"/>
      </w:pPr>
      <w:r w:rsidRPr="002C114C">
        <w:t xml:space="preserve">All patients attending specialist clinics provided by a medical practitioner or medical specialist should be discharged after an initial appointment </w:t>
      </w:r>
      <w:r w:rsidR="001D46AC">
        <w:t>plus</w:t>
      </w:r>
      <w:r w:rsidRPr="002C114C">
        <w:t xml:space="preserve"> a maximum of two review appointments related to the </w:t>
      </w:r>
      <w:r w:rsidR="00620C07" w:rsidRPr="002C114C">
        <w:t>referral</w:t>
      </w:r>
      <w:r w:rsidR="00620C07">
        <w:t xml:space="preserve"> unless</w:t>
      </w:r>
      <w:r w:rsidRPr="002C114C">
        <w:t xml:space="preserve"> a medical consultant has approved and documented the approval of further appointments.</w:t>
      </w:r>
      <w:r w:rsidR="00B02663">
        <w:t xml:space="preserve"> </w:t>
      </w:r>
      <w:r w:rsidRPr="002C114C">
        <w:t xml:space="preserve">This may be documented during or at the beginning of the non-admitted episode of care (for example, maternity patients, treatment of cancers, progressive conditions, </w:t>
      </w:r>
      <w:r w:rsidR="00E43664">
        <w:t>HIP</w:t>
      </w:r>
      <w:r w:rsidR="00E41526" w:rsidRPr="002C114C">
        <w:t xml:space="preserve"> </w:t>
      </w:r>
      <w:r w:rsidRPr="002C114C">
        <w:t>services).</w:t>
      </w:r>
    </w:p>
    <w:p w14:paraId="79004D82" w14:textId="44922356" w:rsidR="00280FFB" w:rsidRPr="002C114C" w:rsidRDefault="00280FFB" w:rsidP="00280FFB">
      <w:pPr>
        <w:pStyle w:val="Body"/>
      </w:pPr>
      <w:r w:rsidRPr="002C114C">
        <w:t xml:space="preserve">Patients receiving services through procedural specialist clinics and </w:t>
      </w:r>
      <w:r w:rsidR="00E43664">
        <w:t>HIP</w:t>
      </w:r>
      <w:r w:rsidRPr="002C114C">
        <w:t xml:space="preserve"> should be discharged when they have achieved the goals documented in their care or treatment plan and no more goals are identified, or if the patient indicates that they no longer want to participate </w:t>
      </w:r>
      <w:r w:rsidR="008203D3">
        <w:t>&lt;h</w:t>
      </w:r>
      <w:r w:rsidR="008203D3" w:rsidRPr="00796977">
        <w:t>ttps://www.health.vic.gov.au/patient-care/health-independence-program-guidelines</w:t>
      </w:r>
      <w:r w:rsidR="008203D3">
        <w:t>&gt;</w:t>
      </w:r>
      <w:r w:rsidR="008203D3" w:rsidRPr="006D04CB">
        <w:t>.</w:t>
      </w:r>
      <w:r w:rsidR="008203D3" w:rsidRPr="002C114C">
        <w:t xml:space="preserve"> </w:t>
      </w:r>
    </w:p>
    <w:p w14:paraId="1BAA6B97" w14:textId="0D6084D3" w:rsidR="00280FFB" w:rsidRPr="002C114C" w:rsidRDefault="00280FFB" w:rsidP="00280FFB">
      <w:pPr>
        <w:pStyle w:val="Body"/>
        <w:rPr>
          <w:rStyle w:val="DHHSbodyChar"/>
        </w:rPr>
      </w:pPr>
      <w:r w:rsidRPr="002C114C">
        <w:t xml:space="preserve">There should be regular communication between the health service, referring clinician and the patient for </w:t>
      </w:r>
      <w:r w:rsidR="00272940">
        <w:t xml:space="preserve">those </w:t>
      </w:r>
      <w:r w:rsidRPr="002C114C">
        <w:t xml:space="preserve">patients with chronic or progressive conditions </w:t>
      </w:r>
      <w:r w:rsidR="00DB73D5">
        <w:t>wh</w:t>
      </w:r>
      <w:r w:rsidR="00B947AA">
        <w:t xml:space="preserve">o </w:t>
      </w:r>
      <w:r w:rsidRPr="002C114C">
        <w:t xml:space="preserve">require ongoing </w:t>
      </w:r>
      <w:r w:rsidRPr="002C114C">
        <w:rPr>
          <w:rStyle w:val="DHHSbodyChar"/>
        </w:rPr>
        <w:t xml:space="preserve">specialist advice or treatment. </w:t>
      </w:r>
    </w:p>
    <w:p w14:paraId="73EE40F7" w14:textId="412AABF9" w:rsidR="00280FFB" w:rsidRPr="002C114C" w:rsidRDefault="00280FFB" w:rsidP="00280FFB">
      <w:pPr>
        <w:pStyle w:val="Body"/>
      </w:pPr>
      <w:r w:rsidRPr="002C114C">
        <w:t xml:space="preserve">Within </w:t>
      </w:r>
      <w:r w:rsidRPr="00F3351B">
        <w:rPr>
          <w:b/>
          <w:bCs/>
        </w:rPr>
        <w:t>five working days from the date the patient is discharged</w:t>
      </w:r>
      <w:r w:rsidRPr="002C114C">
        <w:t xml:space="preserve"> from the non-admitted </w:t>
      </w:r>
      <w:r w:rsidR="00B947AA">
        <w:t xml:space="preserve">specialist </w:t>
      </w:r>
      <w:r w:rsidRPr="002C114C">
        <w:t xml:space="preserve">service the health service </w:t>
      </w:r>
      <w:r w:rsidR="00A24645">
        <w:t>must</w:t>
      </w:r>
      <w:r w:rsidRPr="002C114C">
        <w:t xml:space="preserve"> provide a written clinical handover to the referring clinician, the patient and the patient’s nominated GP (unless the patient indicates they do not want to receive this information) </w:t>
      </w:r>
      <w:r w:rsidR="00A5649C">
        <w:t>&lt;</w:t>
      </w:r>
      <w:hyperlink r:id="rId63" w:history="1">
        <w:r w:rsidR="00153481" w:rsidRPr="007964C7">
          <w:rPr>
            <w:rStyle w:val="Hyperlink"/>
            <w:rFonts w:cs="Arial"/>
            <w:color w:val="auto"/>
            <w:u w:val="none"/>
            <w:lang w:eastAsia="en-AU"/>
          </w:rPr>
          <w:t>https://www.ama.com.au/articles/10-minimum-standards-communication-between-health-services-and-general-practitioners-and</w:t>
        </w:r>
      </w:hyperlink>
      <w:r w:rsidR="003B2C9E" w:rsidRPr="00DA0CD9">
        <w:rPr>
          <w:rFonts w:cs="Arial"/>
          <w:lang w:eastAsia="en-AU"/>
        </w:rPr>
        <w:t xml:space="preserve">&gt; </w:t>
      </w:r>
      <w:r w:rsidR="003B2C9E" w:rsidRPr="00DA0CD9">
        <w:t xml:space="preserve"> </w:t>
      </w:r>
      <w:r w:rsidR="00DA0CD9">
        <w:rPr>
          <w:rFonts w:cs="Arial"/>
          <w:lang w:eastAsia="en-AU"/>
        </w:rPr>
        <w:t>&lt;h</w:t>
      </w:r>
      <w:r w:rsidR="00DA0CD9" w:rsidRPr="004F28C7">
        <w:rPr>
          <w:rFonts w:cs="Arial"/>
          <w:lang w:eastAsia="en-AU"/>
        </w:rPr>
        <w:t>ttps://www.racgp.org.au/running-a-practice/practice-standards/standards-5th-edition/standards-for-general-practices-5th-ed</w:t>
      </w:r>
      <w:r w:rsidR="00DA0CD9">
        <w:rPr>
          <w:rFonts w:cs="Arial"/>
          <w:lang w:eastAsia="en-AU"/>
        </w:rPr>
        <w:t>&gt;</w:t>
      </w:r>
      <w:r w:rsidRPr="002C114C">
        <w:t xml:space="preserve">). This should include how </w:t>
      </w:r>
      <w:r w:rsidR="007C0914">
        <w:t xml:space="preserve">a </w:t>
      </w:r>
      <w:r w:rsidRPr="002C114C">
        <w:t>request</w:t>
      </w:r>
      <w:r w:rsidR="007C0914">
        <w:t xml:space="preserve"> for</w:t>
      </w:r>
      <w:r w:rsidR="00FF2D39">
        <w:t xml:space="preserve"> rapid </w:t>
      </w:r>
      <w:r w:rsidRPr="00F3351B">
        <w:t>access</w:t>
      </w:r>
      <w:r w:rsidR="00FF2D39">
        <w:t xml:space="preserve"> back to the service</w:t>
      </w:r>
      <w:r w:rsidRPr="002C114C">
        <w:t xml:space="preserve"> </w:t>
      </w:r>
      <w:r w:rsidR="007C0914">
        <w:t xml:space="preserve">can be made </w:t>
      </w:r>
      <w:r w:rsidRPr="002C114C">
        <w:t>if the</w:t>
      </w:r>
      <w:r w:rsidR="007C0914">
        <w:t xml:space="preserve"> patient</w:t>
      </w:r>
      <w:r w:rsidRPr="002C114C">
        <w:t xml:space="preserve"> require</w:t>
      </w:r>
      <w:r w:rsidR="007C0914">
        <w:t>s</w:t>
      </w:r>
      <w:r w:rsidRPr="002C114C">
        <w:t xml:space="preserve"> further treatment or care from the same </w:t>
      </w:r>
      <w:r w:rsidR="00EB3948">
        <w:t xml:space="preserve">or related </w:t>
      </w:r>
      <w:r w:rsidRPr="002C114C">
        <w:t>service for the same presenting problem.</w:t>
      </w:r>
    </w:p>
    <w:p w14:paraId="133AE3B7" w14:textId="77777777" w:rsidR="00280FFB" w:rsidRDefault="00280FFB" w:rsidP="00280FFB">
      <w:pPr>
        <w:pStyle w:val="Body"/>
      </w:pPr>
      <w:r>
        <w:t>Health services should provide heads of units or clinical leads for the service with reports on:</w:t>
      </w:r>
    </w:p>
    <w:p w14:paraId="553EA92A" w14:textId="77777777" w:rsidR="00280FFB" w:rsidRDefault="00280FFB" w:rsidP="00280FFB">
      <w:pPr>
        <w:pStyle w:val="Bullet1"/>
      </w:pPr>
      <w:r>
        <w:t>discharge rates</w:t>
      </w:r>
    </w:p>
    <w:p w14:paraId="5FEC873F" w14:textId="4873A789" w:rsidR="00280FFB" w:rsidRDefault="00280FFB" w:rsidP="00280FFB">
      <w:pPr>
        <w:pStyle w:val="Bullet1"/>
      </w:pPr>
      <w:r>
        <w:t>the mix of new and review services for specialist clinics</w:t>
      </w:r>
    </w:p>
    <w:p w14:paraId="100D77AC" w14:textId="77777777" w:rsidR="00280FFB" w:rsidRDefault="00280FFB" w:rsidP="00280FFB">
      <w:pPr>
        <w:pStyle w:val="Bullet1"/>
      </w:pPr>
      <w:r>
        <w:t>current wait times for services (at least every six months)</w:t>
      </w:r>
    </w:p>
    <w:p w14:paraId="6FB4B7A8" w14:textId="6739F5E5" w:rsidR="00280FFB" w:rsidRDefault="00280FFB" w:rsidP="00280FFB">
      <w:pPr>
        <w:pStyle w:val="Bullet1"/>
      </w:pPr>
      <w:r>
        <w:t xml:space="preserve">the proportion of specialist clinic services delivered through </w:t>
      </w:r>
      <w:r w:rsidR="00F15267">
        <w:t>virtual care</w:t>
      </w:r>
      <w:r>
        <w:t>.</w:t>
      </w:r>
    </w:p>
    <w:p w14:paraId="2314CD70" w14:textId="7DDEF250" w:rsidR="00CB602A" w:rsidRDefault="00CB602A">
      <w:pPr>
        <w:spacing w:after="0" w:line="240" w:lineRule="auto"/>
        <w:rPr>
          <w:rFonts w:eastAsia="Times"/>
        </w:rPr>
      </w:pPr>
      <w:r>
        <w:br w:type="page"/>
      </w:r>
    </w:p>
    <w:p w14:paraId="3437C16B" w14:textId="1C9E86A2" w:rsidR="00042561" w:rsidRDefault="009C6929" w:rsidP="009C6929">
      <w:pPr>
        <w:pStyle w:val="Heading1"/>
      </w:pPr>
      <w:bookmarkStart w:id="60" w:name="_Toc121210069"/>
      <w:r>
        <w:lastRenderedPageBreak/>
        <w:t xml:space="preserve">Appendix </w:t>
      </w:r>
      <w:r w:rsidR="00FF6D52">
        <w:t>1</w:t>
      </w:r>
      <w:r>
        <w:t xml:space="preserve">: Minimum referral </w:t>
      </w:r>
      <w:r w:rsidR="00B00DE6">
        <w:t>information</w:t>
      </w:r>
      <w:bookmarkEnd w:id="60"/>
    </w:p>
    <w:p w14:paraId="1E27A8AF" w14:textId="55F9568B" w:rsidR="008F3E94" w:rsidRDefault="008F3E94" w:rsidP="008F3E94">
      <w:pPr>
        <w:pStyle w:val="Body"/>
      </w:pPr>
      <w:r>
        <w:t xml:space="preserve">Breakdowns in the referral process can lead to delays in diagnosis and treatment. It is estimated that half of referrals in the United States are incomplete </w:t>
      </w:r>
      <w:r w:rsidR="00E709ED">
        <w:rPr>
          <w:rFonts w:cs="Arial"/>
          <w:lang w:eastAsia="en-AU"/>
        </w:rPr>
        <w:t>&lt;h</w:t>
      </w:r>
      <w:r w:rsidR="00E709ED" w:rsidRPr="004F28C7">
        <w:rPr>
          <w:rFonts w:cs="Arial"/>
          <w:lang w:eastAsia="en-AU"/>
        </w:rPr>
        <w:t>ttps://www.racgp.org.au/running-a-practice/practice-standards/standards-5th-edition/standards-for-general-practices-5th-ed</w:t>
      </w:r>
      <w:r w:rsidR="00E709ED">
        <w:rPr>
          <w:rFonts w:cs="Arial"/>
          <w:lang w:eastAsia="en-AU"/>
        </w:rPr>
        <w:t>&gt;</w:t>
      </w:r>
      <w:r w:rsidR="00E709ED" w:rsidRPr="002C114C">
        <w:t xml:space="preserve">. </w:t>
      </w:r>
      <w:r>
        <w:t xml:space="preserve"> Anecdotally up to 40 per cent of referrals received by Victorian public health services are incomplete or do not have the information required for the referral </w:t>
      </w:r>
      <w:r w:rsidRPr="008D5290">
        <w:t>request to be accepted and clinically prioritised</w:t>
      </w:r>
      <w:r>
        <w:t>.</w:t>
      </w:r>
    </w:p>
    <w:p w14:paraId="727EF426" w14:textId="25798B49" w:rsidR="008F3E94" w:rsidRDefault="008F3E94" w:rsidP="008F3E94">
      <w:pPr>
        <w:pStyle w:val="Body"/>
      </w:pPr>
      <w:r>
        <w:t>Except for self-referrals, referral requests should include:</w:t>
      </w:r>
    </w:p>
    <w:p w14:paraId="0B6946F3" w14:textId="77777777" w:rsidR="008F3E94" w:rsidRDefault="008F3E94" w:rsidP="008F3E94">
      <w:pPr>
        <w:pStyle w:val="Bullet1"/>
      </w:pPr>
      <w:r>
        <w:t>patient demographic information</w:t>
      </w:r>
    </w:p>
    <w:p w14:paraId="60D3968B" w14:textId="77777777" w:rsidR="008F3E94" w:rsidRDefault="008F3E94" w:rsidP="008F3E94">
      <w:pPr>
        <w:pStyle w:val="Bullet1"/>
      </w:pPr>
      <w:r>
        <w:t>referrer demographic information</w:t>
      </w:r>
    </w:p>
    <w:p w14:paraId="30432A2A" w14:textId="77777777" w:rsidR="008F3E94" w:rsidRDefault="008F3E94" w:rsidP="008F3E94">
      <w:pPr>
        <w:pStyle w:val="Bullet1"/>
      </w:pPr>
      <w:r>
        <w:t>the reason for referral</w:t>
      </w:r>
    </w:p>
    <w:p w14:paraId="1BB554AB" w14:textId="77777777" w:rsidR="008F3E94" w:rsidRDefault="008F3E94" w:rsidP="008F3E94">
      <w:pPr>
        <w:pStyle w:val="Bullet1"/>
      </w:pPr>
      <w:r>
        <w:t>the presenting problem</w:t>
      </w:r>
    </w:p>
    <w:p w14:paraId="167DDB92" w14:textId="24776376" w:rsidR="008F3E94" w:rsidRDefault="008F3E94" w:rsidP="008F3E94">
      <w:pPr>
        <w:pStyle w:val="Bullet1"/>
      </w:pPr>
      <w:r>
        <w:t>the service</w:t>
      </w:r>
      <w:r w:rsidR="00776AC6">
        <w:t>(s)</w:t>
      </w:r>
      <w:r>
        <w:t xml:space="preserve"> requested</w:t>
      </w:r>
    </w:p>
    <w:p w14:paraId="755D3366" w14:textId="276B75B3" w:rsidR="008F3E94" w:rsidRDefault="008F3E94" w:rsidP="008F3E94">
      <w:pPr>
        <w:pStyle w:val="Bullet1"/>
      </w:pPr>
      <w:r>
        <w:t xml:space="preserve">required referral information specified by </w:t>
      </w:r>
      <w:r w:rsidR="00241D53">
        <w:t xml:space="preserve">statewide or local </w:t>
      </w:r>
      <w:r>
        <w:t>referral criteria</w:t>
      </w:r>
    </w:p>
    <w:p w14:paraId="1389B536" w14:textId="77777777" w:rsidR="008F3E94" w:rsidRDefault="008F3E94" w:rsidP="008F3E94">
      <w:pPr>
        <w:pStyle w:val="Bullet1"/>
      </w:pPr>
      <w:r>
        <w:t>current patient management</w:t>
      </w:r>
    </w:p>
    <w:p w14:paraId="24F9947D" w14:textId="77777777" w:rsidR="008F3E94" w:rsidRPr="00D973CF" w:rsidRDefault="008F3E94" w:rsidP="008F3E94">
      <w:pPr>
        <w:pStyle w:val="Bullet1"/>
      </w:pPr>
      <w:r>
        <w:t>the impact of the problem on the patient.</w:t>
      </w:r>
    </w:p>
    <w:p w14:paraId="73C95532" w14:textId="195E5DB0" w:rsidR="009C6929" w:rsidRDefault="008F3E94" w:rsidP="008F3E94">
      <w:pPr>
        <w:pStyle w:val="Heading2"/>
      </w:pPr>
      <w:bookmarkStart w:id="61" w:name="_Toc121210070"/>
      <w:r>
        <w:t>Patient demographic information</w:t>
      </w:r>
      <w:bookmarkEnd w:id="61"/>
    </w:p>
    <w:p w14:paraId="46D47450" w14:textId="330BF260" w:rsidR="002843FD" w:rsidRDefault="00C4504E" w:rsidP="002843FD">
      <w:pPr>
        <w:pStyle w:val="Bullet1"/>
      </w:pPr>
      <w:r>
        <w:t>f</w:t>
      </w:r>
      <w:r w:rsidR="002843FD">
        <w:t>ull name</w:t>
      </w:r>
    </w:p>
    <w:p w14:paraId="5F7EFE59" w14:textId="6FE3CFF9" w:rsidR="002843FD" w:rsidRDefault="00C4504E" w:rsidP="002843FD">
      <w:pPr>
        <w:pStyle w:val="Bullet1"/>
      </w:pPr>
      <w:r>
        <w:t>d</w:t>
      </w:r>
      <w:r w:rsidR="002843FD">
        <w:t>ate of birth</w:t>
      </w:r>
    </w:p>
    <w:p w14:paraId="25F08A07" w14:textId="6D880CF4" w:rsidR="002843FD" w:rsidRDefault="00C4504E" w:rsidP="002843FD">
      <w:pPr>
        <w:pStyle w:val="Bullet1"/>
      </w:pPr>
      <w:r>
        <w:t>n</w:t>
      </w:r>
      <w:r w:rsidR="002843FD">
        <w:t>ame of parent or carer (if applicable)</w:t>
      </w:r>
    </w:p>
    <w:p w14:paraId="17EC0563" w14:textId="3742856F" w:rsidR="002843FD" w:rsidRDefault="00C4504E" w:rsidP="002843FD">
      <w:pPr>
        <w:pStyle w:val="Bullet1"/>
      </w:pPr>
      <w:r>
        <w:t>a</w:t>
      </w:r>
      <w:r w:rsidR="002843FD">
        <w:t>ddress</w:t>
      </w:r>
    </w:p>
    <w:p w14:paraId="54976E72" w14:textId="0D2CD1FF" w:rsidR="002843FD" w:rsidRDefault="00C4504E" w:rsidP="002843FD">
      <w:pPr>
        <w:pStyle w:val="Bullet1"/>
      </w:pPr>
      <w:r>
        <w:t>t</w:t>
      </w:r>
      <w:r w:rsidR="002843FD">
        <w:t>elephone number(s)</w:t>
      </w:r>
    </w:p>
    <w:p w14:paraId="5074F031" w14:textId="6A81116B" w:rsidR="002843FD" w:rsidRDefault="00C4504E" w:rsidP="002843FD">
      <w:pPr>
        <w:pStyle w:val="Bullet1"/>
      </w:pPr>
      <w:r>
        <w:t>e</w:t>
      </w:r>
      <w:r w:rsidR="002843FD">
        <w:t>mail address</w:t>
      </w:r>
    </w:p>
    <w:p w14:paraId="312F6D68" w14:textId="59430630" w:rsidR="002843FD" w:rsidRDefault="00C4504E" w:rsidP="002843FD">
      <w:pPr>
        <w:pStyle w:val="Bullet1"/>
      </w:pPr>
      <w:r>
        <w:t>a</w:t>
      </w:r>
      <w:r w:rsidR="002843FD">
        <w:t>lternative contact details</w:t>
      </w:r>
    </w:p>
    <w:p w14:paraId="0384EDF3" w14:textId="79734368" w:rsidR="002843FD" w:rsidRDefault="00C4504E" w:rsidP="002843FD">
      <w:pPr>
        <w:pStyle w:val="Bullet1"/>
      </w:pPr>
      <w:r>
        <w:t>p</w:t>
      </w:r>
      <w:r w:rsidR="002843FD">
        <w:t>referred method of communication</w:t>
      </w:r>
    </w:p>
    <w:p w14:paraId="1DA93B7A" w14:textId="77777777" w:rsidR="002843FD" w:rsidRDefault="002843FD" w:rsidP="002843FD">
      <w:pPr>
        <w:pStyle w:val="Bullet1"/>
      </w:pPr>
      <w:r>
        <w:t>Medicare number (if eligible)</w:t>
      </w:r>
    </w:p>
    <w:p w14:paraId="005B73A4" w14:textId="14CB801C" w:rsidR="002843FD" w:rsidRDefault="001A3F9D" w:rsidP="002843FD">
      <w:pPr>
        <w:pStyle w:val="Bullet1"/>
      </w:pPr>
      <w:r>
        <w:t>i</w:t>
      </w:r>
      <w:r w:rsidR="00972CD4">
        <w:t>f a person identifies as being of Aboriginal or Torres Strait Islander origin</w:t>
      </w:r>
    </w:p>
    <w:p w14:paraId="3E656607" w14:textId="5DFE5CA8" w:rsidR="009263F6" w:rsidRDefault="009263F6" w:rsidP="002843FD">
      <w:pPr>
        <w:pStyle w:val="Bullet1"/>
      </w:pPr>
      <w:r>
        <w:t xml:space="preserve">any </w:t>
      </w:r>
      <w:r w:rsidR="00E77F00">
        <w:t xml:space="preserve">requirements to ensure cultural safety </w:t>
      </w:r>
      <w:r w:rsidR="002B5BB3">
        <w:t>(including family violence</w:t>
      </w:r>
      <w:r w:rsidR="009A35EB">
        <w:t xml:space="preserve"> safety) </w:t>
      </w:r>
    </w:p>
    <w:p w14:paraId="4F701685" w14:textId="2EB3D075" w:rsidR="002843FD" w:rsidRDefault="00C4504E" w:rsidP="002843FD">
      <w:pPr>
        <w:pStyle w:val="Bullet1"/>
      </w:pPr>
      <w:r>
        <w:t>l</w:t>
      </w:r>
      <w:r w:rsidR="002843FD">
        <w:t>anguage other than English (if applicable), reliance on a carer, reliance on cultural, linguistic or disability support (for example, need for an interpreter), reliance on transport</w:t>
      </w:r>
      <w:r w:rsidR="001A3F9D">
        <w:t xml:space="preserve"> or accommodation</w:t>
      </w:r>
      <w:r w:rsidR="002843FD">
        <w:t xml:space="preserve"> support</w:t>
      </w:r>
    </w:p>
    <w:p w14:paraId="1A1CD226" w14:textId="79C9775E" w:rsidR="002843FD" w:rsidRDefault="00C4504E" w:rsidP="002843FD">
      <w:pPr>
        <w:pStyle w:val="Bullet1"/>
      </w:pPr>
      <w:r>
        <w:t>m</w:t>
      </w:r>
      <w:r w:rsidR="002843FD">
        <w:t>edical treatment decision-maker</w:t>
      </w:r>
      <w:r w:rsidR="004550C9">
        <w:t>,</w:t>
      </w:r>
      <w:r w:rsidR="002843FD">
        <w:t xml:space="preserve"> support person </w:t>
      </w:r>
      <w:r w:rsidR="004550C9">
        <w:t xml:space="preserve">or carer </w:t>
      </w:r>
      <w:r w:rsidR="002843FD">
        <w:t>(if any)</w:t>
      </w:r>
    </w:p>
    <w:p w14:paraId="5EB6B7E5" w14:textId="1DE59F61" w:rsidR="002843FD" w:rsidRDefault="00C4504E" w:rsidP="002843FD">
      <w:pPr>
        <w:pStyle w:val="Bullet1"/>
      </w:pPr>
      <w:r>
        <w:t>c</w:t>
      </w:r>
      <w:r w:rsidR="002843FD">
        <w:t>ontact details for usual GP (if the GP is not the referring clinician)</w:t>
      </w:r>
    </w:p>
    <w:p w14:paraId="543CDCF0" w14:textId="4C52DA5E" w:rsidR="008F3E94" w:rsidRDefault="002843FD" w:rsidP="002843FD">
      <w:pPr>
        <w:pStyle w:val="Heading2"/>
      </w:pPr>
      <w:bookmarkStart w:id="62" w:name="_Toc121210071"/>
      <w:r>
        <w:t>Referrer demographic information</w:t>
      </w:r>
      <w:bookmarkEnd w:id="62"/>
    </w:p>
    <w:p w14:paraId="149CF575" w14:textId="21766C13" w:rsidR="00900553" w:rsidRDefault="00C4504E" w:rsidP="00900553">
      <w:pPr>
        <w:pStyle w:val="Bullet1"/>
      </w:pPr>
      <w:r>
        <w:t>f</w:t>
      </w:r>
      <w:r w:rsidR="00900553">
        <w:t>ull name</w:t>
      </w:r>
    </w:p>
    <w:p w14:paraId="1FCE64DD" w14:textId="4FA9B4A8" w:rsidR="00F57D2B" w:rsidRDefault="00C4504E" w:rsidP="00BE6E0B">
      <w:pPr>
        <w:pStyle w:val="Bullet1"/>
      </w:pPr>
      <w:r>
        <w:t>a</w:t>
      </w:r>
      <w:r w:rsidR="00900553">
        <w:t>ddress</w:t>
      </w:r>
    </w:p>
    <w:p w14:paraId="4C04C6C1" w14:textId="6244AF2C" w:rsidR="00900553" w:rsidRDefault="00C4504E" w:rsidP="00900553">
      <w:pPr>
        <w:pStyle w:val="Bullet1"/>
      </w:pPr>
      <w:r>
        <w:t>t</w:t>
      </w:r>
      <w:r w:rsidR="00900553">
        <w:t>elephone number(s) and if appropriate fax number</w:t>
      </w:r>
    </w:p>
    <w:p w14:paraId="6E49AF01" w14:textId="42F4BAE2" w:rsidR="00900553" w:rsidRDefault="00C4504E" w:rsidP="00900553">
      <w:pPr>
        <w:pStyle w:val="Bullet1"/>
      </w:pPr>
      <w:r>
        <w:t>e</w:t>
      </w:r>
      <w:r w:rsidR="00900553">
        <w:t>mail address</w:t>
      </w:r>
    </w:p>
    <w:p w14:paraId="1BCBB1DA" w14:textId="70A31862" w:rsidR="00900553" w:rsidRDefault="00C4504E" w:rsidP="00900553">
      <w:pPr>
        <w:pStyle w:val="Bullet1"/>
      </w:pPr>
      <w:r>
        <w:lastRenderedPageBreak/>
        <w:t>p</w:t>
      </w:r>
      <w:r w:rsidR="00900553">
        <w:t>referred method of communication</w:t>
      </w:r>
    </w:p>
    <w:p w14:paraId="7072AEAA" w14:textId="04B0437E" w:rsidR="00900553" w:rsidRDefault="00D34A20" w:rsidP="00900553">
      <w:pPr>
        <w:pStyle w:val="Bullet1"/>
      </w:pPr>
      <w:r>
        <w:t xml:space="preserve">Medicare </w:t>
      </w:r>
      <w:r w:rsidR="00C4504E">
        <w:t>p</w:t>
      </w:r>
      <w:r w:rsidR="00900553">
        <w:t>rovider number</w:t>
      </w:r>
    </w:p>
    <w:p w14:paraId="0D11B6EB" w14:textId="77777777" w:rsidR="00560064" w:rsidRDefault="00560064" w:rsidP="00560064">
      <w:pPr>
        <w:pStyle w:val="Heading2"/>
      </w:pPr>
      <w:bookmarkStart w:id="63" w:name="_Toc121210072"/>
      <w:r>
        <w:t>Required referral information</w:t>
      </w:r>
      <w:bookmarkEnd w:id="63"/>
    </w:p>
    <w:p w14:paraId="7BA304F2" w14:textId="77777777" w:rsidR="00560064" w:rsidRDefault="00560064" w:rsidP="00560064">
      <w:pPr>
        <w:pStyle w:val="Body"/>
      </w:pPr>
      <w:r>
        <w:t>Required referral information:</w:t>
      </w:r>
    </w:p>
    <w:p w14:paraId="3801C53B" w14:textId="77777777" w:rsidR="00560064" w:rsidRDefault="00560064" w:rsidP="00560064">
      <w:pPr>
        <w:pStyle w:val="Bullet1"/>
      </w:pPr>
      <w:r>
        <w:t>date of referral</w:t>
      </w:r>
    </w:p>
    <w:p w14:paraId="36F83217" w14:textId="31015D57" w:rsidR="00560064" w:rsidRDefault="00560064" w:rsidP="00560064">
      <w:pPr>
        <w:pStyle w:val="Bullet1"/>
      </w:pPr>
      <w:r>
        <w:t>indication if the patient has agreed to the referral and the sharing of their personal and health information with the health service</w:t>
      </w:r>
      <w:r w:rsidR="005E2862">
        <w:rPr>
          <w:rStyle w:val="FootnoteReference"/>
        </w:rPr>
        <w:footnoteReference w:id="3"/>
      </w:r>
    </w:p>
    <w:p w14:paraId="6AA66509" w14:textId="77777777" w:rsidR="00560064" w:rsidRDefault="00560064" w:rsidP="00560064">
      <w:pPr>
        <w:pStyle w:val="Bullet1"/>
      </w:pPr>
      <w:r>
        <w:t>referring clinician’s assessment of clinical urgency</w:t>
      </w:r>
    </w:p>
    <w:p w14:paraId="0C7EEB74" w14:textId="77777777" w:rsidR="00560064" w:rsidRDefault="00560064" w:rsidP="00560064">
      <w:pPr>
        <w:pStyle w:val="Bullet1"/>
      </w:pPr>
      <w:r>
        <w:t>required clinical information listed in any referral criteria for the presenting problem</w:t>
      </w:r>
    </w:p>
    <w:p w14:paraId="07E98BD9" w14:textId="77297F28" w:rsidR="000F458F" w:rsidRDefault="00900553" w:rsidP="00900553">
      <w:pPr>
        <w:pStyle w:val="Heading2"/>
      </w:pPr>
      <w:bookmarkStart w:id="64" w:name="_Toc121210073"/>
      <w:r>
        <w:t>Reason for referral</w:t>
      </w:r>
      <w:bookmarkEnd w:id="64"/>
    </w:p>
    <w:p w14:paraId="3C521E0C" w14:textId="0524BC5F" w:rsidR="00681182" w:rsidRDefault="001B1567" w:rsidP="00681182">
      <w:pPr>
        <w:pStyle w:val="Body"/>
        <w:rPr>
          <w:rStyle w:val="DHHSbodyChar"/>
        </w:rPr>
      </w:pPr>
      <w:r>
        <w:rPr>
          <w:rStyle w:val="DHHSbodyChar"/>
        </w:rPr>
        <w:t>I</w:t>
      </w:r>
      <w:r w:rsidR="00681182">
        <w:rPr>
          <w:rStyle w:val="DHHSbodyChar"/>
        </w:rPr>
        <w:t>f the main purpose of the referral is:</w:t>
      </w:r>
    </w:p>
    <w:p w14:paraId="355796C4" w14:textId="77777777" w:rsidR="00681182" w:rsidRDefault="00681182" w:rsidP="00681182">
      <w:pPr>
        <w:pStyle w:val="Bullet1"/>
        <w:rPr>
          <w:rStyle w:val="DHHSbodyChar"/>
        </w:rPr>
      </w:pPr>
      <w:r>
        <w:rPr>
          <w:rStyle w:val="DHHSbodyChar"/>
        </w:rPr>
        <w:t>requesting</w:t>
      </w:r>
      <w:r w:rsidRPr="00BE339F">
        <w:rPr>
          <w:rStyle w:val="DHHSbodyChar"/>
        </w:rPr>
        <w:t xml:space="preserve"> services to establish a diagnosis, provide clinical assessment or inform a treatment plan</w:t>
      </w:r>
      <w:r>
        <w:rPr>
          <w:rStyle w:val="DHHSbodyChar"/>
        </w:rPr>
        <w:t xml:space="preserve"> </w:t>
      </w:r>
    </w:p>
    <w:p w14:paraId="7C3F9FF6" w14:textId="77777777" w:rsidR="00681182" w:rsidRPr="00BE339F" w:rsidRDefault="00681182" w:rsidP="00681182">
      <w:pPr>
        <w:pStyle w:val="Bullet1"/>
        <w:rPr>
          <w:rStyle w:val="DHHSbodyChar"/>
        </w:rPr>
      </w:pPr>
      <w:r>
        <w:rPr>
          <w:rStyle w:val="DHHSbodyChar"/>
        </w:rPr>
        <w:t xml:space="preserve">requesting </w:t>
      </w:r>
      <w:r w:rsidRPr="00BE339F">
        <w:rPr>
          <w:rStyle w:val="DHHSbodyChar"/>
        </w:rPr>
        <w:t xml:space="preserve">partnership </w:t>
      </w:r>
      <w:r>
        <w:rPr>
          <w:rStyle w:val="DHHSbodyChar"/>
        </w:rPr>
        <w:t xml:space="preserve">care between the patient, </w:t>
      </w:r>
      <w:r w:rsidRPr="00BE339F">
        <w:rPr>
          <w:rStyle w:val="DHHSbodyChar"/>
        </w:rPr>
        <w:t>GP and the health service (such as</w:t>
      </w:r>
      <w:r w:rsidRPr="00BE339F">
        <w:t xml:space="preserve"> patients with chronic or progressive conditions </w:t>
      </w:r>
      <w:r>
        <w:t>who</w:t>
      </w:r>
      <w:r w:rsidRPr="00BE339F">
        <w:t xml:space="preserve"> require ongoing </w:t>
      </w:r>
      <w:r w:rsidRPr="00BE339F">
        <w:rPr>
          <w:rStyle w:val="DHHSbodyChar"/>
        </w:rPr>
        <w:t xml:space="preserve">specialist advice or </w:t>
      </w:r>
      <w:r w:rsidRPr="00BE339F">
        <w:rPr>
          <w:rStyle w:val="DHHSbodyChar"/>
          <w:rFonts w:eastAsia="MS Mincho"/>
        </w:rPr>
        <w:t>services to improve and optimise people’s function and participation in activities of daily living)</w:t>
      </w:r>
    </w:p>
    <w:p w14:paraId="2FE89A80" w14:textId="77777777" w:rsidR="00681182" w:rsidRDefault="00681182" w:rsidP="00681182">
      <w:pPr>
        <w:pStyle w:val="Bullet1"/>
        <w:rPr>
          <w:rStyle w:val="DHHSbodyChar"/>
        </w:rPr>
      </w:pPr>
      <w:r>
        <w:rPr>
          <w:rStyle w:val="DHHSbodyChar"/>
        </w:rPr>
        <w:t>requesting</w:t>
      </w:r>
      <w:r w:rsidRPr="00BE339F">
        <w:rPr>
          <w:rStyle w:val="DHHSbodyChar"/>
        </w:rPr>
        <w:t xml:space="preserve"> specific tests or investigations that cannot be ordered, accessed or interpreted through the primary care system</w:t>
      </w:r>
    </w:p>
    <w:p w14:paraId="097BFD57" w14:textId="77777777" w:rsidR="00681182" w:rsidRPr="00DA772B" w:rsidRDefault="00681182" w:rsidP="00681182">
      <w:pPr>
        <w:pStyle w:val="Bullet1"/>
      </w:pPr>
      <w:r>
        <w:rPr>
          <w:rStyle w:val="DHHSbodyChar"/>
        </w:rPr>
        <w:t>requesting</w:t>
      </w:r>
      <w:r w:rsidRPr="00BE339F">
        <w:rPr>
          <w:rStyle w:val="DHHSbodyChar"/>
        </w:rPr>
        <w:t xml:space="preserve"> treatments or an </w:t>
      </w:r>
      <w:r>
        <w:rPr>
          <w:rStyle w:val="DHHSbodyChar"/>
        </w:rPr>
        <w:t>intervention.</w:t>
      </w:r>
    </w:p>
    <w:p w14:paraId="0E001AD8" w14:textId="54A8676E" w:rsidR="00900553" w:rsidRDefault="003D0FE0" w:rsidP="003D0FE0">
      <w:pPr>
        <w:pStyle w:val="Heading2"/>
      </w:pPr>
      <w:bookmarkStart w:id="65" w:name="_Toc121210074"/>
      <w:r>
        <w:t>Presenting problem</w:t>
      </w:r>
      <w:bookmarkEnd w:id="65"/>
    </w:p>
    <w:p w14:paraId="09A23674" w14:textId="3F4BFC97" w:rsidR="00FB5C75" w:rsidRDefault="00FB5C75" w:rsidP="00FB5C75">
      <w:pPr>
        <w:pStyle w:val="Body"/>
        <w:rPr>
          <w:rStyle w:val="DHHSbodyChar"/>
        </w:rPr>
      </w:pPr>
      <w:r>
        <w:rPr>
          <w:rStyle w:val="DHHSbodyChar"/>
        </w:rPr>
        <w:t>Indicate the presenting problem or working diagnosis</w:t>
      </w:r>
      <w:r w:rsidR="008C0FDC">
        <w:rPr>
          <w:rStyle w:val="DHHSbodyChar"/>
        </w:rPr>
        <w:t xml:space="preserve"> and if the patient has received earlier services for the same presenting problem</w:t>
      </w:r>
      <w:r>
        <w:rPr>
          <w:rStyle w:val="DHHSbodyChar"/>
        </w:rPr>
        <w:t>.</w:t>
      </w:r>
    </w:p>
    <w:p w14:paraId="5B94B6FC" w14:textId="1C4A3739" w:rsidR="003D0FE0" w:rsidRDefault="00FB5C75" w:rsidP="00FB5C75">
      <w:pPr>
        <w:pStyle w:val="Heading2"/>
      </w:pPr>
      <w:bookmarkStart w:id="66" w:name="_Toc121210075"/>
      <w:r>
        <w:t>Service requested</w:t>
      </w:r>
      <w:bookmarkEnd w:id="66"/>
    </w:p>
    <w:p w14:paraId="166664EB" w14:textId="2D7E5C57" w:rsidR="00545BD3" w:rsidRDefault="00545BD3" w:rsidP="00545BD3">
      <w:pPr>
        <w:pStyle w:val="Body"/>
        <w:rPr>
          <w:rStyle w:val="DHHSbodyChar"/>
        </w:rPr>
      </w:pPr>
      <w:r>
        <w:rPr>
          <w:rStyle w:val="DHHSbodyChar"/>
        </w:rPr>
        <w:t xml:space="preserve">Indicate the </w:t>
      </w:r>
      <w:r w:rsidR="00D8206C">
        <w:rPr>
          <w:rStyle w:val="DHHSbodyChar"/>
        </w:rPr>
        <w:t xml:space="preserve">non-admitted specialist </w:t>
      </w:r>
      <w:r>
        <w:rPr>
          <w:rStyle w:val="DHHSbodyChar"/>
        </w:rPr>
        <w:t>clinic or service requested.</w:t>
      </w:r>
    </w:p>
    <w:p w14:paraId="0D2A03F1" w14:textId="36D36143" w:rsidR="00536E3F" w:rsidRDefault="00281C60" w:rsidP="00281C60">
      <w:pPr>
        <w:pStyle w:val="Heading2"/>
      </w:pPr>
      <w:bookmarkStart w:id="67" w:name="_Toc121210076"/>
      <w:r>
        <w:t>Current patient management</w:t>
      </w:r>
      <w:bookmarkEnd w:id="67"/>
    </w:p>
    <w:p w14:paraId="7F5710E9" w14:textId="23F4BC19" w:rsidR="002C3E04" w:rsidRDefault="002C3E04" w:rsidP="002C3E04">
      <w:pPr>
        <w:pStyle w:val="Body"/>
      </w:pPr>
      <w:r>
        <w:t>Summary of current patient management</w:t>
      </w:r>
      <w:r w:rsidDel="00A05FEB">
        <w:t xml:space="preserve"> </w:t>
      </w:r>
      <w:r>
        <w:t>includ</w:t>
      </w:r>
      <w:r w:rsidR="00A05FEB">
        <w:t>ing:</w:t>
      </w:r>
    </w:p>
    <w:p w14:paraId="35399B08" w14:textId="49C2110F" w:rsidR="004C7177" w:rsidRDefault="002C3E04" w:rsidP="004C7177">
      <w:pPr>
        <w:pStyle w:val="Bullet1"/>
      </w:pPr>
      <w:r>
        <w:t>c</w:t>
      </w:r>
      <w:r w:rsidR="004C7177">
        <w:t>urrent treatment</w:t>
      </w:r>
    </w:p>
    <w:p w14:paraId="7DFD5526" w14:textId="0E21E071" w:rsidR="004C7177" w:rsidRDefault="002C3E04" w:rsidP="004C7177">
      <w:pPr>
        <w:pStyle w:val="Bullet1"/>
      </w:pPr>
      <w:r>
        <w:t>p</w:t>
      </w:r>
      <w:r w:rsidR="004C7177">
        <w:t>revious treatment and response to this treatment</w:t>
      </w:r>
    </w:p>
    <w:p w14:paraId="7AB88B70" w14:textId="1978FDB9" w:rsidR="004C7177" w:rsidRDefault="002C3E04" w:rsidP="004C7177">
      <w:pPr>
        <w:pStyle w:val="Bullet1"/>
      </w:pPr>
      <w:r>
        <w:t>c</w:t>
      </w:r>
      <w:r w:rsidR="004C7177">
        <w:t>omplete and current medication list</w:t>
      </w:r>
    </w:p>
    <w:p w14:paraId="14CA329D" w14:textId="0E471084" w:rsidR="004C7177" w:rsidRDefault="002C3E04" w:rsidP="004C7177">
      <w:pPr>
        <w:pStyle w:val="Bullet1"/>
      </w:pPr>
      <w:r>
        <w:t>a</w:t>
      </w:r>
      <w:r w:rsidR="004C7177">
        <w:t>llergies and previous adverse events</w:t>
      </w:r>
    </w:p>
    <w:p w14:paraId="2C046C4E" w14:textId="67D84953" w:rsidR="004C7177" w:rsidRDefault="002C3E04" w:rsidP="004C7177">
      <w:pPr>
        <w:pStyle w:val="Bullet1"/>
      </w:pPr>
      <w:r>
        <w:lastRenderedPageBreak/>
        <w:t>r</w:t>
      </w:r>
      <w:r w:rsidR="004C7177">
        <w:t>elevant medical history including any functional or cognitive impairment</w:t>
      </w:r>
    </w:p>
    <w:p w14:paraId="40BBB9D0" w14:textId="65BD2C1A" w:rsidR="004C7177" w:rsidRDefault="002C3E04" w:rsidP="004C7177">
      <w:pPr>
        <w:pStyle w:val="Bullet1"/>
      </w:pPr>
      <w:r>
        <w:t>r</w:t>
      </w:r>
      <w:r w:rsidR="004C7177">
        <w:t>elevant family history</w:t>
      </w:r>
    </w:p>
    <w:p w14:paraId="7CD4335B" w14:textId="3FF91068" w:rsidR="004C7177" w:rsidRDefault="002C3E04" w:rsidP="004C7177">
      <w:pPr>
        <w:pStyle w:val="Bullet1"/>
      </w:pPr>
      <w:r>
        <w:t>r</w:t>
      </w:r>
      <w:r w:rsidR="004C7177">
        <w:t xml:space="preserve">elevant </w:t>
      </w:r>
      <w:r w:rsidR="00034CCA" w:rsidRPr="008E657A">
        <w:t xml:space="preserve">physical, psychosocial </w:t>
      </w:r>
      <w:r w:rsidR="00034CCA">
        <w:t xml:space="preserve">and structural </w:t>
      </w:r>
      <w:r w:rsidR="00034CCA" w:rsidRPr="008E657A">
        <w:t>barriers</w:t>
      </w:r>
      <w:r w:rsidR="00400B9B">
        <w:t xml:space="preserve"> the person experiences </w:t>
      </w:r>
      <w:r w:rsidR="00F6408D">
        <w:t>which</w:t>
      </w:r>
      <w:r w:rsidR="00400B9B">
        <w:t xml:space="preserve"> may impact on their access to services</w:t>
      </w:r>
    </w:p>
    <w:p w14:paraId="73C31F3E" w14:textId="7DE607A3" w:rsidR="004C7177" w:rsidRDefault="002C3E04" w:rsidP="004C7177">
      <w:pPr>
        <w:pStyle w:val="Bullet1"/>
      </w:pPr>
      <w:r>
        <w:t>e</w:t>
      </w:r>
      <w:r w:rsidR="004C7177">
        <w:t>xisting community supports (if any)</w:t>
      </w:r>
    </w:p>
    <w:p w14:paraId="1F929106" w14:textId="560B32A4" w:rsidR="004C7177" w:rsidRDefault="00551C99" w:rsidP="004C7177">
      <w:pPr>
        <w:pStyle w:val="Bullet1"/>
      </w:pPr>
      <w:r>
        <w:t>e</w:t>
      </w:r>
      <w:r w:rsidR="004C7177">
        <w:t>xisting advance care directive (if any)</w:t>
      </w:r>
      <w:r w:rsidR="007E7EAF">
        <w:t>.</w:t>
      </w:r>
    </w:p>
    <w:p w14:paraId="66471268" w14:textId="2A26F22B" w:rsidR="00281C60" w:rsidRDefault="004C7177" w:rsidP="004C7177">
      <w:pPr>
        <w:pStyle w:val="Heading2"/>
      </w:pPr>
      <w:bookmarkStart w:id="68" w:name="_Toc121210077"/>
      <w:r>
        <w:t>Impact of the problem on the patient</w:t>
      </w:r>
      <w:bookmarkEnd w:id="68"/>
    </w:p>
    <w:p w14:paraId="53182191" w14:textId="1A365711" w:rsidR="001A55A8" w:rsidRDefault="001A55A8" w:rsidP="001A55A8">
      <w:pPr>
        <w:pStyle w:val="Body"/>
      </w:pPr>
      <w:r>
        <w:t>List any functional impairments, impact on work, study or school, impact on caring responsibilities, social impact, impact on comorbidities</w:t>
      </w:r>
      <w:r w:rsidR="00467C28">
        <w:t xml:space="preserve"> and any other impact on the person’s quality of life</w:t>
      </w:r>
      <w:r>
        <w:t>.</w:t>
      </w:r>
    </w:p>
    <w:p w14:paraId="25C22140" w14:textId="324FE656" w:rsidR="0033279A" w:rsidRDefault="0033279A" w:rsidP="00F70FCE">
      <w:pPr>
        <w:spacing w:after="0" w:line="240" w:lineRule="auto"/>
      </w:pPr>
    </w:p>
    <w:sectPr w:rsidR="0033279A" w:rsidSect="0094208A">
      <w:headerReference w:type="even" r:id="rId64"/>
      <w:headerReference w:type="default" r:id="rId65"/>
      <w:footerReference w:type="even" r:id="rId66"/>
      <w:footerReference w:type="default" r:id="rId67"/>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48EF8" w14:textId="77777777" w:rsidR="007261CB" w:rsidRDefault="007261CB">
      <w:r>
        <w:separator/>
      </w:r>
    </w:p>
    <w:p w14:paraId="45DD9CDB" w14:textId="77777777" w:rsidR="007261CB" w:rsidRDefault="007261CB"/>
  </w:endnote>
  <w:endnote w:type="continuationSeparator" w:id="0">
    <w:p w14:paraId="1C82FE44" w14:textId="77777777" w:rsidR="007261CB" w:rsidRDefault="007261CB">
      <w:r>
        <w:continuationSeparator/>
      </w:r>
    </w:p>
    <w:p w14:paraId="68612D2D" w14:textId="77777777" w:rsidR="007261CB" w:rsidRDefault="007261CB"/>
  </w:endnote>
  <w:endnote w:type="continuationNotice" w:id="1">
    <w:p w14:paraId="1F952C9F" w14:textId="77777777" w:rsidR="007261CB" w:rsidRDefault="007261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lu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9130" w14:textId="25F9EB3F" w:rsidR="001B1EFE" w:rsidRDefault="001B1EFE">
    <w:pPr>
      <w:pStyle w:val="Footer"/>
    </w:pPr>
    <w:r>
      <w:rPr>
        <w:noProof/>
      </w:rPr>
      <mc:AlternateContent>
        <mc:Choice Requires="wps">
          <w:drawing>
            <wp:anchor distT="0" distB="0" distL="114300" distR="114300" simplePos="1" relativeHeight="251680256" behindDoc="0" locked="0" layoutInCell="0" allowOverlap="1" wp14:anchorId="7FC2A00E" wp14:editId="2FA4DE23">
              <wp:simplePos x="0" y="10189687"/>
              <wp:positionH relativeFrom="page">
                <wp:posOffset>0</wp:posOffset>
              </wp:positionH>
              <wp:positionV relativeFrom="page">
                <wp:posOffset>10189210</wp:posOffset>
              </wp:positionV>
              <wp:extent cx="7560310" cy="311785"/>
              <wp:effectExtent l="0" t="0" r="0" b="12065"/>
              <wp:wrapNone/>
              <wp:docPr id="5" name="MSIPCMf27f46b99c13449a59800d6a"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44C618" w14:textId="242DD64B" w:rsidR="001B1EFE" w:rsidRPr="003B2367" w:rsidRDefault="001B1EFE" w:rsidP="003B2367">
                          <w:pPr>
                            <w:spacing w:after="0"/>
                            <w:jc w:val="center"/>
                            <w:rPr>
                              <w:rFonts w:ascii="Arial Black" w:hAnsi="Arial Black"/>
                              <w:color w:val="000000"/>
                              <w:sz w:val="20"/>
                            </w:rPr>
                          </w:pPr>
                          <w:r w:rsidRPr="003B23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C2A00E" id="_x0000_t202" coordsize="21600,21600" o:spt="202" path="m,l,21600r21600,l21600,xe">
              <v:stroke joinstyle="miter"/>
              <v:path gradientshapeok="t" o:connecttype="rect"/>
            </v:shapetype>
            <v:shape id="MSIPCMf27f46b99c13449a59800d6a" o:spid="_x0000_s1026"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80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F44C618" w14:textId="242DD64B" w:rsidR="001B1EFE" w:rsidRPr="003B2367" w:rsidRDefault="001B1EFE" w:rsidP="003B2367">
                    <w:pPr>
                      <w:spacing w:after="0"/>
                      <w:jc w:val="center"/>
                      <w:rPr>
                        <w:rFonts w:ascii="Arial Black" w:hAnsi="Arial Black"/>
                        <w:color w:val="000000"/>
                        <w:sz w:val="20"/>
                      </w:rPr>
                    </w:pPr>
                    <w:r w:rsidRPr="003B236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52D9" w14:textId="34DFA1DB" w:rsidR="001B1EFE" w:rsidRDefault="001B1EFE">
    <w:pPr>
      <w:pStyle w:val="Footer"/>
    </w:pPr>
    <w:r>
      <w:rPr>
        <w:noProof/>
      </w:rPr>
      <mc:AlternateContent>
        <mc:Choice Requires="wps">
          <w:drawing>
            <wp:anchor distT="0" distB="0" distL="114300" distR="114300" simplePos="0" relativeHeight="251664896" behindDoc="0" locked="0" layoutInCell="0" allowOverlap="1" wp14:anchorId="02511B84" wp14:editId="73FAC12C">
              <wp:simplePos x="0" y="0"/>
              <wp:positionH relativeFrom="page">
                <wp:posOffset>0</wp:posOffset>
              </wp:positionH>
              <wp:positionV relativeFrom="page">
                <wp:posOffset>10189210</wp:posOffset>
              </wp:positionV>
              <wp:extent cx="7560310" cy="311785"/>
              <wp:effectExtent l="0" t="0" r="0" b="12065"/>
              <wp:wrapNone/>
              <wp:docPr id="4" name="MSIPCM3e4c4ba8bc5cc57dae7f82d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2B6DC5" w14:textId="3794A029" w:rsidR="001B1EFE" w:rsidRPr="003B2367" w:rsidRDefault="001B1EFE" w:rsidP="003B2367">
                          <w:pPr>
                            <w:spacing w:after="0"/>
                            <w:jc w:val="center"/>
                            <w:rPr>
                              <w:rFonts w:ascii="Arial Black" w:hAnsi="Arial Black"/>
                              <w:color w:val="000000"/>
                              <w:sz w:val="20"/>
                            </w:rPr>
                          </w:pPr>
                          <w:r w:rsidRPr="003B23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511B84" id="_x0000_t202" coordsize="21600,21600" o:spt="202" path="m,l,21600r21600,l21600,xe">
              <v:stroke joinstyle="miter"/>
              <v:path gradientshapeok="t" o:connecttype="rect"/>
            </v:shapetype>
            <v:shape id="MSIPCM3e4c4ba8bc5cc57dae7f82d1"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D2B6DC5" w14:textId="3794A029" w:rsidR="001B1EFE" w:rsidRPr="003B2367" w:rsidRDefault="001B1EFE" w:rsidP="003B2367">
                    <w:pPr>
                      <w:spacing w:after="0"/>
                      <w:jc w:val="center"/>
                      <w:rPr>
                        <w:rFonts w:ascii="Arial Black" w:hAnsi="Arial Black"/>
                        <w:color w:val="000000"/>
                        <w:sz w:val="20"/>
                      </w:rPr>
                    </w:pPr>
                    <w:r w:rsidRPr="003B236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5B0D" w14:textId="77777777" w:rsidR="001B1EFE" w:rsidRDefault="001B1EFE">
    <w:pPr>
      <w:pStyle w:val="Footer"/>
    </w:pPr>
    <w:r>
      <w:rPr>
        <w:noProof/>
      </w:rPr>
      <mc:AlternateContent>
        <mc:Choice Requires="wps">
          <w:drawing>
            <wp:anchor distT="0" distB="0" distL="114300" distR="114300" simplePos="0" relativeHeight="251649536" behindDoc="0" locked="0" layoutInCell="0" allowOverlap="1" wp14:anchorId="5477E338" wp14:editId="1654B94F">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DF0E23" w14:textId="77777777" w:rsidR="001B1EFE" w:rsidRPr="00EB4BC7" w:rsidRDefault="001B1EFE"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77E338"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495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1DF0E23" w14:textId="77777777" w:rsidR="001B1EFE" w:rsidRPr="00EB4BC7" w:rsidRDefault="001B1EFE"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3B2D7" w14:textId="5329AD18" w:rsidR="001B1EFE" w:rsidRDefault="001B1EFE">
    <w:pPr>
      <w:pStyle w:val="Footer"/>
    </w:pPr>
    <w:r>
      <w:rPr>
        <w:noProof/>
        <w:lang w:eastAsia="en-AU"/>
      </w:rPr>
      <mc:AlternateContent>
        <mc:Choice Requires="wps">
          <w:drawing>
            <wp:anchor distT="0" distB="0" distL="114300" distR="114300" simplePos="0" relativeHeight="251658245" behindDoc="0" locked="0" layoutInCell="0" allowOverlap="1" wp14:anchorId="00E26470" wp14:editId="0442AAC8">
              <wp:simplePos x="0" y="0"/>
              <wp:positionH relativeFrom="page">
                <wp:posOffset>0</wp:posOffset>
              </wp:positionH>
              <wp:positionV relativeFrom="page">
                <wp:posOffset>10189210</wp:posOffset>
              </wp:positionV>
              <wp:extent cx="7560310" cy="311785"/>
              <wp:effectExtent l="0" t="0" r="0" b="12065"/>
              <wp:wrapNone/>
              <wp:docPr id="8" name="MSIPCMc738401695f7e5c31b5b8afb"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757C36" w14:textId="664EB889" w:rsidR="001B1EFE" w:rsidRPr="003B2367" w:rsidRDefault="001B1EFE" w:rsidP="003B2367">
                          <w:pPr>
                            <w:spacing w:after="0"/>
                            <w:jc w:val="center"/>
                            <w:rPr>
                              <w:rFonts w:ascii="Arial Black" w:hAnsi="Arial Black"/>
                              <w:color w:val="000000"/>
                              <w:sz w:val="20"/>
                            </w:rPr>
                          </w:pPr>
                          <w:r w:rsidRPr="003B23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E26470" id="_x0000_t202" coordsize="21600,21600" o:spt="202" path="m,l,21600r21600,l21600,xe">
              <v:stroke joinstyle="miter"/>
              <v:path gradientshapeok="t" o:connecttype="rect"/>
            </v:shapetype>
            <v:shape id="MSIPCMc738401695f7e5c31b5b8afb" o:spid="_x0000_s1029" type="#_x0000_t202" alt="{&quot;HashCode&quot;:904758361,&quot;Height&quot;:841.0,&quot;Width&quot;:595.0,&quot;Placement&quot;:&quot;Footer&quot;,&quot;Index&quot;:&quot;OddAndEven&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67757C36" w14:textId="664EB889" w:rsidR="001B1EFE" w:rsidRPr="003B2367" w:rsidRDefault="001B1EFE" w:rsidP="003B2367">
                    <w:pPr>
                      <w:spacing w:after="0"/>
                      <w:jc w:val="center"/>
                      <w:rPr>
                        <w:rFonts w:ascii="Arial Black" w:hAnsi="Arial Black"/>
                        <w:color w:val="000000"/>
                        <w:sz w:val="20"/>
                      </w:rPr>
                    </w:pPr>
                    <w:r w:rsidRPr="003B2367">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58241" behindDoc="1" locked="1" layoutInCell="1" allowOverlap="1" wp14:anchorId="11AAC90A" wp14:editId="5FEF3629">
          <wp:simplePos x="835572" y="9396248"/>
          <wp:positionH relativeFrom="page">
            <wp:align>left</wp:align>
          </wp:positionH>
          <wp:positionV relativeFrom="page">
            <wp:align>bottom</wp:align>
          </wp:positionV>
          <wp:extent cx="7560000" cy="964800"/>
          <wp:effectExtent l="0" t="0" r="3175" b="6985"/>
          <wp:wrapNone/>
          <wp:docPr id="16" name="Picture 16"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9BF1A" w14:textId="622464B0" w:rsidR="001B1EFE" w:rsidRDefault="001B1EFE">
    <w:pPr>
      <w:pStyle w:val="Footer"/>
    </w:pPr>
    <w:r>
      <w:rPr>
        <w:noProof/>
      </w:rPr>
      <mc:AlternateContent>
        <mc:Choice Requires="wps">
          <w:drawing>
            <wp:anchor distT="0" distB="0" distL="114300" distR="114300" simplePos="0" relativeHeight="251658244" behindDoc="0" locked="0" layoutInCell="0" allowOverlap="1" wp14:anchorId="2937A0F6" wp14:editId="6A01F664">
              <wp:simplePos x="0" y="0"/>
              <wp:positionH relativeFrom="page">
                <wp:posOffset>0</wp:posOffset>
              </wp:positionH>
              <wp:positionV relativeFrom="page">
                <wp:posOffset>10189210</wp:posOffset>
              </wp:positionV>
              <wp:extent cx="7560310" cy="311785"/>
              <wp:effectExtent l="0" t="0" r="0" b="12065"/>
              <wp:wrapNone/>
              <wp:docPr id="7" name="MSIPCM030e48eb941d338c06d130d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5BAC66" w14:textId="2281582F" w:rsidR="001B1EFE" w:rsidRPr="003B2367" w:rsidRDefault="001B1EFE" w:rsidP="003B2367">
                          <w:pPr>
                            <w:spacing w:after="0"/>
                            <w:jc w:val="center"/>
                            <w:rPr>
                              <w:rFonts w:ascii="Arial Black" w:hAnsi="Arial Black"/>
                              <w:color w:val="000000"/>
                              <w:sz w:val="20"/>
                            </w:rPr>
                          </w:pPr>
                          <w:r w:rsidRPr="003B23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37A0F6" id="_x0000_t202" coordsize="21600,21600" o:spt="202" path="m,l,21600r21600,l21600,xe">
              <v:stroke joinstyle="miter"/>
              <v:path gradientshapeok="t" o:connecttype="rect"/>
            </v:shapetype>
            <v:shape id="MSIPCM030e48eb941d338c06d130d5"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65BAC66" w14:textId="2281582F" w:rsidR="001B1EFE" w:rsidRPr="003B2367" w:rsidRDefault="001B1EFE" w:rsidP="003B2367">
                    <w:pPr>
                      <w:spacing w:after="0"/>
                      <w:jc w:val="center"/>
                      <w:rPr>
                        <w:rFonts w:ascii="Arial Black" w:hAnsi="Arial Black"/>
                        <w:color w:val="000000"/>
                        <w:sz w:val="20"/>
                      </w:rPr>
                    </w:pPr>
                    <w:r w:rsidRPr="003B236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58242" behindDoc="1" locked="1" layoutInCell="1" allowOverlap="1" wp14:anchorId="2DF5F51F" wp14:editId="4FC9790F">
          <wp:simplePos x="835025" y="9396095"/>
          <wp:positionH relativeFrom="page">
            <wp:align>left</wp:align>
          </wp:positionH>
          <wp:positionV relativeFrom="page">
            <wp:align>bottom</wp:align>
          </wp:positionV>
          <wp:extent cx="7560000" cy="964800"/>
          <wp:effectExtent l="0" t="0" r="3175" b="6985"/>
          <wp:wrapNone/>
          <wp:docPr id="17" name="Picture 17"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B2842" w14:textId="77777777" w:rsidR="007261CB" w:rsidRDefault="007261CB" w:rsidP="00207717">
      <w:pPr>
        <w:spacing w:before="120"/>
      </w:pPr>
      <w:r>
        <w:separator/>
      </w:r>
    </w:p>
  </w:footnote>
  <w:footnote w:type="continuationSeparator" w:id="0">
    <w:p w14:paraId="3F95985A" w14:textId="77777777" w:rsidR="007261CB" w:rsidRDefault="007261CB">
      <w:r>
        <w:continuationSeparator/>
      </w:r>
    </w:p>
    <w:p w14:paraId="690295BA" w14:textId="77777777" w:rsidR="007261CB" w:rsidRDefault="007261CB"/>
  </w:footnote>
  <w:footnote w:type="continuationNotice" w:id="1">
    <w:p w14:paraId="0BB050F3" w14:textId="77777777" w:rsidR="007261CB" w:rsidRDefault="007261CB">
      <w:pPr>
        <w:spacing w:after="0" w:line="240" w:lineRule="auto"/>
      </w:pPr>
    </w:p>
  </w:footnote>
  <w:footnote w:id="2">
    <w:p w14:paraId="559498C7" w14:textId="2ABE0187" w:rsidR="00BB0D2A" w:rsidRDefault="00BB0D2A">
      <w:pPr>
        <w:pStyle w:val="FootnoteText"/>
      </w:pPr>
      <w:r>
        <w:rPr>
          <w:rStyle w:val="FootnoteReference"/>
        </w:rPr>
        <w:footnoteRef/>
      </w:r>
      <w:r>
        <w:t xml:space="preserve"> </w:t>
      </w:r>
      <w:r w:rsidR="00873835" w:rsidRPr="00C4324D">
        <w:rPr>
          <w:i/>
          <w:iCs/>
        </w:rPr>
        <w:t xml:space="preserve">Health </w:t>
      </w:r>
      <w:r w:rsidR="00670022" w:rsidRPr="00C4324D">
        <w:rPr>
          <w:i/>
          <w:iCs/>
        </w:rPr>
        <w:t>R</w:t>
      </w:r>
      <w:r w:rsidR="00873835" w:rsidRPr="00C4324D">
        <w:rPr>
          <w:i/>
          <w:iCs/>
        </w:rPr>
        <w:t xml:space="preserve">ecords Act </w:t>
      </w:r>
      <w:r w:rsidR="00D85144" w:rsidRPr="00C4324D">
        <w:rPr>
          <w:i/>
          <w:iCs/>
        </w:rPr>
        <w:t>2001</w:t>
      </w:r>
      <w:r w:rsidR="008979EE">
        <w:t xml:space="preserve"> </w:t>
      </w:r>
      <w:r w:rsidR="008979EE" w:rsidRPr="00E71906">
        <w:rPr>
          <w:i/>
          <w:iCs/>
          <w:szCs w:val="18"/>
          <w:lang w:eastAsia="en-AU"/>
        </w:rPr>
        <w:t>(Vic)</w:t>
      </w:r>
      <w:r w:rsidR="008979EE">
        <w:t xml:space="preserve"> (Austl.). Accessible at &lt;</w:t>
      </w:r>
      <w:bookmarkStart w:id="35" w:name="_Hlk114669503"/>
      <w:r w:rsidR="00C4324D" w:rsidRPr="00C4324D">
        <w:t>https://www.legislation.vic.gov.au/in-force/acts/health-records-act-2001/047</w:t>
      </w:r>
      <w:bookmarkEnd w:id="35"/>
      <w:r w:rsidR="008979EE">
        <w:t>&gt;</w:t>
      </w:r>
    </w:p>
    <w:p w14:paraId="2BC88349" w14:textId="2FCE86EA" w:rsidR="00873835" w:rsidRDefault="00873835">
      <w:pPr>
        <w:pStyle w:val="FootnoteText"/>
      </w:pPr>
      <w:r>
        <w:t xml:space="preserve">  </w:t>
      </w:r>
      <w:r w:rsidRPr="00C4324D">
        <w:rPr>
          <w:i/>
          <w:iCs/>
        </w:rPr>
        <w:t xml:space="preserve">Privacy </w:t>
      </w:r>
      <w:r w:rsidR="00EA0013" w:rsidRPr="00C4324D">
        <w:rPr>
          <w:i/>
          <w:iCs/>
        </w:rPr>
        <w:t>and Data Protection Act 2014</w:t>
      </w:r>
      <w:r w:rsidR="00C4324D" w:rsidRPr="00C4324D">
        <w:rPr>
          <w:i/>
          <w:iCs/>
        </w:rPr>
        <w:t xml:space="preserve"> (Vic)</w:t>
      </w:r>
      <w:r w:rsidR="00C4324D">
        <w:t xml:space="preserve"> (Austl.). Accessible at </w:t>
      </w:r>
      <w:r w:rsidR="00B36BBC">
        <w:t>&lt;</w:t>
      </w:r>
      <w:r w:rsidR="00E12C74" w:rsidRPr="00C86F28">
        <w:t>https://www.legislation.vic.gov.au/in-force/acts/privacy-and-data-protection-act-2014/028</w:t>
      </w:r>
      <w:r w:rsidR="00B36BBC">
        <w:t>&gt;</w:t>
      </w:r>
    </w:p>
    <w:p w14:paraId="428C5AB1" w14:textId="4719FB0B" w:rsidR="00201D39" w:rsidRDefault="00201D39">
      <w:pPr>
        <w:pStyle w:val="FootnoteText"/>
        <w:rPr>
          <w:i/>
        </w:rPr>
      </w:pPr>
      <w:r>
        <w:rPr>
          <w:i/>
        </w:rPr>
        <w:t xml:space="preserve">  </w:t>
      </w:r>
      <w:r w:rsidRPr="00D652C4">
        <w:rPr>
          <w:i/>
        </w:rPr>
        <w:t>Children, Youth and Families Act 2005</w:t>
      </w:r>
      <w:r>
        <w:rPr>
          <w:i/>
        </w:rPr>
        <w:t xml:space="preserve"> </w:t>
      </w:r>
      <w:r w:rsidRPr="00C4324D">
        <w:rPr>
          <w:i/>
          <w:iCs/>
        </w:rPr>
        <w:t>(Vic)</w:t>
      </w:r>
      <w:r>
        <w:t xml:space="preserve"> (Austl.). Accessible at &lt;</w:t>
      </w:r>
      <w:r w:rsidRPr="00201D39">
        <w:t>https://www.legislation.vic.gov.au/in-force/acts/children-youth-and-families-act-2005/121</w:t>
      </w:r>
      <w:r>
        <w:t>&gt;</w:t>
      </w:r>
    </w:p>
    <w:p w14:paraId="391E8363" w14:textId="1D11EFBD" w:rsidR="00201D39" w:rsidRDefault="00201D39">
      <w:pPr>
        <w:pStyle w:val="FootnoteText"/>
      </w:pPr>
      <w:r>
        <w:rPr>
          <w:i/>
        </w:rPr>
        <w:t xml:space="preserve">  </w:t>
      </w:r>
      <w:r w:rsidRPr="00BD6B9D">
        <w:rPr>
          <w:i/>
        </w:rPr>
        <w:t>Family Violence Protection Act 2008</w:t>
      </w:r>
      <w:r>
        <w:rPr>
          <w:iCs/>
        </w:rPr>
        <w:t xml:space="preserve"> </w:t>
      </w:r>
      <w:r w:rsidRPr="00C4324D">
        <w:rPr>
          <w:i/>
          <w:iCs/>
        </w:rPr>
        <w:t>(Vic)</w:t>
      </w:r>
      <w:r>
        <w:t xml:space="preserve"> (Austl.). Accessible at &lt;</w:t>
      </w:r>
      <w:r w:rsidRPr="00201D39">
        <w:t>https://www.legislation.vic.gov.au/in-force/acts/family-violence-protection-act-2008/053</w:t>
      </w:r>
      <w:r>
        <w:t>&gt;</w:t>
      </w:r>
    </w:p>
    <w:p w14:paraId="0EAAD0A7" w14:textId="407179D2" w:rsidR="00CD71AA" w:rsidRDefault="00CD71AA">
      <w:pPr>
        <w:pStyle w:val="FootnoteText"/>
      </w:pPr>
      <w:r>
        <w:t xml:space="preserve">  Australian Commission on Safety and Quality in Health Care, National Safety and Quality Health Service Standards – </w:t>
      </w:r>
      <w:hyperlink r:id="rId1" w:history="1">
        <w:r w:rsidRPr="00C86F28">
          <w:rPr>
            <w:rStyle w:val="Hyperlink"/>
            <w:color w:val="auto"/>
            <w:u w:val="none"/>
          </w:rPr>
          <w:t>Communicating for Safety Standard</w:t>
        </w:r>
      </w:hyperlink>
      <w:r w:rsidR="00DF61E8">
        <w:t xml:space="preserve">, ACSQHC 2022. Available at: </w:t>
      </w:r>
      <w:hyperlink r:id="rId2" w:history="1">
        <w:r w:rsidR="00DF61E8" w:rsidRPr="00C86F28">
          <w:rPr>
            <w:rStyle w:val="Hyperlink"/>
            <w:color w:val="auto"/>
            <w:u w:val="none"/>
          </w:rPr>
          <w:t>Communicating for Safety Standard</w:t>
        </w:r>
      </w:hyperlink>
      <w:r w:rsidRPr="00C86F28">
        <w:t xml:space="preserve"> </w:t>
      </w:r>
      <w:r>
        <w:t>&lt;</w:t>
      </w:r>
      <w:r w:rsidRPr="00CD71AA">
        <w:t>https://www.safetyandquality.gov.au/standards/nsqhs-standards/communicating-safety-standard</w:t>
      </w:r>
      <w:r>
        <w:t>&gt;</w:t>
      </w:r>
    </w:p>
  </w:footnote>
  <w:footnote w:id="3">
    <w:p w14:paraId="1C66AA46" w14:textId="02A35DE3" w:rsidR="005E2862" w:rsidRDefault="005E2862">
      <w:pPr>
        <w:pStyle w:val="FootnoteText"/>
      </w:pPr>
      <w:r>
        <w:rPr>
          <w:rStyle w:val="FootnoteReference"/>
        </w:rPr>
        <w:footnoteRef/>
      </w:r>
      <w:r>
        <w:t xml:space="preserve"> Health information may be disclosed if the disclosure is permitted by an Act other than the </w:t>
      </w:r>
      <w:r w:rsidRPr="00EB536C">
        <w:rPr>
          <w:i/>
          <w:iCs/>
        </w:rPr>
        <w:t xml:space="preserve">Health Records Act 2001 </w:t>
      </w:r>
      <w:r w:rsidRPr="002435EB">
        <w:t>(Vic)</w:t>
      </w:r>
      <w:r>
        <w:t>. Available at &lt;</w:t>
      </w:r>
      <w:r w:rsidRPr="0069573D">
        <w:t>https://www.legislation.vic.gov.au/in-force/acts/health-records-act-2001/047</w:t>
      </w:r>
      <w:r>
        <w:t xml:space="preserve">&gt; or may also be disclosed if disclosure is permitted by Health Privacy Principles 2.1, 2.2(a), (f), (g), (h) or (k) or 2.5 under the </w:t>
      </w:r>
      <w:r w:rsidRPr="008B3EAA">
        <w:rPr>
          <w:i/>
          <w:iCs/>
        </w:rPr>
        <w:t>Health Records Act 2001</w:t>
      </w:r>
      <w:r>
        <w:t xml:space="preserve"> (Vic).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874E" w14:textId="77777777" w:rsidR="00B64AA2" w:rsidRDefault="00B64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ACF0" w14:textId="77777777" w:rsidR="00B64AA2" w:rsidRDefault="00B64A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B60D" w14:textId="77777777" w:rsidR="00B64AA2" w:rsidRDefault="00B64A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36DB8" w14:textId="447DF3B9" w:rsidR="001B1EFE" w:rsidRDefault="001B1EFE">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58243" behindDoc="1" locked="1" layoutInCell="1" allowOverlap="1" wp14:anchorId="3283B8AC" wp14:editId="0250685E">
          <wp:simplePos x="0" y="0"/>
          <wp:positionH relativeFrom="page">
            <wp:posOffset>0</wp:posOffset>
          </wp:positionH>
          <wp:positionV relativeFrom="page">
            <wp:posOffset>0</wp:posOffset>
          </wp:positionV>
          <wp:extent cx="7560000" cy="270000"/>
          <wp:effectExtent l="0" t="0" r="3175"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00E60F35" w:rsidRPr="00E60F35">
      <w:t>Managing referrals to non-admitted specialist services in Victorian public health services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04A8" w14:textId="45751B11" w:rsidR="001B1EFE" w:rsidRPr="0051568D" w:rsidRDefault="00E60F35" w:rsidP="0017674D">
    <w:pPr>
      <w:pStyle w:val="Header"/>
    </w:pPr>
    <w:r w:rsidRPr="00E60F35">
      <w:t>Managing referrals to non-admitted specialist services in Victorian public health services</w:t>
    </w:r>
    <w:r w:rsidR="001B1EFE">
      <w:ptab w:relativeTo="margin" w:alignment="right" w:leader="none"/>
    </w:r>
    <w:r w:rsidR="001B1EFE" w:rsidRPr="00DE6C85">
      <w:rPr>
        <w:b/>
        <w:bCs/>
      </w:rPr>
      <w:fldChar w:fldCharType="begin"/>
    </w:r>
    <w:r w:rsidR="001B1EFE" w:rsidRPr="00DE6C85">
      <w:rPr>
        <w:b/>
        <w:bCs/>
      </w:rPr>
      <w:instrText xml:space="preserve"> PAGE </w:instrText>
    </w:r>
    <w:r w:rsidR="001B1EFE" w:rsidRPr="00DE6C85">
      <w:rPr>
        <w:b/>
        <w:bCs/>
      </w:rPr>
      <w:fldChar w:fldCharType="separate"/>
    </w:r>
    <w:r w:rsidR="001B1EFE" w:rsidRPr="00DE6C85">
      <w:rPr>
        <w:b/>
        <w:bCs/>
      </w:rPr>
      <w:t>2</w:t>
    </w:r>
    <w:r w:rsidR="001B1EFE"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4635"/>
    <w:multiLevelType w:val="multilevel"/>
    <w:tmpl w:val="603A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D174F1F"/>
    <w:multiLevelType w:val="multilevel"/>
    <w:tmpl w:val="19A6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B917D1"/>
    <w:multiLevelType w:val="multilevel"/>
    <w:tmpl w:val="A2AAF996"/>
    <w:lvl w:ilvl="0">
      <w:numFmt w:val="bullet"/>
      <w:lvlText w:val="-"/>
      <w:lvlJc w:val="left"/>
      <w:pPr>
        <w:ind w:left="3408" w:hanging="284"/>
      </w:pPr>
      <w:rPr>
        <w:rFonts w:ascii="Calibri" w:eastAsiaTheme="minorEastAsia" w:hAnsi="Calibri" w:cs="Calibri" w:hint="default"/>
      </w:rPr>
    </w:lvl>
    <w:lvl w:ilvl="1">
      <w:start w:val="1"/>
      <w:numFmt w:val="bullet"/>
      <w:lvlRestart w:val="0"/>
      <w:lvlText w:val="–"/>
      <w:lvlJc w:val="left"/>
      <w:pPr>
        <w:ind w:left="3691" w:hanging="283"/>
      </w:pPr>
      <w:rPr>
        <w:rFonts w:ascii="Calibri" w:hAnsi="Calibri" w:hint="default"/>
      </w:rPr>
    </w:lvl>
    <w:lvl w:ilvl="2">
      <w:start w:val="1"/>
      <w:numFmt w:val="none"/>
      <w:lvlRestart w:val="0"/>
      <w:lvlText w:val=""/>
      <w:lvlJc w:val="left"/>
      <w:pPr>
        <w:ind w:left="3124" w:firstLine="0"/>
      </w:pPr>
      <w:rPr>
        <w:rFonts w:hint="default"/>
      </w:rPr>
    </w:lvl>
    <w:lvl w:ilvl="3">
      <w:start w:val="1"/>
      <w:numFmt w:val="none"/>
      <w:lvlRestart w:val="0"/>
      <w:lvlText w:val=""/>
      <w:lvlJc w:val="left"/>
      <w:pPr>
        <w:ind w:left="3124" w:firstLine="0"/>
      </w:pPr>
      <w:rPr>
        <w:rFonts w:hint="default"/>
      </w:rPr>
    </w:lvl>
    <w:lvl w:ilvl="4">
      <w:start w:val="1"/>
      <w:numFmt w:val="none"/>
      <w:lvlRestart w:val="0"/>
      <w:lvlText w:val=""/>
      <w:lvlJc w:val="left"/>
      <w:pPr>
        <w:ind w:left="3124" w:firstLine="0"/>
      </w:pPr>
      <w:rPr>
        <w:rFonts w:hint="default"/>
      </w:rPr>
    </w:lvl>
    <w:lvl w:ilvl="5">
      <w:start w:val="1"/>
      <w:numFmt w:val="none"/>
      <w:lvlRestart w:val="0"/>
      <w:lvlText w:val=""/>
      <w:lvlJc w:val="left"/>
      <w:pPr>
        <w:ind w:left="3124" w:firstLine="0"/>
      </w:pPr>
      <w:rPr>
        <w:rFonts w:hint="default"/>
      </w:rPr>
    </w:lvl>
    <w:lvl w:ilvl="6">
      <w:start w:val="1"/>
      <w:numFmt w:val="none"/>
      <w:lvlRestart w:val="0"/>
      <w:lvlText w:val=""/>
      <w:lvlJc w:val="left"/>
      <w:pPr>
        <w:ind w:left="3124" w:firstLine="0"/>
      </w:pPr>
      <w:rPr>
        <w:rFonts w:hint="default"/>
      </w:rPr>
    </w:lvl>
    <w:lvl w:ilvl="7">
      <w:start w:val="1"/>
      <w:numFmt w:val="none"/>
      <w:lvlRestart w:val="0"/>
      <w:lvlText w:val=""/>
      <w:lvlJc w:val="left"/>
      <w:pPr>
        <w:ind w:left="3124" w:firstLine="0"/>
      </w:pPr>
      <w:rPr>
        <w:rFonts w:hint="default"/>
      </w:rPr>
    </w:lvl>
    <w:lvl w:ilvl="8">
      <w:start w:val="1"/>
      <w:numFmt w:val="none"/>
      <w:lvlRestart w:val="0"/>
      <w:lvlText w:val=""/>
      <w:lvlJc w:val="left"/>
      <w:pPr>
        <w:ind w:left="3124" w:firstLine="0"/>
      </w:pPr>
      <w:rPr>
        <w:rFonts w:hint="default"/>
      </w:rPr>
    </w:lvl>
  </w:abstractNum>
  <w:abstractNum w:abstractNumId="4" w15:restartNumberingAfterBreak="0">
    <w:nsid w:val="28A57F0E"/>
    <w:multiLevelType w:val="multilevel"/>
    <w:tmpl w:val="10D8AEB2"/>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28D51B47"/>
    <w:multiLevelType w:val="multilevel"/>
    <w:tmpl w:val="4B4E7622"/>
    <w:numStyleLink w:val="ZZNumbers"/>
  </w:abstractNum>
  <w:abstractNum w:abstractNumId="6" w15:restartNumberingAfterBreak="0">
    <w:nsid w:val="32517FAF"/>
    <w:multiLevelType w:val="multilevel"/>
    <w:tmpl w:val="6CC68980"/>
    <w:lvl w:ilvl="0">
      <w:start w:val="1"/>
      <w:numFmt w:val="bullet"/>
      <w:lvlText w:val=""/>
      <w:lvlJc w:val="left"/>
      <w:pPr>
        <w:ind w:left="568" w:hanging="284"/>
      </w:pPr>
      <w:rPr>
        <w:rFonts w:ascii="Symbol" w:hAnsi="Symbol" w:hint="default"/>
      </w:rPr>
    </w:lvl>
    <w:lvl w:ilvl="1">
      <w:start w:val="1"/>
      <w:numFmt w:val="bullet"/>
      <w:lvlRestart w:val="0"/>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3FAD178B"/>
    <w:multiLevelType w:val="multilevel"/>
    <w:tmpl w:val="D8E4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E256F50"/>
    <w:multiLevelType w:val="multilevel"/>
    <w:tmpl w:val="4866C5A0"/>
    <w:lvl w:ilvl="0">
      <w:numFmt w:val="bullet"/>
      <w:lvlText w:val="-"/>
      <w:lvlJc w:val="left"/>
      <w:pPr>
        <w:ind w:left="852" w:hanging="284"/>
      </w:pPr>
      <w:rPr>
        <w:rFonts w:ascii="Calibri" w:eastAsiaTheme="minorEastAsia" w:hAnsi="Calibri" w:cs="Calibri" w:hint="default"/>
      </w:rPr>
    </w:lvl>
    <w:lvl w:ilvl="1">
      <w:start w:val="1"/>
      <w:numFmt w:val="bullet"/>
      <w:lvlRestart w:val="0"/>
      <w:lvlText w:val="–"/>
      <w:lvlJc w:val="left"/>
      <w:pPr>
        <w:ind w:left="1135" w:hanging="283"/>
      </w:pPr>
      <w:rPr>
        <w:rFonts w:ascii="Calibri" w:hAnsi="Calibri" w:hint="default"/>
      </w:rPr>
    </w:lvl>
    <w:lvl w:ilvl="2">
      <w:start w:val="1"/>
      <w:numFmt w:val="none"/>
      <w:lvlRestart w:val="0"/>
      <w:lvlText w:val=""/>
      <w:lvlJc w:val="left"/>
      <w:pPr>
        <w:ind w:left="568" w:firstLine="0"/>
      </w:pPr>
      <w:rPr>
        <w:rFonts w:hint="default"/>
      </w:rPr>
    </w:lvl>
    <w:lvl w:ilvl="3">
      <w:start w:val="1"/>
      <w:numFmt w:val="none"/>
      <w:lvlRestart w:val="0"/>
      <w:lvlText w:val=""/>
      <w:lvlJc w:val="left"/>
      <w:pPr>
        <w:ind w:left="568" w:firstLine="0"/>
      </w:pPr>
      <w:rPr>
        <w:rFonts w:hint="default"/>
      </w:rPr>
    </w:lvl>
    <w:lvl w:ilvl="4">
      <w:start w:val="1"/>
      <w:numFmt w:val="none"/>
      <w:lvlRestart w:val="0"/>
      <w:lvlText w:val=""/>
      <w:lvlJc w:val="left"/>
      <w:pPr>
        <w:ind w:left="568" w:firstLine="0"/>
      </w:pPr>
      <w:rPr>
        <w:rFonts w:hint="default"/>
      </w:rPr>
    </w:lvl>
    <w:lvl w:ilvl="5">
      <w:start w:val="1"/>
      <w:numFmt w:val="none"/>
      <w:lvlRestart w:val="0"/>
      <w:lvlText w:val=""/>
      <w:lvlJc w:val="left"/>
      <w:pPr>
        <w:ind w:left="568" w:firstLine="0"/>
      </w:pPr>
      <w:rPr>
        <w:rFonts w:hint="default"/>
      </w:rPr>
    </w:lvl>
    <w:lvl w:ilvl="6">
      <w:start w:val="1"/>
      <w:numFmt w:val="none"/>
      <w:lvlRestart w:val="0"/>
      <w:lvlText w:val=""/>
      <w:lvlJc w:val="left"/>
      <w:pPr>
        <w:ind w:left="568" w:firstLine="0"/>
      </w:pPr>
      <w:rPr>
        <w:rFonts w:hint="default"/>
      </w:rPr>
    </w:lvl>
    <w:lvl w:ilvl="7">
      <w:start w:val="1"/>
      <w:numFmt w:val="none"/>
      <w:lvlRestart w:val="0"/>
      <w:lvlText w:val=""/>
      <w:lvlJc w:val="left"/>
      <w:pPr>
        <w:ind w:left="568" w:firstLine="0"/>
      </w:pPr>
      <w:rPr>
        <w:rFonts w:hint="default"/>
      </w:rPr>
    </w:lvl>
    <w:lvl w:ilvl="8">
      <w:start w:val="1"/>
      <w:numFmt w:val="none"/>
      <w:lvlRestart w:val="0"/>
      <w:lvlText w:val=""/>
      <w:lvlJc w:val="left"/>
      <w:pPr>
        <w:ind w:left="568" w:firstLine="0"/>
      </w:pPr>
      <w:rPr>
        <w:rFonts w:hint="default"/>
      </w:rPr>
    </w:lvl>
  </w:abstractNum>
  <w:abstractNum w:abstractNumId="14" w15:restartNumberingAfterBreak="0">
    <w:nsid w:val="5EF77318"/>
    <w:multiLevelType w:val="multilevel"/>
    <w:tmpl w:val="6450BE6E"/>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711C08D4"/>
    <w:multiLevelType w:val="multilevel"/>
    <w:tmpl w:val="C6E0F16E"/>
    <w:lvl w:ilvl="0">
      <w:numFmt w:val="bullet"/>
      <w:lvlText w:val="-"/>
      <w:lvlJc w:val="left"/>
      <w:pPr>
        <w:ind w:left="852" w:hanging="284"/>
      </w:pPr>
      <w:rPr>
        <w:rFonts w:ascii="Calibri" w:eastAsiaTheme="minorEastAsia" w:hAnsi="Calibri" w:cs="Calibri" w:hint="default"/>
      </w:rPr>
    </w:lvl>
    <w:lvl w:ilvl="1">
      <w:start w:val="1"/>
      <w:numFmt w:val="bullet"/>
      <w:lvlRestart w:val="0"/>
      <w:lvlText w:val="–"/>
      <w:lvlJc w:val="left"/>
      <w:pPr>
        <w:ind w:left="1135" w:hanging="283"/>
      </w:pPr>
      <w:rPr>
        <w:rFonts w:ascii="Calibri" w:hAnsi="Calibri" w:hint="default"/>
      </w:rPr>
    </w:lvl>
    <w:lvl w:ilvl="2">
      <w:start w:val="1"/>
      <w:numFmt w:val="none"/>
      <w:lvlRestart w:val="0"/>
      <w:lvlText w:val=""/>
      <w:lvlJc w:val="left"/>
      <w:pPr>
        <w:ind w:left="568" w:firstLine="0"/>
      </w:pPr>
      <w:rPr>
        <w:rFonts w:hint="default"/>
      </w:rPr>
    </w:lvl>
    <w:lvl w:ilvl="3">
      <w:start w:val="1"/>
      <w:numFmt w:val="none"/>
      <w:lvlRestart w:val="0"/>
      <w:lvlText w:val=""/>
      <w:lvlJc w:val="left"/>
      <w:pPr>
        <w:ind w:left="568" w:firstLine="0"/>
      </w:pPr>
      <w:rPr>
        <w:rFonts w:hint="default"/>
      </w:rPr>
    </w:lvl>
    <w:lvl w:ilvl="4">
      <w:start w:val="1"/>
      <w:numFmt w:val="none"/>
      <w:lvlRestart w:val="0"/>
      <w:lvlText w:val=""/>
      <w:lvlJc w:val="left"/>
      <w:pPr>
        <w:ind w:left="568" w:firstLine="0"/>
      </w:pPr>
      <w:rPr>
        <w:rFonts w:hint="default"/>
      </w:rPr>
    </w:lvl>
    <w:lvl w:ilvl="5">
      <w:start w:val="1"/>
      <w:numFmt w:val="none"/>
      <w:lvlRestart w:val="0"/>
      <w:lvlText w:val=""/>
      <w:lvlJc w:val="left"/>
      <w:pPr>
        <w:ind w:left="568" w:firstLine="0"/>
      </w:pPr>
      <w:rPr>
        <w:rFonts w:hint="default"/>
      </w:rPr>
    </w:lvl>
    <w:lvl w:ilvl="6">
      <w:start w:val="1"/>
      <w:numFmt w:val="none"/>
      <w:lvlRestart w:val="0"/>
      <w:lvlText w:val=""/>
      <w:lvlJc w:val="left"/>
      <w:pPr>
        <w:ind w:left="568" w:firstLine="0"/>
      </w:pPr>
      <w:rPr>
        <w:rFonts w:hint="default"/>
      </w:rPr>
    </w:lvl>
    <w:lvl w:ilvl="7">
      <w:start w:val="1"/>
      <w:numFmt w:val="none"/>
      <w:lvlRestart w:val="0"/>
      <w:lvlText w:val=""/>
      <w:lvlJc w:val="left"/>
      <w:pPr>
        <w:ind w:left="568" w:firstLine="0"/>
      </w:pPr>
      <w:rPr>
        <w:rFonts w:hint="default"/>
      </w:rPr>
    </w:lvl>
    <w:lvl w:ilvl="8">
      <w:start w:val="1"/>
      <w:numFmt w:val="none"/>
      <w:lvlRestart w:val="0"/>
      <w:lvlText w:val=""/>
      <w:lvlJc w:val="left"/>
      <w:pPr>
        <w:ind w:left="568" w:firstLine="0"/>
      </w:pPr>
      <w:rPr>
        <w:rFonts w:hint="default"/>
      </w:rPr>
    </w:lvl>
  </w:abstractNum>
  <w:abstractNum w:abstractNumId="17" w15:restartNumberingAfterBreak="0">
    <w:nsid w:val="78E40D19"/>
    <w:multiLevelType w:val="multilevel"/>
    <w:tmpl w:val="4C7A3ACE"/>
    <w:lvl w:ilvl="0">
      <w:numFmt w:val="bullet"/>
      <w:lvlText w:val="-"/>
      <w:lvlJc w:val="left"/>
      <w:pPr>
        <w:ind w:left="1420" w:hanging="284"/>
      </w:pPr>
      <w:rPr>
        <w:rFonts w:ascii="Calibri" w:eastAsiaTheme="minorEastAsia" w:hAnsi="Calibri" w:cs="Calibri" w:hint="default"/>
      </w:rPr>
    </w:lvl>
    <w:lvl w:ilvl="1">
      <w:start w:val="1"/>
      <w:numFmt w:val="bullet"/>
      <w:lvlRestart w:val="0"/>
      <w:lvlText w:val="–"/>
      <w:lvlJc w:val="left"/>
      <w:pPr>
        <w:ind w:left="1703" w:hanging="283"/>
      </w:pPr>
      <w:rPr>
        <w:rFonts w:ascii="Calibri" w:hAnsi="Calibri" w:hint="default"/>
      </w:rPr>
    </w:lvl>
    <w:lvl w:ilvl="2">
      <w:start w:val="1"/>
      <w:numFmt w:val="none"/>
      <w:lvlRestart w:val="0"/>
      <w:lvlText w:val=""/>
      <w:lvlJc w:val="left"/>
      <w:pPr>
        <w:ind w:left="1136" w:firstLine="0"/>
      </w:pPr>
      <w:rPr>
        <w:rFonts w:hint="default"/>
      </w:rPr>
    </w:lvl>
    <w:lvl w:ilvl="3">
      <w:start w:val="1"/>
      <w:numFmt w:val="none"/>
      <w:lvlRestart w:val="0"/>
      <w:lvlText w:val=""/>
      <w:lvlJc w:val="left"/>
      <w:pPr>
        <w:ind w:left="1136" w:firstLine="0"/>
      </w:pPr>
      <w:rPr>
        <w:rFonts w:hint="default"/>
      </w:rPr>
    </w:lvl>
    <w:lvl w:ilvl="4">
      <w:start w:val="1"/>
      <w:numFmt w:val="none"/>
      <w:lvlRestart w:val="0"/>
      <w:lvlText w:val=""/>
      <w:lvlJc w:val="left"/>
      <w:pPr>
        <w:ind w:left="1136" w:firstLine="0"/>
      </w:pPr>
      <w:rPr>
        <w:rFonts w:hint="default"/>
      </w:rPr>
    </w:lvl>
    <w:lvl w:ilvl="5">
      <w:start w:val="1"/>
      <w:numFmt w:val="none"/>
      <w:lvlRestart w:val="0"/>
      <w:lvlText w:val=""/>
      <w:lvlJc w:val="left"/>
      <w:pPr>
        <w:ind w:left="1136" w:firstLine="0"/>
      </w:pPr>
      <w:rPr>
        <w:rFonts w:hint="default"/>
      </w:rPr>
    </w:lvl>
    <w:lvl w:ilvl="6">
      <w:start w:val="1"/>
      <w:numFmt w:val="none"/>
      <w:lvlRestart w:val="0"/>
      <w:lvlText w:val=""/>
      <w:lvlJc w:val="left"/>
      <w:pPr>
        <w:ind w:left="1136" w:firstLine="0"/>
      </w:pPr>
      <w:rPr>
        <w:rFonts w:hint="default"/>
      </w:rPr>
    </w:lvl>
    <w:lvl w:ilvl="7">
      <w:start w:val="1"/>
      <w:numFmt w:val="none"/>
      <w:lvlRestart w:val="0"/>
      <w:lvlText w:val=""/>
      <w:lvlJc w:val="left"/>
      <w:pPr>
        <w:ind w:left="1136" w:firstLine="0"/>
      </w:pPr>
      <w:rPr>
        <w:rFonts w:hint="default"/>
      </w:rPr>
    </w:lvl>
    <w:lvl w:ilvl="8">
      <w:start w:val="1"/>
      <w:numFmt w:val="none"/>
      <w:lvlRestart w:val="0"/>
      <w:lvlText w:val=""/>
      <w:lvlJc w:val="left"/>
      <w:pPr>
        <w:ind w:left="1136" w:firstLine="0"/>
      </w:pPr>
      <w:rPr>
        <w:rFonts w:hint="default"/>
      </w:rPr>
    </w:lvl>
  </w:abstractNum>
  <w:num w:numId="1">
    <w:abstractNumId w:val="8"/>
  </w:num>
  <w:num w:numId="2">
    <w:abstractNumId w:val="12"/>
  </w:num>
  <w:num w:numId="3">
    <w:abstractNumId w:val="11"/>
  </w:num>
  <w:num w:numId="4">
    <w:abstractNumId w:val="15"/>
  </w:num>
  <w:num w:numId="5">
    <w:abstractNumId w:val="9"/>
  </w:num>
  <w:num w:numId="6">
    <w:abstractNumId w:val="1"/>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
  </w:num>
  <w:num w:numId="11">
    <w:abstractNumId w:val="17"/>
  </w:num>
  <w:num w:numId="12">
    <w:abstractNumId w:val="13"/>
  </w:num>
  <w:num w:numId="13">
    <w:abstractNumId w:val="16"/>
  </w:num>
  <w:num w:numId="14">
    <w:abstractNumId w:val="4"/>
  </w:num>
  <w:num w:numId="15">
    <w:abstractNumId w:val="10"/>
  </w:num>
  <w:num w:numId="16">
    <w:abstractNumId w:val="2"/>
  </w:num>
  <w:num w:numId="17">
    <w:abstractNumId w:val="0"/>
  </w:num>
  <w:num w:numId="18">
    <w:abstractNumId w:val="6"/>
  </w:num>
  <w:num w:numId="1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15"/>
    <w:rsid w:val="00000719"/>
    <w:rsid w:val="00002D68"/>
    <w:rsid w:val="000033F7"/>
    <w:rsid w:val="00003403"/>
    <w:rsid w:val="00003E2D"/>
    <w:rsid w:val="000044C0"/>
    <w:rsid w:val="00004CF5"/>
    <w:rsid w:val="00005347"/>
    <w:rsid w:val="000072B6"/>
    <w:rsid w:val="00007B91"/>
    <w:rsid w:val="0001021B"/>
    <w:rsid w:val="00011A2C"/>
    <w:rsid w:val="00011D70"/>
    <w:rsid w:val="00011D89"/>
    <w:rsid w:val="000123DA"/>
    <w:rsid w:val="0001242E"/>
    <w:rsid w:val="000132F4"/>
    <w:rsid w:val="00015004"/>
    <w:rsid w:val="000154FD"/>
    <w:rsid w:val="00015E18"/>
    <w:rsid w:val="00016F9B"/>
    <w:rsid w:val="00017831"/>
    <w:rsid w:val="00017EF3"/>
    <w:rsid w:val="00020072"/>
    <w:rsid w:val="00021646"/>
    <w:rsid w:val="000220C9"/>
    <w:rsid w:val="00022258"/>
    <w:rsid w:val="00022271"/>
    <w:rsid w:val="0002270F"/>
    <w:rsid w:val="000235E8"/>
    <w:rsid w:val="00023615"/>
    <w:rsid w:val="00024D89"/>
    <w:rsid w:val="000250B6"/>
    <w:rsid w:val="00025980"/>
    <w:rsid w:val="00025A3A"/>
    <w:rsid w:val="0002670F"/>
    <w:rsid w:val="000272CE"/>
    <w:rsid w:val="00027A3D"/>
    <w:rsid w:val="00030CDD"/>
    <w:rsid w:val="0003277C"/>
    <w:rsid w:val="000334A9"/>
    <w:rsid w:val="000335E8"/>
    <w:rsid w:val="00033D81"/>
    <w:rsid w:val="00033DC9"/>
    <w:rsid w:val="0003417D"/>
    <w:rsid w:val="00034CCA"/>
    <w:rsid w:val="00037366"/>
    <w:rsid w:val="00037585"/>
    <w:rsid w:val="0003777F"/>
    <w:rsid w:val="00037984"/>
    <w:rsid w:val="00037D64"/>
    <w:rsid w:val="00040006"/>
    <w:rsid w:val="000402E7"/>
    <w:rsid w:val="000405C7"/>
    <w:rsid w:val="00041BF0"/>
    <w:rsid w:val="00041E57"/>
    <w:rsid w:val="00042561"/>
    <w:rsid w:val="00042802"/>
    <w:rsid w:val="00042AC7"/>
    <w:rsid w:val="00042C8A"/>
    <w:rsid w:val="000436BF"/>
    <w:rsid w:val="00043BF2"/>
    <w:rsid w:val="000443F3"/>
    <w:rsid w:val="0004536B"/>
    <w:rsid w:val="000453AF"/>
    <w:rsid w:val="00046B68"/>
    <w:rsid w:val="00046D24"/>
    <w:rsid w:val="00046EAF"/>
    <w:rsid w:val="00046F8E"/>
    <w:rsid w:val="0004723A"/>
    <w:rsid w:val="000474E2"/>
    <w:rsid w:val="00051035"/>
    <w:rsid w:val="00051E1E"/>
    <w:rsid w:val="0005273F"/>
    <w:rsid w:val="000527DD"/>
    <w:rsid w:val="00053C22"/>
    <w:rsid w:val="000544E2"/>
    <w:rsid w:val="000558D5"/>
    <w:rsid w:val="00056C32"/>
    <w:rsid w:val="00056EC4"/>
    <w:rsid w:val="0005705B"/>
    <w:rsid w:val="000578B2"/>
    <w:rsid w:val="00057BFD"/>
    <w:rsid w:val="00060959"/>
    <w:rsid w:val="000609B7"/>
    <w:rsid w:val="00060C8F"/>
    <w:rsid w:val="00060D86"/>
    <w:rsid w:val="00061B82"/>
    <w:rsid w:val="000623EB"/>
    <w:rsid w:val="0006298A"/>
    <w:rsid w:val="000634FA"/>
    <w:rsid w:val="00063C0C"/>
    <w:rsid w:val="000642FF"/>
    <w:rsid w:val="000657E6"/>
    <w:rsid w:val="000663CD"/>
    <w:rsid w:val="00066D60"/>
    <w:rsid w:val="00067B0F"/>
    <w:rsid w:val="00067FCE"/>
    <w:rsid w:val="0007203F"/>
    <w:rsid w:val="000733FE"/>
    <w:rsid w:val="0007398D"/>
    <w:rsid w:val="00073D1A"/>
    <w:rsid w:val="00074219"/>
    <w:rsid w:val="00074ED5"/>
    <w:rsid w:val="00075C14"/>
    <w:rsid w:val="00076518"/>
    <w:rsid w:val="00076E4D"/>
    <w:rsid w:val="00077C17"/>
    <w:rsid w:val="000810C5"/>
    <w:rsid w:val="0008204A"/>
    <w:rsid w:val="00083018"/>
    <w:rsid w:val="00084058"/>
    <w:rsid w:val="0008508E"/>
    <w:rsid w:val="00085115"/>
    <w:rsid w:val="00085A09"/>
    <w:rsid w:val="00085EC3"/>
    <w:rsid w:val="000864B0"/>
    <w:rsid w:val="00086DC5"/>
    <w:rsid w:val="0008787C"/>
    <w:rsid w:val="00087951"/>
    <w:rsid w:val="00087FFC"/>
    <w:rsid w:val="000900B4"/>
    <w:rsid w:val="0009113B"/>
    <w:rsid w:val="0009207B"/>
    <w:rsid w:val="00092D9A"/>
    <w:rsid w:val="00092DA0"/>
    <w:rsid w:val="00093227"/>
    <w:rsid w:val="00093402"/>
    <w:rsid w:val="00093C15"/>
    <w:rsid w:val="00094DA3"/>
    <w:rsid w:val="0009594F"/>
    <w:rsid w:val="00095DAA"/>
    <w:rsid w:val="00096925"/>
    <w:rsid w:val="00096CD1"/>
    <w:rsid w:val="000A012C"/>
    <w:rsid w:val="000A0195"/>
    <w:rsid w:val="000A0B5E"/>
    <w:rsid w:val="000A0EB9"/>
    <w:rsid w:val="000A1249"/>
    <w:rsid w:val="000A186C"/>
    <w:rsid w:val="000A1EA4"/>
    <w:rsid w:val="000A1F87"/>
    <w:rsid w:val="000A2476"/>
    <w:rsid w:val="000A28A4"/>
    <w:rsid w:val="000A30EB"/>
    <w:rsid w:val="000A4B7C"/>
    <w:rsid w:val="000A50D7"/>
    <w:rsid w:val="000A59C1"/>
    <w:rsid w:val="000A641A"/>
    <w:rsid w:val="000A73A5"/>
    <w:rsid w:val="000B079D"/>
    <w:rsid w:val="000B3384"/>
    <w:rsid w:val="000B34B8"/>
    <w:rsid w:val="000B35F2"/>
    <w:rsid w:val="000B3EDB"/>
    <w:rsid w:val="000B5266"/>
    <w:rsid w:val="000B543D"/>
    <w:rsid w:val="000B55F9"/>
    <w:rsid w:val="000B5BF7"/>
    <w:rsid w:val="000B678B"/>
    <w:rsid w:val="000B6BC8"/>
    <w:rsid w:val="000B728B"/>
    <w:rsid w:val="000C0303"/>
    <w:rsid w:val="000C1045"/>
    <w:rsid w:val="000C31C2"/>
    <w:rsid w:val="000C38D5"/>
    <w:rsid w:val="000C42EA"/>
    <w:rsid w:val="000C4546"/>
    <w:rsid w:val="000C4548"/>
    <w:rsid w:val="000C5390"/>
    <w:rsid w:val="000C5501"/>
    <w:rsid w:val="000C5EBF"/>
    <w:rsid w:val="000C6C1E"/>
    <w:rsid w:val="000C7429"/>
    <w:rsid w:val="000C7552"/>
    <w:rsid w:val="000D1242"/>
    <w:rsid w:val="000D14CB"/>
    <w:rsid w:val="000D27AE"/>
    <w:rsid w:val="000D2ABA"/>
    <w:rsid w:val="000D3334"/>
    <w:rsid w:val="000D4081"/>
    <w:rsid w:val="000D4B4B"/>
    <w:rsid w:val="000D5A59"/>
    <w:rsid w:val="000D5B81"/>
    <w:rsid w:val="000D6CC8"/>
    <w:rsid w:val="000D7794"/>
    <w:rsid w:val="000D79BE"/>
    <w:rsid w:val="000E0970"/>
    <w:rsid w:val="000E23D1"/>
    <w:rsid w:val="000E3CC7"/>
    <w:rsid w:val="000E421A"/>
    <w:rsid w:val="000E4700"/>
    <w:rsid w:val="000E5795"/>
    <w:rsid w:val="000E6650"/>
    <w:rsid w:val="000E6BD4"/>
    <w:rsid w:val="000E6BFA"/>
    <w:rsid w:val="000E6D6D"/>
    <w:rsid w:val="000F0239"/>
    <w:rsid w:val="000F105B"/>
    <w:rsid w:val="000F1F1E"/>
    <w:rsid w:val="000F2259"/>
    <w:rsid w:val="000F2421"/>
    <w:rsid w:val="000F2DDA"/>
    <w:rsid w:val="000F2EA0"/>
    <w:rsid w:val="000F3539"/>
    <w:rsid w:val="000F458F"/>
    <w:rsid w:val="000F5213"/>
    <w:rsid w:val="000F5A35"/>
    <w:rsid w:val="000F5A58"/>
    <w:rsid w:val="000F616F"/>
    <w:rsid w:val="000F69BC"/>
    <w:rsid w:val="000F6FCA"/>
    <w:rsid w:val="000F7D37"/>
    <w:rsid w:val="00101001"/>
    <w:rsid w:val="0010102B"/>
    <w:rsid w:val="001011B9"/>
    <w:rsid w:val="00101726"/>
    <w:rsid w:val="001023A9"/>
    <w:rsid w:val="00103276"/>
    <w:rsid w:val="0010392D"/>
    <w:rsid w:val="00103E86"/>
    <w:rsid w:val="0010424F"/>
    <w:rsid w:val="0010447F"/>
    <w:rsid w:val="00104FE3"/>
    <w:rsid w:val="00105934"/>
    <w:rsid w:val="00106061"/>
    <w:rsid w:val="00106AD3"/>
    <w:rsid w:val="00106B78"/>
    <w:rsid w:val="0010714F"/>
    <w:rsid w:val="0010756B"/>
    <w:rsid w:val="0010791A"/>
    <w:rsid w:val="00107DB4"/>
    <w:rsid w:val="0011056A"/>
    <w:rsid w:val="001120C5"/>
    <w:rsid w:val="0011254C"/>
    <w:rsid w:val="00114008"/>
    <w:rsid w:val="00114832"/>
    <w:rsid w:val="0011614D"/>
    <w:rsid w:val="001167BD"/>
    <w:rsid w:val="00116BA8"/>
    <w:rsid w:val="00120BD3"/>
    <w:rsid w:val="00120DB1"/>
    <w:rsid w:val="00121AAF"/>
    <w:rsid w:val="001224BD"/>
    <w:rsid w:val="00122FEA"/>
    <w:rsid w:val="001232BD"/>
    <w:rsid w:val="00123C36"/>
    <w:rsid w:val="00124833"/>
    <w:rsid w:val="00124ED5"/>
    <w:rsid w:val="00126272"/>
    <w:rsid w:val="001262FF"/>
    <w:rsid w:val="00127462"/>
    <w:rsid w:val="001276FA"/>
    <w:rsid w:val="00130073"/>
    <w:rsid w:val="00130C76"/>
    <w:rsid w:val="0013205E"/>
    <w:rsid w:val="00132B58"/>
    <w:rsid w:val="00133ABF"/>
    <w:rsid w:val="00133C02"/>
    <w:rsid w:val="001376B5"/>
    <w:rsid w:val="00137AB1"/>
    <w:rsid w:val="001407FF"/>
    <w:rsid w:val="001408FF"/>
    <w:rsid w:val="0014098F"/>
    <w:rsid w:val="00142F39"/>
    <w:rsid w:val="0014317F"/>
    <w:rsid w:val="0014334C"/>
    <w:rsid w:val="00143C03"/>
    <w:rsid w:val="001447B3"/>
    <w:rsid w:val="001448EF"/>
    <w:rsid w:val="0014558C"/>
    <w:rsid w:val="00146472"/>
    <w:rsid w:val="00152073"/>
    <w:rsid w:val="00152329"/>
    <w:rsid w:val="00153481"/>
    <w:rsid w:val="0015383E"/>
    <w:rsid w:val="00153BBA"/>
    <w:rsid w:val="0015404B"/>
    <w:rsid w:val="001562F6"/>
    <w:rsid w:val="00156598"/>
    <w:rsid w:val="00156703"/>
    <w:rsid w:val="00157305"/>
    <w:rsid w:val="00157FC9"/>
    <w:rsid w:val="001605BA"/>
    <w:rsid w:val="00161463"/>
    <w:rsid w:val="00161939"/>
    <w:rsid w:val="00161AA0"/>
    <w:rsid w:val="00161D2E"/>
    <w:rsid w:val="00161F3E"/>
    <w:rsid w:val="00162093"/>
    <w:rsid w:val="00162391"/>
    <w:rsid w:val="001623C3"/>
    <w:rsid w:val="00162561"/>
    <w:rsid w:val="00162CA9"/>
    <w:rsid w:val="001646C7"/>
    <w:rsid w:val="0016526D"/>
    <w:rsid w:val="00165459"/>
    <w:rsid w:val="00165A57"/>
    <w:rsid w:val="001664DD"/>
    <w:rsid w:val="00166AA4"/>
    <w:rsid w:val="00167C2B"/>
    <w:rsid w:val="00167FE4"/>
    <w:rsid w:val="00170950"/>
    <w:rsid w:val="00171079"/>
    <w:rsid w:val="001712C2"/>
    <w:rsid w:val="001717A3"/>
    <w:rsid w:val="00172A3B"/>
    <w:rsid w:val="00172BAF"/>
    <w:rsid w:val="00172DF2"/>
    <w:rsid w:val="00174AC4"/>
    <w:rsid w:val="00175668"/>
    <w:rsid w:val="0017674D"/>
    <w:rsid w:val="00176AAA"/>
    <w:rsid w:val="001771DD"/>
    <w:rsid w:val="00177995"/>
    <w:rsid w:val="00177A8C"/>
    <w:rsid w:val="00177B1A"/>
    <w:rsid w:val="00181023"/>
    <w:rsid w:val="00181B1C"/>
    <w:rsid w:val="00182184"/>
    <w:rsid w:val="0018244E"/>
    <w:rsid w:val="00183310"/>
    <w:rsid w:val="00183953"/>
    <w:rsid w:val="00185D9C"/>
    <w:rsid w:val="00186B33"/>
    <w:rsid w:val="001871EC"/>
    <w:rsid w:val="00187AE6"/>
    <w:rsid w:val="00187B53"/>
    <w:rsid w:val="00192B0A"/>
    <w:rsid w:val="00192D16"/>
    <w:rsid w:val="00192DDE"/>
    <w:rsid w:val="00192F9D"/>
    <w:rsid w:val="0019481C"/>
    <w:rsid w:val="00194857"/>
    <w:rsid w:val="001965C5"/>
    <w:rsid w:val="001969B0"/>
    <w:rsid w:val="00196EB8"/>
    <w:rsid w:val="00196EFB"/>
    <w:rsid w:val="001976AF"/>
    <w:rsid w:val="001979FF"/>
    <w:rsid w:val="00197B17"/>
    <w:rsid w:val="001A1950"/>
    <w:rsid w:val="001A1C54"/>
    <w:rsid w:val="001A222F"/>
    <w:rsid w:val="001A27D7"/>
    <w:rsid w:val="001A283A"/>
    <w:rsid w:val="001A2F0F"/>
    <w:rsid w:val="001A3387"/>
    <w:rsid w:val="001A3ACE"/>
    <w:rsid w:val="001A3F9D"/>
    <w:rsid w:val="001A4052"/>
    <w:rsid w:val="001A4D7D"/>
    <w:rsid w:val="001A544B"/>
    <w:rsid w:val="001A55A8"/>
    <w:rsid w:val="001A57AD"/>
    <w:rsid w:val="001A6272"/>
    <w:rsid w:val="001A792E"/>
    <w:rsid w:val="001B058F"/>
    <w:rsid w:val="001B064B"/>
    <w:rsid w:val="001B1567"/>
    <w:rsid w:val="001B1EFE"/>
    <w:rsid w:val="001B291A"/>
    <w:rsid w:val="001B31D5"/>
    <w:rsid w:val="001B348C"/>
    <w:rsid w:val="001B49A7"/>
    <w:rsid w:val="001B4B1E"/>
    <w:rsid w:val="001B64C4"/>
    <w:rsid w:val="001B6B96"/>
    <w:rsid w:val="001B738B"/>
    <w:rsid w:val="001B7B29"/>
    <w:rsid w:val="001B7EFB"/>
    <w:rsid w:val="001C09DB"/>
    <w:rsid w:val="001C14AE"/>
    <w:rsid w:val="001C277E"/>
    <w:rsid w:val="001C2A72"/>
    <w:rsid w:val="001C31B7"/>
    <w:rsid w:val="001C39EB"/>
    <w:rsid w:val="001C47B7"/>
    <w:rsid w:val="001C64D1"/>
    <w:rsid w:val="001C6FC3"/>
    <w:rsid w:val="001D0B75"/>
    <w:rsid w:val="001D0EBA"/>
    <w:rsid w:val="001D1EDC"/>
    <w:rsid w:val="001D330A"/>
    <w:rsid w:val="001D39A5"/>
    <w:rsid w:val="001D3C09"/>
    <w:rsid w:val="001D3FA3"/>
    <w:rsid w:val="001D44E8"/>
    <w:rsid w:val="001D46AC"/>
    <w:rsid w:val="001D492D"/>
    <w:rsid w:val="001D4A14"/>
    <w:rsid w:val="001D4E41"/>
    <w:rsid w:val="001D515B"/>
    <w:rsid w:val="001D5A53"/>
    <w:rsid w:val="001D5CA2"/>
    <w:rsid w:val="001D5CF3"/>
    <w:rsid w:val="001D60EC"/>
    <w:rsid w:val="001D6F59"/>
    <w:rsid w:val="001D7672"/>
    <w:rsid w:val="001E05FB"/>
    <w:rsid w:val="001E0A78"/>
    <w:rsid w:val="001E0DE6"/>
    <w:rsid w:val="001E163D"/>
    <w:rsid w:val="001E1AFB"/>
    <w:rsid w:val="001E1E7D"/>
    <w:rsid w:val="001E227C"/>
    <w:rsid w:val="001E27DF"/>
    <w:rsid w:val="001E3403"/>
    <w:rsid w:val="001E3614"/>
    <w:rsid w:val="001E3E1D"/>
    <w:rsid w:val="001E3E21"/>
    <w:rsid w:val="001E42C0"/>
    <w:rsid w:val="001E44DF"/>
    <w:rsid w:val="001E4F73"/>
    <w:rsid w:val="001E6365"/>
    <w:rsid w:val="001E652F"/>
    <w:rsid w:val="001E68A5"/>
    <w:rsid w:val="001E6AB4"/>
    <w:rsid w:val="001E6BB0"/>
    <w:rsid w:val="001E7282"/>
    <w:rsid w:val="001F1023"/>
    <w:rsid w:val="001F1265"/>
    <w:rsid w:val="001F2FF4"/>
    <w:rsid w:val="001F3826"/>
    <w:rsid w:val="001F51ED"/>
    <w:rsid w:val="001F5DEA"/>
    <w:rsid w:val="001F6B60"/>
    <w:rsid w:val="001F6E46"/>
    <w:rsid w:val="001F6FE2"/>
    <w:rsid w:val="001F7C91"/>
    <w:rsid w:val="00200B08"/>
    <w:rsid w:val="00201D39"/>
    <w:rsid w:val="002033B7"/>
    <w:rsid w:val="0020416F"/>
    <w:rsid w:val="00204563"/>
    <w:rsid w:val="002049C8"/>
    <w:rsid w:val="00204C6A"/>
    <w:rsid w:val="00205040"/>
    <w:rsid w:val="00205392"/>
    <w:rsid w:val="00206463"/>
    <w:rsid w:val="00206F2F"/>
    <w:rsid w:val="00207408"/>
    <w:rsid w:val="00207717"/>
    <w:rsid w:val="0021053D"/>
    <w:rsid w:val="00210A92"/>
    <w:rsid w:val="0021182F"/>
    <w:rsid w:val="00212B4A"/>
    <w:rsid w:val="00212B95"/>
    <w:rsid w:val="00212F0B"/>
    <w:rsid w:val="002147E0"/>
    <w:rsid w:val="00214947"/>
    <w:rsid w:val="00215CC8"/>
    <w:rsid w:val="00216C03"/>
    <w:rsid w:val="0022006C"/>
    <w:rsid w:val="00220A1A"/>
    <w:rsid w:val="00220C04"/>
    <w:rsid w:val="002210A1"/>
    <w:rsid w:val="002226FE"/>
    <w:rsid w:val="0022278D"/>
    <w:rsid w:val="00222D6F"/>
    <w:rsid w:val="00223447"/>
    <w:rsid w:val="002234E1"/>
    <w:rsid w:val="00223E2A"/>
    <w:rsid w:val="00224415"/>
    <w:rsid w:val="00224B41"/>
    <w:rsid w:val="00225427"/>
    <w:rsid w:val="00225614"/>
    <w:rsid w:val="00225EFF"/>
    <w:rsid w:val="0022624E"/>
    <w:rsid w:val="00226A31"/>
    <w:rsid w:val="00226C8B"/>
    <w:rsid w:val="0022701F"/>
    <w:rsid w:val="00227C68"/>
    <w:rsid w:val="002303E7"/>
    <w:rsid w:val="00231BD6"/>
    <w:rsid w:val="002324DD"/>
    <w:rsid w:val="002333F5"/>
    <w:rsid w:val="00233724"/>
    <w:rsid w:val="00233B6A"/>
    <w:rsid w:val="002345EC"/>
    <w:rsid w:val="002359E5"/>
    <w:rsid w:val="002365B4"/>
    <w:rsid w:val="00236DDC"/>
    <w:rsid w:val="00241D53"/>
    <w:rsid w:val="002432E1"/>
    <w:rsid w:val="002435EB"/>
    <w:rsid w:val="0024417E"/>
    <w:rsid w:val="0024494C"/>
    <w:rsid w:val="00244990"/>
    <w:rsid w:val="00244C82"/>
    <w:rsid w:val="00244E07"/>
    <w:rsid w:val="00245683"/>
    <w:rsid w:val="00246207"/>
    <w:rsid w:val="00246C5E"/>
    <w:rsid w:val="002477BF"/>
    <w:rsid w:val="00250891"/>
    <w:rsid w:val="00250960"/>
    <w:rsid w:val="00251343"/>
    <w:rsid w:val="00251B39"/>
    <w:rsid w:val="00252C94"/>
    <w:rsid w:val="00252F46"/>
    <w:rsid w:val="002536A4"/>
    <w:rsid w:val="00254330"/>
    <w:rsid w:val="00254872"/>
    <w:rsid w:val="00254F58"/>
    <w:rsid w:val="00255A84"/>
    <w:rsid w:val="00256B03"/>
    <w:rsid w:val="00257C74"/>
    <w:rsid w:val="00260E89"/>
    <w:rsid w:val="002614AA"/>
    <w:rsid w:val="00261A41"/>
    <w:rsid w:val="00261CBD"/>
    <w:rsid w:val="00261E4B"/>
    <w:rsid w:val="002620BC"/>
    <w:rsid w:val="00262802"/>
    <w:rsid w:val="00263374"/>
    <w:rsid w:val="00263A90"/>
    <w:rsid w:val="0026408B"/>
    <w:rsid w:val="00264493"/>
    <w:rsid w:val="0026451B"/>
    <w:rsid w:val="00264D50"/>
    <w:rsid w:val="00266783"/>
    <w:rsid w:val="002670D8"/>
    <w:rsid w:val="002674AB"/>
    <w:rsid w:val="002677AB"/>
    <w:rsid w:val="00267C3E"/>
    <w:rsid w:val="002709BB"/>
    <w:rsid w:val="0027131C"/>
    <w:rsid w:val="00271625"/>
    <w:rsid w:val="00272683"/>
    <w:rsid w:val="00272940"/>
    <w:rsid w:val="00273BAC"/>
    <w:rsid w:val="0027411A"/>
    <w:rsid w:val="00274200"/>
    <w:rsid w:val="002747CC"/>
    <w:rsid w:val="002763B3"/>
    <w:rsid w:val="002765CA"/>
    <w:rsid w:val="002769B5"/>
    <w:rsid w:val="00276A13"/>
    <w:rsid w:val="002802E3"/>
    <w:rsid w:val="00280FFB"/>
    <w:rsid w:val="0028142D"/>
    <w:rsid w:val="0028192B"/>
    <w:rsid w:val="00281C60"/>
    <w:rsid w:val="0028213D"/>
    <w:rsid w:val="00282CE8"/>
    <w:rsid w:val="00283224"/>
    <w:rsid w:val="002836F2"/>
    <w:rsid w:val="00283CCD"/>
    <w:rsid w:val="00284326"/>
    <w:rsid w:val="002843FD"/>
    <w:rsid w:val="00284A64"/>
    <w:rsid w:val="002862F1"/>
    <w:rsid w:val="00286374"/>
    <w:rsid w:val="00286B1F"/>
    <w:rsid w:val="002872A3"/>
    <w:rsid w:val="002902F2"/>
    <w:rsid w:val="00291373"/>
    <w:rsid w:val="00291407"/>
    <w:rsid w:val="00291480"/>
    <w:rsid w:val="00291912"/>
    <w:rsid w:val="002920E6"/>
    <w:rsid w:val="002930D3"/>
    <w:rsid w:val="00293C48"/>
    <w:rsid w:val="0029475B"/>
    <w:rsid w:val="0029597D"/>
    <w:rsid w:val="002962C3"/>
    <w:rsid w:val="0029752B"/>
    <w:rsid w:val="002A05F7"/>
    <w:rsid w:val="002A0985"/>
    <w:rsid w:val="002A0A9C"/>
    <w:rsid w:val="002A0F92"/>
    <w:rsid w:val="002A1235"/>
    <w:rsid w:val="002A28E7"/>
    <w:rsid w:val="002A483C"/>
    <w:rsid w:val="002A5C29"/>
    <w:rsid w:val="002B0C7C"/>
    <w:rsid w:val="002B0E34"/>
    <w:rsid w:val="002B0FFA"/>
    <w:rsid w:val="002B1016"/>
    <w:rsid w:val="002B1136"/>
    <w:rsid w:val="002B1729"/>
    <w:rsid w:val="002B19B1"/>
    <w:rsid w:val="002B1B79"/>
    <w:rsid w:val="002B24D3"/>
    <w:rsid w:val="002B27B2"/>
    <w:rsid w:val="002B36C7"/>
    <w:rsid w:val="002B3BCE"/>
    <w:rsid w:val="002B4DD4"/>
    <w:rsid w:val="002B4F42"/>
    <w:rsid w:val="002B5277"/>
    <w:rsid w:val="002B5375"/>
    <w:rsid w:val="002B5BB3"/>
    <w:rsid w:val="002B62D6"/>
    <w:rsid w:val="002B77C1"/>
    <w:rsid w:val="002B7E08"/>
    <w:rsid w:val="002C0ED7"/>
    <w:rsid w:val="002C1E09"/>
    <w:rsid w:val="002C2601"/>
    <w:rsid w:val="002C2728"/>
    <w:rsid w:val="002C2ACA"/>
    <w:rsid w:val="002C2FED"/>
    <w:rsid w:val="002C3E04"/>
    <w:rsid w:val="002C4DA1"/>
    <w:rsid w:val="002C5B7C"/>
    <w:rsid w:val="002C7DD8"/>
    <w:rsid w:val="002D0633"/>
    <w:rsid w:val="002D0793"/>
    <w:rsid w:val="002D1E0D"/>
    <w:rsid w:val="002D2BBE"/>
    <w:rsid w:val="002D5006"/>
    <w:rsid w:val="002D6C87"/>
    <w:rsid w:val="002D7863"/>
    <w:rsid w:val="002D7C61"/>
    <w:rsid w:val="002E01D0"/>
    <w:rsid w:val="002E0602"/>
    <w:rsid w:val="002E092F"/>
    <w:rsid w:val="002E11B1"/>
    <w:rsid w:val="002E1365"/>
    <w:rsid w:val="002E161D"/>
    <w:rsid w:val="002E1669"/>
    <w:rsid w:val="002E1782"/>
    <w:rsid w:val="002E1DCC"/>
    <w:rsid w:val="002E278F"/>
    <w:rsid w:val="002E28A2"/>
    <w:rsid w:val="002E3100"/>
    <w:rsid w:val="002E4EA4"/>
    <w:rsid w:val="002E5296"/>
    <w:rsid w:val="002E5570"/>
    <w:rsid w:val="002E5869"/>
    <w:rsid w:val="002E5B64"/>
    <w:rsid w:val="002E65F2"/>
    <w:rsid w:val="002E6BA6"/>
    <w:rsid w:val="002E6C95"/>
    <w:rsid w:val="002E7C36"/>
    <w:rsid w:val="002F0AA7"/>
    <w:rsid w:val="002F29D5"/>
    <w:rsid w:val="002F2F50"/>
    <w:rsid w:val="002F33BD"/>
    <w:rsid w:val="002F3890"/>
    <w:rsid w:val="002F3BEE"/>
    <w:rsid w:val="002F3D32"/>
    <w:rsid w:val="002F5F2A"/>
    <w:rsid w:val="002F5F31"/>
    <w:rsid w:val="002F5F46"/>
    <w:rsid w:val="002F67C8"/>
    <w:rsid w:val="002F6C7A"/>
    <w:rsid w:val="002F7021"/>
    <w:rsid w:val="002F711B"/>
    <w:rsid w:val="002F794E"/>
    <w:rsid w:val="002F79F3"/>
    <w:rsid w:val="00301DF3"/>
    <w:rsid w:val="00302216"/>
    <w:rsid w:val="0030238A"/>
    <w:rsid w:val="003025DE"/>
    <w:rsid w:val="00303751"/>
    <w:rsid w:val="00303E53"/>
    <w:rsid w:val="00305CC1"/>
    <w:rsid w:val="0030695C"/>
    <w:rsid w:val="00306E5F"/>
    <w:rsid w:val="00307E14"/>
    <w:rsid w:val="00312780"/>
    <w:rsid w:val="00314054"/>
    <w:rsid w:val="003144A4"/>
    <w:rsid w:val="00316C36"/>
    <w:rsid w:val="00316F27"/>
    <w:rsid w:val="003214F1"/>
    <w:rsid w:val="00322E4B"/>
    <w:rsid w:val="003232A8"/>
    <w:rsid w:val="00325DE3"/>
    <w:rsid w:val="003269E5"/>
    <w:rsid w:val="00327870"/>
    <w:rsid w:val="00327AEB"/>
    <w:rsid w:val="00330837"/>
    <w:rsid w:val="003308E5"/>
    <w:rsid w:val="0033131C"/>
    <w:rsid w:val="00331C2C"/>
    <w:rsid w:val="00331C6B"/>
    <w:rsid w:val="0033259D"/>
    <w:rsid w:val="0033279A"/>
    <w:rsid w:val="00332E29"/>
    <w:rsid w:val="003333D2"/>
    <w:rsid w:val="00333DD3"/>
    <w:rsid w:val="00334686"/>
    <w:rsid w:val="00334750"/>
    <w:rsid w:val="003352BD"/>
    <w:rsid w:val="00337339"/>
    <w:rsid w:val="0034011F"/>
    <w:rsid w:val="0034033D"/>
    <w:rsid w:val="00340345"/>
    <w:rsid w:val="003406C6"/>
    <w:rsid w:val="00340A75"/>
    <w:rsid w:val="003418CC"/>
    <w:rsid w:val="00342334"/>
    <w:rsid w:val="003434EE"/>
    <w:rsid w:val="003436AB"/>
    <w:rsid w:val="00344608"/>
    <w:rsid w:val="003459BD"/>
    <w:rsid w:val="00346706"/>
    <w:rsid w:val="00346848"/>
    <w:rsid w:val="00346937"/>
    <w:rsid w:val="00347228"/>
    <w:rsid w:val="00347C39"/>
    <w:rsid w:val="00350409"/>
    <w:rsid w:val="00350D38"/>
    <w:rsid w:val="00351A11"/>
    <w:rsid w:val="00351B36"/>
    <w:rsid w:val="0035314A"/>
    <w:rsid w:val="0035498A"/>
    <w:rsid w:val="003562D7"/>
    <w:rsid w:val="003565C2"/>
    <w:rsid w:val="003568FE"/>
    <w:rsid w:val="00357B4E"/>
    <w:rsid w:val="00360D8D"/>
    <w:rsid w:val="003612D3"/>
    <w:rsid w:val="00361785"/>
    <w:rsid w:val="00361D37"/>
    <w:rsid w:val="00364E59"/>
    <w:rsid w:val="00365486"/>
    <w:rsid w:val="003674CA"/>
    <w:rsid w:val="00367B02"/>
    <w:rsid w:val="003716FD"/>
    <w:rsid w:val="0037175A"/>
    <w:rsid w:val="0037204B"/>
    <w:rsid w:val="00372662"/>
    <w:rsid w:val="00372B83"/>
    <w:rsid w:val="003734E2"/>
    <w:rsid w:val="003744CF"/>
    <w:rsid w:val="00374717"/>
    <w:rsid w:val="00374BFF"/>
    <w:rsid w:val="00375376"/>
    <w:rsid w:val="00375CD9"/>
    <w:rsid w:val="003761C8"/>
    <w:rsid w:val="0037629B"/>
    <w:rsid w:val="0037670D"/>
    <w:rsid w:val="0037676C"/>
    <w:rsid w:val="003769B5"/>
    <w:rsid w:val="00377699"/>
    <w:rsid w:val="003777FD"/>
    <w:rsid w:val="00380C17"/>
    <w:rsid w:val="00381043"/>
    <w:rsid w:val="00381198"/>
    <w:rsid w:val="00381AAB"/>
    <w:rsid w:val="00382549"/>
    <w:rsid w:val="00382784"/>
    <w:rsid w:val="003829E5"/>
    <w:rsid w:val="00382C09"/>
    <w:rsid w:val="00382C62"/>
    <w:rsid w:val="0038460F"/>
    <w:rsid w:val="0038512E"/>
    <w:rsid w:val="00386109"/>
    <w:rsid w:val="00386944"/>
    <w:rsid w:val="00386CE8"/>
    <w:rsid w:val="003907D9"/>
    <w:rsid w:val="0039196E"/>
    <w:rsid w:val="0039495F"/>
    <w:rsid w:val="00394FD4"/>
    <w:rsid w:val="003956CC"/>
    <w:rsid w:val="0039585C"/>
    <w:rsid w:val="00395C9A"/>
    <w:rsid w:val="0039678D"/>
    <w:rsid w:val="00397DDB"/>
    <w:rsid w:val="003A0853"/>
    <w:rsid w:val="003A0E63"/>
    <w:rsid w:val="003A37EC"/>
    <w:rsid w:val="003A3C66"/>
    <w:rsid w:val="003A593A"/>
    <w:rsid w:val="003A5A27"/>
    <w:rsid w:val="003A6B67"/>
    <w:rsid w:val="003A799F"/>
    <w:rsid w:val="003B13B6"/>
    <w:rsid w:val="003B14C3"/>
    <w:rsid w:val="003B15E6"/>
    <w:rsid w:val="003B22EF"/>
    <w:rsid w:val="003B2367"/>
    <w:rsid w:val="003B2C9E"/>
    <w:rsid w:val="003B2FCF"/>
    <w:rsid w:val="003B31B1"/>
    <w:rsid w:val="003B408A"/>
    <w:rsid w:val="003B505A"/>
    <w:rsid w:val="003B6E93"/>
    <w:rsid w:val="003B7F22"/>
    <w:rsid w:val="003C08A2"/>
    <w:rsid w:val="003C2045"/>
    <w:rsid w:val="003C3DD4"/>
    <w:rsid w:val="003C43A1"/>
    <w:rsid w:val="003C4FC0"/>
    <w:rsid w:val="003C55CC"/>
    <w:rsid w:val="003C55F4"/>
    <w:rsid w:val="003C5DD9"/>
    <w:rsid w:val="003C6857"/>
    <w:rsid w:val="003C6B30"/>
    <w:rsid w:val="003C7897"/>
    <w:rsid w:val="003C7A3F"/>
    <w:rsid w:val="003C7B74"/>
    <w:rsid w:val="003D0FE0"/>
    <w:rsid w:val="003D188C"/>
    <w:rsid w:val="003D2766"/>
    <w:rsid w:val="003D2A74"/>
    <w:rsid w:val="003D3534"/>
    <w:rsid w:val="003D3D88"/>
    <w:rsid w:val="003D3E8F"/>
    <w:rsid w:val="003D4757"/>
    <w:rsid w:val="003D49EA"/>
    <w:rsid w:val="003D5D05"/>
    <w:rsid w:val="003D6475"/>
    <w:rsid w:val="003D6AEB"/>
    <w:rsid w:val="003D6EE6"/>
    <w:rsid w:val="003E02E6"/>
    <w:rsid w:val="003E0BDA"/>
    <w:rsid w:val="003E375C"/>
    <w:rsid w:val="003E3C88"/>
    <w:rsid w:val="003E3F01"/>
    <w:rsid w:val="003E4086"/>
    <w:rsid w:val="003E484A"/>
    <w:rsid w:val="003E4DAB"/>
    <w:rsid w:val="003E50FC"/>
    <w:rsid w:val="003E53FA"/>
    <w:rsid w:val="003E56EE"/>
    <w:rsid w:val="003E5850"/>
    <w:rsid w:val="003E5AC3"/>
    <w:rsid w:val="003E639E"/>
    <w:rsid w:val="003E71E5"/>
    <w:rsid w:val="003E7991"/>
    <w:rsid w:val="003F008A"/>
    <w:rsid w:val="003F0445"/>
    <w:rsid w:val="003F092F"/>
    <w:rsid w:val="003F09A7"/>
    <w:rsid w:val="003F0CF0"/>
    <w:rsid w:val="003F14B1"/>
    <w:rsid w:val="003F15D1"/>
    <w:rsid w:val="003F1755"/>
    <w:rsid w:val="003F2449"/>
    <w:rsid w:val="003F2B20"/>
    <w:rsid w:val="003F3289"/>
    <w:rsid w:val="003F36E9"/>
    <w:rsid w:val="003F3C62"/>
    <w:rsid w:val="003F3C78"/>
    <w:rsid w:val="003F52A4"/>
    <w:rsid w:val="003F5B64"/>
    <w:rsid w:val="003F5CB9"/>
    <w:rsid w:val="003F604E"/>
    <w:rsid w:val="003F6DF9"/>
    <w:rsid w:val="003F7C45"/>
    <w:rsid w:val="00400228"/>
    <w:rsid w:val="00400B9B"/>
    <w:rsid w:val="004013C7"/>
    <w:rsid w:val="004019E2"/>
    <w:rsid w:val="00401FCF"/>
    <w:rsid w:val="00402050"/>
    <w:rsid w:val="00402173"/>
    <w:rsid w:val="0040217A"/>
    <w:rsid w:val="00404DC6"/>
    <w:rsid w:val="00405A6E"/>
    <w:rsid w:val="00405D08"/>
    <w:rsid w:val="00406285"/>
    <w:rsid w:val="004075FA"/>
    <w:rsid w:val="004076BD"/>
    <w:rsid w:val="004115A2"/>
    <w:rsid w:val="004127FB"/>
    <w:rsid w:val="00413AB0"/>
    <w:rsid w:val="00413D7D"/>
    <w:rsid w:val="004148F9"/>
    <w:rsid w:val="0041514F"/>
    <w:rsid w:val="00415413"/>
    <w:rsid w:val="0041719F"/>
    <w:rsid w:val="0042084E"/>
    <w:rsid w:val="00421324"/>
    <w:rsid w:val="00421EEF"/>
    <w:rsid w:val="00422AA9"/>
    <w:rsid w:val="0042328F"/>
    <w:rsid w:val="00423B78"/>
    <w:rsid w:val="00424329"/>
    <w:rsid w:val="0042463D"/>
    <w:rsid w:val="00424D65"/>
    <w:rsid w:val="00424E7F"/>
    <w:rsid w:val="00425BAA"/>
    <w:rsid w:val="00425D1E"/>
    <w:rsid w:val="00426FC6"/>
    <w:rsid w:val="00430393"/>
    <w:rsid w:val="0043040E"/>
    <w:rsid w:val="004305EA"/>
    <w:rsid w:val="0043061D"/>
    <w:rsid w:val="00430966"/>
    <w:rsid w:val="00430E8A"/>
    <w:rsid w:val="00431554"/>
    <w:rsid w:val="00431806"/>
    <w:rsid w:val="00431A70"/>
    <w:rsid w:val="00431DD3"/>
    <w:rsid w:val="00431F42"/>
    <w:rsid w:val="00432CB0"/>
    <w:rsid w:val="004331B3"/>
    <w:rsid w:val="004355B9"/>
    <w:rsid w:val="004367AF"/>
    <w:rsid w:val="00436C3E"/>
    <w:rsid w:val="00441ADA"/>
    <w:rsid w:val="004423E8"/>
    <w:rsid w:val="00442C6C"/>
    <w:rsid w:val="00443CBE"/>
    <w:rsid w:val="00443E8A"/>
    <w:rsid w:val="004441BC"/>
    <w:rsid w:val="004443F8"/>
    <w:rsid w:val="004468B4"/>
    <w:rsid w:val="00446D39"/>
    <w:rsid w:val="00446D86"/>
    <w:rsid w:val="00446E65"/>
    <w:rsid w:val="00450309"/>
    <w:rsid w:val="0045098B"/>
    <w:rsid w:val="0045141F"/>
    <w:rsid w:val="00451C71"/>
    <w:rsid w:val="00451D83"/>
    <w:rsid w:val="00451E55"/>
    <w:rsid w:val="0045230A"/>
    <w:rsid w:val="004542F5"/>
    <w:rsid w:val="004549EC"/>
    <w:rsid w:val="00454AD0"/>
    <w:rsid w:val="004550C9"/>
    <w:rsid w:val="00455F74"/>
    <w:rsid w:val="00457337"/>
    <w:rsid w:val="004603DE"/>
    <w:rsid w:val="004617D7"/>
    <w:rsid w:val="00462A38"/>
    <w:rsid w:val="00462B64"/>
    <w:rsid w:val="00462E3D"/>
    <w:rsid w:val="00463396"/>
    <w:rsid w:val="00464088"/>
    <w:rsid w:val="00466088"/>
    <w:rsid w:val="00466E79"/>
    <w:rsid w:val="00467C28"/>
    <w:rsid w:val="00470007"/>
    <w:rsid w:val="004700EE"/>
    <w:rsid w:val="00470D7D"/>
    <w:rsid w:val="00470E22"/>
    <w:rsid w:val="0047372D"/>
    <w:rsid w:val="00473A16"/>
    <w:rsid w:val="00473BA3"/>
    <w:rsid w:val="00474285"/>
    <w:rsid w:val="004743DD"/>
    <w:rsid w:val="00474CEA"/>
    <w:rsid w:val="004755CD"/>
    <w:rsid w:val="00475AF3"/>
    <w:rsid w:val="004779DB"/>
    <w:rsid w:val="004804EB"/>
    <w:rsid w:val="00480B53"/>
    <w:rsid w:val="00480C5B"/>
    <w:rsid w:val="00482D87"/>
    <w:rsid w:val="00483968"/>
    <w:rsid w:val="004841BE"/>
    <w:rsid w:val="004843A7"/>
    <w:rsid w:val="00484F86"/>
    <w:rsid w:val="004865C9"/>
    <w:rsid w:val="00486914"/>
    <w:rsid w:val="004879D5"/>
    <w:rsid w:val="00490429"/>
    <w:rsid w:val="00490746"/>
    <w:rsid w:val="00490852"/>
    <w:rsid w:val="00490AAF"/>
    <w:rsid w:val="00490B8F"/>
    <w:rsid w:val="00491158"/>
    <w:rsid w:val="0049194E"/>
    <w:rsid w:val="00491C9C"/>
    <w:rsid w:val="00492802"/>
    <w:rsid w:val="00492F30"/>
    <w:rsid w:val="0049467E"/>
    <w:rsid w:val="004946F4"/>
    <w:rsid w:val="0049487E"/>
    <w:rsid w:val="004948A6"/>
    <w:rsid w:val="00494D01"/>
    <w:rsid w:val="00496300"/>
    <w:rsid w:val="00497368"/>
    <w:rsid w:val="004A02FB"/>
    <w:rsid w:val="004A160D"/>
    <w:rsid w:val="004A19C5"/>
    <w:rsid w:val="004A2BB9"/>
    <w:rsid w:val="004A3CF4"/>
    <w:rsid w:val="004A3E81"/>
    <w:rsid w:val="004A4195"/>
    <w:rsid w:val="004A4475"/>
    <w:rsid w:val="004A51AC"/>
    <w:rsid w:val="004A5C62"/>
    <w:rsid w:val="004A5CE5"/>
    <w:rsid w:val="004A707D"/>
    <w:rsid w:val="004B06AF"/>
    <w:rsid w:val="004B0974"/>
    <w:rsid w:val="004B0D86"/>
    <w:rsid w:val="004B0E79"/>
    <w:rsid w:val="004B137B"/>
    <w:rsid w:val="004B3EA1"/>
    <w:rsid w:val="004B4185"/>
    <w:rsid w:val="004B4EEC"/>
    <w:rsid w:val="004B68E1"/>
    <w:rsid w:val="004B6C96"/>
    <w:rsid w:val="004C2385"/>
    <w:rsid w:val="004C2991"/>
    <w:rsid w:val="004C34DC"/>
    <w:rsid w:val="004C3EBB"/>
    <w:rsid w:val="004C4E57"/>
    <w:rsid w:val="004C5541"/>
    <w:rsid w:val="004C5DE5"/>
    <w:rsid w:val="004C66BF"/>
    <w:rsid w:val="004C6B99"/>
    <w:rsid w:val="004C6BD9"/>
    <w:rsid w:val="004C6EEE"/>
    <w:rsid w:val="004C702B"/>
    <w:rsid w:val="004C716C"/>
    <w:rsid w:val="004C7177"/>
    <w:rsid w:val="004D0033"/>
    <w:rsid w:val="004D016B"/>
    <w:rsid w:val="004D0800"/>
    <w:rsid w:val="004D1B18"/>
    <w:rsid w:val="004D1B22"/>
    <w:rsid w:val="004D23CC"/>
    <w:rsid w:val="004D28CE"/>
    <w:rsid w:val="004D2AF1"/>
    <w:rsid w:val="004D2E9E"/>
    <w:rsid w:val="004D36F2"/>
    <w:rsid w:val="004D451E"/>
    <w:rsid w:val="004D56CF"/>
    <w:rsid w:val="004D6FBF"/>
    <w:rsid w:val="004D73A5"/>
    <w:rsid w:val="004E0933"/>
    <w:rsid w:val="004E0B65"/>
    <w:rsid w:val="004E1106"/>
    <w:rsid w:val="004E138F"/>
    <w:rsid w:val="004E1702"/>
    <w:rsid w:val="004E1982"/>
    <w:rsid w:val="004E20E0"/>
    <w:rsid w:val="004E23FC"/>
    <w:rsid w:val="004E3A60"/>
    <w:rsid w:val="004E458B"/>
    <w:rsid w:val="004E4649"/>
    <w:rsid w:val="004E5C2B"/>
    <w:rsid w:val="004E621E"/>
    <w:rsid w:val="004E64B3"/>
    <w:rsid w:val="004E7D76"/>
    <w:rsid w:val="004E7EAF"/>
    <w:rsid w:val="004F00DD"/>
    <w:rsid w:val="004F0B53"/>
    <w:rsid w:val="004F1285"/>
    <w:rsid w:val="004F1804"/>
    <w:rsid w:val="004F2133"/>
    <w:rsid w:val="004F26D3"/>
    <w:rsid w:val="004F27E1"/>
    <w:rsid w:val="004F28C7"/>
    <w:rsid w:val="004F28F0"/>
    <w:rsid w:val="004F2E25"/>
    <w:rsid w:val="004F3213"/>
    <w:rsid w:val="004F3CC5"/>
    <w:rsid w:val="004F4A69"/>
    <w:rsid w:val="004F51F9"/>
    <w:rsid w:val="004F5398"/>
    <w:rsid w:val="004F55F1"/>
    <w:rsid w:val="004F5605"/>
    <w:rsid w:val="004F6231"/>
    <w:rsid w:val="004F6936"/>
    <w:rsid w:val="004F7693"/>
    <w:rsid w:val="00501AC7"/>
    <w:rsid w:val="00502458"/>
    <w:rsid w:val="00502F95"/>
    <w:rsid w:val="00503451"/>
    <w:rsid w:val="00503784"/>
    <w:rsid w:val="00503A99"/>
    <w:rsid w:val="00503DC6"/>
    <w:rsid w:val="00503E28"/>
    <w:rsid w:val="005057EB"/>
    <w:rsid w:val="00506C57"/>
    <w:rsid w:val="00506F5D"/>
    <w:rsid w:val="0050742E"/>
    <w:rsid w:val="00507579"/>
    <w:rsid w:val="00507BE8"/>
    <w:rsid w:val="0051034C"/>
    <w:rsid w:val="00510591"/>
    <w:rsid w:val="00510AF9"/>
    <w:rsid w:val="00510C37"/>
    <w:rsid w:val="00510D71"/>
    <w:rsid w:val="00511194"/>
    <w:rsid w:val="005126D0"/>
    <w:rsid w:val="005133C6"/>
    <w:rsid w:val="0051353D"/>
    <w:rsid w:val="0051361C"/>
    <w:rsid w:val="00514667"/>
    <w:rsid w:val="00515371"/>
    <w:rsid w:val="0051568D"/>
    <w:rsid w:val="00516921"/>
    <w:rsid w:val="0052002C"/>
    <w:rsid w:val="0052076A"/>
    <w:rsid w:val="00520B48"/>
    <w:rsid w:val="00523A0D"/>
    <w:rsid w:val="00523D8B"/>
    <w:rsid w:val="0052421C"/>
    <w:rsid w:val="005252D9"/>
    <w:rsid w:val="005257CE"/>
    <w:rsid w:val="00525B29"/>
    <w:rsid w:val="005262AB"/>
    <w:rsid w:val="00526AC7"/>
    <w:rsid w:val="00526C15"/>
    <w:rsid w:val="00526C4A"/>
    <w:rsid w:val="005277CA"/>
    <w:rsid w:val="00527E10"/>
    <w:rsid w:val="00527F8E"/>
    <w:rsid w:val="005305E3"/>
    <w:rsid w:val="00532954"/>
    <w:rsid w:val="00533521"/>
    <w:rsid w:val="00533AC5"/>
    <w:rsid w:val="005349BA"/>
    <w:rsid w:val="00536499"/>
    <w:rsid w:val="00536E3F"/>
    <w:rsid w:val="00541854"/>
    <w:rsid w:val="005421E6"/>
    <w:rsid w:val="005425C8"/>
    <w:rsid w:val="00542A03"/>
    <w:rsid w:val="00542A09"/>
    <w:rsid w:val="00542DF1"/>
    <w:rsid w:val="00542FEB"/>
    <w:rsid w:val="00543903"/>
    <w:rsid w:val="00543BCC"/>
    <w:rsid w:val="00543DB5"/>
    <w:rsid w:val="00543F11"/>
    <w:rsid w:val="005440CF"/>
    <w:rsid w:val="00544135"/>
    <w:rsid w:val="0054438F"/>
    <w:rsid w:val="005443B1"/>
    <w:rsid w:val="005454F8"/>
    <w:rsid w:val="005456DA"/>
    <w:rsid w:val="00545774"/>
    <w:rsid w:val="00545B16"/>
    <w:rsid w:val="00545BD3"/>
    <w:rsid w:val="00546305"/>
    <w:rsid w:val="00547A95"/>
    <w:rsid w:val="0055119B"/>
    <w:rsid w:val="0055150D"/>
    <w:rsid w:val="00551C99"/>
    <w:rsid w:val="00552ABA"/>
    <w:rsid w:val="00555420"/>
    <w:rsid w:val="005570CA"/>
    <w:rsid w:val="00560064"/>
    <w:rsid w:val="005608B1"/>
    <w:rsid w:val="00561202"/>
    <w:rsid w:val="00561FB4"/>
    <w:rsid w:val="00562507"/>
    <w:rsid w:val="00562811"/>
    <w:rsid w:val="00563F98"/>
    <w:rsid w:val="005670D7"/>
    <w:rsid w:val="005716BB"/>
    <w:rsid w:val="0057196C"/>
    <w:rsid w:val="00571A1C"/>
    <w:rsid w:val="00571C8D"/>
    <w:rsid w:val="00572031"/>
    <w:rsid w:val="00572282"/>
    <w:rsid w:val="0057292E"/>
    <w:rsid w:val="00573CE3"/>
    <w:rsid w:val="00573D61"/>
    <w:rsid w:val="00574320"/>
    <w:rsid w:val="00574C0B"/>
    <w:rsid w:val="00575671"/>
    <w:rsid w:val="005759F2"/>
    <w:rsid w:val="00575BCA"/>
    <w:rsid w:val="0057687C"/>
    <w:rsid w:val="005768B6"/>
    <w:rsid w:val="00576E84"/>
    <w:rsid w:val="00577EAF"/>
    <w:rsid w:val="00580394"/>
    <w:rsid w:val="005809CD"/>
    <w:rsid w:val="00580F32"/>
    <w:rsid w:val="00581184"/>
    <w:rsid w:val="00582B8C"/>
    <w:rsid w:val="0058482C"/>
    <w:rsid w:val="005860C6"/>
    <w:rsid w:val="00586C65"/>
    <w:rsid w:val="005873FF"/>
    <w:rsid w:val="0058757E"/>
    <w:rsid w:val="0059158B"/>
    <w:rsid w:val="00592A36"/>
    <w:rsid w:val="00593149"/>
    <w:rsid w:val="0059339D"/>
    <w:rsid w:val="00594313"/>
    <w:rsid w:val="00596A4B"/>
    <w:rsid w:val="00597507"/>
    <w:rsid w:val="005A33C8"/>
    <w:rsid w:val="005A3A80"/>
    <w:rsid w:val="005A3E96"/>
    <w:rsid w:val="005A479D"/>
    <w:rsid w:val="005A57C0"/>
    <w:rsid w:val="005A57DA"/>
    <w:rsid w:val="005A58D8"/>
    <w:rsid w:val="005A6A8B"/>
    <w:rsid w:val="005A7304"/>
    <w:rsid w:val="005A7701"/>
    <w:rsid w:val="005B0513"/>
    <w:rsid w:val="005B154B"/>
    <w:rsid w:val="005B16DA"/>
    <w:rsid w:val="005B1C6D"/>
    <w:rsid w:val="005B21B6"/>
    <w:rsid w:val="005B30C1"/>
    <w:rsid w:val="005B3A08"/>
    <w:rsid w:val="005B46DE"/>
    <w:rsid w:val="005B5157"/>
    <w:rsid w:val="005B55F5"/>
    <w:rsid w:val="005B589D"/>
    <w:rsid w:val="005B6CB2"/>
    <w:rsid w:val="005B74F6"/>
    <w:rsid w:val="005B7A63"/>
    <w:rsid w:val="005B7FA1"/>
    <w:rsid w:val="005C0955"/>
    <w:rsid w:val="005C0DC4"/>
    <w:rsid w:val="005C1727"/>
    <w:rsid w:val="005C40B7"/>
    <w:rsid w:val="005C49DA"/>
    <w:rsid w:val="005C50F3"/>
    <w:rsid w:val="005C527F"/>
    <w:rsid w:val="005C54B5"/>
    <w:rsid w:val="005C5D80"/>
    <w:rsid w:val="005C5D91"/>
    <w:rsid w:val="005C705F"/>
    <w:rsid w:val="005C7EC7"/>
    <w:rsid w:val="005D07B8"/>
    <w:rsid w:val="005D0BDF"/>
    <w:rsid w:val="005D11AC"/>
    <w:rsid w:val="005D2ECB"/>
    <w:rsid w:val="005D3E44"/>
    <w:rsid w:val="005D42A1"/>
    <w:rsid w:val="005D6051"/>
    <w:rsid w:val="005D6597"/>
    <w:rsid w:val="005D6678"/>
    <w:rsid w:val="005D6CA9"/>
    <w:rsid w:val="005D727B"/>
    <w:rsid w:val="005D78F1"/>
    <w:rsid w:val="005D7A77"/>
    <w:rsid w:val="005D7F89"/>
    <w:rsid w:val="005E0096"/>
    <w:rsid w:val="005E00A3"/>
    <w:rsid w:val="005E0489"/>
    <w:rsid w:val="005E0BE5"/>
    <w:rsid w:val="005E14E7"/>
    <w:rsid w:val="005E1980"/>
    <w:rsid w:val="005E26A3"/>
    <w:rsid w:val="005E2862"/>
    <w:rsid w:val="005E2C85"/>
    <w:rsid w:val="005E2CD4"/>
    <w:rsid w:val="005E2D2C"/>
    <w:rsid w:val="005E2DE9"/>
    <w:rsid w:val="005E2ECB"/>
    <w:rsid w:val="005E447E"/>
    <w:rsid w:val="005E4FD1"/>
    <w:rsid w:val="005E5D43"/>
    <w:rsid w:val="005E6B10"/>
    <w:rsid w:val="005E74B6"/>
    <w:rsid w:val="005F0775"/>
    <w:rsid w:val="005F0CF5"/>
    <w:rsid w:val="005F1AC6"/>
    <w:rsid w:val="005F21EB"/>
    <w:rsid w:val="005F36B3"/>
    <w:rsid w:val="005F3A94"/>
    <w:rsid w:val="005F3E9C"/>
    <w:rsid w:val="005F4119"/>
    <w:rsid w:val="005F4534"/>
    <w:rsid w:val="005F4615"/>
    <w:rsid w:val="005F4634"/>
    <w:rsid w:val="005F4A94"/>
    <w:rsid w:val="005F50CA"/>
    <w:rsid w:val="005F64CF"/>
    <w:rsid w:val="005F6CDA"/>
    <w:rsid w:val="005F7BA3"/>
    <w:rsid w:val="006001AB"/>
    <w:rsid w:val="00600AD6"/>
    <w:rsid w:val="00603238"/>
    <w:rsid w:val="006035CC"/>
    <w:rsid w:val="006041AD"/>
    <w:rsid w:val="006044C3"/>
    <w:rsid w:val="00605815"/>
    <w:rsid w:val="00605908"/>
    <w:rsid w:val="00605A15"/>
    <w:rsid w:val="00607850"/>
    <w:rsid w:val="00607D68"/>
    <w:rsid w:val="00607EF7"/>
    <w:rsid w:val="006109DE"/>
    <w:rsid w:val="00610D7C"/>
    <w:rsid w:val="0061104B"/>
    <w:rsid w:val="0061113E"/>
    <w:rsid w:val="006111DD"/>
    <w:rsid w:val="0061204B"/>
    <w:rsid w:val="006131D5"/>
    <w:rsid w:val="00613414"/>
    <w:rsid w:val="006134B5"/>
    <w:rsid w:val="00613DDC"/>
    <w:rsid w:val="006169E5"/>
    <w:rsid w:val="00620154"/>
    <w:rsid w:val="00620C07"/>
    <w:rsid w:val="0062354F"/>
    <w:rsid w:val="0062408D"/>
    <w:rsid w:val="006240CC"/>
    <w:rsid w:val="006245C6"/>
    <w:rsid w:val="00624940"/>
    <w:rsid w:val="006254F8"/>
    <w:rsid w:val="00625A71"/>
    <w:rsid w:val="00627384"/>
    <w:rsid w:val="00627519"/>
    <w:rsid w:val="00627DA7"/>
    <w:rsid w:val="006306F8"/>
    <w:rsid w:val="00630DA4"/>
    <w:rsid w:val="00631723"/>
    <w:rsid w:val="00631CD4"/>
    <w:rsid w:val="00631CDA"/>
    <w:rsid w:val="0063207A"/>
    <w:rsid w:val="00632597"/>
    <w:rsid w:val="00632DD6"/>
    <w:rsid w:val="00633DD1"/>
    <w:rsid w:val="00634D13"/>
    <w:rsid w:val="006356BA"/>
    <w:rsid w:val="006358B4"/>
    <w:rsid w:val="00635A2B"/>
    <w:rsid w:val="00636685"/>
    <w:rsid w:val="0063702D"/>
    <w:rsid w:val="0063721C"/>
    <w:rsid w:val="006401DC"/>
    <w:rsid w:val="0064063D"/>
    <w:rsid w:val="00640C48"/>
    <w:rsid w:val="00641724"/>
    <w:rsid w:val="006419AA"/>
    <w:rsid w:val="006426E3"/>
    <w:rsid w:val="00642B10"/>
    <w:rsid w:val="006434ED"/>
    <w:rsid w:val="00644737"/>
    <w:rsid w:val="00644B1F"/>
    <w:rsid w:val="00644B7E"/>
    <w:rsid w:val="006454E6"/>
    <w:rsid w:val="00646235"/>
    <w:rsid w:val="00646452"/>
    <w:rsid w:val="00646A68"/>
    <w:rsid w:val="00647F62"/>
    <w:rsid w:val="006502C6"/>
    <w:rsid w:val="006505BD"/>
    <w:rsid w:val="006508EA"/>
    <w:rsid w:val="0065092E"/>
    <w:rsid w:val="006517E2"/>
    <w:rsid w:val="00652857"/>
    <w:rsid w:val="006535D4"/>
    <w:rsid w:val="00654C7B"/>
    <w:rsid w:val="006557A7"/>
    <w:rsid w:val="00656290"/>
    <w:rsid w:val="0065632B"/>
    <w:rsid w:val="006565F4"/>
    <w:rsid w:val="00656F11"/>
    <w:rsid w:val="0065748B"/>
    <w:rsid w:val="006576B6"/>
    <w:rsid w:val="00657D4F"/>
    <w:rsid w:val="006601C9"/>
    <w:rsid w:val="006608D8"/>
    <w:rsid w:val="00661765"/>
    <w:rsid w:val="006621D7"/>
    <w:rsid w:val="006621FB"/>
    <w:rsid w:val="0066302A"/>
    <w:rsid w:val="00664277"/>
    <w:rsid w:val="006644D1"/>
    <w:rsid w:val="00666CDC"/>
    <w:rsid w:val="0066724E"/>
    <w:rsid w:val="00667605"/>
    <w:rsid w:val="00667770"/>
    <w:rsid w:val="00670022"/>
    <w:rsid w:val="00670597"/>
    <w:rsid w:val="006706D0"/>
    <w:rsid w:val="006717BD"/>
    <w:rsid w:val="00671E67"/>
    <w:rsid w:val="006721A7"/>
    <w:rsid w:val="0067255E"/>
    <w:rsid w:val="00673E0C"/>
    <w:rsid w:val="00673EC3"/>
    <w:rsid w:val="00674382"/>
    <w:rsid w:val="006748F4"/>
    <w:rsid w:val="00675762"/>
    <w:rsid w:val="00675EF4"/>
    <w:rsid w:val="00676F75"/>
    <w:rsid w:val="00677574"/>
    <w:rsid w:val="006778AC"/>
    <w:rsid w:val="006801BE"/>
    <w:rsid w:val="00681182"/>
    <w:rsid w:val="006812ED"/>
    <w:rsid w:val="006817D8"/>
    <w:rsid w:val="00681C4C"/>
    <w:rsid w:val="0068335F"/>
    <w:rsid w:val="006834B1"/>
    <w:rsid w:val="00683878"/>
    <w:rsid w:val="00683D18"/>
    <w:rsid w:val="00684380"/>
    <w:rsid w:val="00684510"/>
    <w:rsid w:val="0068454C"/>
    <w:rsid w:val="00684EF1"/>
    <w:rsid w:val="00685D0E"/>
    <w:rsid w:val="006860BC"/>
    <w:rsid w:val="0068770A"/>
    <w:rsid w:val="006908E6"/>
    <w:rsid w:val="00690A5D"/>
    <w:rsid w:val="00690B1D"/>
    <w:rsid w:val="00690C46"/>
    <w:rsid w:val="00690E96"/>
    <w:rsid w:val="00691975"/>
    <w:rsid w:val="00691B62"/>
    <w:rsid w:val="006933B5"/>
    <w:rsid w:val="006937D3"/>
    <w:rsid w:val="00693D14"/>
    <w:rsid w:val="0069573D"/>
    <w:rsid w:val="00695E3E"/>
    <w:rsid w:val="00696779"/>
    <w:rsid w:val="00696E5F"/>
    <w:rsid w:val="00696F27"/>
    <w:rsid w:val="00696F5A"/>
    <w:rsid w:val="0069706C"/>
    <w:rsid w:val="006A13DD"/>
    <w:rsid w:val="006A18C2"/>
    <w:rsid w:val="006A297F"/>
    <w:rsid w:val="006A3383"/>
    <w:rsid w:val="006A7235"/>
    <w:rsid w:val="006A76D0"/>
    <w:rsid w:val="006A7ACB"/>
    <w:rsid w:val="006B00D0"/>
    <w:rsid w:val="006B048C"/>
    <w:rsid w:val="006B077C"/>
    <w:rsid w:val="006B1AA1"/>
    <w:rsid w:val="006B3EAA"/>
    <w:rsid w:val="006B66A3"/>
    <w:rsid w:val="006B6803"/>
    <w:rsid w:val="006B777D"/>
    <w:rsid w:val="006C2576"/>
    <w:rsid w:val="006C2EB9"/>
    <w:rsid w:val="006C4229"/>
    <w:rsid w:val="006C43D1"/>
    <w:rsid w:val="006C4C26"/>
    <w:rsid w:val="006C5235"/>
    <w:rsid w:val="006C6CD6"/>
    <w:rsid w:val="006C73F1"/>
    <w:rsid w:val="006D071A"/>
    <w:rsid w:val="006D07FB"/>
    <w:rsid w:val="006D083C"/>
    <w:rsid w:val="006D0F16"/>
    <w:rsid w:val="006D2A3F"/>
    <w:rsid w:val="006D2FBC"/>
    <w:rsid w:val="006D3D54"/>
    <w:rsid w:val="006D51E9"/>
    <w:rsid w:val="006D5480"/>
    <w:rsid w:val="006D5A8F"/>
    <w:rsid w:val="006D67B4"/>
    <w:rsid w:val="006D6E34"/>
    <w:rsid w:val="006E0ED0"/>
    <w:rsid w:val="006E138B"/>
    <w:rsid w:val="006E1867"/>
    <w:rsid w:val="006E1FC2"/>
    <w:rsid w:val="006E472E"/>
    <w:rsid w:val="006E5A0B"/>
    <w:rsid w:val="006E5AAD"/>
    <w:rsid w:val="006E66F3"/>
    <w:rsid w:val="006E6E71"/>
    <w:rsid w:val="006E7AC4"/>
    <w:rsid w:val="006E7BD2"/>
    <w:rsid w:val="006F0330"/>
    <w:rsid w:val="006F0683"/>
    <w:rsid w:val="006F1FDC"/>
    <w:rsid w:val="006F6B8C"/>
    <w:rsid w:val="00700739"/>
    <w:rsid w:val="00701246"/>
    <w:rsid w:val="007013EF"/>
    <w:rsid w:val="0070178C"/>
    <w:rsid w:val="00702A80"/>
    <w:rsid w:val="00702F9E"/>
    <w:rsid w:val="00703B4D"/>
    <w:rsid w:val="007040DD"/>
    <w:rsid w:val="00704AED"/>
    <w:rsid w:val="007055BD"/>
    <w:rsid w:val="00705FDC"/>
    <w:rsid w:val="00706164"/>
    <w:rsid w:val="007068C0"/>
    <w:rsid w:val="00706A79"/>
    <w:rsid w:val="007077DE"/>
    <w:rsid w:val="00713A0C"/>
    <w:rsid w:val="00713E1C"/>
    <w:rsid w:val="00713FB1"/>
    <w:rsid w:val="00714390"/>
    <w:rsid w:val="007152A9"/>
    <w:rsid w:val="007156E0"/>
    <w:rsid w:val="00715732"/>
    <w:rsid w:val="007160D5"/>
    <w:rsid w:val="007170E2"/>
    <w:rsid w:val="007173CA"/>
    <w:rsid w:val="00717454"/>
    <w:rsid w:val="00721294"/>
    <w:rsid w:val="00721615"/>
    <w:rsid w:val="007216AA"/>
    <w:rsid w:val="00721AB5"/>
    <w:rsid w:val="00721CFB"/>
    <w:rsid w:val="00721DEF"/>
    <w:rsid w:val="0072204A"/>
    <w:rsid w:val="00723538"/>
    <w:rsid w:val="007236FC"/>
    <w:rsid w:val="00723CC7"/>
    <w:rsid w:val="00723DDB"/>
    <w:rsid w:val="0072492F"/>
    <w:rsid w:val="00724A43"/>
    <w:rsid w:val="00724BE1"/>
    <w:rsid w:val="00725502"/>
    <w:rsid w:val="0072602E"/>
    <w:rsid w:val="007261CB"/>
    <w:rsid w:val="007273AC"/>
    <w:rsid w:val="0073151C"/>
    <w:rsid w:val="00731AD4"/>
    <w:rsid w:val="00732DD0"/>
    <w:rsid w:val="0073363B"/>
    <w:rsid w:val="007346E4"/>
    <w:rsid w:val="00734820"/>
    <w:rsid w:val="00735564"/>
    <w:rsid w:val="0073573D"/>
    <w:rsid w:val="00737241"/>
    <w:rsid w:val="00740F22"/>
    <w:rsid w:val="00741256"/>
    <w:rsid w:val="00741724"/>
    <w:rsid w:val="00741CF0"/>
    <w:rsid w:val="00741F1A"/>
    <w:rsid w:val="00743D5E"/>
    <w:rsid w:val="00743F4D"/>
    <w:rsid w:val="007447DA"/>
    <w:rsid w:val="007447FE"/>
    <w:rsid w:val="00744826"/>
    <w:rsid w:val="007450F8"/>
    <w:rsid w:val="007455F5"/>
    <w:rsid w:val="00745D6C"/>
    <w:rsid w:val="0074696E"/>
    <w:rsid w:val="00747504"/>
    <w:rsid w:val="00747A1A"/>
    <w:rsid w:val="00750135"/>
    <w:rsid w:val="00750303"/>
    <w:rsid w:val="00750EC2"/>
    <w:rsid w:val="00751031"/>
    <w:rsid w:val="00751727"/>
    <w:rsid w:val="00752302"/>
    <w:rsid w:val="0075285E"/>
    <w:rsid w:val="00752B28"/>
    <w:rsid w:val="00752CCC"/>
    <w:rsid w:val="007536BC"/>
    <w:rsid w:val="00753D41"/>
    <w:rsid w:val="007541A9"/>
    <w:rsid w:val="007543B0"/>
    <w:rsid w:val="00754E36"/>
    <w:rsid w:val="0075512C"/>
    <w:rsid w:val="00755DDF"/>
    <w:rsid w:val="007560C6"/>
    <w:rsid w:val="00756F4E"/>
    <w:rsid w:val="007600C2"/>
    <w:rsid w:val="0076155D"/>
    <w:rsid w:val="007616B2"/>
    <w:rsid w:val="00762444"/>
    <w:rsid w:val="007624C2"/>
    <w:rsid w:val="00762A68"/>
    <w:rsid w:val="007630D9"/>
    <w:rsid w:val="00763139"/>
    <w:rsid w:val="007635C5"/>
    <w:rsid w:val="007637E9"/>
    <w:rsid w:val="00770326"/>
    <w:rsid w:val="0077089A"/>
    <w:rsid w:val="00770F37"/>
    <w:rsid w:val="007711A0"/>
    <w:rsid w:val="00772B71"/>
    <w:rsid w:val="00772D5E"/>
    <w:rsid w:val="00773115"/>
    <w:rsid w:val="0077316C"/>
    <w:rsid w:val="007738D4"/>
    <w:rsid w:val="0077463E"/>
    <w:rsid w:val="00775E73"/>
    <w:rsid w:val="00776544"/>
    <w:rsid w:val="00776928"/>
    <w:rsid w:val="00776AC6"/>
    <w:rsid w:val="00776D56"/>
    <w:rsid w:val="00776E0F"/>
    <w:rsid w:val="00776F3E"/>
    <w:rsid w:val="007774B1"/>
    <w:rsid w:val="00777BE1"/>
    <w:rsid w:val="00781257"/>
    <w:rsid w:val="00781EC6"/>
    <w:rsid w:val="00782222"/>
    <w:rsid w:val="007833D8"/>
    <w:rsid w:val="00784174"/>
    <w:rsid w:val="007841C4"/>
    <w:rsid w:val="00784AF6"/>
    <w:rsid w:val="0078520F"/>
    <w:rsid w:val="00785677"/>
    <w:rsid w:val="00785A7B"/>
    <w:rsid w:val="00786578"/>
    <w:rsid w:val="00786CD6"/>
    <w:rsid w:val="00786F16"/>
    <w:rsid w:val="00787A21"/>
    <w:rsid w:val="00787B56"/>
    <w:rsid w:val="00791BD7"/>
    <w:rsid w:val="007929AF"/>
    <w:rsid w:val="00792D90"/>
    <w:rsid w:val="0079313C"/>
    <w:rsid w:val="007933F7"/>
    <w:rsid w:val="00793E41"/>
    <w:rsid w:val="007941B8"/>
    <w:rsid w:val="00794228"/>
    <w:rsid w:val="007949F3"/>
    <w:rsid w:val="00795070"/>
    <w:rsid w:val="00795BCB"/>
    <w:rsid w:val="00795E05"/>
    <w:rsid w:val="007964C7"/>
    <w:rsid w:val="00796977"/>
    <w:rsid w:val="00796E20"/>
    <w:rsid w:val="00797782"/>
    <w:rsid w:val="00797C32"/>
    <w:rsid w:val="007A1174"/>
    <w:rsid w:val="007A11E8"/>
    <w:rsid w:val="007A2C7C"/>
    <w:rsid w:val="007A2D33"/>
    <w:rsid w:val="007A2D73"/>
    <w:rsid w:val="007A4420"/>
    <w:rsid w:val="007A4649"/>
    <w:rsid w:val="007A485E"/>
    <w:rsid w:val="007A4D32"/>
    <w:rsid w:val="007A5B2B"/>
    <w:rsid w:val="007A5CD5"/>
    <w:rsid w:val="007A6952"/>
    <w:rsid w:val="007A7277"/>
    <w:rsid w:val="007A7892"/>
    <w:rsid w:val="007A7FBC"/>
    <w:rsid w:val="007B0914"/>
    <w:rsid w:val="007B1374"/>
    <w:rsid w:val="007B32E5"/>
    <w:rsid w:val="007B3492"/>
    <w:rsid w:val="007B34E4"/>
    <w:rsid w:val="007B3CB6"/>
    <w:rsid w:val="007B3DB9"/>
    <w:rsid w:val="007B3EFE"/>
    <w:rsid w:val="007B4CF7"/>
    <w:rsid w:val="007B5219"/>
    <w:rsid w:val="007B589F"/>
    <w:rsid w:val="007B6186"/>
    <w:rsid w:val="007B7056"/>
    <w:rsid w:val="007B73BC"/>
    <w:rsid w:val="007B7D25"/>
    <w:rsid w:val="007C0041"/>
    <w:rsid w:val="007C07BF"/>
    <w:rsid w:val="007C0914"/>
    <w:rsid w:val="007C124F"/>
    <w:rsid w:val="007C1838"/>
    <w:rsid w:val="007C20B9"/>
    <w:rsid w:val="007C276C"/>
    <w:rsid w:val="007C3216"/>
    <w:rsid w:val="007C35B2"/>
    <w:rsid w:val="007C38F0"/>
    <w:rsid w:val="007C392A"/>
    <w:rsid w:val="007C43D1"/>
    <w:rsid w:val="007C4DF6"/>
    <w:rsid w:val="007C4E2F"/>
    <w:rsid w:val="007C5008"/>
    <w:rsid w:val="007C5D32"/>
    <w:rsid w:val="007C6135"/>
    <w:rsid w:val="007C7301"/>
    <w:rsid w:val="007C7859"/>
    <w:rsid w:val="007C7F28"/>
    <w:rsid w:val="007D1466"/>
    <w:rsid w:val="007D2061"/>
    <w:rsid w:val="007D2095"/>
    <w:rsid w:val="007D2A13"/>
    <w:rsid w:val="007D2BDE"/>
    <w:rsid w:val="007D2FB6"/>
    <w:rsid w:val="007D422C"/>
    <w:rsid w:val="007D49EB"/>
    <w:rsid w:val="007D4DA9"/>
    <w:rsid w:val="007D5E1C"/>
    <w:rsid w:val="007D6E44"/>
    <w:rsid w:val="007D7C15"/>
    <w:rsid w:val="007E024F"/>
    <w:rsid w:val="007E0DE2"/>
    <w:rsid w:val="007E118D"/>
    <w:rsid w:val="007E1FCA"/>
    <w:rsid w:val="007E3667"/>
    <w:rsid w:val="007E3B98"/>
    <w:rsid w:val="007E3DBB"/>
    <w:rsid w:val="007E417A"/>
    <w:rsid w:val="007E461B"/>
    <w:rsid w:val="007E516B"/>
    <w:rsid w:val="007E594D"/>
    <w:rsid w:val="007E5E4B"/>
    <w:rsid w:val="007E622D"/>
    <w:rsid w:val="007E647D"/>
    <w:rsid w:val="007E6482"/>
    <w:rsid w:val="007E6A41"/>
    <w:rsid w:val="007E70F6"/>
    <w:rsid w:val="007E7EAF"/>
    <w:rsid w:val="007F03AC"/>
    <w:rsid w:val="007F069D"/>
    <w:rsid w:val="007F1280"/>
    <w:rsid w:val="007F2579"/>
    <w:rsid w:val="007F2DBC"/>
    <w:rsid w:val="007F31B6"/>
    <w:rsid w:val="007F3F00"/>
    <w:rsid w:val="007F408A"/>
    <w:rsid w:val="007F4595"/>
    <w:rsid w:val="007F4C19"/>
    <w:rsid w:val="007F4D92"/>
    <w:rsid w:val="007F546C"/>
    <w:rsid w:val="007F625F"/>
    <w:rsid w:val="007F665E"/>
    <w:rsid w:val="00800412"/>
    <w:rsid w:val="0080050D"/>
    <w:rsid w:val="00800EDD"/>
    <w:rsid w:val="0080179B"/>
    <w:rsid w:val="0080281E"/>
    <w:rsid w:val="00802E2B"/>
    <w:rsid w:val="00803520"/>
    <w:rsid w:val="00805403"/>
    <w:rsid w:val="0080587B"/>
    <w:rsid w:val="00806468"/>
    <w:rsid w:val="008076FB"/>
    <w:rsid w:val="00807BE0"/>
    <w:rsid w:val="00807CDF"/>
    <w:rsid w:val="008115F0"/>
    <w:rsid w:val="00811902"/>
    <w:rsid w:val="008119CA"/>
    <w:rsid w:val="00812C54"/>
    <w:rsid w:val="00812DAD"/>
    <w:rsid w:val="008130C4"/>
    <w:rsid w:val="008135DB"/>
    <w:rsid w:val="008144BD"/>
    <w:rsid w:val="00814D1D"/>
    <w:rsid w:val="008155F0"/>
    <w:rsid w:val="00816735"/>
    <w:rsid w:val="008167FA"/>
    <w:rsid w:val="00817203"/>
    <w:rsid w:val="008173D3"/>
    <w:rsid w:val="00817FD5"/>
    <w:rsid w:val="00820141"/>
    <w:rsid w:val="008203D3"/>
    <w:rsid w:val="0082052F"/>
    <w:rsid w:val="00820E0C"/>
    <w:rsid w:val="00821214"/>
    <w:rsid w:val="00822A0A"/>
    <w:rsid w:val="008231BA"/>
    <w:rsid w:val="00823275"/>
    <w:rsid w:val="0082366F"/>
    <w:rsid w:val="0082717B"/>
    <w:rsid w:val="0083001B"/>
    <w:rsid w:val="008324B9"/>
    <w:rsid w:val="008338A2"/>
    <w:rsid w:val="0083412B"/>
    <w:rsid w:val="008349DA"/>
    <w:rsid w:val="00834B23"/>
    <w:rsid w:val="00834DAA"/>
    <w:rsid w:val="00835898"/>
    <w:rsid w:val="00835B68"/>
    <w:rsid w:val="008361BA"/>
    <w:rsid w:val="008362F8"/>
    <w:rsid w:val="00836962"/>
    <w:rsid w:val="008376B5"/>
    <w:rsid w:val="00841AA9"/>
    <w:rsid w:val="00842277"/>
    <w:rsid w:val="00842CAA"/>
    <w:rsid w:val="00842CDC"/>
    <w:rsid w:val="00842E13"/>
    <w:rsid w:val="00842E6F"/>
    <w:rsid w:val="008439FF"/>
    <w:rsid w:val="00844544"/>
    <w:rsid w:val="0084536D"/>
    <w:rsid w:val="00845720"/>
    <w:rsid w:val="0084600D"/>
    <w:rsid w:val="008474FE"/>
    <w:rsid w:val="00853EE4"/>
    <w:rsid w:val="00854ED7"/>
    <w:rsid w:val="0085548E"/>
    <w:rsid w:val="00855535"/>
    <w:rsid w:val="008576B0"/>
    <w:rsid w:val="00857C5A"/>
    <w:rsid w:val="008608B5"/>
    <w:rsid w:val="00860FD6"/>
    <w:rsid w:val="008613B3"/>
    <w:rsid w:val="0086255E"/>
    <w:rsid w:val="00862729"/>
    <w:rsid w:val="008627CB"/>
    <w:rsid w:val="008633F0"/>
    <w:rsid w:val="00863412"/>
    <w:rsid w:val="00863539"/>
    <w:rsid w:val="00863A02"/>
    <w:rsid w:val="00863D61"/>
    <w:rsid w:val="008641DD"/>
    <w:rsid w:val="00865BCD"/>
    <w:rsid w:val="0086641A"/>
    <w:rsid w:val="00866DA8"/>
    <w:rsid w:val="00867CA1"/>
    <w:rsid w:val="00867D9D"/>
    <w:rsid w:val="00867F51"/>
    <w:rsid w:val="0087007B"/>
    <w:rsid w:val="00871869"/>
    <w:rsid w:val="008720D6"/>
    <w:rsid w:val="00872A3A"/>
    <w:rsid w:val="00872E0A"/>
    <w:rsid w:val="008733DF"/>
    <w:rsid w:val="008734AA"/>
    <w:rsid w:val="00873594"/>
    <w:rsid w:val="00873835"/>
    <w:rsid w:val="00875285"/>
    <w:rsid w:val="00875F67"/>
    <w:rsid w:val="00877522"/>
    <w:rsid w:val="00877824"/>
    <w:rsid w:val="00880CDD"/>
    <w:rsid w:val="00882CAC"/>
    <w:rsid w:val="008836A4"/>
    <w:rsid w:val="00884515"/>
    <w:rsid w:val="00884B62"/>
    <w:rsid w:val="0088529C"/>
    <w:rsid w:val="00886C82"/>
    <w:rsid w:val="00887903"/>
    <w:rsid w:val="008909BB"/>
    <w:rsid w:val="00892028"/>
    <w:rsid w:val="0089270A"/>
    <w:rsid w:val="00893AF6"/>
    <w:rsid w:val="00894BC4"/>
    <w:rsid w:val="00896890"/>
    <w:rsid w:val="00896ECA"/>
    <w:rsid w:val="0089723B"/>
    <w:rsid w:val="008979EE"/>
    <w:rsid w:val="008A12EB"/>
    <w:rsid w:val="008A18AE"/>
    <w:rsid w:val="008A18D4"/>
    <w:rsid w:val="008A1B41"/>
    <w:rsid w:val="008A28A8"/>
    <w:rsid w:val="008A4007"/>
    <w:rsid w:val="008A5B32"/>
    <w:rsid w:val="008A5E32"/>
    <w:rsid w:val="008A6425"/>
    <w:rsid w:val="008A67B1"/>
    <w:rsid w:val="008B2029"/>
    <w:rsid w:val="008B2254"/>
    <w:rsid w:val="008B2456"/>
    <w:rsid w:val="008B2BF1"/>
    <w:rsid w:val="008B2BF5"/>
    <w:rsid w:val="008B2EE4"/>
    <w:rsid w:val="008B3821"/>
    <w:rsid w:val="008B3851"/>
    <w:rsid w:val="008B3E44"/>
    <w:rsid w:val="008B3EAA"/>
    <w:rsid w:val="008B3F99"/>
    <w:rsid w:val="008B48B8"/>
    <w:rsid w:val="008B4D3D"/>
    <w:rsid w:val="008B57C7"/>
    <w:rsid w:val="008B77A4"/>
    <w:rsid w:val="008C06C4"/>
    <w:rsid w:val="008C0A1D"/>
    <w:rsid w:val="008C0FDC"/>
    <w:rsid w:val="008C1BF7"/>
    <w:rsid w:val="008C2F92"/>
    <w:rsid w:val="008C353F"/>
    <w:rsid w:val="008C3546"/>
    <w:rsid w:val="008C3B5A"/>
    <w:rsid w:val="008C4809"/>
    <w:rsid w:val="008C4DD5"/>
    <w:rsid w:val="008C589D"/>
    <w:rsid w:val="008C630B"/>
    <w:rsid w:val="008C6A47"/>
    <w:rsid w:val="008C6B18"/>
    <w:rsid w:val="008C6D51"/>
    <w:rsid w:val="008C6EB9"/>
    <w:rsid w:val="008C71EB"/>
    <w:rsid w:val="008D032B"/>
    <w:rsid w:val="008D03BC"/>
    <w:rsid w:val="008D046F"/>
    <w:rsid w:val="008D10B9"/>
    <w:rsid w:val="008D1363"/>
    <w:rsid w:val="008D1370"/>
    <w:rsid w:val="008D1506"/>
    <w:rsid w:val="008D1CD6"/>
    <w:rsid w:val="008D2846"/>
    <w:rsid w:val="008D2E56"/>
    <w:rsid w:val="008D4236"/>
    <w:rsid w:val="008D461E"/>
    <w:rsid w:val="008D462F"/>
    <w:rsid w:val="008D517F"/>
    <w:rsid w:val="008D58DD"/>
    <w:rsid w:val="008D5C54"/>
    <w:rsid w:val="008D6DCF"/>
    <w:rsid w:val="008D75EE"/>
    <w:rsid w:val="008E2863"/>
    <w:rsid w:val="008E2F67"/>
    <w:rsid w:val="008E38C5"/>
    <w:rsid w:val="008E4061"/>
    <w:rsid w:val="008E4376"/>
    <w:rsid w:val="008E4CC9"/>
    <w:rsid w:val="008E4DD8"/>
    <w:rsid w:val="008E7029"/>
    <w:rsid w:val="008E7052"/>
    <w:rsid w:val="008E7A0A"/>
    <w:rsid w:val="008E7B49"/>
    <w:rsid w:val="008E7EAE"/>
    <w:rsid w:val="008F14B0"/>
    <w:rsid w:val="008F16CB"/>
    <w:rsid w:val="008F18B7"/>
    <w:rsid w:val="008F2503"/>
    <w:rsid w:val="008F25B3"/>
    <w:rsid w:val="008F2B70"/>
    <w:rsid w:val="008F2FF2"/>
    <w:rsid w:val="008F3E94"/>
    <w:rsid w:val="008F56DA"/>
    <w:rsid w:val="008F59F6"/>
    <w:rsid w:val="008F6B06"/>
    <w:rsid w:val="008F722C"/>
    <w:rsid w:val="00900553"/>
    <w:rsid w:val="00900719"/>
    <w:rsid w:val="009012C9"/>
    <w:rsid w:val="0090148D"/>
    <w:rsid w:val="00901540"/>
    <w:rsid w:val="009017AC"/>
    <w:rsid w:val="00902A9A"/>
    <w:rsid w:val="00902BA8"/>
    <w:rsid w:val="009034E4"/>
    <w:rsid w:val="009037DC"/>
    <w:rsid w:val="009046B8"/>
    <w:rsid w:val="00904A1C"/>
    <w:rsid w:val="00905030"/>
    <w:rsid w:val="00905FA9"/>
    <w:rsid w:val="00906490"/>
    <w:rsid w:val="00906D72"/>
    <w:rsid w:val="00910A4A"/>
    <w:rsid w:val="009111B2"/>
    <w:rsid w:val="009145DC"/>
    <w:rsid w:val="00914F44"/>
    <w:rsid w:val="009151F5"/>
    <w:rsid w:val="0091661F"/>
    <w:rsid w:val="00917062"/>
    <w:rsid w:val="00917739"/>
    <w:rsid w:val="009179B4"/>
    <w:rsid w:val="00917F9C"/>
    <w:rsid w:val="00917FBA"/>
    <w:rsid w:val="0092056E"/>
    <w:rsid w:val="009227A0"/>
    <w:rsid w:val="00923E88"/>
    <w:rsid w:val="009243E3"/>
    <w:rsid w:val="00924AE1"/>
    <w:rsid w:val="0092613C"/>
    <w:rsid w:val="009263F6"/>
    <w:rsid w:val="009269B1"/>
    <w:rsid w:val="00926EA3"/>
    <w:rsid w:val="0092724D"/>
    <w:rsid w:val="009272B3"/>
    <w:rsid w:val="00927D41"/>
    <w:rsid w:val="009315BE"/>
    <w:rsid w:val="009315CC"/>
    <w:rsid w:val="009326DD"/>
    <w:rsid w:val="00932BB6"/>
    <w:rsid w:val="009332A1"/>
    <w:rsid w:val="0093338F"/>
    <w:rsid w:val="009355B5"/>
    <w:rsid w:val="00937AE1"/>
    <w:rsid w:val="00937BD9"/>
    <w:rsid w:val="009401CB"/>
    <w:rsid w:val="0094078A"/>
    <w:rsid w:val="009407A5"/>
    <w:rsid w:val="00940F7E"/>
    <w:rsid w:val="00941551"/>
    <w:rsid w:val="00941BF5"/>
    <w:rsid w:val="0094208A"/>
    <w:rsid w:val="00944521"/>
    <w:rsid w:val="00945EBC"/>
    <w:rsid w:val="00950001"/>
    <w:rsid w:val="00950E2C"/>
    <w:rsid w:val="009511B9"/>
    <w:rsid w:val="00951D50"/>
    <w:rsid w:val="00951D54"/>
    <w:rsid w:val="009525EB"/>
    <w:rsid w:val="00952EFB"/>
    <w:rsid w:val="00953410"/>
    <w:rsid w:val="00953A31"/>
    <w:rsid w:val="00953EE6"/>
    <w:rsid w:val="0095470B"/>
    <w:rsid w:val="00954874"/>
    <w:rsid w:val="0095615A"/>
    <w:rsid w:val="00956160"/>
    <w:rsid w:val="00957C67"/>
    <w:rsid w:val="009603D0"/>
    <w:rsid w:val="00961400"/>
    <w:rsid w:val="009629CB"/>
    <w:rsid w:val="00963646"/>
    <w:rsid w:val="00963809"/>
    <w:rsid w:val="00963B44"/>
    <w:rsid w:val="00963C47"/>
    <w:rsid w:val="00964277"/>
    <w:rsid w:val="00965040"/>
    <w:rsid w:val="00965445"/>
    <w:rsid w:val="0096632D"/>
    <w:rsid w:val="00967124"/>
    <w:rsid w:val="00970CC3"/>
    <w:rsid w:val="0097166C"/>
    <w:rsid w:val="009718C7"/>
    <w:rsid w:val="00972AB1"/>
    <w:rsid w:val="00972CD4"/>
    <w:rsid w:val="00972FC3"/>
    <w:rsid w:val="0097332B"/>
    <w:rsid w:val="0097413D"/>
    <w:rsid w:val="0097549C"/>
    <w:rsid w:val="00975532"/>
    <w:rsid w:val="0097559F"/>
    <w:rsid w:val="0097592B"/>
    <w:rsid w:val="00976058"/>
    <w:rsid w:val="009761EA"/>
    <w:rsid w:val="009764EE"/>
    <w:rsid w:val="00977180"/>
    <w:rsid w:val="0097761E"/>
    <w:rsid w:val="00977CC5"/>
    <w:rsid w:val="00980847"/>
    <w:rsid w:val="0098131F"/>
    <w:rsid w:val="00981361"/>
    <w:rsid w:val="00982454"/>
    <w:rsid w:val="00982C8D"/>
    <w:rsid w:val="00982CF0"/>
    <w:rsid w:val="00984F3A"/>
    <w:rsid w:val="009853E1"/>
    <w:rsid w:val="00986E6B"/>
    <w:rsid w:val="00990032"/>
    <w:rsid w:val="00990662"/>
    <w:rsid w:val="00990B19"/>
    <w:rsid w:val="0099153B"/>
    <w:rsid w:val="00991769"/>
    <w:rsid w:val="00991FD5"/>
    <w:rsid w:val="00992065"/>
    <w:rsid w:val="009922FC"/>
    <w:rsid w:val="0099232C"/>
    <w:rsid w:val="00994386"/>
    <w:rsid w:val="00994419"/>
    <w:rsid w:val="0099579E"/>
    <w:rsid w:val="00996698"/>
    <w:rsid w:val="009975F2"/>
    <w:rsid w:val="009A13A6"/>
    <w:rsid w:val="009A13D8"/>
    <w:rsid w:val="009A2383"/>
    <w:rsid w:val="009A279E"/>
    <w:rsid w:val="009A3015"/>
    <w:rsid w:val="009A3490"/>
    <w:rsid w:val="009A3558"/>
    <w:rsid w:val="009A35EB"/>
    <w:rsid w:val="009A3BB4"/>
    <w:rsid w:val="009A4131"/>
    <w:rsid w:val="009A4637"/>
    <w:rsid w:val="009A4713"/>
    <w:rsid w:val="009A4B2C"/>
    <w:rsid w:val="009A4C02"/>
    <w:rsid w:val="009A5E91"/>
    <w:rsid w:val="009A6A33"/>
    <w:rsid w:val="009A71A9"/>
    <w:rsid w:val="009A7768"/>
    <w:rsid w:val="009A7941"/>
    <w:rsid w:val="009A7A6B"/>
    <w:rsid w:val="009A7CB5"/>
    <w:rsid w:val="009A7D8B"/>
    <w:rsid w:val="009B0569"/>
    <w:rsid w:val="009B07A1"/>
    <w:rsid w:val="009B0A6F"/>
    <w:rsid w:val="009B0A94"/>
    <w:rsid w:val="009B0C62"/>
    <w:rsid w:val="009B16AC"/>
    <w:rsid w:val="009B1AD4"/>
    <w:rsid w:val="009B24FE"/>
    <w:rsid w:val="009B2AE8"/>
    <w:rsid w:val="009B305B"/>
    <w:rsid w:val="009B5451"/>
    <w:rsid w:val="009B5622"/>
    <w:rsid w:val="009B59E9"/>
    <w:rsid w:val="009B70AA"/>
    <w:rsid w:val="009B79A5"/>
    <w:rsid w:val="009C0EA9"/>
    <w:rsid w:val="009C1AF6"/>
    <w:rsid w:val="009C1BC8"/>
    <w:rsid w:val="009C1C59"/>
    <w:rsid w:val="009C245E"/>
    <w:rsid w:val="009C24A8"/>
    <w:rsid w:val="009C5283"/>
    <w:rsid w:val="009C5E77"/>
    <w:rsid w:val="009C6929"/>
    <w:rsid w:val="009C707D"/>
    <w:rsid w:val="009C7A7E"/>
    <w:rsid w:val="009D02E8"/>
    <w:rsid w:val="009D15C6"/>
    <w:rsid w:val="009D18BB"/>
    <w:rsid w:val="009D28DD"/>
    <w:rsid w:val="009D2BB1"/>
    <w:rsid w:val="009D2E3F"/>
    <w:rsid w:val="009D339F"/>
    <w:rsid w:val="009D3894"/>
    <w:rsid w:val="009D3EB9"/>
    <w:rsid w:val="009D4074"/>
    <w:rsid w:val="009D4990"/>
    <w:rsid w:val="009D51D0"/>
    <w:rsid w:val="009D5AB1"/>
    <w:rsid w:val="009D70A4"/>
    <w:rsid w:val="009D7B14"/>
    <w:rsid w:val="009E029A"/>
    <w:rsid w:val="009E08D1"/>
    <w:rsid w:val="009E0D96"/>
    <w:rsid w:val="009E18C4"/>
    <w:rsid w:val="009E1B95"/>
    <w:rsid w:val="009E1BFA"/>
    <w:rsid w:val="009E496F"/>
    <w:rsid w:val="009E4AB9"/>
    <w:rsid w:val="009E4B0D"/>
    <w:rsid w:val="009E5008"/>
    <w:rsid w:val="009E5250"/>
    <w:rsid w:val="009E55E2"/>
    <w:rsid w:val="009E5D44"/>
    <w:rsid w:val="009E601F"/>
    <w:rsid w:val="009E6416"/>
    <w:rsid w:val="009E7A69"/>
    <w:rsid w:val="009E7F92"/>
    <w:rsid w:val="009F02A3"/>
    <w:rsid w:val="009F19A7"/>
    <w:rsid w:val="009F2182"/>
    <w:rsid w:val="009F2E8F"/>
    <w:rsid w:val="009F2F27"/>
    <w:rsid w:val="009F34AA"/>
    <w:rsid w:val="009F3B84"/>
    <w:rsid w:val="009F3EAA"/>
    <w:rsid w:val="009F475A"/>
    <w:rsid w:val="009F6BCB"/>
    <w:rsid w:val="009F6DAF"/>
    <w:rsid w:val="009F7B78"/>
    <w:rsid w:val="00A0057A"/>
    <w:rsid w:val="00A00708"/>
    <w:rsid w:val="00A01796"/>
    <w:rsid w:val="00A01B6B"/>
    <w:rsid w:val="00A02810"/>
    <w:rsid w:val="00A02FA1"/>
    <w:rsid w:val="00A03640"/>
    <w:rsid w:val="00A038E4"/>
    <w:rsid w:val="00A04177"/>
    <w:rsid w:val="00A0480F"/>
    <w:rsid w:val="00A04CCE"/>
    <w:rsid w:val="00A059F5"/>
    <w:rsid w:val="00A05D4B"/>
    <w:rsid w:val="00A05FEB"/>
    <w:rsid w:val="00A06998"/>
    <w:rsid w:val="00A07421"/>
    <w:rsid w:val="00A0776B"/>
    <w:rsid w:val="00A079C8"/>
    <w:rsid w:val="00A07B9B"/>
    <w:rsid w:val="00A101D7"/>
    <w:rsid w:val="00A102F5"/>
    <w:rsid w:val="00A10FB9"/>
    <w:rsid w:val="00A11421"/>
    <w:rsid w:val="00A12C41"/>
    <w:rsid w:val="00A1389F"/>
    <w:rsid w:val="00A13D14"/>
    <w:rsid w:val="00A157B1"/>
    <w:rsid w:val="00A175AF"/>
    <w:rsid w:val="00A22229"/>
    <w:rsid w:val="00A224FA"/>
    <w:rsid w:val="00A24442"/>
    <w:rsid w:val="00A24645"/>
    <w:rsid w:val="00A24ADA"/>
    <w:rsid w:val="00A26AF6"/>
    <w:rsid w:val="00A2767A"/>
    <w:rsid w:val="00A27C7F"/>
    <w:rsid w:val="00A30132"/>
    <w:rsid w:val="00A307E5"/>
    <w:rsid w:val="00A30FF8"/>
    <w:rsid w:val="00A31711"/>
    <w:rsid w:val="00A31787"/>
    <w:rsid w:val="00A32577"/>
    <w:rsid w:val="00A329E0"/>
    <w:rsid w:val="00A330BB"/>
    <w:rsid w:val="00A336AB"/>
    <w:rsid w:val="00A36B92"/>
    <w:rsid w:val="00A401B2"/>
    <w:rsid w:val="00A40C8E"/>
    <w:rsid w:val="00A41049"/>
    <w:rsid w:val="00A41D62"/>
    <w:rsid w:val="00A42158"/>
    <w:rsid w:val="00A42A67"/>
    <w:rsid w:val="00A42CFF"/>
    <w:rsid w:val="00A42D95"/>
    <w:rsid w:val="00A431C2"/>
    <w:rsid w:val="00A43723"/>
    <w:rsid w:val="00A439B1"/>
    <w:rsid w:val="00A446F5"/>
    <w:rsid w:val="00A44882"/>
    <w:rsid w:val="00A44D31"/>
    <w:rsid w:val="00A45125"/>
    <w:rsid w:val="00A528BF"/>
    <w:rsid w:val="00A52B11"/>
    <w:rsid w:val="00A54332"/>
    <w:rsid w:val="00A54715"/>
    <w:rsid w:val="00A54F09"/>
    <w:rsid w:val="00A54F9B"/>
    <w:rsid w:val="00A55476"/>
    <w:rsid w:val="00A56293"/>
    <w:rsid w:val="00A5649C"/>
    <w:rsid w:val="00A605F1"/>
    <w:rsid w:val="00A6061C"/>
    <w:rsid w:val="00A610AF"/>
    <w:rsid w:val="00A62D44"/>
    <w:rsid w:val="00A63116"/>
    <w:rsid w:val="00A64BD4"/>
    <w:rsid w:val="00A66B92"/>
    <w:rsid w:val="00A67263"/>
    <w:rsid w:val="00A70C6C"/>
    <w:rsid w:val="00A7161C"/>
    <w:rsid w:val="00A71CE4"/>
    <w:rsid w:val="00A73EDE"/>
    <w:rsid w:val="00A748A6"/>
    <w:rsid w:val="00A75B20"/>
    <w:rsid w:val="00A75D4A"/>
    <w:rsid w:val="00A77AA3"/>
    <w:rsid w:val="00A8003B"/>
    <w:rsid w:val="00A8032A"/>
    <w:rsid w:val="00A8053B"/>
    <w:rsid w:val="00A80A7D"/>
    <w:rsid w:val="00A80C2F"/>
    <w:rsid w:val="00A814E9"/>
    <w:rsid w:val="00A8236D"/>
    <w:rsid w:val="00A83452"/>
    <w:rsid w:val="00A83E52"/>
    <w:rsid w:val="00A854EB"/>
    <w:rsid w:val="00A857B0"/>
    <w:rsid w:val="00A85A46"/>
    <w:rsid w:val="00A872E5"/>
    <w:rsid w:val="00A8757E"/>
    <w:rsid w:val="00A87904"/>
    <w:rsid w:val="00A87AA1"/>
    <w:rsid w:val="00A87D70"/>
    <w:rsid w:val="00A91406"/>
    <w:rsid w:val="00A91B00"/>
    <w:rsid w:val="00A92DF6"/>
    <w:rsid w:val="00A93066"/>
    <w:rsid w:val="00A935F6"/>
    <w:rsid w:val="00A938D6"/>
    <w:rsid w:val="00A94158"/>
    <w:rsid w:val="00A941E8"/>
    <w:rsid w:val="00A95D35"/>
    <w:rsid w:val="00A96E65"/>
    <w:rsid w:val="00A96ECE"/>
    <w:rsid w:val="00A97C72"/>
    <w:rsid w:val="00AA030C"/>
    <w:rsid w:val="00AA18D0"/>
    <w:rsid w:val="00AA1F03"/>
    <w:rsid w:val="00AA2C20"/>
    <w:rsid w:val="00AA310B"/>
    <w:rsid w:val="00AA389C"/>
    <w:rsid w:val="00AA3AEC"/>
    <w:rsid w:val="00AA4B00"/>
    <w:rsid w:val="00AA63D4"/>
    <w:rsid w:val="00AA6FB9"/>
    <w:rsid w:val="00AB06E8"/>
    <w:rsid w:val="00AB0C4F"/>
    <w:rsid w:val="00AB0CAF"/>
    <w:rsid w:val="00AB0D46"/>
    <w:rsid w:val="00AB1CCE"/>
    <w:rsid w:val="00AB1CD3"/>
    <w:rsid w:val="00AB352F"/>
    <w:rsid w:val="00AB5709"/>
    <w:rsid w:val="00AB6E38"/>
    <w:rsid w:val="00AB7032"/>
    <w:rsid w:val="00AB7178"/>
    <w:rsid w:val="00AB79D7"/>
    <w:rsid w:val="00AC090C"/>
    <w:rsid w:val="00AC1755"/>
    <w:rsid w:val="00AC2489"/>
    <w:rsid w:val="00AC25E0"/>
    <w:rsid w:val="00AC274B"/>
    <w:rsid w:val="00AC3C55"/>
    <w:rsid w:val="00AC3FD3"/>
    <w:rsid w:val="00AC4764"/>
    <w:rsid w:val="00AC5155"/>
    <w:rsid w:val="00AC5C72"/>
    <w:rsid w:val="00AC6D36"/>
    <w:rsid w:val="00AD0B6A"/>
    <w:rsid w:val="00AD0CBA"/>
    <w:rsid w:val="00AD0E5A"/>
    <w:rsid w:val="00AD1F71"/>
    <w:rsid w:val="00AD26E2"/>
    <w:rsid w:val="00AD379A"/>
    <w:rsid w:val="00AD3892"/>
    <w:rsid w:val="00AD3CF8"/>
    <w:rsid w:val="00AD54B2"/>
    <w:rsid w:val="00AD5C93"/>
    <w:rsid w:val="00AD6442"/>
    <w:rsid w:val="00AD67B7"/>
    <w:rsid w:val="00AD6936"/>
    <w:rsid w:val="00AD784C"/>
    <w:rsid w:val="00AD7909"/>
    <w:rsid w:val="00AE0024"/>
    <w:rsid w:val="00AE126A"/>
    <w:rsid w:val="00AE17CD"/>
    <w:rsid w:val="00AE1BAE"/>
    <w:rsid w:val="00AE250F"/>
    <w:rsid w:val="00AE2E05"/>
    <w:rsid w:val="00AE3005"/>
    <w:rsid w:val="00AE3BD5"/>
    <w:rsid w:val="00AE53E1"/>
    <w:rsid w:val="00AE56D7"/>
    <w:rsid w:val="00AE59A0"/>
    <w:rsid w:val="00AE6092"/>
    <w:rsid w:val="00AE6375"/>
    <w:rsid w:val="00AE6A19"/>
    <w:rsid w:val="00AF0311"/>
    <w:rsid w:val="00AF0C57"/>
    <w:rsid w:val="00AF13C4"/>
    <w:rsid w:val="00AF1C19"/>
    <w:rsid w:val="00AF1D63"/>
    <w:rsid w:val="00AF26F3"/>
    <w:rsid w:val="00AF2B9E"/>
    <w:rsid w:val="00AF572F"/>
    <w:rsid w:val="00AF5B11"/>
    <w:rsid w:val="00AF5C6A"/>
    <w:rsid w:val="00AF5C83"/>
    <w:rsid w:val="00AF5F04"/>
    <w:rsid w:val="00AF615E"/>
    <w:rsid w:val="00B00672"/>
    <w:rsid w:val="00B00DE6"/>
    <w:rsid w:val="00B0156A"/>
    <w:rsid w:val="00B016B8"/>
    <w:rsid w:val="00B01B4D"/>
    <w:rsid w:val="00B020ED"/>
    <w:rsid w:val="00B02663"/>
    <w:rsid w:val="00B02E84"/>
    <w:rsid w:val="00B02F63"/>
    <w:rsid w:val="00B04489"/>
    <w:rsid w:val="00B047EF"/>
    <w:rsid w:val="00B05F6F"/>
    <w:rsid w:val="00B06571"/>
    <w:rsid w:val="00B0670B"/>
    <w:rsid w:val="00B068BA"/>
    <w:rsid w:val="00B07217"/>
    <w:rsid w:val="00B07ADE"/>
    <w:rsid w:val="00B119BC"/>
    <w:rsid w:val="00B12630"/>
    <w:rsid w:val="00B12F0B"/>
    <w:rsid w:val="00B13851"/>
    <w:rsid w:val="00B13B1C"/>
    <w:rsid w:val="00B14B5F"/>
    <w:rsid w:val="00B1535B"/>
    <w:rsid w:val="00B17507"/>
    <w:rsid w:val="00B20DF3"/>
    <w:rsid w:val="00B2182F"/>
    <w:rsid w:val="00B21F90"/>
    <w:rsid w:val="00B22291"/>
    <w:rsid w:val="00B2264A"/>
    <w:rsid w:val="00B230EE"/>
    <w:rsid w:val="00B2396C"/>
    <w:rsid w:val="00B23F9A"/>
    <w:rsid w:val="00B2417B"/>
    <w:rsid w:val="00B2484C"/>
    <w:rsid w:val="00B24E6F"/>
    <w:rsid w:val="00B26CB5"/>
    <w:rsid w:val="00B2752E"/>
    <w:rsid w:val="00B30272"/>
    <w:rsid w:val="00B307CC"/>
    <w:rsid w:val="00B30E4B"/>
    <w:rsid w:val="00B320AA"/>
    <w:rsid w:val="00B322C6"/>
    <w:rsid w:val="00B32395"/>
    <w:rsid w:val="00B326B7"/>
    <w:rsid w:val="00B337B1"/>
    <w:rsid w:val="00B33BF6"/>
    <w:rsid w:val="00B33E2F"/>
    <w:rsid w:val="00B346E0"/>
    <w:rsid w:val="00B34E59"/>
    <w:rsid w:val="00B3588E"/>
    <w:rsid w:val="00B35A6F"/>
    <w:rsid w:val="00B36BBC"/>
    <w:rsid w:val="00B3743F"/>
    <w:rsid w:val="00B40269"/>
    <w:rsid w:val="00B41203"/>
    <w:rsid w:val="00B4198F"/>
    <w:rsid w:val="00B41F3D"/>
    <w:rsid w:val="00B42283"/>
    <w:rsid w:val="00B431E8"/>
    <w:rsid w:val="00B43608"/>
    <w:rsid w:val="00B44461"/>
    <w:rsid w:val="00B44E1E"/>
    <w:rsid w:val="00B45141"/>
    <w:rsid w:val="00B45BEF"/>
    <w:rsid w:val="00B47210"/>
    <w:rsid w:val="00B47821"/>
    <w:rsid w:val="00B4793C"/>
    <w:rsid w:val="00B47ACE"/>
    <w:rsid w:val="00B50309"/>
    <w:rsid w:val="00B503D0"/>
    <w:rsid w:val="00B519CD"/>
    <w:rsid w:val="00B51F87"/>
    <w:rsid w:val="00B5251E"/>
    <w:rsid w:val="00B5273A"/>
    <w:rsid w:val="00B52F7D"/>
    <w:rsid w:val="00B540C0"/>
    <w:rsid w:val="00B5433D"/>
    <w:rsid w:val="00B54609"/>
    <w:rsid w:val="00B546DF"/>
    <w:rsid w:val="00B571B9"/>
    <w:rsid w:val="00B57329"/>
    <w:rsid w:val="00B60E61"/>
    <w:rsid w:val="00B62B50"/>
    <w:rsid w:val="00B635B7"/>
    <w:rsid w:val="00B63AE8"/>
    <w:rsid w:val="00B642B3"/>
    <w:rsid w:val="00B64AA2"/>
    <w:rsid w:val="00B654D5"/>
    <w:rsid w:val="00B65950"/>
    <w:rsid w:val="00B65A57"/>
    <w:rsid w:val="00B65C86"/>
    <w:rsid w:val="00B66977"/>
    <w:rsid w:val="00B66D31"/>
    <w:rsid w:val="00B66D83"/>
    <w:rsid w:val="00B67263"/>
    <w:rsid w:val="00B672C0"/>
    <w:rsid w:val="00B676FD"/>
    <w:rsid w:val="00B678B6"/>
    <w:rsid w:val="00B67AB2"/>
    <w:rsid w:val="00B7147D"/>
    <w:rsid w:val="00B721B5"/>
    <w:rsid w:val="00B725AD"/>
    <w:rsid w:val="00B72A05"/>
    <w:rsid w:val="00B72CF2"/>
    <w:rsid w:val="00B731AB"/>
    <w:rsid w:val="00B7378C"/>
    <w:rsid w:val="00B74672"/>
    <w:rsid w:val="00B75646"/>
    <w:rsid w:val="00B7629E"/>
    <w:rsid w:val="00B769CA"/>
    <w:rsid w:val="00B76DE8"/>
    <w:rsid w:val="00B80CF6"/>
    <w:rsid w:val="00B8106D"/>
    <w:rsid w:val="00B85104"/>
    <w:rsid w:val="00B85DFB"/>
    <w:rsid w:val="00B87443"/>
    <w:rsid w:val="00B8778D"/>
    <w:rsid w:val="00B87BC1"/>
    <w:rsid w:val="00B901B8"/>
    <w:rsid w:val="00B90729"/>
    <w:rsid w:val="00B907DA"/>
    <w:rsid w:val="00B908CC"/>
    <w:rsid w:val="00B911BD"/>
    <w:rsid w:val="00B9129A"/>
    <w:rsid w:val="00B91B3F"/>
    <w:rsid w:val="00B947AA"/>
    <w:rsid w:val="00B94C5E"/>
    <w:rsid w:val="00B94EAF"/>
    <w:rsid w:val="00B950BC"/>
    <w:rsid w:val="00B951EB"/>
    <w:rsid w:val="00B95941"/>
    <w:rsid w:val="00B95BF2"/>
    <w:rsid w:val="00B9619C"/>
    <w:rsid w:val="00B9635F"/>
    <w:rsid w:val="00B96C57"/>
    <w:rsid w:val="00B96DF8"/>
    <w:rsid w:val="00B9714C"/>
    <w:rsid w:val="00B97B57"/>
    <w:rsid w:val="00BA0811"/>
    <w:rsid w:val="00BA0F56"/>
    <w:rsid w:val="00BA29AD"/>
    <w:rsid w:val="00BA33CF"/>
    <w:rsid w:val="00BA3F8D"/>
    <w:rsid w:val="00BA4032"/>
    <w:rsid w:val="00BA4090"/>
    <w:rsid w:val="00BA4A7E"/>
    <w:rsid w:val="00BA709B"/>
    <w:rsid w:val="00BA782E"/>
    <w:rsid w:val="00BA7D80"/>
    <w:rsid w:val="00BB0195"/>
    <w:rsid w:val="00BB0D2A"/>
    <w:rsid w:val="00BB1668"/>
    <w:rsid w:val="00BB1B30"/>
    <w:rsid w:val="00BB1D4C"/>
    <w:rsid w:val="00BB2441"/>
    <w:rsid w:val="00BB2CEA"/>
    <w:rsid w:val="00BB4696"/>
    <w:rsid w:val="00BB4AD1"/>
    <w:rsid w:val="00BB6145"/>
    <w:rsid w:val="00BB68F2"/>
    <w:rsid w:val="00BB7A10"/>
    <w:rsid w:val="00BC04DF"/>
    <w:rsid w:val="00BC0589"/>
    <w:rsid w:val="00BC06FE"/>
    <w:rsid w:val="00BC1C64"/>
    <w:rsid w:val="00BC1CE4"/>
    <w:rsid w:val="00BC326F"/>
    <w:rsid w:val="00BC3555"/>
    <w:rsid w:val="00BC3E12"/>
    <w:rsid w:val="00BC45D2"/>
    <w:rsid w:val="00BC568F"/>
    <w:rsid w:val="00BC5787"/>
    <w:rsid w:val="00BC5F4D"/>
    <w:rsid w:val="00BC60BE"/>
    <w:rsid w:val="00BC63DC"/>
    <w:rsid w:val="00BC7468"/>
    <w:rsid w:val="00BC7D4F"/>
    <w:rsid w:val="00BC7ED7"/>
    <w:rsid w:val="00BD04FF"/>
    <w:rsid w:val="00BD2850"/>
    <w:rsid w:val="00BD61CD"/>
    <w:rsid w:val="00BE0BC8"/>
    <w:rsid w:val="00BE0CB3"/>
    <w:rsid w:val="00BE28D2"/>
    <w:rsid w:val="00BE294C"/>
    <w:rsid w:val="00BE2D15"/>
    <w:rsid w:val="00BE408B"/>
    <w:rsid w:val="00BE428F"/>
    <w:rsid w:val="00BE49DD"/>
    <w:rsid w:val="00BE4A61"/>
    <w:rsid w:val="00BE4A64"/>
    <w:rsid w:val="00BE5E43"/>
    <w:rsid w:val="00BE6316"/>
    <w:rsid w:val="00BE6E0B"/>
    <w:rsid w:val="00BF04BA"/>
    <w:rsid w:val="00BF152A"/>
    <w:rsid w:val="00BF1FA1"/>
    <w:rsid w:val="00BF2F9B"/>
    <w:rsid w:val="00BF3E9A"/>
    <w:rsid w:val="00BF4255"/>
    <w:rsid w:val="00BF557D"/>
    <w:rsid w:val="00BF658D"/>
    <w:rsid w:val="00BF6F48"/>
    <w:rsid w:val="00BF7F58"/>
    <w:rsid w:val="00C0065B"/>
    <w:rsid w:val="00C01381"/>
    <w:rsid w:val="00C01984"/>
    <w:rsid w:val="00C01AB1"/>
    <w:rsid w:val="00C020A2"/>
    <w:rsid w:val="00C026A0"/>
    <w:rsid w:val="00C036E2"/>
    <w:rsid w:val="00C04175"/>
    <w:rsid w:val="00C04D1A"/>
    <w:rsid w:val="00C05805"/>
    <w:rsid w:val="00C05F4A"/>
    <w:rsid w:val="00C06137"/>
    <w:rsid w:val="00C068B7"/>
    <w:rsid w:val="00C06929"/>
    <w:rsid w:val="00C076EF"/>
    <w:rsid w:val="00C079B8"/>
    <w:rsid w:val="00C10037"/>
    <w:rsid w:val="00C10319"/>
    <w:rsid w:val="00C115E1"/>
    <w:rsid w:val="00C11CC3"/>
    <w:rsid w:val="00C12380"/>
    <w:rsid w:val="00C123EA"/>
    <w:rsid w:val="00C12A49"/>
    <w:rsid w:val="00C133EE"/>
    <w:rsid w:val="00C149D0"/>
    <w:rsid w:val="00C159AB"/>
    <w:rsid w:val="00C15A63"/>
    <w:rsid w:val="00C16F72"/>
    <w:rsid w:val="00C178FF"/>
    <w:rsid w:val="00C20C91"/>
    <w:rsid w:val="00C21C12"/>
    <w:rsid w:val="00C225E6"/>
    <w:rsid w:val="00C23508"/>
    <w:rsid w:val="00C23B34"/>
    <w:rsid w:val="00C23D52"/>
    <w:rsid w:val="00C24705"/>
    <w:rsid w:val="00C25EAB"/>
    <w:rsid w:val="00C26588"/>
    <w:rsid w:val="00C27CCC"/>
    <w:rsid w:val="00C27DE9"/>
    <w:rsid w:val="00C32989"/>
    <w:rsid w:val="00C32A1B"/>
    <w:rsid w:val="00C33091"/>
    <w:rsid w:val="00C33388"/>
    <w:rsid w:val="00C33598"/>
    <w:rsid w:val="00C34E0A"/>
    <w:rsid w:val="00C34FAB"/>
    <w:rsid w:val="00C35484"/>
    <w:rsid w:val="00C35B8F"/>
    <w:rsid w:val="00C36B06"/>
    <w:rsid w:val="00C378E1"/>
    <w:rsid w:val="00C41438"/>
    <w:rsid w:val="00C4149C"/>
    <w:rsid w:val="00C4173A"/>
    <w:rsid w:val="00C429A3"/>
    <w:rsid w:val="00C42D41"/>
    <w:rsid w:val="00C4324D"/>
    <w:rsid w:val="00C446AF"/>
    <w:rsid w:val="00C4504E"/>
    <w:rsid w:val="00C466D6"/>
    <w:rsid w:val="00C46874"/>
    <w:rsid w:val="00C47D47"/>
    <w:rsid w:val="00C50DED"/>
    <w:rsid w:val="00C52217"/>
    <w:rsid w:val="00C539FC"/>
    <w:rsid w:val="00C53D11"/>
    <w:rsid w:val="00C54321"/>
    <w:rsid w:val="00C54605"/>
    <w:rsid w:val="00C57E69"/>
    <w:rsid w:val="00C601FC"/>
    <w:rsid w:val="00C602FF"/>
    <w:rsid w:val="00C60411"/>
    <w:rsid w:val="00C61174"/>
    <w:rsid w:val="00C6148F"/>
    <w:rsid w:val="00C61A99"/>
    <w:rsid w:val="00C621B1"/>
    <w:rsid w:val="00C62F7A"/>
    <w:rsid w:val="00C63A7E"/>
    <w:rsid w:val="00C63B9C"/>
    <w:rsid w:val="00C6617B"/>
    <w:rsid w:val="00C6649D"/>
    <w:rsid w:val="00C6682F"/>
    <w:rsid w:val="00C66964"/>
    <w:rsid w:val="00C66B45"/>
    <w:rsid w:val="00C6747F"/>
    <w:rsid w:val="00C67639"/>
    <w:rsid w:val="00C67812"/>
    <w:rsid w:val="00C67BF4"/>
    <w:rsid w:val="00C70067"/>
    <w:rsid w:val="00C70EFB"/>
    <w:rsid w:val="00C7275E"/>
    <w:rsid w:val="00C731AF"/>
    <w:rsid w:val="00C74242"/>
    <w:rsid w:val="00C74C5D"/>
    <w:rsid w:val="00C763A6"/>
    <w:rsid w:val="00C76535"/>
    <w:rsid w:val="00C7668C"/>
    <w:rsid w:val="00C768B7"/>
    <w:rsid w:val="00C76FA2"/>
    <w:rsid w:val="00C77B34"/>
    <w:rsid w:val="00C77C63"/>
    <w:rsid w:val="00C819B7"/>
    <w:rsid w:val="00C81EF2"/>
    <w:rsid w:val="00C83179"/>
    <w:rsid w:val="00C83330"/>
    <w:rsid w:val="00C83F28"/>
    <w:rsid w:val="00C857B9"/>
    <w:rsid w:val="00C863C4"/>
    <w:rsid w:val="00C86F28"/>
    <w:rsid w:val="00C90BFE"/>
    <w:rsid w:val="00C90DAB"/>
    <w:rsid w:val="00C91236"/>
    <w:rsid w:val="00C91CE0"/>
    <w:rsid w:val="00C920EA"/>
    <w:rsid w:val="00C9229B"/>
    <w:rsid w:val="00C92437"/>
    <w:rsid w:val="00C93AF4"/>
    <w:rsid w:val="00C93C3E"/>
    <w:rsid w:val="00C95AF7"/>
    <w:rsid w:val="00C97288"/>
    <w:rsid w:val="00CA09B4"/>
    <w:rsid w:val="00CA0F54"/>
    <w:rsid w:val="00CA12E3"/>
    <w:rsid w:val="00CA1476"/>
    <w:rsid w:val="00CA3B5A"/>
    <w:rsid w:val="00CA3CB3"/>
    <w:rsid w:val="00CA59EF"/>
    <w:rsid w:val="00CA5D69"/>
    <w:rsid w:val="00CA62D6"/>
    <w:rsid w:val="00CA6611"/>
    <w:rsid w:val="00CA6AE6"/>
    <w:rsid w:val="00CA6F09"/>
    <w:rsid w:val="00CA734C"/>
    <w:rsid w:val="00CA782F"/>
    <w:rsid w:val="00CB0ED1"/>
    <w:rsid w:val="00CB13F8"/>
    <w:rsid w:val="00CB1418"/>
    <w:rsid w:val="00CB187B"/>
    <w:rsid w:val="00CB2218"/>
    <w:rsid w:val="00CB2835"/>
    <w:rsid w:val="00CB2B11"/>
    <w:rsid w:val="00CB3285"/>
    <w:rsid w:val="00CB4500"/>
    <w:rsid w:val="00CB4D05"/>
    <w:rsid w:val="00CB5166"/>
    <w:rsid w:val="00CB602A"/>
    <w:rsid w:val="00CB7E61"/>
    <w:rsid w:val="00CC0C72"/>
    <w:rsid w:val="00CC189A"/>
    <w:rsid w:val="00CC25DC"/>
    <w:rsid w:val="00CC2BFD"/>
    <w:rsid w:val="00CC3324"/>
    <w:rsid w:val="00CC33E6"/>
    <w:rsid w:val="00CC36FB"/>
    <w:rsid w:val="00CC3AE9"/>
    <w:rsid w:val="00CC3C32"/>
    <w:rsid w:val="00CC56FA"/>
    <w:rsid w:val="00CC63EE"/>
    <w:rsid w:val="00CC6E9B"/>
    <w:rsid w:val="00CC6F40"/>
    <w:rsid w:val="00CC7349"/>
    <w:rsid w:val="00CC77E2"/>
    <w:rsid w:val="00CC782C"/>
    <w:rsid w:val="00CC791A"/>
    <w:rsid w:val="00CD3476"/>
    <w:rsid w:val="00CD40F8"/>
    <w:rsid w:val="00CD423E"/>
    <w:rsid w:val="00CD5343"/>
    <w:rsid w:val="00CD57D0"/>
    <w:rsid w:val="00CD6354"/>
    <w:rsid w:val="00CD64DF"/>
    <w:rsid w:val="00CD7098"/>
    <w:rsid w:val="00CD71AA"/>
    <w:rsid w:val="00CE01A4"/>
    <w:rsid w:val="00CE119C"/>
    <w:rsid w:val="00CE1B1A"/>
    <w:rsid w:val="00CE1C9E"/>
    <w:rsid w:val="00CE225F"/>
    <w:rsid w:val="00CE2D1F"/>
    <w:rsid w:val="00CE3604"/>
    <w:rsid w:val="00CE3B8D"/>
    <w:rsid w:val="00CE5015"/>
    <w:rsid w:val="00CE5A7A"/>
    <w:rsid w:val="00CE5D0C"/>
    <w:rsid w:val="00CE6153"/>
    <w:rsid w:val="00CE67DC"/>
    <w:rsid w:val="00CE7762"/>
    <w:rsid w:val="00CF1AE4"/>
    <w:rsid w:val="00CF22DA"/>
    <w:rsid w:val="00CF2323"/>
    <w:rsid w:val="00CF2982"/>
    <w:rsid w:val="00CF2F50"/>
    <w:rsid w:val="00CF3BAD"/>
    <w:rsid w:val="00CF44F7"/>
    <w:rsid w:val="00CF6180"/>
    <w:rsid w:val="00CF6198"/>
    <w:rsid w:val="00CF739F"/>
    <w:rsid w:val="00CF75C0"/>
    <w:rsid w:val="00D02026"/>
    <w:rsid w:val="00D02537"/>
    <w:rsid w:val="00D02919"/>
    <w:rsid w:val="00D02B5F"/>
    <w:rsid w:val="00D02CAC"/>
    <w:rsid w:val="00D04C61"/>
    <w:rsid w:val="00D0557E"/>
    <w:rsid w:val="00D058C6"/>
    <w:rsid w:val="00D05B8D"/>
    <w:rsid w:val="00D05B9B"/>
    <w:rsid w:val="00D06049"/>
    <w:rsid w:val="00D065A2"/>
    <w:rsid w:val="00D079AA"/>
    <w:rsid w:val="00D07ABC"/>
    <w:rsid w:val="00D07F00"/>
    <w:rsid w:val="00D10326"/>
    <w:rsid w:val="00D1130F"/>
    <w:rsid w:val="00D123C8"/>
    <w:rsid w:val="00D13203"/>
    <w:rsid w:val="00D1450A"/>
    <w:rsid w:val="00D17053"/>
    <w:rsid w:val="00D17B72"/>
    <w:rsid w:val="00D17D9C"/>
    <w:rsid w:val="00D17FB7"/>
    <w:rsid w:val="00D2031D"/>
    <w:rsid w:val="00D21587"/>
    <w:rsid w:val="00D224B2"/>
    <w:rsid w:val="00D224F2"/>
    <w:rsid w:val="00D231F5"/>
    <w:rsid w:val="00D24AA4"/>
    <w:rsid w:val="00D24DAC"/>
    <w:rsid w:val="00D24E59"/>
    <w:rsid w:val="00D259CB"/>
    <w:rsid w:val="00D25D4C"/>
    <w:rsid w:val="00D26D98"/>
    <w:rsid w:val="00D301E0"/>
    <w:rsid w:val="00D30494"/>
    <w:rsid w:val="00D306BD"/>
    <w:rsid w:val="00D3185C"/>
    <w:rsid w:val="00D3205F"/>
    <w:rsid w:val="00D3318E"/>
    <w:rsid w:val="00D33E72"/>
    <w:rsid w:val="00D34A20"/>
    <w:rsid w:val="00D34AD7"/>
    <w:rsid w:val="00D34E4A"/>
    <w:rsid w:val="00D353AB"/>
    <w:rsid w:val="00D35BD6"/>
    <w:rsid w:val="00D3615B"/>
    <w:rsid w:val="00D361B5"/>
    <w:rsid w:val="00D36C13"/>
    <w:rsid w:val="00D36E84"/>
    <w:rsid w:val="00D37B76"/>
    <w:rsid w:val="00D37D7F"/>
    <w:rsid w:val="00D401DE"/>
    <w:rsid w:val="00D405F2"/>
    <w:rsid w:val="00D411A2"/>
    <w:rsid w:val="00D41282"/>
    <w:rsid w:val="00D426AF"/>
    <w:rsid w:val="00D44E06"/>
    <w:rsid w:val="00D45199"/>
    <w:rsid w:val="00D4606D"/>
    <w:rsid w:val="00D465BA"/>
    <w:rsid w:val="00D4689F"/>
    <w:rsid w:val="00D4765A"/>
    <w:rsid w:val="00D50659"/>
    <w:rsid w:val="00D50B9C"/>
    <w:rsid w:val="00D50EBE"/>
    <w:rsid w:val="00D513AF"/>
    <w:rsid w:val="00D51923"/>
    <w:rsid w:val="00D52C82"/>
    <w:rsid w:val="00D52D73"/>
    <w:rsid w:val="00D52DD9"/>
    <w:rsid w:val="00D52E58"/>
    <w:rsid w:val="00D53ADA"/>
    <w:rsid w:val="00D53D7B"/>
    <w:rsid w:val="00D53DC4"/>
    <w:rsid w:val="00D556CC"/>
    <w:rsid w:val="00D56B20"/>
    <w:rsid w:val="00D56E49"/>
    <w:rsid w:val="00D572AF"/>
    <w:rsid w:val="00D578B3"/>
    <w:rsid w:val="00D6034F"/>
    <w:rsid w:val="00D60C05"/>
    <w:rsid w:val="00D60CC2"/>
    <w:rsid w:val="00D618F4"/>
    <w:rsid w:val="00D63636"/>
    <w:rsid w:val="00D63FD6"/>
    <w:rsid w:val="00D64022"/>
    <w:rsid w:val="00D64A09"/>
    <w:rsid w:val="00D65A6A"/>
    <w:rsid w:val="00D65AAA"/>
    <w:rsid w:val="00D65B1C"/>
    <w:rsid w:val="00D671DB"/>
    <w:rsid w:val="00D67797"/>
    <w:rsid w:val="00D679E8"/>
    <w:rsid w:val="00D70E28"/>
    <w:rsid w:val="00D714CC"/>
    <w:rsid w:val="00D71F72"/>
    <w:rsid w:val="00D732B9"/>
    <w:rsid w:val="00D73759"/>
    <w:rsid w:val="00D73A20"/>
    <w:rsid w:val="00D73FB9"/>
    <w:rsid w:val="00D75BC5"/>
    <w:rsid w:val="00D75EA7"/>
    <w:rsid w:val="00D763B6"/>
    <w:rsid w:val="00D76AC9"/>
    <w:rsid w:val="00D77646"/>
    <w:rsid w:val="00D81ADF"/>
    <w:rsid w:val="00D81F21"/>
    <w:rsid w:val="00D8206C"/>
    <w:rsid w:val="00D828B9"/>
    <w:rsid w:val="00D82ADE"/>
    <w:rsid w:val="00D83AD4"/>
    <w:rsid w:val="00D83CDD"/>
    <w:rsid w:val="00D8460C"/>
    <w:rsid w:val="00D84699"/>
    <w:rsid w:val="00D85144"/>
    <w:rsid w:val="00D85A89"/>
    <w:rsid w:val="00D864F2"/>
    <w:rsid w:val="00D874E8"/>
    <w:rsid w:val="00D90EEE"/>
    <w:rsid w:val="00D91F60"/>
    <w:rsid w:val="00D93EB0"/>
    <w:rsid w:val="00D93F30"/>
    <w:rsid w:val="00D943F8"/>
    <w:rsid w:val="00D95470"/>
    <w:rsid w:val="00D96B55"/>
    <w:rsid w:val="00DA07E9"/>
    <w:rsid w:val="00DA0CD9"/>
    <w:rsid w:val="00DA0D80"/>
    <w:rsid w:val="00DA0FEB"/>
    <w:rsid w:val="00DA1173"/>
    <w:rsid w:val="00DA1E33"/>
    <w:rsid w:val="00DA2619"/>
    <w:rsid w:val="00DA28EC"/>
    <w:rsid w:val="00DA32B9"/>
    <w:rsid w:val="00DA4239"/>
    <w:rsid w:val="00DA588C"/>
    <w:rsid w:val="00DA6002"/>
    <w:rsid w:val="00DA6444"/>
    <w:rsid w:val="00DA65DE"/>
    <w:rsid w:val="00DB0B61"/>
    <w:rsid w:val="00DB1474"/>
    <w:rsid w:val="00DB16D3"/>
    <w:rsid w:val="00DB2229"/>
    <w:rsid w:val="00DB2962"/>
    <w:rsid w:val="00DB302D"/>
    <w:rsid w:val="00DB33E9"/>
    <w:rsid w:val="00DB3ECB"/>
    <w:rsid w:val="00DB41FC"/>
    <w:rsid w:val="00DB43B8"/>
    <w:rsid w:val="00DB45A1"/>
    <w:rsid w:val="00DB52FB"/>
    <w:rsid w:val="00DB5CD8"/>
    <w:rsid w:val="00DB5CEB"/>
    <w:rsid w:val="00DB5ED2"/>
    <w:rsid w:val="00DB733C"/>
    <w:rsid w:val="00DB73D5"/>
    <w:rsid w:val="00DC013B"/>
    <w:rsid w:val="00DC01C8"/>
    <w:rsid w:val="00DC0378"/>
    <w:rsid w:val="00DC090B"/>
    <w:rsid w:val="00DC1679"/>
    <w:rsid w:val="00DC219B"/>
    <w:rsid w:val="00DC2886"/>
    <w:rsid w:val="00DC2CF1"/>
    <w:rsid w:val="00DC2DC7"/>
    <w:rsid w:val="00DC2EA0"/>
    <w:rsid w:val="00DC3881"/>
    <w:rsid w:val="00DC3A67"/>
    <w:rsid w:val="00DC3A7C"/>
    <w:rsid w:val="00DC44D2"/>
    <w:rsid w:val="00DC4FCF"/>
    <w:rsid w:val="00DC50E0"/>
    <w:rsid w:val="00DC5AE4"/>
    <w:rsid w:val="00DC6386"/>
    <w:rsid w:val="00DC6BA4"/>
    <w:rsid w:val="00DD0CDC"/>
    <w:rsid w:val="00DD1130"/>
    <w:rsid w:val="00DD1951"/>
    <w:rsid w:val="00DD2211"/>
    <w:rsid w:val="00DD2F02"/>
    <w:rsid w:val="00DD3F5F"/>
    <w:rsid w:val="00DD487D"/>
    <w:rsid w:val="00DD4D9C"/>
    <w:rsid w:val="00DD4E83"/>
    <w:rsid w:val="00DD5747"/>
    <w:rsid w:val="00DD5EE4"/>
    <w:rsid w:val="00DD6628"/>
    <w:rsid w:val="00DD6945"/>
    <w:rsid w:val="00DE13C8"/>
    <w:rsid w:val="00DE145E"/>
    <w:rsid w:val="00DE177A"/>
    <w:rsid w:val="00DE29DD"/>
    <w:rsid w:val="00DE2D04"/>
    <w:rsid w:val="00DE3250"/>
    <w:rsid w:val="00DE416A"/>
    <w:rsid w:val="00DE54EC"/>
    <w:rsid w:val="00DE6028"/>
    <w:rsid w:val="00DE66DE"/>
    <w:rsid w:val="00DE6780"/>
    <w:rsid w:val="00DE6C85"/>
    <w:rsid w:val="00DE6D0C"/>
    <w:rsid w:val="00DE6F13"/>
    <w:rsid w:val="00DE78A3"/>
    <w:rsid w:val="00DF0297"/>
    <w:rsid w:val="00DF1A71"/>
    <w:rsid w:val="00DF344E"/>
    <w:rsid w:val="00DF3642"/>
    <w:rsid w:val="00DF4612"/>
    <w:rsid w:val="00DF4B03"/>
    <w:rsid w:val="00DF50FC"/>
    <w:rsid w:val="00DF55C4"/>
    <w:rsid w:val="00DF61E8"/>
    <w:rsid w:val="00DF68C7"/>
    <w:rsid w:val="00DF6ABF"/>
    <w:rsid w:val="00DF6DB5"/>
    <w:rsid w:val="00DF731A"/>
    <w:rsid w:val="00E021A9"/>
    <w:rsid w:val="00E02309"/>
    <w:rsid w:val="00E02426"/>
    <w:rsid w:val="00E02483"/>
    <w:rsid w:val="00E02C26"/>
    <w:rsid w:val="00E03206"/>
    <w:rsid w:val="00E03813"/>
    <w:rsid w:val="00E03B7B"/>
    <w:rsid w:val="00E04019"/>
    <w:rsid w:val="00E0603A"/>
    <w:rsid w:val="00E06B75"/>
    <w:rsid w:val="00E11332"/>
    <w:rsid w:val="00E11352"/>
    <w:rsid w:val="00E12240"/>
    <w:rsid w:val="00E12C74"/>
    <w:rsid w:val="00E12D7E"/>
    <w:rsid w:val="00E13FCD"/>
    <w:rsid w:val="00E14620"/>
    <w:rsid w:val="00E14B4A"/>
    <w:rsid w:val="00E1660F"/>
    <w:rsid w:val="00E16B41"/>
    <w:rsid w:val="00E170DC"/>
    <w:rsid w:val="00E17546"/>
    <w:rsid w:val="00E206A4"/>
    <w:rsid w:val="00E210B5"/>
    <w:rsid w:val="00E235CB"/>
    <w:rsid w:val="00E25840"/>
    <w:rsid w:val="00E261B3"/>
    <w:rsid w:val="00E26386"/>
    <w:rsid w:val="00E26818"/>
    <w:rsid w:val="00E26935"/>
    <w:rsid w:val="00E27460"/>
    <w:rsid w:val="00E27591"/>
    <w:rsid w:val="00E27FFC"/>
    <w:rsid w:val="00E30021"/>
    <w:rsid w:val="00E30398"/>
    <w:rsid w:val="00E304ED"/>
    <w:rsid w:val="00E30B15"/>
    <w:rsid w:val="00E31A54"/>
    <w:rsid w:val="00E31B03"/>
    <w:rsid w:val="00E31B1B"/>
    <w:rsid w:val="00E33237"/>
    <w:rsid w:val="00E33E4B"/>
    <w:rsid w:val="00E3419C"/>
    <w:rsid w:val="00E3560C"/>
    <w:rsid w:val="00E3598F"/>
    <w:rsid w:val="00E36263"/>
    <w:rsid w:val="00E3792D"/>
    <w:rsid w:val="00E37E24"/>
    <w:rsid w:val="00E40181"/>
    <w:rsid w:val="00E41526"/>
    <w:rsid w:val="00E41B6D"/>
    <w:rsid w:val="00E41E75"/>
    <w:rsid w:val="00E42AB9"/>
    <w:rsid w:val="00E43664"/>
    <w:rsid w:val="00E44E82"/>
    <w:rsid w:val="00E46FAA"/>
    <w:rsid w:val="00E47FE9"/>
    <w:rsid w:val="00E50214"/>
    <w:rsid w:val="00E5121E"/>
    <w:rsid w:val="00E52103"/>
    <w:rsid w:val="00E53241"/>
    <w:rsid w:val="00E54950"/>
    <w:rsid w:val="00E55FB3"/>
    <w:rsid w:val="00E56A01"/>
    <w:rsid w:val="00E57679"/>
    <w:rsid w:val="00E60F35"/>
    <w:rsid w:val="00E629A1"/>
    <w:rsid w:val="00E63095"/>
    <w:rsid w:val="00E64020"/>
    <w:rsid w:val="00E654EE"/>
    <w:rsid w:val="00E66427"/>
    <w:rsid w:val="00E66E4F"/>
    <w:rsid w:val="00E6794C"/>
    <w:rsid w:val="00E67DE4"/>
    <w:rsid w:val="00E70331"/>
    <w:rsid w:val="00E709ED"/>
    <w:rsid w:val="00E71591"/>
    <w:rsid w:val="00E71CEB"/>
    <w:rsid w:val="00E724D8"/>
    <w:rsid w:val="00E72579"/>
    <w:rsid w:val="00E72D29"/>
    <w:rsid w:val="00E72E7A"/>
    <w:rsid w:val="00E74647"/>
    <w:rsid w:val="00E7474F"/>
    <w:rsid w:val="00E753D6"/>
    <w:rsid w:val="00E76E37"/>
    <w:rsid w:val="00E77C7C"/>
    <w:rsid w:val="00E77ED3"/>
    <w:rsid w:val="00E77F00"/>
    <w:rsid w:val="00E80DE3"/>
    <w:rsid w:val="00E815AD"/>
    <w:rsid w:val="00E81A15"/>
    <w:rsid w:val="00E82C55"/>
    <w:rsid w:val="00E83DBB"/>
    <w:rsid w:val="00E83F8B"/>
    <w:rsid w:val="00E84137"/>
    <w:rsid w:val="00E8449A"/>
    <w:rsid w:val="00E846AF"/>
    <w:rsid w:val="00E85F97"/>
    <w:rsid w:val="00E8787E"/>
    <w:rsid w:val="00E91F1E"/>
    <w:rsid w:val="00E92AC3"/>
    <w:rsid w:val="00E94648"/>
    <w:rsid w:val="00E94E2D"/>
    <w:rsid w:val="00E965BB"/>
    <w:rsid w:val="00E96C72"/>
    <w:rsid w:val="00EA0013"/>
    <w:rsid w:val="00EA144F"/>
    <w:rsid w:val="00EA1FA0"/>
    <w:rsid w:val="00EA20EC"/>
    <w:rsid w:val="00EA217A"/>
    <w:rsid w:val="00EA2F6A"/>
    <w:rsid w:val="00EA3F0D"/>
    <w:rsid w:val="00EA4B96"/>
    <w:rsid w:val="00EA4F39"/>
    <w:rsid w:val="00EA714B"/>
    <w:rsid w:val="00EA72BA"/>
    <w:rsid w:val="00EB00E0"/>
    <w:rsid w:val="00EB05D5"/>
    <w:rsid w:val="00EB0AFE"/>
    <w:rsid w:val="00EB1463"/>
    <w:rsid w:val="00EB2E0F"/>
    <w:rsid w:val="00EB3039"/>
    <w:rsid w:val="00EB319D"/>
    <w:rsid w:val="00EB3948"/>
    <w:rsid w:val="00EB3AB7"/>
    <w:rsid w:val="00EB3CE8"/>
    <w:rsid w:val="00EB4965"/>
    <w:rsid w:val="00EB4BC7"/>
    <w:rsid w:val="00EB536C"/>
    <w:rsid w:val="00EB556E"/>
    <w:rsid w:val="00EB56B9"/>
    <w:rsid w:val="00EB6065"/>
    <w:rsid w:val="00EB765F"/>
    <w:rsid w:val="00EB7FE1"/>
    <w:rsid w:val="00EC059F"/>
    <w:rsid w:val="00EC0A22"/>
    <w:rsid w:val="00EC0BE6"/>
    <w:rsid w:val="00EC0F90"/>
    <w:rsid w:val="00EC1A1D"/>
    <w:rsid w:val="00EC1CEA"/>
    <w:rsid w:val="00EC1F24"/>
    <w:rsid w:val="00EC22F6"/>
    <w:rsid w:val="00EC3120"/>
    <w:rsid w:val="00EC3DB9"/>
    <w:rsid w:val="00EC433D"/>
    <w:rsid w:val="00EC47DF"/>
    <w:rsid w:val="00EC48E5"/>
    <w:rsid w:val="00EC4B4B"/>
    <w:rsid w:val="00EC4C9D"/>
    <w:rsid w:val="00EC5084"/>
    <w:rsid w:val="00EC58EA"/>
    <w:rsid w:val="00EC5944"/>
    <w:rsid w:val="00EC6140"/>
    <w:rsid w:val="00EC6604"/>
    <w:rsid w:val="00EC6748"/>
    <w:rsid w:val="00EC7721"/>
    <w:rsid w:val="00EC7BC3"/>
    <w:rsid w:val="00ED1BFE"/>
    <w:rsid w:val="00ED1DC2"/>
    <w:rsid w:val="00ED20A7"/>
    <w:rsid w:val="00ED2484"/>
    <w:rsid w:val="00ED248B"/>
    <w:rsid w:val="00ED381A"/>
    <w:rsid w:val="00ED439D"/>
    <w:rsid w:val="00ED5B9B"/>
    <w:rsid w:val="00ED639C"/>
    <w:rsid w:val="00ED6BAD"/>
    <w:rsid w:val="00ED7447"/>
    <w:rsid w:val="00ED7762"/>
    <w:rsid w:val="00EE00D6"/>
    <w:rsid w:val="00EE0E60"/>
    <w:rsid w:val="00EE10DB"/>
    <w:rsid w:val="00EE11E7"/>
    <w:rsid w:val="00EE1488"/>
    <w:rsid w:val="00EE2155"/>
    <w:rsid w:val="00EE29AD"/>
    <w:rsid w:val="00EE3225"/>
    <w:rsid w:val="00EE3E24"/>
    <w:rsid w:val="00EE4D5D"/>
    <w:rsid w:val="00EE4F87"/>
    <w:rsid w:val="00EE5131"/>
    <w:rsid w:val="00EE5D86"/>
    <w:rsid w:val="00EE7158"/>
    <w:rsid w:val="00EF057C"/>
    <w:rsid w:val="00EF109B"/>
    <w:rsid w:val="00EF1383"/>
    <w:rsid w:val="00EF1721"/>
    <w:rsid w:val="00EF201C"/>
    <w:rsid w:val="00EF2C72"/>
    <w:rsid w:val="00EF36AF"/>
    <w:rsid w:val="00EF3CB8"/>
    <w:rsid w:val="00EF43B4"/>
    <w:rsid w:val="00EF5107"/>
    <w:rsid w:val="00EF59A3"/>
    <w:rsid w:val="00EF6675"/>
    <w:rsid w:val="00EF77D8"/>
    <w:rsid w:val="00F004D1"/>
    <w:rsid w:val="00F0063D"/>
    <w:rsid w:val="00F00D1F"/>
    <w:rsid w:val="00F00D80"/>
    <w:rsid w:val="00F00F9C"/>
    <w:rsid w:val="00F01E5F"/>
    <w:rsid w:val="00F024F3"/>
    <w:rsid w:val="00F02ABA"/>
    <w:rsid w:val="00F02B59"/>
    <w:rsid w:val="00F034A5"/>
    <w:rsid w:val="00F034FA"/>
    <w:rsid w:val="00F0437A"/>
    <w:rsid w:val="00F0468F"/>
    <w:rsid w:val="00F053AB"/>
    <w:rsid w:val="00F058A3"/>
    <w:rsid w:val="00F05AF8"/>
    <w:rsid w:val="00F05BD7"/>
    <w:rsid w:val="00F0678D"/>
    <w:rsid w:val="00F074C8"/>
    <w:rsid w:val="00F101B8"/>
    <w:rsid w:val="00F104E3"/>
    <w:rsid w:val="00F10BF2"/>
    <w:rsid w:val="00F10F4E"/>
    <w:rsid w:val="00F11037"/>
    <w:rsid w:val="00F113A8"/>
    <w:rsid w:val="00F1175B"/>
    <w:rsid w:val="00F131EF"/>
    <w:rsid w:val="00F15267"/>
    <w:rsid w:val="00F152AE"/>
    <w:rsid w:val="00F15310"/>
    <w:rsid w:val="00F1537F"/>
    <w:rsid w:val="00F16F1B"/>
    <w:rsid w:val="00F20154"/>
    <w:rsid w:val="00F20EA6"/>
    <w:rsid w:val="00F21CD3"/>
    <w:rsid w:val="00F250A9"/>
    <w:rsid w:val="00F25FAE"/>
    <w:rsid w:val="00F267AF"/>
    <w:rsid w:val="00F302F7"/>
    <w:rsid w:val="00F30FF4"/>
    <w:rsid w:val="00F3122E"/>
    <w:rsid w:val="00F31901"/>
    <w:rsid w:val="00F320D5"/>
    <w:rsid w:val="00F32368"/>
    <w:rsid w:val="00F328B2"/>
    <w:rsid w:val="00F3293E"/>
    <w:rsid w:val="00F331AD"/>
    <w:rsid w:val="00F3351B"/>
    <w:rsid w:val="00F3428A"/>
    <w:rsid w:val="00F34AE8"/>
    <w:rsid w:val="00F34C88"/>
    <w:rsid w:val="00F35092"/>
    <w:rsid w:val="00F35287"/>
    <w:rsid w:val="00F35B56"/>
    <w:rsid w:val="00F36D4C"/>
    <w:rsid w:val="00F36E59"/>
    <w:rsid w:val="00F36EB9"/>
    <w:rsid w:val="00F3779C"/>
    <w:rsid w:val="00F37971"/>
    <w:rsid w:val="00F40059"/>
    <w:rsid w:val="00F40404"/>
    <w:rsid w:val="00F40A70"/>
    <w:rsid w:val="00F41584"/>
    <w:rsid w:val="00F41C6A"/>
    <w:rsid w:val="00F427E4"/>
    <w:rsid w:val="00F43A37"/>
    <w:rsid w:val="00F44804"/>
    <w:rsid w:val="00F4616F"/>
    <w:rsid w:val="00F4641B"/>
    <w:rsid w:val="00F46EB8"/>
    <w:rsid w:val="00F4780C"/>
    <w:rsid w:val="00F47FF4"/>
    <w:rsid w:val="00F5049F"/>
    <w:rsid w:val="00F5091E"/>
    <w:rsid w:val="00F50CD1"/>
    <w:rsid w:val="00F511E4"/>
    <w:rsid w:val="00F52D09"/>
    <w:rsid w:val="00F52E08"/>
    <w:rsid w:val="00F53031"/>
    <w:rsid w:val="00F53A66"/>
    <w:rsid w:val="00F53ABF"/>
    <w:rsid w:val="00F5462D"/>
    <w:rsid w:val="00F549C6"/>
    <w:rsid w:val="00F54E7C"/>
    <w:rsid w:val="00F55B21"/>
    <w:rsid w:val="00F56EF6"/>
    <w:rsid w:val="00F57D2B"/>
    <w:rsid w:val="00F57FC6"/>
    <w:rsid w:val="00F60082"/>
    <w:rsid w:val="00F61A9F"/>
    <w:rsid w:val="00F61B5F"/>
    <w:rsid w:val="00F61C52"/>
    <w:rsid w:val="00F62E4D"/>
    <w:rsid w:val="00F635D7"/>
    <w:rsid w:val="00F6408D"/>
    <w:rsid w:val="00F64696"/>
    <w:rsid w:val="00F64988"/>
    <w:rsid w:val="00F6562E"/>
    <w:rsid w:val="00F65AA9"/>
    <w:rsid w:val="00F66F68"/>
    <w:rsid w:val="00F66FB3"/>
    <w:rsid w:val="00F6768F"/>
    <w:rsid w:val="00F6785D"/>
    <w:rsid w:val="00F70019"/>
    <w:rsid w:val="00F708AA"/>
    <w:rsid w:val="00F70FCE"/>
    <w:rsid w:val="00F7125C"/>
    <w:rsid w:val="00F71E9A"/>
    <w:rsid w:val="00F72C2C"/>
    <w:rsid w:val="00F73E94"/>
    <w:rsid w:val="00F741F2"/>
    <w:rsid w:val="00F7531E"/>
    <w:rsid w:val="00F75D94"/>
    <w:rsid w:val="00F75DCF"/>
    <w:rsid w:val="00F76CAB"/>
    <w:rsid w:val="00F771BB"/>
    <w:rsid w:val="00F772C6"/>
    <w:rsid w:val="00F815B5"/>
    <w:rsid w:val="00F82106"/>
    <w:rsid w:val="00F8313D"/>
    <w:rsid w:val="00F839EB"/>
    <w:rsid w:val="00F84444"/>
    <w:rsid w:val="00F85195"/>
    <w:rsid w:val="00F85EDA"/>
    <w:rsid w:val="00F868E3"/>
    <w:rsid w:val="00F8751F"/>
    <w:rsid w:val="00F87CF0"/>
    <w:rsid w:val="00F90EC4"/>
    <w:rsid w:val="00F91C69"/>
    <w:rsid w:val="00F938BA"/>
    <w:rsid w:val="00F94344"/>
    <w:rsid w:val="00F9498F"/>
    <w:rsid w:val="00F94FAB"/>
    <w:rsid w:val="00F953E5"/>
    <w:rsid w:val="00F95726"/>
    <w:rsid w:val="00F95A8C"/>
    <w:rsid w:val="00F97919"/>
    <w:rsid w:val="00FA01D6"/>
    <w:rsid w:val="00FA2A95"/>
    <w:rsid w:val="00FA2C46"/>
    <w:rsid w:val="00FA2C78"/>
    <w:rsid w:val="00FA3525"/>
    <w:rsid w:val="00FA48B0"/>
    <w:rsid w:val="00FA5A53"/>
    <w:rsid w:val="00FA5AFD"/>
    <w:rsid w:val="00FA5B7F"/>
    <w:rsid w:val="00FA6259"/>
    <w:rsid w:val="00FA6E0A"/>
    <w:rsid w:val="00FB035A"/>
    <w:rsid w:val="00FB1518"/>
    <w:rsid w:val="00FB1577"/>
    <w:rsid w:val="00FB1801"/>
    <w:rsid w:val="00FB1F6E"/>
    <w:rsid w:val="00FB2793"/>
    <w:rsid w:val="00FB42A3"/>
    <w:rsid w:val="00FB4769"/>
    <w:rsid w:val="00FB47A0"/>
    <w:rsid w:val="00FB4CDA"/>
    <w:rsid w:val="00FB51C8"/>
    <w:rsid w:val="00FB5AA2"/>
    <w:rsid w:val="00FB5C75"/>
    <w:rsid w:val="00FB6481"/>
    <w:rsid w:val="00FB6D36"/>
    <w:rsid w:val="00FB6F67"/>
    <w:rsid w:val="00FB78CE"/>
    <w:rsid w:val="00FC0220"/>
    <w:rsid w:val="00FC0361"/>
    <w:rsid w:val="00FC08AA"/>
    <w:rsid w:val="00FC0965"/>
    <w:rsid w:val="00FC0C9E"/>
    <w:rsid w:val="00FC0F81"/>
    <w:rsid w:val="00FC129F"/>
    <w:rsid w:val="00FC20FE"/>
    <w:rsid w:val="00FC252F"/>
    <w:rsid w:val="00FC28A8"/>
    <w:rsid w:val="00FC37CB"/>
    <w:rsid w:val="00FC395C"/>
    <w:rsid w:val="00FC42C8"/>
    <w:rsid w:val="00FC4A8C"/>
    <w:rsid w:val="00FC5265"/>
    <w:rsid w:val="00FC5371"/>
    <w:rsid w:val="00FC5B81"/>
    <w:rsid w:val="00FC5E8E"/>
    <w:rsid w:val="00FC6D9B"/>
    <w:rsid w:val="00FC781F"/>
    <w:rsid w:val="00FD01C3"/>
    <w:rsid w:val="00FD0D26"/>
    <w:rsid w:val="00FD0E22"/>
    <w:rsid w:val="00FD1751"/>
    <w:rsid w:val="00FD1E92"/>
    <w:rsid w:val="00FD2446"/>
    <w:rsid w:val="00FD2676"/>
    <w:rsid w:val="00FD2E6D"/>
    <w:rsid w:val="00FD2E8A"/>
    <w:rsid w:val="00FD31D1"/>
    <w:rsid w:val="00FD32E3"/>
    <w:rsid w:val="00FD36AB"/>
    <w:rsid w:val="00FD3766"/>
    <w:rsid w:val="00FD3D05"/>
    <w:rsid w:val="00FD406E"/>
    <w:rsid w:val="00FD47C4"/>
    <w:rsid w:val="00FD5771"/>
    <w:rsid w:val="00FD6153"/>
    <w:rsid w:val="00FD7740"/>
    <w:rsid w:val="00FE020A"/>
    <w:rsid w:val="00FE05F9"/>
    <w:rsid w:val="00FE0CAA"/>
    <w:rsid w:val="00FE10A1"/>
    <w:rsid w:val="00FE29C8"/>
    <w:rsid w:val="00FE2DCF"/>
    <w:rsid w:val="00FE38AB"/>
    <w:rsid w:val="00FE398F"/>
    <w:rsid w:val="00FE3FA7"/>
    <w:rsid w:val="00FE3FAC"/>
    <w:rsid w:val="00FE4081"/>
    <w:rsid w:val="00FE4536"/>
    <w:rsid w:val="00FE48FA"/>
    <w:rsid w:val="00FE4A16"/>
    <w:rsid w:val="00FE560C"/>
    <w:rsid w:val="00FE5F2C"/>
    <w:rsid w:val="00FE65AC"/>
    <w:rsid w:val="00FE74CC"/>
    <w:rsid w:val="00FE7BF3"/>
    <w:rsid w:val="00FF0DA2"/>
    <w:rsid w:val="00FF2A4E"/>
    <w:rsid w:val="00FF2D39"/>
    <w:rsid w:val="00FF2FCE"/>
    <w:rsid w:val="00FF3909"/>
    <w:rsid w:val="00FF434D"/>
    <w:rsid w:val="00FF4F7D"/>
    <w:rsid w:val="00FF6D52"/>
    <w:rsid w:val="00FF6D9D"/>
    <w:rsid w:val="00FF7620"/>
    <w:rsid w:val="00FF76DD"/>
    <w:rsid w:val="00FF7B92"/>
    <w:rsid w:val="00FF7DD5"/>
    <w:rsid w:val="01FD1FED"/>
    <w:rsid w:val="0226287D"/>
    <w:rsid w:val="09369845"/>
    <w:rsid w:val="0C90C78E"/>
    <w:rsid w:val="0FE55E2A"/>
    <w:rsid w:val="12F5EA94"/>
    <w:rsid w:val="14354584"/>
    <w:rsid w:val="155BD20D"/>
    <w:rsid w:val="16A9C9FA"/>
    <w:rsid w:val="1E2336CF"/>
    <w:rsid w:val="285DA4A6"/>
    <w:rsid w:val="2BEB9D1C"/>
    <w:rsid w:val="2D1796E0"/>
    <w:rsid w:val="30E27049"/>
    <w:rsid w:val="3B9240D5"/>
    <w:rsid w:val="3DDABDBE"/>
    <w:rsid w:val="40A00568"/>
    <w:rsid w:val="449115AD"/>
    <w:rsid w:val="468D89BE"/>
    <w:rsid w:val="4A1481C4"/>
    <w:rsid w:val="4A82134B"/>
    <w:rsid w:val="4CD42C40"/>
    <w:rsid w:val="4CFFD5C0"/>
    <w:rsid w:val="4D51676F"/>
    <w:rsid w:val="4E83EAE1"/>
    <w:rsid w:val="51F86336"/>
    <w:rsid w:val="5925DFCB"/>
    <w:rsid w:val="5C927AE6"/>
    <w:rsid w:val="65E1A225"/>
    <w:rsid w:val="67F4995C"/>
    <w:rsid w:val="71C260A0"/>
    <w:rsid w:val="75356995"/>
    <w:rsid w:val="75B60927"/>
    <w:rsid w:val="788D6B21"/>
    <w:rsid w:val="7F878B0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C28219"/>
  <w15:docId w15:val="{C141D435-4F23-4DAB-B0FD-183044CA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98"/>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reportmaintitlewhite">
    <w:name w:val="DHHS report main title white"/>
    <w:uiPriority w:val="4"/>
    <w:rsid w:val="00023615"/>
    <w:pPr>
      <w:keepLines/>
      <w:spacing w:after="240" w:line="580" w:lineRule="atLeast"/>
    </w:pPr>
    <w:rPr>
      <w:rFonts w:ascii="Arial" w:hAnsi="Arial"/>
      <w:bCs/>
      <w:color w:val="FFFFFF"/>
      <w:sz w:val="50"/>
      <w:szCs w:val="50"/>
      <w:lang w:eastAsia="en-US"/>
    </w:rPr>
  </w:style>
  <w:style w:type="paragraph" w:customStyle="1" w:styleId="DHHSbody">
    <w:name w:val="DHHS body"/>
    <w:link w:val="DHHSbodyChar"/>
    <w:qFormat/>
    <w:rsid w:val="0051353D"/>
    <w:pPr>
      <w:spacing w:after="120" w:line="270" w:lineRule="atLeast"/>
    </w:pPr>
    <w:rPr>
      <w:rFonts w:ascii="Arial" w:eastAsia="Times" w:hAnsi="Arial"/>
      <w:lang w:eastAsia="en-US"/>
    </w:rPr>
  </w:style>
  <w:style w:type="character" w:customStyle="1" w:styleId="DHHSbodyChar">
    <w:name w:val="DHHS body Char"/>
    <w:link w:val="DHHSbody"/>
    <w:rsid w:val="0051353D"/>
    <w:rPr>
      <w:rFonts w:ascii="Arial" w:eastAsia="Times" w:hAnsi="Arial"/>
      <w:lang w:eastAsia="en-US"/>
    </w:rPr>
  </w:style>
  <w:style w:type="paragraph" w:customStyle="1" w:styleId="DHHSbullet1">
    <w:name w:val="DHHS bullet 1"/>
    <w:basedOn w:val="DHHSbody"/>
    <w:link w:val="DHHSbullet1Char"/>
    <w:qFormat/>
    <w:rsid w:val="00812DAD"/>
    <w:pPr>
      <w:spacing w:after="40"/>
      <w:ind w:left="284" w:hanging="284"/>
    </w:pPr>
  </w:style>
  <w:style w:type="paragraph" w:customStyle="1" w:styleId="DHHSbullet2">
    <w:name w:val="DHHS bullet 2"/>
    <w:basedOn w:val="DHHSbody"/>
    <w:uiPriority w:val="2"/>
    <w:qFormat/>
    <w:rsid w:val="00812DAD"/>
    <w:pPr>
      <w:spacing w:after="40"/>
      <w:ind w:left="567" w:hanging="283"/>
    </w:pPr>
  </w:style>
  <w:style w:type="paragraph" w:customStyle="1" w:styleId="DHHSbullet1lastline">
    <w:name w:val="DHHS bullet 1 last line"/>
    <w:basedOn w:val="DHHSbullet1"/>
    <w:qFormat/>
    <w:rsid w:val="00812DAD"/>
    <w:pPr>
      <w:spacing w:after="120"/>
    </w:pPr>
  </w:style>
  <w:style w:type="paragraph" w:customStyle="1" w:styleId="DHHSbullet2lastline">
    <w:name w:val="DHHS bullet 2 last line"/>
    <w:basedOn w:val="DHHSbullet2"/>
    <w:uiPriority w:val="2"/>
    <w:qFormat/>
    <w:rsid w:val="00812DAD"/>
    <w:pPr>
      <w:spacing w:after="120"/>
    </w:pPr>
  </w:style>
  <w:style w:type="paragraph" w:customStyle="1" w:styleId="DHHStablebullet">
    <w:name w:val="DHHS table bullet"/>
    <w:basedOn w:val="Normal"/>
    <w:uiPriority w:val="3"/>
    <w:qFormat/>
    <w:rsid w:val="00812DAD"/>
    <w:pPr>
      <w:spacing w:before="80" w:after="60" w:line="240" w:lineRule="auto"/>
      <w:ind w:left="227" w:hanging="227"/>
    </w:pPr>
    <w:rPr>
      <w:sz w:val="20"/>
    </w:rPr>
  </w:style>
  <w:style w:type="paragraph" w:customStyle="1" w:styleId="DHHSbulletindent">
    <w:name w:val="DHHS bullet indent"/>
    <w:basedOn w:val="DHHSbody"/>
    <w:uiPriority w:val="4"/>
    <w:rsid w:val="00812DAD"/>
    <w:pPr>
      <w:spacing w:after="40"/>
      <w:ind w:left="680" w:hanging="283"/>
    </w:pPr>
  </w:style>
  <w:style w:type="paragraph" w:customStyle="1" w:styleId="DHHSbulletindentlastline">
    <w:name w:val="DHHS bullet indent last line"/>
    <w:basedOn w:val="DHHSbody"/>
    <w:uiPriority w:val="4"/>
    <w:rsid w:val="00812DAD"/>
    <w:pPr>
      <w:ind w:left="680" w:hanging="283"/>
    </w:pPr>
  </w:style>
  <w:style w:type="character" w:customStyle="1" w:styleId="DHHSbullet1Char">
    <w:name w:val="DHHS bullet 1 Char"/>
    <w:basedOn w:val="DefaultParagraphFont"/>
    <w:link w:val="DHHSbullet1"/>
    <w:locked/>
    <w:rsid w:val="00812DAD"/>
    <w:rPr>
      <w:rFonts w:ascii="Arial" w:eastAsia="Times" w:hAnsi="Arial"/>
      <w:lang w:eastAsia="en-US"/>
    </w:rPr>
  </w:style>
  <w:style w:type="paragraph" w:customStyle="1" w:styleId="DHHSnumberloweralpha">
    <w:name w:val="DHHS number lower alpha"/>
    <w:basedOn w:val="DHHSbody"/>
    <w:uiPriority w:val="3"/>
    <w:rsid w:val="00737241"/>
    <w:pPr>
      <w:numPr>
        <w:ilvl w:val="2"/>
        <w:numId w:val="8"/>
      </w:numPr>
    </w:pPr>
  </w:style>
  <w:style w:type="paragraph" w:customStyle="1" w:styleId="DHHSnumberloweralphaindent">
    <w:name w:val="DHHS number lower alpha indent"/>
    <w:basedOn w:val="DHHSbody"/>
    <w:uiPriority w:val="3"/>
    <w:rsid w:val="00737241"/>
    <w:pPr>
      <w:numPr>
        <w:ilvl w:val="3"/>
        <w:numId w:val="8"/>
      </w:numPr>
    </w:pPr>
  </w:style>
  <w:style w:type="paragraph" w:customStyle="1" w:styleId="DHHSnumberdigit">
    <w:name w:val="DHHS number digit"/>
    <w:basedOn w:val="DHHSbody"/>
    <w:uiPriority w:val="2"/>
    <w:rsid w:val="00737241"/>
    <w:pPr>
      <w:numPr>
        <w:numId w:val="8"/>
      </w:numPr>
    </w:pPr>
  </w:style>
  <w:style w:type="numbering" w:customStyle="1" w:styleId="ZZNumbers">
    <w:name w:val="ZZ Numbers"/>
    <w:rsid w:val="00737241"/>
    <w:pPr>
      <w:numPr>
        <w:numId w:val="7"/>
      </w:numPr>
    </w:pPr>
  </w:style>
  <w:style w:type="paragraph" w:customStyle="1" w:styleId="DHHSnumberlowerroman">
    <w:name w:val="DHHS number lower roman"/>
    <w:basedOn w:val="DHHSbody"/>
    <w:uiPriority w:val="3"/>
    <w:rsid w:val="00737241"/>
    <w:pPr>
      <w:numPr>
        <w:ilvl w:val="4"/>
        <w:numId w:val="8"/>
      </w:numPr>
    </w:pPr>
  </w:style>
  <w:style w:type="paragraph" w:customStyle="1" w:styleId="DHHSnumberlowerromanindent">
    <w:name w:val="DHHS number lower roman indent"/>
    <w:basedOn w:val="DHHSbody"/>
    <w:uiPriority w:val="3"/>
    <w:rsid w:val="00737241"/>
    <w:pPr>
      <w:numPr>
        <w:ilvl w:val="5"/>
        <w:numId w:val="8"/>
      </w:numPr>
    </w:pPr>
  </w:style>
  <w:style w:type="paragraph" w:customStyle="1" w:styleId="DHHSnumberdigitindent">
    <w:name w:val="DHHS number digit indent"/>
    <w:basedOn w:val="DHHSnumberloweralphaindent"/>
    <w:uiPriority w:val="3"/>
    <w:rsid w:val="00737241"/>
    <w:pPr>
      <w:numPr>
        <w:ilvl w:val="1"/>
      </w:numPr>
    </w:pPr>
  </w:style>
  <w:style w:type="character" w:customStyle="1" w:styleId="normaltextrun1">
    <w:name w:val="normaltextrun1"/>
    <w:basedOn w:val="DefaultParagraphFont"/>
    <w:rsid w:val="0020416F"/>
  </w:style>
  <w:style w:type="character" w:customStyle="1" w:styleId="contextualspellingandgrammarerror">
    <w:name w:val="contextualspellingandgrammarerror"/>
    <w:basedOn w:val="DefaultParagraphFont"/>
    <w:rsid w:val="0020416F"/>
  </w:style>
  <w:style w:type="paragraph" w:customStyle="1" w:styleId="DHHStabletext">
    <w:name w:val="DHHS table text"/>
    <w:uiPriority w:val="3"/>
    <w:qFormat/>
    <w:rsid w:val="00DB5CEB"/>
    <w:pPr>
      <w:spacing w:before="80" w:after="60"/>
    </w:pPr>
    <w:rPr>
      <w:rFonts w:ascii="Arial" w:hAnsi="Arial"/>
      <w:lang w:eastAsia="en-US"/>
    </w:rPr>
  </w:style>
  <w:style w:type="paragraph" w:customStyle="1" w:styleId="DHHStablecolhead">
    <w:name w:val="DHHS table col head"/>
    <w:uiPriority w:val="3"/>
    <w:qFormat/>
    <w:rsid w:val="00DB5CEB"/>
    <w:pPr>
      <w:spacing w:before="80" w:after="60"/>
    </w:pPr>
    <w:rPr>
      <w:rFonts w:ascii="Arial" w:hAnsi="Arial"/>
      <w:b/>
      <w:color w:val="87189D"/>
      <w:lang w:eastAsia="en-US"/>
    </w:rPr>
  </w:style>
  <w:style w:type="paragraph" w:customStyle="1" w:styleId="DHHStablecaption">
    <w:name w:val="DHHS table caption"/>
    <w:next w:val="DHHSbody"/>
    <w:uiPriority w:val="3"/>
    <w:qFormat/>
    <w:rsid w:val="00EB1463"/>
    <w:pPr>
      <w:keepNext/>
      <w:keepLines/>
      <w:spacing w:before="240" w:after="120" w:line="240" w:lineRule="atLeast"/>
    </w:pPr>
    <w:rPr>
      <w:rFonts w:ascii="Arial" w:hAnsi="Arial"/>
      <w:b/>
      <w:lang w:eastAsia="en-US"/>
    </w:rPr>
  </w:style>
  <w:style w:type="character" w:styleId="Emphasis">
    <w:name w:val="Emphasis"/>
    <w:basedOn w:val="DefaultParagraphFont"/>
    <w:uiPriority w:val="20"/>
    <w:qFormat/>
    <w:rsid w:val="00E846AF"/>
    <w:rPr>
      <w:b/>
      <w:bCs/>
      <w:i w:val="0"/>
      <w:iCs w:val="0"/>
    </w:rPr>
  </w:style>
  <w:style w:type="character" w:customStyle="1" w:styleId="st1">
    <w:name w:val="st1"/>
    <w:basedOn w:val="DefaultParagraphFont"/>
    <w:rsid w:val="00E846AF"/>
  </w:style>
  <w:style w:type="character" w:customStyle="1" w:styleId="spellingerror">
    <w:name w:val="spellingerror"/>
    <w:basedOn w:val="DefaultParagraphFont"/>
    <w:rsid w:val="00E846AF"/>
  </w:style>
  <w:style w:type="paragraph" w:customStyle="1" w:styleId="DHHSbodyaftertablefigure">
    <w:name w:val="DHHS body after table/figure"/>
    <w:basedOn w:val="DHHSbody"/>
    <w:next w:val="DHHSbody"/>
    <w:rsid w:val="00684EF1"/>
    <w:pPr>
      <w:spacing w:before="240"/>
    </w:pPr>
  </w:style>
  <w:style w:type="paragraph" w:customStyle="1" w:styleId="DHHSfooter">
    <w:name w:val="DHHS footer"/>
    <w:uiPriority w:val="11"/>
    <w:rsid w:val="0097592B"/>
    <w:pPr>
      <w:tabs>
        <w:tab w:val="right" w:pos="9299"/>
      </w:tabs>
    </w:pPr>
    <w:rPr>
      <w:rFonts w:ascii="Arial" w:hAnsi="Arial" w:cs="Arial"/>
      <w:sz w:val="18"/>
      <w:szCs w:val="18"/>
      <w:lang w:eastAsia="en-US"/>
    </w:rPr>
  </w:style>
  <w:style w:type="paragraph" w:customStyle="1" w:styleId="DHHSheader">
    <w:name w:val="DHHS header"/>
    <w:basedOn w:val="DHHSfooter"/>
    <w:uiPriority w:val="11"/>
    <w:rsid w:val="0097592B"/>
  </w:style>
  <w:style w:type="paragraph" w:customStyle="1" w:styleId="DHHSfigurecaption">
    <w:name w:val="DHHS figure caption"/>
    <w:next w:val="DHHSbody"/>
    <w:rsid w:val="0094208A"/>
    <w:pPr>
      <w:keepNext/>
      <w:keepLines/>
      <w:spacing w:before="240" w:after="120"/>
    </w:pPr>
    <w:rPr>
      <w:rFonts w:ascii="Arial" w:hAnsi="Arial"/>
      <w:b/>
      <w:lang w:eastAsia="en-US"/>
    </w:rPr>
  </w:style>
  <w:style w:type="paragraph" w:customStyle="1" w:styleId="Appendixheading2">
    <w:name w:val="Appendix heading 2"/>
    <w:basedOn w:val="Heading4"/>
    <w:link w:val="Appendixheading2Char"/>
    <w:qFormat/>
    <w:rsid w:val="00A54F9B"/>
    <w:pPr>
      <w:spacing w:after="120" w:line="240" w:lineRule="atLeast"/>
    </w:pPr>
  </w:style>
  <w:style w:type="character" w:customStyle="1" w:styleId="Appendixheading2Char">
    <w:name w:val="Appendix heading 2 Char"/>
    <w:basedOn w:val="Heading4Char"/>
    <w:link w:val="Appendixheading2"/>
    <w:rsid w:val="00A54F9B"/>
    <w:rPr>
      <w:rFonts w:ascii="Arial" w:eastAsia="MS Mincho" w:hAnsi="Arial"/>
      <w:b/>
      <w:bCs/>
      <w:color w:val="53565A"/>
      <w:sz w:val="24"/>
      <w:szCs w:val="22"/>
      <w:lang w:eastAsia="en-US"/>
    </w:rPr>
  </w:style>
  <w:style w:type="character" w:customStyle="1" w:styleId="eop">
    <w:name w:val="eop"/>
    <w:basedOn w:val="DefaultParagraphFont"/>
    <w:rsid w:val="0003777F"/>
  </w:style>
  <w:style w:type="character" w:customStyle="1" w:styleId="normaltextrun">
    <w:name w:val="normaltextrun"/>
    <w:basedOn w:val="DefaultParagraphFont"/>
    <w:rsid w:val="003F092F"/>
  </w:style>
  <w:style w:type="character" w:styleId="Mention">
    <w:name w:val="Mention"/>
    <w:basedOn w:val="DefaultParagraphFont"/>
    <w:uiPriority w:val="99"/>
    <w:unhideWhenUsed/>
    <w:rsid w:val="00490AAF"/>
    <w:rPr>
      <w:color w:val="2B579A"/>
      <w:shd w:val="clear" w:color="auto" w:fill="E1DFDD"/>
    </w:rPr>
  </w:style>
  <w:style w:type="paragraph" w:customStyle="1" w:styleId="paragraph">
    <w:name w:val="paragraph"/>
    <w:basedOn w:val="Normal"/>
    <w:rsid w:val="001A4D7D"/>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64866120">
      <w:bodyDiv w:val="1"/>
      <w:marLeft w:val="0"/>
      <w:marRight w:val="0"/>
      <w:marTop w:val="0"/>
      <w:marBottom w:val="0"/>
      <w:divBdr>
        <w:top w:val="none" w:sz="0" w:space="0" w:color="auto"/>
        <w:left w:val="none" w:sz="0" w:space="0" w:color="auto"/>
        <w:bottom w:val="none" w:sz="0" w:space="0" w:color="auto"/>
        <w:right w:val="none" w:sz="0" w:space="0" w:color="auto"/>
      </w:divBdr>
    </w:div>
    <w:div w:id="541939054">
      <w:bodyDiv w:val="1"/>
      <w:marLeft w:val="0"/>
      <w:marRight w:val="0"/>
      <w:marTop w:val="0"/>
      <w:marBottom w:val="0"/>
      <w:divBdr>
        <w:top w:val="none" w:sz="0" w:space="0" w:color="auto"/>
        <w:left w:val="none" w:sz="0" w:space="0" w:color="auto"/>
        <w:bottom w:val="none" w:sz="0" w:space="0" w:color="auto"/>
        <w:right w:val="none" w:sz="0" w:space="0" w:color="auto"/>
      </w:divBdr>
      <w:divsChild>
        <w:div w:id="664623944">
          <w:marLeft w:val="0"/>
          <w:marRight w:val="0"/>
          <w:marTop w:val="0"/>
          <w:marBottom w:val="0"/>
          <w:divBdr>
            <w:top w:val="none" w:sz="0" w:space="0" w:color="auto"/>
            <w:left w:val="none" w:sz="0" w:space="0" w:color="auto"/>
            <w:bottom w:val="none" w:sz="0" w:space="0" w:color="auto"/>
            <w:right w:val="none" w:sz="0" w:space="0" w:color="auto"/>
          </w:divBdr>
        </w:div>
        <w:div w:id="1703633631">
          <w:marLeft w:val="0"/>
          <w:marRight w:val="0"/>
          <w:marTop w:val="0"/>
          <w:marBottom w:val="0"/>
          <w:divBdr>
            <w:top w:val="none" w:sz="0" w:space="0" w:color="auto"/>
            <w:left w:val="none" w:sz="0" w:space="0" w:color="auto"/>
            <w:bottom w:val="none" w:sz="0" w:space="0" w:color="auto"/>
            <w:right w:val="none" w:sz="0" w:space="0" w:color="auto"/>
          </w:divBdr>
        </w:div>
        <w:div w:id="1740784308">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5545141">
      <w:bodyDiv w:val="1"/>
      <w:marLeft w:val="0"/>
      <w:marRight w:val="0"/>
      <w:marTop w:val="0"/>
      <w:marBottom w:val="0"/>
      <w:divBdr>
        <w:top w:val="none" w:sz="0" w:space="0" w:color="auto"/>
        <w:left w:val="none" w:sz="0" w:space="0" w:color="auto"/>
        <w:bottom w:val="none" w:sz="0" w:space="0" w:color="auto"/>
        <w:right w:val="none" w:sz="0" w:space="0" w:color="auto"/>
      </w:divBdr>
    </w:div>
    <w:div w:id="203537830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https://www.health.vic.gov.au/patient-care/specialist-clinics-communication-toolkit"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50" Type="http://schemas.openxmlformats.org/officeDocument/2006/relationships/hyperlink" Target="about:blank" TargetMode="External"/><Relationship Id="rId55" Type="http://schemas.openxmlformats.org/officeDocument/2006/relationships/hyperlink" Target="about:blank" TargetMode="External"/><Relationship Id="rId63" Type="http://schemas.openxmlformats.org/officeDocument/2006/relationships/hyperlink" Target="about:blank"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3" Type="http://schemas.openxmlformats.org/officeDocument/2006/relationships/hyperlink" Target="about:blank" TargetMode="External"/><Relationship Id="rId58" Type="http://schemas.openxmlformats.org/officeDocument/2006/relationships/hyperlink" Target="about:blank" TargetMode="External"/><Relationship Id="rId66"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 Id="rId57" Type="http://schemas.openxmlformats.org/officeDocument/2006/relationships/hyperlink" Target="about:blank" TargetMode="External"/><Relationship Id="rId61"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hyperlink" Target="about:blank" TargetMode="External"/><Relationship Id="rId60" Type="http://schemas.openxmlformats.org/officeDocument/2006/relationships/hyperlink" Target="about:blank" TargetMode="External"/><Relationship Id="rId65"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56" Type="http://schemas.openxmlformats.org/officeDocument/2006/relationships/hyperlink" Target="about:blank" TargetMode="External"/><Relationship Id="rId64" Type="http://schemas.openxmlformats.org/officeDocument/2006/relationships/header" Target="header4.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health.vic.gov.au/patient-care/specialist-clinics-communication-toolkit"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59" Type="http://schemas.openxmlformats.org/officeDocument/2006/relationships/hyperlink" Target="about:blank" TargetMode="External"/><Relationship Id="rId67" Type="http://schemas.openxmlformats.org/officeDocument/2006/relationships/footer" Target="footer5.xml"/><Relationship Id="rId20" Type="http://schemas.openxmlformats.org/officeDocument/2006/relationships/hyperlink" Target="about:blank" TargetMode="External"/><Relationship Id="rId41" Type="http://schemas.openxmlformats.org/officeDocument/2006/relationships/hyperlink" Target="about:blank" TargetMode="External"/><Relationship Id="rId54" Type="http://schemas.openxmlformats.org/officeDocument/2006/relationships/hyperlink" Target="http://www.health.vic.gov.au/patient-care/specialist-clinics-communication-toolkit" TargetMode="External"/><Relationship Id="rId62" Type="http://schemas.openxmlformats.org/officeDocument/2006/relationships/hyperlink" Target="about:blank"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060adbb-d777-4224-ba8a-6d2bd1ccbbcc">
      <UserInfo>
        <DisplayName>Alison Coughlin (Health)</DisplayName>
        <AccountId>17</AccountId>
        <AccountType/>
      </UserInfo>
      <UserInfo>
        <DisplayName>Karen O'Leary (Health)</DisplayName>
        <AccountId>21</AccountId>
        <AccountType/>
      </UserInfo>
      <UserInfo>
        <DisplayName>Limited Access System Group For List 04ed2268-8bc4-43a2-995d-d63598678b97</DisplayName>
        <AccountId>32</AccountId>
        <AccountType/>
      </UserInfo>
      <UserInfo>
        <DisplayName>Health Services Improvement (HEALTH)</DisplayName>
        <AccountId>15</AccountId>
        <AccountType/>
      </UserInfo>
      <UserInfo>
        <DisplayName>Kavitha Chandra-Shekeran (Health)</DisplayName>
        <AccountId>37</AccountId>
        <AccountType/>
      </UserInfo>
      <UserInfo>
        <DisplayName>Frits Kadijk (Health)</DisplayName>
        <AccountId>19</AccountId>
        <AccountType/>
      </UserInfo>
      <UserInfo>
        <DisplayName>Catherine Harmer (Health)</DisplayName>
        <AccountId>14</AccountId>
        <AccountType/>
      </UserInfo>
      <UserInfo>
        <DisplayName>Jacqui Hickey (Health)</DisplayName>
        <AccountId>13</AccountId>
        <AccountType/>
      </UserInfo>
      <UserInfo>
        <DisplayName>Annie A Wang (Health)</DisplayName>
        <AccountId>220</AccountId>
        <AccountType/>
      </UserInfo>
      <UserInfo>
        <DisplayName>David Cheung (Health)</DisplayName>
        <AccountId>233</AccountId>
        <AccountType/>
      </UserInfo>
      <UserInfo>
        <DisplayName>Sarah Luscombe (Health)</DisplayName>
        <AccountId>294</AccountId>
        <AccountType/>
      </UserInfo>
    </SharedWithUsers>
    <Internal_x0020_stakeholders xmlns="04ed2268-8bc4-43a2-995d-d63598678b97" xsi:nil="true"/>
    <External_x0020_stakeholders xmlns="04ed2268-8bc4-43a2-995d-d63598678b97" xsi:nil="true"/>
    <BAC_x0020_No_x002e_ xmlns="04ed2268-8bc4-43a2-995d-d63598678b97" xsi:nil="true"/>
    <Date_x0020__x0028_ISO_x003a_8601_x0029_ xmlns="04ed2268-8bc4-43a2-995d-d63598678b97" xsi:nil="true"/>
    <Draft xmlns="04ed2268-8bc4-43a2-995d-d63598678b97" xsi:nil="true"/>
    <TRIM_x0020_number xmlns="04ed2268-8bc4-43a2-995d-d63598678b97" xsi:nil="true"/>
    <Financial_x0020_year xmlns="04ed2268-8bc4-43a2-995d-d63598678b97" xsi:nil="true"/>
    <Approval_x0020_status xmlns="04ed2268-8bc4-43a2-995d-d63598678b97" xsi:nil="true"/>
    <lcf76f155ced4ddcb4097134ff3c332f xmlns="04ed2268-8bc4-43a2-995d-d63598678b97">
      <Terms xmlns="http://schemas.microsoft.com/office/infopath/2007/PartnerControls"/>
    </lcf76f155ced4ddcb4097134ff3c332f>
    <TaxCatchAll xmlns="6060adbb-d777-4224-ba8a-6d2bd1ccbb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292277EE0A84297425D21754237BC" ma:contentTypeVersion="22" ma:contentTypeDescription="Create a new document." ma:contentTypeScope="" ma:versionID="019386fffe451cced6ae10c719595075">
  <xsd:schema xmlns:xsd="http://www.w3.org/2001/XMLSchema" xmlns:xs="http://www.w3.org/2001/XMLSchema" xmlns:p="http://schemas.microsoft.com/office/2006/metadata/properties" xmlns:ns2="04ed2268-8bc4-43a2-995d-d63598678b97" xmlns:ns3="6060adbb-d777-4224-ba8a-6d2bd1ccbbcc" targetNamespace="http://schemas.microsoft.com/office/2006/metadata/properties" ma:root="true" ma:fieldsID="e4f581dac764a0eeceb28d380bc149bd" ns2:_="" ns3:_="">
    <xsd:import namespace="04ed2268-8bc4-43a2-995d-d63598678b97"/>
    <xsd:import namespace="6060adbb-d777-4224-ba8a-6d2bd1ccbbcc"/>
    <xsd:element name="properties">
      <xsd:complexType>
        <xsd:sequence>
          <xsd:element name="documentManagement">
            <xsd:complexType>
              <xsd:all>
                <xsd:element ref="ns2:Date_x0020__x0028_ISO_x003a_8601_x0029_" minOccurs="0"/>
                <xsd:element ref="ns2:Internal_x0020_stakeholders" minOccurs="0"/>
                <xsd:element ref="ns2:External_x0020_stakeholders" minOccurs="0"/>
                <xsd:element ref="ns2:BAC_x0020_No_x002e_" minOccurs="0"/>
                <xsd:element ref="ns2:Draft" minOccurs="0"/>
                <xsd:element ref="ns2:Approval_x0020_status" minOccurs="0"/>
                <xsd:element ref="ns2:TRIM_x0020_number" minOccurs="0"/>
                <xsd:element ref="ns2:Financial_x0020_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d2268-8bc4-43a2-995d-d63598678b97" elementFormDefault="qualified">
    <xsd:import namespace="http://schemas.microsoft.com/office/2006/documentManagement/types"/>
    <xsd:import namespace="http://schemas.microsoft.com/office/infopath/2007/PartnerControls"/>
    <xsd:element name="Date_x0020__x0028_ISO_x003a_8601_x0029_" ma:index="8" nillable="true" ma:displayName="Date (ISO:8601)" ma:description="ISO:8601 Standard YYYYMMDD" ma:format="Dropdown" ma:internalName="Date_x0020__x0028_ISO_x003a_8601_x0029_">
      <xsd:simpleType>
        <xsd:restriction base="dms:Text">
          <xsd:maxLength value="255"/>
        </xsd:restriction>
      </xsd:simpleType>
    </xsd:element>
    <xsd:element name="Internal_x0020_stakeholders" ma:index="9" nillable="true" ma:displayName="Internal stakeholders" ma:description="Type in the Department of Health teams/units/branches/groups who you are collaborating with on this work." ma:internalName="Internal_x0020_stakeholders">
      <xsd:simpleType>
        <xsd:restriction base="dms:Text">
          <xsd:maxLength value="255"/>
        </xsd:restriction>
      </xsd:simpleType>
    </xsd:element>
    <xsd:element name="External_x0020_stakeholders" ma:index="10" nillable="true" ma:displayName="External stakeholders" ma:description="Type in the name(s) of the key external organisation(s) you are collaborating with to help you keep track." ma:internalName="External_x0020_stakeholders">
      <xsd:simpleType>
        <xsd:restriction base="dms:Text">
          <xsd:maxLength value="255"/>
        </xsd:restriction>
      </xsd:simpleType>
    </xsd:element>
    <xsd:element name="BAC_x0020_No_x002e_" ma:index="11" nillable="true" ma:displayName="BAC No." ma:description="OurBriefing BAC number" ma:internalName="BAC_x0020_No_x002e_">
      <xsd:simpleType>
        <xsd:restriction base="dms:Text">
          <xsd:maxLength value="255"/>
        </xsd:restriction>
      </xsd:simpleType>
    </xsd:element>
    <xsd:element name="Draft" ma:index="12" nillable="true" ma:displayName="Draft" ma:description="The file name must not include 'Draft' or 'Version', choose an option from below." ma:format="Dropdown" ma:internalName="Draft">
      <xsd:simpleType>
        <xsd:restriction base="dms:Choice">
          <xsd:enumeration value="N/A"/>
          <xsd:enumeration value="V1"/>
          <xsd:enumeration value="V2"/>
          <xsd:enumeration value="V3"/>
          <xsd:enumeration value="V4"/>
          <xsd:enumeration value="Final"/>
        </xsd:restriction>
      </xsd:simpleType>
    </xsd:element>
    <xsd:element name="Approval_x0020_status" ma:index="13" nillable="true" ma:displayName="Approval status" ma:description="Track and update the approval status of your file-document." ma:format="Dropdown" ma:internalName="Approval_x0020_status">
      <xsd:simpleType>
        <xsd:restriction base="dms:Choice">
          <xsd:enumeration value="N/A"/>
          <xsd:enumeration value="Sent to Manager"/>
          <xsd:enumeration value="Manager approved"/>
          <xsd:enumeration value="Director approved"/>
          <xsd:enumeration value="Executive Director approved"/>
          <xsd:enumeration value="Senior Executive Director approved"/>
          <xsd:enumeration value="Deputy Secretary approved"/>
          <xsd:enumeration value="Secretary approved"/>
          <xsd:enumeration value="Minister approved"/>
        </xsd:restriction>
      </xsd:simpleType>
    </xsd:element>
    <xsd:element name="TRIM_x0020_number" ma:index="14" nillable="true" ma:displayName="TRIM No." ma:description="TRIM file number" ma:format="Dropdown" ma:internalName="TRIM_x0020_number">
      <xsd:simpleType>
        <xsd:restriction base="dms:Text">
          <xsd:maxLength value="255"/>
        </xsd:restriction>
      </xsd:simpleType>
    </xsd:element>
    <xsd:element name="Financial_x0020_year" ma:index="15" nillable="true" ma:displayName="Financial year" ma:description="Enter as YYYY-YYYY" ma:internalName="Financial_x0020_year">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60adbb-d777-4224-ba8a-6d2bd1ccbbc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bd9a69-543d-4ef7-b628-5408f8c72414}" ma:internalName="TaxCatchAll" ma:showField="CatchAllData" ma:web="6060adbb-d777-4224-ba8a-6d2bd1ccbb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purl.org/dc/terms/"/>
    <ds:schemaRef ds:uri="6060adbb-d777-4224-ba8a-6d2bd1ccbbcc"/>
    <ds:schemaRef ds:uri="http://schemas.microsoft.com/office/2006/documentManagement/types"/>
    <ds:schemaRef ds:uri="http://schemas.microsoft.com/office/infopath/2007/PartnerControls"/>
    <ds:schemaRef ds:uri="http://schemas.openxmlformats.org/package/2006/metadata/core-properties"/>
    <ds:schemaRef ds:uri="04ed2268-8bc4-43a2-995d-d63598678b97"/>
    <ds:schemaRef ds:uri="http://www.w3.org/XML/1998/namespace"/>
    <ds:schemaRef ds:uri="http://purl.org/dc/dcmityp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AE2C646-F749-4D59-8F2F-1693652B5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d2268-8bc4-43a2-995d-d63598678b97"/>
    <ds:schemaRef ds:uri="6060adbb-d777-4224-ba8a-6d2bd1ccb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12874</Words>
  <Characters>73387</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Managing referrals to non-admitted specialist services policy</vt:lpstr>
    </vt:vector>
  </TitlesOfParts>
  <Company>Victoria State Government, Department of Health</Company>
  <LinksUpToDate>false</LinksUpToDate>
  <CharactersWithSpaces>86089</CharactersWithSpaces>
  <SharedDoc>false</SharedDoc>
  <HyperlinkBase/>
  <HLinks>
    <vt:vector size="384" baseType="variant">
      <vt:variant>
        <vt:i4>131089</vt:i4>
      </vt:variant>
      <vt:variant>
        <vt:i4>330</vt:i4>
      </vt:variant>
      <vt:variant>
        <vt:i4>0</vt:i4>
      </vt:variant>
      <vt:variant>
        <vt:i4>5</vt:i4>
      </vt:variant>
      <vt:variant>
        <vt:lpwstr>https://www.ama.com.au/articles/10-minimum-standards-communication-between-health-services-and-general-practitioners-and</vt:lpwstr>
      </vt:variant>
      <vt:variant>
        <vt:lpwstr/>
      </vt:variant>
      <vt:variant>
        <vt:i4>7536676</vt:i4>
      </vt:variant>
      <vt:variant>
        <vt:i4>327</vt:i4>
      </vt:variant>
      <vt:variant>
        <vt:i4>0</vt:i4>
      </vt:variant>
      <vt:variant>
        <vt:i4>5</vt:i4>
      </vt:variant>
      <vt:variant>
        <vt:lpwstr>https://www.humanservices.gov.au/organisations/health-professionals/subjects/referring-and-requesting-medicare-services</vt:lpwstr>
      </vt:variant>
      <vt:variant>
        <vt:lpwstr/>
      </vt:variant>
      <vt:variant>
        <vt:i4>2818098</vt:i4>
      </vt:variant>
      <vt:variant>
        <vt:i4>324</vt:i4>
      </vt:variant>
      <vt:variant>
        <vt:i4>0</vt:i4>
      </vt:variant>
      <vt:variant>
        <vt:i4>5</vt:i4>
      </vt:variant>
      <vt:variant>
        <vt:lpwstr>https://www.health.vic.gov.au/patient-care/special-clinics-toolkit</vt:lpwstr>
      </vt:variant>
      <vt:variant>
        <vt:lpwstr/>
      </vt:variant>
      <vt:variant>
        <vt:i4>5046319</vt:i4>
      </vt:variant>
      <vt:variant>
        <vt:i4>321</vt:i4>
      </vt:variant>
      <vt:variant>
        <vt:i4>0</vt:i4>
      </vt:variant>
      <vt:variant>
        <vt:i4>5</vt:i4>
      </vt:variant>
      <vt:variant>
        <vt:lpwstr>https://www.abs.gov.au/ausstats/abs@.nsf/Lookup/4228.0Appendix202011-12</vt:lpwstr>
      </vt:variant>
      <vt:variant>
        <vt:lpwstr/>
      </vt:variant>
      <vt:variant>
        <vt:i4>3145763</vt:i4>
      </vt:variant>
      <vt:variant>
        <vt:i4>318</vt:i4>
      </vt:variant>
      <vt:variant>
        <vt:i4>0</vt:i4>
      </vt:variant>
      <vt:variant>
        <vt:i4>5</vt:i4>
      </vt:variant>
      <vt:variant>
        <vt:lpwstr>https://www.health.vic.gov.au/funding-performance-accountability/other-funding-policy-arrangements</vt:lpwstr>
      </vt:variant>
      <vt:variant>
        <vt:lpwstr/>
      </vt:variant>
      <vt:variant>
        <vt:i4>2818098</vt:i4>
      </vt:variant>
      <vt:variant>
        <vt:i4>315</vt:i4>
      </vt:variant>
      <vt:variant>
        <vt:i4>0</vt:i4>
      </vt:variant>
      <vt:variant>
        <vt:i4>5</vt:i4>
      </vt:variant>
      <vt:variant>
        <vt:lpwstr>https://www.health.vic.gov.au/patient-care/special-clinics-toolkit</vt:lpwstr>
      </vt:variant>
      <vt:variant>
        <vt:lpwstr/>
      </vt:variant>
      <vt:variant>
        <vt:i4>3145763</vt:i4>
      </vt:variant>
      <vt:variant>
        <vt:i4>312</vt:i4>
      </vt:variant>
      <vt:variant>
        <vt:i4>0</vt:i4>
      </vt:variant>
      <vt:variant>
        <vt:i4>5</vt:i4>
      </vt:variant>
      <vt:variant>
        <vt:lpwstr>https://www.health.vic.gov.au/funding-performance-accountability/other-funding-policy-arrangements</vt:lpwstr>
      </vt:variant>
      <vt:variant>
        <vt:lpwstr/>
      </vt:variant>
      <vt:variant>
        <vt:i4>3145763</vt:i4>
      </vt:variant>
      <vt:variant>
        <vt:i4>309</vt:i4>
      </vt:variant>
      <vt:variant>
        <vt:i4>0</vt:i4>
      </vt:variant>
      <vt:variant>
        <vt:i4>5</vt:i4>
      </vt:variant>
      <vt:variant>
        <vt:lpwstr>https://www.health.vic.gov.au/funding-performance-accountability/other-funding-policy-arrangements</vt:lpwstr>
      </vt:variant>
      <vt:variant>
        <vt:lpwstr/>
      </vt:variant>
      <vt:variant>
        <vt:i4>8126503</vt:i4>
      </vt:variant>
      <vt:variant>
        <vt:i4>306</vt:i4>
      </vt:variant>
      <vt:variant>
        <vt:i4>0</vt:i4>
      </vt:variant>
      <vt:variant>
        <vt:i4>5</vt:i4>
      </vt:variant>
      <vt:variant>
        <vt:lpwstr>https://www.health.vic.gov.au/hospitals-and-health-services/funding-performance-and-accountability</vt:lpwstr>
      </vt:variant>
      <vt:variant>
        <vt:lpwstr/>
      </vt:variant>
      <vt:variant>
        <vt:i4>4587596</vt:i4>
      </vt:variant>
      <vt:variant>
        <vt:i4>303</vt:i4>
      </vt:variant>
      <vt:variant>
        <vt:i4>0</vt:i4>
      </vt:variant>
      <vt:variant>
        <vt:i4>5</vt:i4>
      </vt:variant>
      <vt:variant>
        <vt:lpwstr>https://www.health.gov.au/initiatives-and-programs/2020-25-national-health-reform-agreement-nhra</vt:lpwstr>
      </vt:variant>
      <vt:variant>
        <vt:lpwstr/>
      </vt:variant>
      <vt:variant>
        <vt:i4>2818098</vt:i4>
      </vt:variant>
      <vt:variant>
        <vt:i4>300</vt:i4>
      </vt:variant>
      <vt:variant>
        <vt:i4>0</vt:i4>
      </vt:variant>
      <vt:variant>
        <vt:i4>5</vt:i4>
      </vt:variant>
      <vt:variant>
        <vt:lpwstr>https://www.health.vic.gov.au/patient-care/special-clinics-toolkit</vt:lpwstr>
      </vt:variant>
      <vt:variant>
        <vt:lpwstr/>
      </vt:variant>
      <vt:variant>
        <vt:i4>8061047</vt:i4>
      </vt:variant>
      <vt:variant>
        <vt:i4>297</vt:i4>
      </vt:variant>
      <vt:variant>
        <vt:i4>0</vt:i4>
      </vt:variant>
      <vt:variant>
        <vt:i4>5</vt:i4>
      </vt:variant>
      <vt:variant>
        <vt:lpwstr>https://www.health.vic.gov.au/policy-and-funding-guidelines-for-health-services</vt:lpwstr>
      </vt:variant>
      <vt:variant>
        <vt:lpwstr/>
      </vt:variant>
      <vt:variant>
        <vt:i4>2818088</vt:i4>
      </vt:variant>
      <vt:variant>
        <vt:i4>294</vt:i4>
      </vt:variant>
      <vt:variant>
        <vt:i4>0</vt:i4>
      </vt:variant>
      <vt:variant>
        <vt:i4>5</vt:i4>
      </vt:variant>
      <vt:variant>
        <vt:lpwstr>statewide referral criteria</vt:lpwstr>
      </vt:variant>
      <vt:variant>
        <vt:lpwstr/>
      </vt:variant>
      <vt:variant>
        <vt:i4>4325391</vt:i4>
      </vt:variant>
      <vt:variant>
        <vt:i4>291</vt:i4>
      </vt:variant>
      <vt:variant>
        <vt:i4>0</vt:i4>
      </vt:variant>
      <vt:variant>
        <vt:i4>5</vt:i4>
      </vt:variant>
      <vt:variant>
        <vt:lpwstr>https://www.health.vic.gov.au/funding-performance-accountability/performance-monitoring-framework</vt:lpwstr>
      </vt:variant>
      <vt:variant>
        <vt:lpwstr/>
      </vt:variant>
      <vt:variant>
        <vt:i4>65620</vt:i4>
      </vt:variant>
      <vt:variant>
        <vt:i4>288</vt:i4>
      </vt:variant>
      <vt:variant>
        <vt:i4>0</vt:i4>
      </vt:variant>
      <vt:variant>
        <vt:i4>5</vt:i4>
      </vt:variant>
      <vt:variant>
        <vt:lpwstr>https://www2.health.vic.gov.au/primary-and-community-health/community-health/population-groups/refugee-health-program</vt:lpwstr>
      </vt:variant>
      <vt:variant>
        <vt:lpwstr/>
      </vt:variant>
      <vt:variant>
        <vt:i4>1245241</vt:i4>
      </vt:variant>
      <vt:variant>
        <vt:i4>281</vt:i4>
      </vt:variant>
      <vt:variant>
        <vt:i4>0</vt:i4>
      </vt:variant>
      <vt:variant>
        <vt:i4>5</vt:i4>
      </vt:variant>
      <vt:variant>
        <vt:lpwstr/>
      </vt:variant>
      <vt:variant>
        <vt:lpwstr>_Toc116465847</vt:lpwstr>
      </vt:variant>
      <vt:variant>
        <vt:i4>1245241</vt:i4>
      </vt:variant>
      <vt:variant>
        <vt:i4>275</vt:i4>
      </vt:variant>
      <vt:variant>
        <vt:i4>0</vt:i4>
      </vt:variant>
      <vt:variant>
        <vt:i4>5</vt:i4>
      </vt:variant>
      <vt:variant>
        <vt:lpwstr/>
      </vt:variant>
      <vt:variant>
        <vt:lpwstr>_Toc116465846</vt:lpwstr>
      </vt:variant>
      <vt:variant>
        <vt:i4>1245241</vt:i4>
      </vt:variant>
      <vt:variant>
        <vt:i4>269</vt:i4>
      </vt:variant>
      <vt:variant>
        <vt:i4>0</vt:i4>
      </vt:variant>
      <vt:variant>
        <vt:i4>5</vt:i4>
      </vt:variant>
      <vt:variant>
        <vt:lpwstr/>
      </vt:variant>
      <vt:variant>
        <vt:lpwstr>_Toc116465845</vt:lpwstr>
      </vt:variant>
      <vt:variant>
        <vt:i4>1245241</vt:i4>
      </vt:variant>
      <vt:variant>
        <vt:i4>263</vt:i4>
      </vt:variant>
      <vt:variant>
        <vt:i4>0</vt:i4>
      </vt:variant>
      <vt:variant>
        <vt:i4>5</vt:i4>
      </vt:variant>
      <vt:variant>
        <vt:lpwstr/>
      </vt:variant>
      <vt:variant>
        <vt:lpwstr>_Toc116465844</vt:lpwstr>
      </vt:variant>
      <vt:variant>
        <vt:i4>1245241</vt:i4>
      </vt:variant>
      <vt:variant>
        <vt:i4>257</vt:i4>
      </vt:variant>
      <vt:variant>
        <vt:i4>0</vt:i4>
      </vt:variant>
      <vt:variant>
        <vt:i4>5</vt:i4>
      </vt:variant>
      <vt:variant>
        <vt:lpwstr/>
      </vt:variant>
      <vt:variant>
        <vt:lpwstr>_Toc116465843</vt:lpwstr>
      </vt:variant>
      <vt:variant>
        <vt:i4>1245241</vt:i4>
      </vt:variant>
      <vt:variant>
        <vt:i4>251</vt:i4>
      </vt:variant>
      <vt:variant>
        <vt:i4>0</vt:i4>
      </vt:variant>
      <vt:variant>
        <vt:i4>5</vt:i4>
      </vt:variant>
      <vt:variant>
        <vt:lpwstr/>
      </vt:variant>
      <vt:variant>
        <vt:lpwstr>_Toc116465842</vt:lpwstr>
      </vt:variant>
      <vt:variant>
        <vt:i4>1245241</vt:i4>
      </vt:variant>
      <vt:variant>
        <vt:i4>245</vt:i4>
      </vt:variant>
      <vt:variant>
        <vt:i4>0</vt:i4>
      </vt:variant>
      <vt:variant>
        <vt:i4>5</vt:i4>
      </vt:variant>
      <vt:variant>
        <vt:lpwstr/>
      </vt:variant>
      <vt:variant>
        <vt:lpwstr>_Toc116465841</vt:lpwstr>
      </vt:variant>
      <vt:variant>
        <vt:i4>1245241</vt:i4>
      </vt:variant>
      <vt:variant>
        <vt:i4>239</vt:i4>
      </vt:variant>
      <vt:variant>
        <vt:i4>0</vt:i4>
      </vt:variant>
      <vt:variant>
        <vt:i4>5</vt:i4>
      </vt:variant>
      <vt:variant>
        <vt:lpwstr/>
      </vt:variant>
      <vt:variant>
        <vt:lpwstr>_Toc116465840</vt:lpwstr>
      </vt:variant>
      <vt:variant>
        <vt:i4>1310777</vt:i4>
      </vt:variant>
      <vt:variant>
        <vt:i4>233</vt:i4>
      </vt:variant>
      <vt:variant>
        <vt:i4>0</vt:i4>
      </vt:variant>
      <vt:variant>
        <vt:i4>5</vt:i4>
      </vt:variant>
      <vt:variant>
        <vt:lpwstr/>
      </vt:variant>
      <vt:variant>
        <vt:lpwstr>_Toc116465839</vt:lpwstr>
      </vt:variant>
      <vt:variant>
        <vt:i4>1310777</vt:i4>
      </vt:variant>
      <vt:variant>
        <vt:i4>227</vt:i4>
      </vt:variant>
      <vt:variant>
        <vt:i4>0</vt:i4>
      </vt:variant>
      <vt:variant>
        <vt:i4>5</vt:i4>
      </vt:variant>
      <vt:variant>
        <vt:lpwstr/>
      </vt:variant>
      <vt:variant>
        <vt:lpwstr>_Toc116465838</vt:lpwstr>
      </vt:variant>
      <vt:variant>
        <vt:i4>1310777</vt:i4>
      </vt:variant>
      <vt:variant>
        <vt:i4>221</vt:i4>
      </vt:variant>
      <vt:variant>
        <vt:i4>0</vt:i4>
      </vt:variant>
      <vt:variant>
        <vt:i4>5</vt:i4>
      </vt:variant>
      <vt:variant>
        <vt:lpwstr/>
      </vt:variant>
      <vt:variant>
        <vt:lpwstr>_Toc116465837</vt:lpwstr>
      </vt:variant>
      <vt:variant>
        <vt:i4>1310777</vt:i4>
      </vt:variant>
      <vt:variant>
        <vt:i4>215</vt:i4>
      </vt:variant>
      <vt:variant>
        <vt:i4>0</vt:i4>
      </vt:variant>
      <vt:variant>
        <vt:i4>5</vt:i4>
      </vt:variant>
      <vt:variant>
        <vt:lpwstr/>
      </vt:variant>
      <vt:variant>
        <vt:lpwstr>_Toc116465836</vt:lpwstr>
      </vt:variant>
      <vt:variant>
        <vt:i4>1310777</vt:i4>
      </vt:variant>
      <vt:variant>
        <vt:i4>209</vt:i4>
      </vt:variant>
      <vt:variant>
        <vt:i4>0</vt:i4>
      </vt:variant>
      <vt:variant>
        <vt:i4>5</vt:i4>
      </vt:variant>
      <vt:variant>
        <vt:lpwstr/>
      </vt:variant>
      <vt:variant>
        <vt:lpwstr>_Toc116465835</vt:lpwstr>
      </vt:variant>
      <vt:variant>
        <vt:i4>1310777</vt:i4>
      </vt:variant>
      <vt:variant>
        <vt:i4>203</vt:i4>
      </vt:variant>
      <vt:variant>
        <vt:i4>0</vt:i4>
      </vt:variant>
      <vt:variant>
        <vt:i4>5</vt:i4>
      </vt:variant>
      <vt:variant>
        <vt:lpwstr/>
      </vt:variant>
      <vt:variant>
        <vt:lpwstr>_Toc116465834</vt:lpwstr>
      </vt:variant>
      <vt:variant>
        <vt:i4>1310777</vt:i4>
      </vt:variant>
      <vt:variant>
        <vt:i4>197</vt:i4>
      </vt:variant>
      <vt:variant>
        <vt:i4>0</vt:i4>
      </vt:variant>
      <vt:variant>
        <vt:i4>5</vt:i4>
      </vt:variant>
      <vt:variant>
        <vt:lpwstr/>
      </vt:variant>
      <vt:variant>
        <vt:lpwstr>_Toc116465833</vt:lpwstr>
      </vt:variant>
      <vt:variant>
        <vt:i4>1310777</vt:i4>
      </vt:variant>
      <vt:variant>
        <vt:i4>191</vt:i4>
      </vt:variant>
      <vt:variant>
        <vt:i4>0</vt:i4>
      </vt:variant>
      <vt:variant>
        <vt:i4>5</vt:i4>
      </vt:variant>
      <vt:variant>
        <vt:lpwstr/>
      </vt:variant>
      <vt:variant>
        <vt:lpwstr>_Toc116465832</vt:lpwstr>
      </vt:variant>
      <vt:variant>
        <vt:i4>1310777</vt:i4>
      </vt:variant>
      <vt:variant>
        <vt:i4>185</vt:i4>
      </vt:variant>
      <vt:variant>
        <vt:i4>0</vt:i4>
      </vt:variant>
      <vt:variant>
        <vt:i4>5</vt:i4>
      </vt:variant>
      <vt:variant>
        <vt:lpwstr/>
      </vt:variant>
      <vt:variant>
        <vt:lpwstr>_Toc116465831</vt:lpwstr>
      </vt:variant>
      <vt:variant>
        <vt:i4>1310777</vt:i4>
      </vt:variant>
      <vt:variant>
        <vt:i4>179</vt:i4>
      </vt:variant>
      <vt:variant>
        <vt:i4>0</vt:i4>
      </vt:variant>
      <vt:variant>
        <vt:i4>5</vt:i4>
      </vt:variant>
      <vt:variant>
        <vt:lpwstr/>
      </vt:variant>
      <vt:variant>
        <vt:lpwstr>_Toc116465830</vt:lpwstr>
      </vt:variant>
      <vt:variant>
        <vt:i4>1376313</vt:i4>
      </vt:variant>
      <vt:variant>
        <vt:i4>173</vt:i4>
      </vt:variant>
      <vt:variant>
        <vt:i4>0</vt:i4>
      </vt:variant>
      <vt:variant>
        <vt:i4>5</vt:i4>
      </vt:variant>
      <vt:variant>
        <vt:lpwstr/>
      </vt:variant>
      <vt:variant>
        <vt:lpwstr>_Toc116465829</vt:lpwstr>
      </vt:variant>
      <vt:variant>
        <vt:i4>1376313</vt:i4>
      </vt:variant>
      <vt:variant>
        <vt:i4>167</vt:i4>
      </vt:variant>
      <vt:variant>
        <vt:i4>0</vt:i4>
      </vt:variant>
      <vt:variant>
        <vt:i4>5</vt:i4>
      </vt:variant>
      <vt:variant>
        <vt:lpwstr/>
      </vt:variant>
      <vt:variant>
        <vt:lpwstr>_Toc116465828</vt:lpwstr>
      </vt:variant>
      <vt:variant>
        <vt:i4>1376313</vt:i4>
      </vt:variant>
      <vt:variant>
        <vt:i4>161</vt:i4>
      </vt:variant>
      <vt:variant>
        <vt:i4>0</vt:i4>
      </vt:variant>
      <vt:variant>
        <vt:i4>5</vt:i4>
      </vt:variant>
      <vt:variant>
        <vt:lpwstr/>
      </vt:variant>
      <vt:variant>
        <vt:lpwstr>_Toc116465827</vt:lpwstr>
      </vt:variant>
      <vt:variant>
        <vt:i4>1376313</vt:i4>
      </vt:variant>
      <vt:variant>
        <vt:i4>155</vt:i4>
      </vt:variant>
      <vt:variant>
        <vt:i4>0</vt:i4>
      </vt:variant>
      <vt:variant>
        <vt:i4>5</vt:i4>
      </vt:variant>
      <vt:variant>
        <vt:lpwstr/>
      </vt:variant>
      <vt:variant>
        <vt:lpwstr>_Toc116465826</vt:lpwstr>
      </vt:variant>
      <vt:variant>
        <vt:i4>1376313</vt:i4>
      </vt:variant>
      <vt:variant>
        <vt:i4>149</vt:i4>
      </vt:variant>
      <vt:variant>
        <vt:i4>0</vt:i4>
      </vt:variant>
      <vt:variant>
        <vt:i4>5</vt:i4>
      </vt:variant>
      <vt:variant>
        <vt:lpwstr/>
      </vt:variant>
      <vt:variant>
        <vt:lpwstr>_Toc116465825</vt:lpwstr>
      </vt:variant>
      <vt:variant>
        <vt:i4>1376313</vt:i4>
      </vt:variant>
      <vt:variant>
        <vt:i4>143</vt:i4>
      </vt:variant>
      <vt:variant>
        <vt:i4>0</vt:i4>
      </vt:variant>
      <vt:variant>
        <vt:i4>5</vt:i4>
      </vt:variant>
      <vt:variant>
        <vt:lpwstr/>
      </vt:variant>
      <vt:variant>
        <vt:lpwstr>_Toc116465824</vt:lpwstr>
      </vt:variant>
      <vt:variant>
        <vt:i4>1376313</vt:i4>
      </vt:variant>
      <vt:variant>
        <vt:i4>137</vt:i4>
      </vt:variant>
      <vt:variant>
        <vt:i4>0</vt:i4>
      </vt:variant>
      <vt:variant>
        <vt:i4>5</vt:i4>
      </vt:variant>
      <vt:variant>
        <vt:lpwstr/>
      </vt:variant>
      <vt:variant>
        <vt:lpwstr>_Toc116465823</vt:lpwstr>
      </vt:variant>
      <vt:variant>
        <vt:i4>1376313</vt:i4>
      </vt:variant>
      <vt:variant>
        <vt:i4>131</vt:i4>
      </vt:variant>
      <vt:variant>
        <vt:i4>0</vt:i4>
      </vt:variant>
      <vt:variant>
        <vt:i4>5</vt:i4>
      </vt:variant>
      <vt:variant>
        <vt:lpwstr/>
      </vt:variant>
      <vt:variant>
        <vt:lpwstr>_Toc116465822</vt:lpwstr>
      </vt:variant>
      <vt:variant>
        <vt:i4>1376313</vt:i4>
      </vt:variant>
      <vt:variant>
        <vt:i4>125</vt:i4>
      </vt:variant>
      <vt:variant>
        <vt:i4>0</vt:i4>
      </vt:variant>
      <vt:variant>
        <vt:i4>5</vt:i4>
      </vt:variant>
      <vt:variant>
        <vt:lpwstr/>
      </vt:variant>
      <vt:variant>
        <vt:lpwstr>_Toc116465821</vt:lpwstr>
      </vt:variant>
      <vt:variant>
        <vt:i4>1376313</vt:i4>
      </vt:variant>
      <vt:variant>
        <vt:i4>119</vt:i4>
      </vt:variant>
      <vt:variant>
        <vt:i4>0</vt:i4>
      </vt:variant>
      <vt:variant>
        <vt:i4>5</vt:i4>
      </vt:variant>
      <vt:variant>
        <vt:lpwstr/>
      </vt:variant>
      <vt:variant>
        <vt:lpwstr>_Toc116465820</vt:lpwstr>
      </vt:variant>
      <vt:variant>
        <vt:i4>1441849</vt:i4>
      </vt:variant>
      <vt:variant>
        <vt:i4>113</vt:i4>
      </vt:variant>
      <vt:variant>
        <vt:i4>0</vt:i4>
      </vt:variant>
      <vt:variant>
        <vt:i4>5</vt:i4>
      </vt:variant>
      <vt:variant>
        <vt:lpwstr/>
      </vt:variant>
      <vt:variant>
        <vt:lpwstr>_Toc116465819</vt:lpwstr>
      </vt:variant>
      <vt:variant>
        <vt:i4>1441849</vt:i4>
      </vt:variant>
      <vt:variant>
        <vt:i4>107</vt:i4>
      </vt:variant>
      <vt:variant>
        <vt:i4>0</vt:i4>
      </vt:variant>
      <vt:variant>
        <vt:i4>5</vt:i4>
      </vt:variant>
      <vt:variant>
        <vt:lpwstr/>
      </vt:variant>
      <vt:variant>
        <vt:lpwstr>_Toc116465818</vt:lpwstr>
      </vt:variant>
      <vt:variant>
        <vt:i4>1441849</vt:i4>
      </vt:variant>
      <vt:variant>
        <vt:i4>101</vt:i4>
      </vt:variant>
      <vt:variant>
        <vt:i4>0</vt:i4>
      </vt:variant>
      <vt:variant>
        <vt:i4>5</vt:i4>
      </vt:variant>
      <vt:variant>
        <vt:lpwstr/>
      </vt:variant>
      <vt:variant>
        <vt:lpwstr>_Toc116465817</vt:lpwstr>
      </vt:variant>
      <vt:variant>
        <vt:i4>1441849</vt:i4>
      </vt:variant>
      <vt:variant>
        <vt:i4>95</vt:i4>
      </vt:variant>
      <vt:variant>
        <vt:i4>0</vt:i4>
      </vt:variant>
      <vt:variant>
        <vt:i4>5</vt:i4>
      </vt:variant>
      <vt:variant>
        <vt:lpwstr/>
      </vt:variant>
      <vt:variant>
        <vt:lpwstr>_Toc116465816</vt:lpwstr>
      </vt:variant>
      <vt:variant>
        <vt:i4>1441849</vt:i4>
      </vt:variant>
      <vt:variant>
        <vt:i4>89</vt:i4>
      </vt:variant>
      <vt:variant>
        <vt:i4>0</vt:i4>
      </vt:variant>
      <vt:variant>
        <vt:i4>5</vt:i4>
      </vt:variant>
      <vt:variant>
        <vt:lpwstr/>
      </vt:variant>
      <vt:variant>
        <vt:lpwstr>_Toc116465815</vt:lpwstr>
      </vt:variant>
      <vt:variant>
        <vt:i4>1441849</vt:i4>
      </vt:variant>
      <vt:variant>
        <vt:i4>83</vt:i4>
      </vt:variant>
      <vt:variant>
        <vt:i4>0</vt:i4>
      </vt:variant>
      <vt:variant>
        <vt:i4>5</vt:i4>
      </vt:variant>
      <vt:variant>
        <vt:lpwstr/>
      </vt:variant>
      <vt:variant>
        <vt:lpwstr>_Toc116465814</vt:lpwstr>
      </vt:variant>
      <vt:variant>
        <vt:i4>1441849</vt:i4>
      </vt:variant>
      <vt:variant>
        <vt:i4>77</vt:i4>
      </vt:variant>
      <vt:variant>
        <vt:i4>0</vt:i4>
      </vt:variant>
      <vt:variant>
        <vt:i4>5</vt:i4>
      </vt:variant>
      <vt:variant>
        <vt:lpwstr/>
      </vt:variant>
      <vt:variant>
        <vt:lpwstr>_Toc116465813</vt:lpwstr>
      </vt:variant>
      <vt:variant>
        <vt:i4>1441849</vt:i4>
      </vt:variant>
      <vt:variant>
        <vt:i4>71</vt:i4>
      </vt:variant>
      <vt:variant>
        <vt:i4>0</vt:i4>
      </vt:variant>
      <vt:variant>
        <vt:i4>5</vt:i4>
      </vt:variant>
      <vt:variant>
        <vt:lpwstr/>
      </vt:variant>
      <vt:variant>
        <vt:lpwstr>_Toc116465812</vt:lpwstr>
      </vt:variant>
      <vt:variant>
        <vt:i4>1441849</vt:i4>
      </vt:variant>
      <vt:variant>
        <vt:i4>65</vt:i4>
      </vt:variant>
      <vt:variant>
        <vt:i4>0</vt:i4>
      </vt:variant>
      <vt:variant>
        <vt:i4>5</vt:i4>
      </vt:variant>
      <vt:variant>
        <vt:lpwstr/>
      </vt:variant>
      <vt:variant>
        <vt:lpwstr>_Toc116465811</vt:lpwstr>
      </vt:variant>
      <vt:variant>
        <vt:i4>1441849</vt:i4>
      </vt:variant>
      <vt:variant>
        <vt:i4>59</vt:i4>
      </vt:variant>
      <vt:variant>
        <vt:i4>0</vt:i4>
      </vt:variant>
      <vt:variant>
        <vt:i4>5</vt:i4>
      </vt:variant>
      <vt:variant>
        <vt:lpwstr/>
      </vt:variant>
      <vt:variant>
        <vt:lpwstr>_Toc116465810</vt:lpwstr>
      </vt:variant>
      <vt:variant>
        <vt:i4>1507385</vt:i4>
      </vt:variant>
      <vt:variant>
        <vt:i4>53</vt:i4>
      </vt:variant>
      <vt:variant>
        <vt:i4>0</vt:i4>
      </vt:variant>
      <vt:variant>
        <vt:i4>5</vt:i4>
      </vt:variant>
      <vt:variant>
        <vt:lpwstr/>
      </vt:variant>
      <vt:variant>
        <vt:lpwstr>_Toc116465809</vt:lpwstr>
      </vt:variant>
      <vt:variant>
        <vt:i4>1507385</vt:i4>
      </vt:variant>
      <vt:variant>
        <vt:i4>47</vt:i4>
      </vt:variant>
      <vt:variant>
        <vt:i4>0</vt:i4>
      </vt:variant>
      <vt:variant>
        <vt:i4>5</vt:i4>
      </vt:variant>
      <vt:variant>
        <vt:lpwstr/>
      </vt:variant>
      <vt:variant>
        <vt:lpwstr>_Toc116465808</vt:lpwstr>
      </vt:variant>
      <vt:variant>
        <vt:i4>1507385</vt:i4>
      </vt:variant>
      <vt:variant>
        <vt:i4>41</vt:i4>
      </vt:variant>
      <vt:variant>
        <vt:i4>0</vt:i4>
      </vt:variant>
      <vt:variant>
        <vt:i4>5</vt:i4>
      </vt:variant>
      <vt:variant>
        <vt:lpwstr/>
      </vt:variant>
      <vt:variant>
        <vt:lpwstr>_Toc116465807</vt:lpwstr>
      </vt:variant>
      <vt:variant>
        <vt:i4>1507385</vt:i4>
      </vt:variant>
      <vt:variant>
        <vt:i4>35</vt:i4>
      </vt:variant>
      <vt:variant>
        <vt:i4>0</vt:i4>
      </vt:variant>
      <vt:variant>
        <vt:i4>5</vt:i4>
      </vt:variant>
      <vt:variant>
        <vt:lpwstr/>
      </vt:variant>
      <vt:variant>
        <vt:lpwstr>_Toc116465806</vt:lpwstr>
      </vt:variant>
      <vt:variant>
        <vt:i4>1507385</vt:i4>
      </vt:variant>
      <vt:variant>
        <vt:i4>29</vt:i4>
      </vt:variant>
      <vt:variant>
        <vt:i4>0</vt:i4>
      </vt:variant>
      <vt:variant>
        <vt:i4>5</vt:i4>
      </vt:variant>
      <vt:variant>
        <vt:lpwstr/>
      </vt:variant>
      <vt:variant>
        <vt:lpwstr>_Toc116465805</vt:lpwstr>
      </vt:variant>
      <vt:variant>
        <vt:i4>1507385</vt:i4>
      </vt:variant>
      <vt:variant>
        <vt:i4>23</vt:i4>
      </vt:variant>
      <vt:variant>
        <vt:i4>0</vt:i4>
      </vt:variant>
      <vt:variant>
        <vt:i4>5</vt:i4>
      </vt:variant>
      <vt:variant>
        <vt:lpwstr/>
      </vt:variant>
      <vt:variant>
        <vt:lpwstr>_Toc116465804</vt:lpwstr>
      </vt:variant>
      <vt:variant>
        <vt:i4>1507385</vt:i4>
      </vt:variant>
      <vt:variant>
        <vt:i4>17</vt:i4>
      </vt:variant>
      <vt:variant>
        <vt:i4>0</vt:i4>
      </vt:variant>
      <vt:variant>
        <vt:i4>5</vt:i4>
      </vt:variant>
      <vt:variant>
        <vt:lpwstr/>
      </vt:variant>
      <vt:variant>
        <vt:lpwstr>_Toc116465803</vt:lpwstr>
      </vt:variant>
      <vt:variant>
        <vt:i4>1507385</vt:i4>
      </vt:variant>
      <vt:variant>
        <vt:i4>11</vt:i4>
      </vt:variant>
      <vt:variant>
        <vt:i4>0</vt:i4>
      </vt:variant>
      <vt:variant>
        <vt:i4>5</vt:i4>
      </vt:variant>
      <vt:variant>
        <vt:lpwstr/>
      </vt:variant>
      <vt:variant>
        <vt:lpwstr>_Toc116465802</vt:lpwstr>
      </vt:variant>
      <vt:variant>
        <vt:i4>1507385</vt:i4>
      </vt:variant>
      <vt:variant>
        <vt:i4>5</vt:i4>
      </vt:variant>
      <vt:variant>
        <vt:i4>0</vt:i4>
      </vt:variant>
      <vt:variant>
        <vt:i4>5</vt:i4>
      </vt:variant>
      <vt:variant>
        <vt:lpwstr/>
      </vt:variant>
      <vt:variant>
        <vt:lpwstr>_Toc116465801</vt:lpwstr>
      </vt:variant>
      <vt:variant>
        <vt:i4>7536757</vt:i4>
      </vt:variant>
      <vt:variant>
        <vt:i4>3</vt:i4>
      </vt:variant>
      <vt:variant>
        <vt:i4>0</vt:i4>
      </vt:variant>
      <vt:variant>
        <vt:i4>5</vt:i4>
      </vt:variant>
      <vt:variant>
        <vt:lpwstr>https://www.safetyandquality.gov.au/standards/nsqhs-standards/communicating-safety-standard</vt:lpwstr>
      </vt:variant>
      <vt:variant>
        <vt:lpwstr/>
      </vt:variant>
      <vt:variant>
        <vt:i4>7536757</vt:i4>
      </vt:variant>
      <vt:variant>
        <vt:i4>0</vt:i4>
      </vt:variant>
      <vt:variant>
        <vt:i4>0</vt:i4>
      </vt:variant>
      <vt:variant>
        <vt:i4>5</vt:i4>
      </vt:variant>
      <vt:variant>
        <vt:lpwstr>https://www.safetyandquality.gov.au/standards/nsqhs-standards/communicating-safety-standard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referrals to non-admitted specialist services policy</dc:title>
  <dc:subject/>
  <dc:creator>Department of Health</dc:creator>
  <cp:keywords/>
  <cp:lastModifiedBy>Karen O'Leary</cp:lastModifiedBy>
  <cp:revision>2</cp:revision>
  <cp:lastPrinted>2021-01-30T00:27:00Z</cp:lastPrinted>
  <dcterms:created xsi:type="dcterms:W3CDTF">2023-01-09T02:34:00Z</dcterms:created>
  <dcterms:modified xsi:type="dcterms:W3CDTF">2023-01-09T02:34:00Z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0x010100F36292277EE0A84297425D21754237BC</vt:lpwstr>
  </property>
  <property fmtid="{D5CDD505-2E9C-101B-9397-08002B2CF9AE}" pid="4" name="version">
    <vt:lpwstr>v4 19022021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2023-01-09T02:33:55Z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4b37a25a-81c6-4caa-a186-981820bcec0f</vt:lpwstr>
  </property>
  <property fmtid="{D5CDD505-2E9C-101B-9397-08002B2CF9AE}" pid="12" name="MSIP_Label_43e64453-338c-4f93-8a4d-0039a0a41f2a_ContentBits">
    <vt:lpwstr>2</vt:lpwstr>
  </property>
</Properties>
</file>