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2560"/>
        <w:tblW w:w="929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B41C39" w14:paraId="3B015E10" w14:textId="77777777" w:rsidTr="009E10CF">
        <w:trPr>
          <w:cantSplit/>
        </w:trPr>
        <w:tc>
          <w:tcPr>
            <w:tcW w:w="0" w:type="auto"/>
            <w:tcMar>
              <w:top w:w="0" w:type="dxa"/>
              <w:left w:w="0" w:type="dxa"/>
              <w:right w:w="0" w:type="dxa"/>
            </w:tcMar>
          </w:tcPr>
          <w:p w14:paraId="18F877C2" w14:textId="77777777" w:rsidR="00A75687" w:rsidRDefault="00A75687" w:rsidP="009E10CF">
            <w:pPr>
              <w:pStyle w:val="Documenttitle"/>
              <w:contextualSpacing/>
            </w:pPr>
            <w:r>
              <w:t xml:space="preserve">Chief Psychiatrist’s annual report </w:t>
            </w:r>
          </w:p>
          <w:p w14:paraId="12D97244" w14:textId="39638C11" w:rsidR="00B41C39" w:rsidRPr="00431F42" w:rsidRDefault="00A75687" w:rsidP="009E10CF">
            <w:pPr>
              <w:pStyle w:val="Documenttitle"/>
              <w:contextualSpacing/>
            </w:pPr>
            <w:r>
              <w:t>202</w:t>
            </w:r>
            <w:r w:rsidR="00BD5210">
              <w:t>1</w:t>
            </w:r>
            <w:r w:rsidRPr="00A75687">
              <w:t>–</w:t>
            </w:r>
            <w:r>
              <w:t>2</w:t>
            </w:r>
            <w:r w:rsidR="00BD5210">
              <w:t>2</w:t>
            </w:r>
          </w:p>
        </w:tc>
      </w:tr>
    </w:tbl>
    <w:p w14:paraId="7DB95A52" w14:textId="4E28945F" w:rsidR="00B41C39" w:rsidRDefault="00B41C39" w:rsidP="009A5423">
      <w:pPr>
        <w:pStyle w:val="Body"/>
        <w:sectPr w:rsidR="00B41C39" w:rsidSect="00C51B1C">
          <w:footerReference w:type="even" r:id="rId11"/>
          <w:footerReference w:type="default" r:id="rId12"/>
          <w:pgSz w:w="11906" w:h="16838"/>
          <w:pgMar w:top="1701" w:right="1304" w:bottom="1134" w:left="1304" w:header="454" w:footer="567" w:gutter="0"/>
          <w:cols w:space="720"/>
          <w:docGrid w:linePitch="360"/>
        </w:sectPr>
      </w:pPr>
      <w:r>
        <w:rPr>
          <w:noProof/>
        </w:rPr>
        <w:drawing>
          <wp:anchor distT="0" distB="0" distL="114300" distR="114300" simplePos="0" relativeHeight="251658241" behindDoc="1" locked="1" layoutInCell="1" allowOverlap="1" wp14:anchorId="318E2BA2" wp14:editId="362CBC9F">
            <wp:simplePos x="0" y="0"/>
            <wp:positionH relativeFrom="page">
              <wp:posOffset>-28575</wp:posOffset>
            </wp:positionH>
            <wp:positionV relativeFrom="page">
              <wp:posOffset>-13970</wp:posOffset>
            </wp:positionV>
            <wp:extent cx="7564373" cy="10692000"/>
            <wp:effectExtent l="0" t="0" r="5080" b="1905"/>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4373" cy="10692000"/>
                    </a:xfrm>
                    <a:prstGeom prst="rect">
                      <a:avLst/>
                    </a:prstGeom>
                  </pic:spPr>
                </pic:pic>
              </a:graphicData>
            </a:graphic>
            <wp14:sizeRelH relativeFrom="margin">
              <wp14:pctWidth>0</wp14:pctWidth>
            </wp14:sizeRelH>
            <wp14:sizeRelV relativeFrom="margin">
              <wp14:pctHeight>0</wp14:pctHeight>
            </wp14:sizeRelV>
          </wp:anchor>
        </w:drawing>
      </w:r>
    </w:p>
    <w:p w14:paraId="49EF630C" w14:textId="68EA4080" w:rsidR="00AC0C3B" w:rsidRPr="003072C6" w:rsidRDefault="00073DB0" w:rsidP="00CA6D4E">
      <w:pPr>
        <w:pStyle w:val="DHHSbodynospace"/>
      </w:pPr>
      <w:r>
        <w:rPr>
          <w:noProof/>
          <w:lang w:eastAsia="en-AU"/>
        </w:rPr>
        <w:lastRenderedPageBreak/>
        <mc:AlternateContent>
          <mc:Choice Requires="wps">
            <w:drawing>
              <wp:anchor distT="0" distB="0" distL="114300" distR="114300" simplePos="0" relativeHeight="251658240" behindDoc="0" locked="0" layoutInCell="1" allowOverlap="1" wp14:anchorId="07C5B430" wp14:editId="469E3E20">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pic="http://schemas.openxmlformats.org/drawingml/2006/picture" xmlns="" xmlns:a14="http://schemas.microsoft.com/office/drawing/2010/main" xmlns:w="http://schemas.openxmlformats.org/wordprocessingml/2006/main" xmlns:w10="urn:schemas-microsoft-com:office:word" xmlns:v="urn:schemas-microsoft-com:vml" xmlns:o="urn:schemas-microsoft-com:office:office" xmlns:arto="http://schemas.microsoft.com/office/word/2006/arto" xmlns:c="http://schemas.openxmlformats.org/drawingml/2006/chart" xmlns:a16="http://schemas.microsoft.com/office/drawing/2014/main" xmlns:oel="http://schemas.microsoft.com/office/2019/extlst">
                              <a:solidFill>
                                <a:srgbClr val="FFFFFF"/>
                              </a:solidFill>
                            </a14:hiddenFill>
                          </a:ext>
                          <a:ext uri="{91240B29-F687-4f45-9708-019B960494DF}">
                            <a14:hiddenLine xmlns:pic="http://schemas.openxmlformats.org/drawingml/2006/picture" xmlns="" xmlns:a14="http://schemas.microsoft.com/office/drawing/2010/main" xmlns:w="http://schemas.openxmlformats.org/wordprocessingml/2006/main" xmlns:w10="urn:schemas-microsoft-com:office:word" xmlns:v="urn:schemas-microsoft-com:vml" xmlns:o="urn:schemas-microsoft-com:office:office" xmlns:arto="http://schemas.microsoft.com/office/word/2006/arto" xmlns:c="http://schemas.openxmlformats.org/drawingml/2006/chart" xmlns:a16="http://schemas.microsoft.com/office/drawing/2014/main" xmlns:oel="http://schemas.microsoft.com/office/2019/extlst" w="9525">
                              <a:solidFill>
                                <a:srgbClr val="000000"/>
                              </a:solidFill>
                              <a:miter lim="800000"/>
                              <a:headEnd/>
                              <a:tailEnd/>
                            </a14:hiddenLine>
                          </a:ext>
                        </a:extLst>
                      </wps:spPr>
                      <wps:txbx>
                        <w:txbxContent>
                          <w:p w14:paraId="6559AD42" w14:textId="77777777" w:rsidR="00F33284" w:rsidRDefault="00F33284"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B430" id="_x0000_t202" coordsize="21600,21600" o:spt="202" path="m,l,21600r21600,l21600,xe">
                <v:stroke joinstyle="miter"/>
                <v:path gradientshapeok="t" o:connecttype="rect"/>
              </v:shapetype>
              <v:shape id="Text Box 43" o:spid="_x0000_s1026" type="#_x0000_t202" style="position:absolute;margin-left:5in;margin-top:801pt;width:19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" filled="f" stroked="f">
                <v:textbox>
                  <w:txbxContent>
                    <w:p w14:paraId="6559AD42" w14:textId="77777777" w:rsidR="00F33284" w:rsidRDefault="00F33284" w:rsidP="00AC0C3B">
                      <w:pPr>
                        <w:jc w:val="right"/>
                      </w:pPr>
                      <w:r w:rsidRPr="000147AF">
                        <w:rPr>
                          <w:rFonts w:ascii="Arial" w:hAnsi="Arial" w:cs="Arial"/>
                          <w:color w:val="808080"/>
                          <w:sz w:val="22"/>
                          <w:szCs w:val="22"/>
                        </w:rPr>
                        <w:t>Department of Health</w:t>
                      </w:r>
                    </w:p>
                  </w:txbxContent>
                </v:textbox>
              </v:shape>
            </w:pict>
          </mc:Fallback>
        </mc:AlternateContent>
      </w:r>
    </w:p>
    <w:tbl>
      <w:tblPr>
        <w:tblW w:w="0" w:type="auto"/>
        <w:tblInd w:w="1701" w:type="dxa"/>
        <w:tblCellMar>
          <w:left w:w="0" w:type="dxa"/>
          <w:right w:w="0" w:type="dxa"/>
        </w:tblCellMar>
        <w:tblLook w:val="04A0" w:firstRow="1" w:lastRow="0" w:firstColumn="1" w:lastColumn="0" w:noHBand="0" w:noVBand="1"/>
      </w:tblPr>
      <w:tblGrid>
        <w:gridCol w:w="7597"/>
      </w:tblGrid>
      <w:tr w:rsidR="00DE24E6" w:rsidRPr="003072C6" w14:paraId="27607F42" w14:textId="77777777" w:rsidTr="00CA6D4E">
        <w:trPr>
          <w:trHeight w:val="7402"/>
        </w:trPr>
        <w:tc>
          <w:tcPr>
            <w:tcW w:w="9298" w:type="dxa"/>
            <w:shd w:val="clear" w:color="auto" w:fill="auto"/>
            <w:vAlign w:val="center"/>
          </w:tcPr>
          <w:p w14:paraId="7FB79A46" w14:textId="5F29ABA1" w:rsidR="00F53CFD" w:rsidRPr="00636934" w:rsidRDefault="00381B2F" w:rsidP="00636934">
            <w:pPr>
              <w:pStyle w:val="DHHSreportmaintitle"/>
            </w:pPr>
            <w:r w:rsidRPr="00381B2F">
              <w:t xml:space="preserve">Chief Psychiatrist’s </w:t>
            </w:r>
            <w:r w:rsidR="00563C62">
              <w:t>a</w:t>
            </w:r>
            <w:r w:rsidRPr="00381B2F">
              <w:t xml:space="preserve">nnual </w:t>
            </w:r>
            <w:r w:rsidR="00563C62">
              <w:t>r</w:t>
            </w:r>
            <w:r w:rsidRPr="00381B2F">
              <w:t>eport 20</w:t>
            </w:r>
            <w:r w:rsidR="007B0010">
              <w:t>2</w:t>
            </w:r>
            <w:r w:rsidR="00BD5210">
              <w:t>1</w:t>
            </w:r>
            <w:r w:rsidRPr="00381B2F">
              <w:t>–2</w:t>
            </w:r>
            <w:r w:rsidR="00BD5210">
              <w:t>2</w:t>
            </w:r>
          </w:p>
          <w:p w14:paraId="41A6643E" w14:textId="4EA01BB7" w:rsidR="00BB47D7" w:rsidRPr="003072C6" w:rsidRDefault="00BB47D7" w:rsidP="00630937">
            <w:pPr>
              <w:pStyle w:val="DHHSreportsubtitle"/>
            </w:pPr>
          </w:p>
        </w:tc>
      </w:tr>
      <w:tr w:rsidR="009906C7" w:rsidRPr="003072C6" w14:paraId="3920C4D6" w14:textId="77777777" w:rsidTr="009906C7">
        <w:tc>
          <w:tcPr>
            <w:tcW w:w="9298" w:type="dxa"/>
            <w:shd w:val="clear" w:color="auto" w:fill="auto"/>
            <w:vAlign w:val="center"/>
          </w:tcPr>
          <w:p w14:paraId="3BFECD8F" w14:textId="77777777" w:rsidR="009906C7" w:rsidRPr="003072C6" w:rsidRDefault="009906C7" w:rsidP="009906C7">
            <w:pPr>
              <w:pStyle w:val="DHHSbody"/>
            </w:pPr>
          </w:p>
        </w:tc>
      </w:tr>
    </w:tbl>
    <w:p w14:paraId="6A716392" w14:textId="77777777" w:rsidR="00AC0C3B" w:rsidRPr="003072C6" w:rsidRDefault="00C81BA6" w:rsidP="009A5423">
      <w:pPr>
        <w:pStyle w:val="Body"/>
      </w:pPr>
      <w:r w:rsidRPr="003072C6">
        <w:br w:type="page"/>
      </w: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14:paraId="6EA3201F" w14:textId="77777777" w:rsidTr="00993C80">
        <w:trPr>
          <w:trHeight w:val="6336"/>
        </w:trPr>
        <w:tc>
          <w:tcPr>
            <w:tcW w:w="9298" w:type="dxa"/>
            <w:vAlign w:val="bottom"/>
          </w:tcPr>
          <w:p w14:paraId="7DD343DD" w14:textId="5903BF27" w:rsidR="00605B5B" w:rsidRPr="00F77D38" w:rsidRDefault="00605B5B" w:rsidP="00563C62">
            <w:pPr>
              <w:pStyle w:val="Body"/>
            </w:pPr>
            <w:r w:rsidRPr="00605B5B">
              <w:lastRenderedPageBreak/>
              <w:t xml:space="preserve">To receive this publication in an accessible format phone </w:t>
            </w:r>
            <w:r w:rsidR="7D87D75A" w:rsidRPr="00F77D38">
              <w:t>1300 767 299</w:t>
            </w:r>
            <w:r w:rsidR="3144EF29">
              <w:t>,</w:t>
            </w:r>
            <w:r w:rsidRPr="00605B5B">
              <w:t xml:space="preserve"> using the National Relay Service 13 36 77 if required, or </w:t>
            </w:r>
            <w:hyperlink r:id="rId14" w:history="1">
              <w:r w:rsidRPr="00843E13">
                <w:rPr>
                  <w:rStyle w:val="Hyperlink"/>
                </w:rPr>
                <w:t xml:space="preserve">email </w:t>
              </w:r>
              <w:r w:rsidR="008B0BCF" w:rsidRPr="00843E13">
                <w:rPr>
                  <w:rStyle w:val="Hyperlink"/>
                </w:rPr>
                <w:t>the Office of the Chief Psychiatrist</w:t>
              </w:r>
            </w:hyperlink>
            <w:r w:rsidR="008B0BCF" w:rsidRPr="00F77D38">
              <w:t xml:space="preserve"> &lt;ocp@</w:t>
            </w:r>
            <w:r w:rsidR="00563C62">
              <w:t>health</w:t>
            </w:r>
            <w:r w:rsidR="4784A4B9" w:rsidRPr="00F77D38">
              <w:t>.vic.gov.au</w:t>
            </w:r>
            <w:r w:rsidRPr="00F77D38">
              <w:t>&gt;</w:t>
            </w:r>
            <w:r w:rsidR="00381B2F" w:rsidRPr="00F77D38">
              <w:t>.</w:t>
            </w:r>
          </w:p>
          <w:p w14:paraId="2CDF7B09" w14:textId="77777777" w:rsidR="00605B5B" w:rsidRPr="00605B5B" w:rsidRDefault="00605B5B" w:rsidP="00563C62">
            <w:pPr>
              <w:pStyle w:val="Body"/>
            </w:pPr>
            <w:r w:rsidRPr="00605B5B">
              <w:t>Authorised and published by the Victorian Governmen</w:t>
            </w:r>
            <w:r>
              <w:t>t, 1 Treasury Place, Melbourne.</w:t>
            </w:r>
          </w:p>
          <w:p w14:paraId="147FC497" w14:textId="6B40859C" w:rsidR="00605B5B" w:rsidRPr="00605B5B" w:rsidRDefault="00605B5B" w:rsidP="00563C62">
            <w:pPr>
              <w:pStyle w:val="Body"/>
            </w:pPr>
            <w:r w:rsidRPr="00605B5B">
              <w:t>© State of Victoria, Department of Health</w:t>
            </w:r>
            <w:r w:rsidR="00381B2F">
              <w:t>, October 202</w:t>
            </w:r>
            <w:r w:rsidR="002C5092">
              <w:t>2</w:t>
            </w:r>
            <w:r w:rsidRPr="00605B5B">
              <w:t>.</w:t>
            </w:r>
          </w:p>
          <w:p w14:paraId="50BD8BD3" w14:textId="7209E17E" w:rsidR="3144EF29" w:rsidRDefault="3144EF29" w:rsidP="00563C62">
            <w:pPr>
              <w:pStyle w:val="Body"/>
              <w:rPr>
                <w:rFonts w:eastAsia="Arial" w:cs="Arial"/>
                <w:color w:val="000000" w:themeColor="text1"/>
                <w:sz w:val="22"/>
                <w:szCs w:val="22"/>
              </w:rPr>
            </w:pPr>
            <w:r>
              <w:t>ISBN/ISSN</w:t>
            </w:r>
            <w:r w:rsidRPr="00843E13">
              <w:t xml:space="preserve"> </w:t>
            </w:r>
            <w:r w:rsidR="05066964" w:rsidRPr="00843E13">
              <w:t xml:space="preserve">2207-1482 </w:t>
            </w:r>
            <w:r w:rsidR="001B2625">
              <w:t>(o</w:t>
            </w:r>
            <w:r w:rsidR="05066964" w:rsidRPr="00843E13">
              <w:t>nline</w:t>
            </w:r>
            <w:r w:rsidR="001B2625">
              <w:t>/PDF</w:t>
            </w:r>
            <w:r w:rsidR="05066964" w:rsidRPr="00843E13">
              <w:t>/</w:t>
            </w:r>
            <w:r w:rsidR="001B2625">
              <w:t>W</w:t>
            </w:r>
            <w:r w:rsidR="05066964" w:rsidRPr="00843E13">
              <w:t>ord)</w:t>
            </w:r>
          </w:p>
          <w:p w14:paraId="1F71DFCB" w14:textId="5E7B1D17" w:rsidR="00564E8F" w:rsidRPr="00436843" w:rsidRDefault="3144EF29" w:rsidP="00563C62">
            <w:pPr>
              <w:pStyle w:val="Body"/>
              <w:rPr>
                <w:color w:val="D50032"/>
              </w:rPr>
            </w:pPr>
            <w:r>
              <w:t xml:space="preserve">Available </w:t>
            </w:r>
            <w:r w:rsidR="0A0BE0D8">
              <w:t xml:space="preserve">on the </w:t>
            </w:r>
            <w:hyperlink r:id="rId15" w:history="1">
              <w:r w:rsidR="0A0BE0D8" w:rsidRPr="00843E13">
                <w:rPr>
                  <w:rStyle w:val="Hyperlink"/>
                </w:rPr>
                <w:t>Chief Psychiatrist’s webpage</w:t>
              </w:r>
            </w:hyperlink>
            <w:r>
              <w:t xml:space="preserve"> </w:t>
            </w:r>
            <w:r w:rsidRPr="00F77D38">
              <w:t>&lt;</w:t>
            </w:r>
            <w:r w:rsidR="00A51A3A" w:rsidRPr="00A51A3A">
              <w:t>https://www.health.vic.gov.au/key-staff/publications-from-the-chief-psychiatrist</w:t>
            </w:r>
            <w:r w:rsidRPr="00F77D38">
              <w:t>&gt;</w:t>
            </w:r>
            <w:r w:rsidR="3EC2034E" w:rsidRPr="00F77D38">
              <w:t>.</w:t>
            </w:r>
          </w:p>
        </w:tc>
      </w:tr>
    </w:tbl>
    <w:p w14:paraId="4628D2B1" w14:textId="38EE9EEF" w:rsidR="15FF2A27" w:rsidRDefault="15FF2A27" w:rsidP="00563C62">
      <w:pPr>
        <w:pStyle w:val="Body"/>
      </w:pPr>
    </w:p>
    <w:p w14:paraId="48B14829" w14:textId="5C3651CF" w:rsidR="00381B2F" w:rsidRPr="00FE0833" w:rsidRDefault="00381B2F" w:rsidP="007A610E">
      <w:pPr>
        <w:pStyle w:val="Body"/>
        <w:rPr>
          <w:b/>
        </w:rPr>
      </w:pPr>
      <w:r w:rsidRPr="00B07969">
        <w:br w:type="page"/>
      </w:r>
      <w:bookmarkStart w:id="0" w:name="_Toc52886226"/>
      <w:r w:rsidRPr="00FE0833">
        <w:rPr>
          <w:rStyle w:val="Heading3Char"/>
          <w:rFonts w:eastAsia="Times"/>
          <w:b/>
          <w:sz w:val="21"/>
          <w:szCs w:val="21"/>
        </w:rPr>
        <w:lastRenderedPageBreak/>
        <w:t>Acknowledgement of country</w:t>
      </w:r>
      <w:bookmarkEnd w:id="0"/>
      <w:r w:rsidRPr="00FE0833">
        <w:rPr>
          <w:b/>
        </w:rPr>
        <w:t xml:space="preserve"> </w:t>
      </w:r>
    </w:p>
    <w:p w14:paraId="6F61F45F" w14:textId="41D2AB8E" w:rsidR="00381B2F" w:rsidRPr="00FE0833" w:rsidRDefault="00381B2F" w:rsidP="00563C62">
      <w:pPr>
        <w:pStyle w:val="Body"/>
        <w:rPr>
          <w:rStyle w:val="normaltextrun"/>
        </w:rPr>
      </w:pPr>
      <w:r w:rsidRPr="00FE0833">
        <w:rPr>
          <w:rStyle w:val="normaltextrun"/>
        </w:rPr>
        <w:t>The Victorian Government proudly acknowledges Victoria’s Aboriginal communities and their rich culture and pays respect to their Elders past and present.</w:t>
      </w:r>
    </w:p>
    <w:p w14:paraId="1BE8DF98" w14:textId="4A0C4286" w:rsidR="00381B2F" w:rsidRPr="00FE0833" w:rsidRDefault="00381B2F" w:rsidP="00563C62">
      <w:pPr>
        <w:pStyle w:val="Body"/>
        <w:rPr>
          <w:rStyle w:val="normaltextrun"/>
        </w:rPr>
      </w:pPr>
      <w:r w:rsidRPr="00FE0833">
        <w:rPr>
          <w:rStyle w:val="normaltextrun"/>
        </w:rPr>
        <w:t>We acknowledge Aboriginal peoples as Australia’s first peoples and as the Traditional Owners and custodians of the land and water on which we live, work and play.</w:t>
      </w:r>
    </w:p>
    <w:p w14:paraId="4FD68017" w14:textId="5360E3A6" w:rsidR="00381B2F" w:rsidRPr="00FE0833" w:rsidRDefault="00381B2F" w:rsidP="00563C62">
      <w:pPr>
        <w:pStyle w:val="Body"/>
        <w:rPr>
          <w:rStyle w:val="normaltextrun"/>
        </w:rPr>
      </w:pPr>
      <w:r w:rsidRPr="00FE0833">
        <w:rPr>
          <w:rStyle w:val="normaltextrun"/>
        </w:rPr>
        <w:t>We recognise and value the ongoing contribution of Aboriginal people and communities to Victorian life and how this enriches our society more broadly.</w:t>
      </w:r>
    </w:p>
    <w:p w14:paraId="72FCE332" w14:textId="2AED5BA0" w:rsidR="00381B2F" w:rsidRPr="00FE0833" w:rsidRDefault="00381B2F" w:rsidP="00563C62">
      <w:pPr>
        <w:pStyle w:val="Body"/>
        <w:rPr>
          <w:rStyle w:val="normaltextrun"/>
        </w:rPr>
      </w:pPr>
      <w:r w:rsidRPr="00FE0833">
        <w:rPr>
          <w:rStyle w:val="normaltextrun"/>
        </w:rPr>
        <w:t>We embrace self-determination and reconciliation, working towards equality of outcomes and ensuring an equitable voice.</w:t>
      </w:r>
    </w:p>
    <w:p w14:paraId="2E6156B3" w14:textId="470A3065" w:rsidR="00381B2F" w:rsidRPr="00FE0833" w:rsidRDefault="00381B2F" w:rsidP="007A610E">
      <w:pPr>
        <w:pStyle w:val="Body"/>
        <w:rPr>
          <w:b/>
          <w:bCs/>
        </w:rPr>
      </w:pPr>
      <w:bookmarkStart w:id="1" w:name="_Toc52886227"/>
      <w:r w:rsidRPr="00FE0833">
        <w:rPr>
          <w:rStyle w:val="Heading3Char"/>
          <w:rFonts w:eastAsia="Times"/>
          <w:b/>
          <w:bCs w:val="0"/>
          <w:sz w:val="21"/>
          <w:szCs w:val="21"/>
        </w:rPr>
        <w:t xml:space="preserve">Acknowledgement of </w:t>
      </w:r>
      <w:r w:rsidR="00F06C75" w:rsidRPr="00FE0833">
        <w:rPr>
          <w:rStyle w:val="Heading3Char"/>
          <w:rFonts w:eastAsia="Times"/>
          <w:b/>
          <w:bCs w:val="0"/>
          <w:sz w:val="21"/>
          <w:szCs w:val="21"/>
        </w:rPr>
        <w:t>l</w:t>
      </w:r>
      <w:r w:rsidRPr="00FE0833">
        <w:rPr>
          <w:rStyle w:val="Heading3Char"/>
          <w:rFonts w:eastAsia="Times"/>
          <w:b/>
          <w:bCs w:val="0"/>
          <w:sz w:val="21"/>
          <w:szCs w:val="21"/>
        </w:rPr>
        <w:t xml:space="preserve">ived </w:t>
      </w:r>
      <w:r w:rsidR="007406FA" w:rsidRPr="00FE0833">
        <w:rPr>
          <w:rStyle w:val="Heading3Char"/>
          <w:rFonts w:eastAsia="Times"/>
          <w:b/>
          <w:bCs w:val="0"/>
          <w:sz w:val="21"/>
          <w:szCs w:val="21"/>
        </w:rPr>
        <w:t xml:space="preserve">and living </w:t>
      </w:r>
      <w:r w:rsidRPr="00FE0833">
        <w:rPr>
          <w:rStyle w:val="Heading3Char"/>
          <w:rFonts w:eastAsia="Times"/>
          <w:b/>
          <w:bCs w:val="0"/>
          <w:sz w:val="21"/>
          <w:szCs w:val="21"/>
        </w:rPr>
        <w:t>experience</w:t>
      </w:r>
      <w:bookmarkEnd w:id="1"/>
    </w:p>
    <w:p w14:paraId="46179BF7" w14:textId="25AB2D77" w:rsidR="00381B2F" w:rsidRDefault="00B07478" w:rsidP="00563C62">
      <w:pPr>
        <w:pStyle w:val="Body"/>
      </w:pPr>
      <w:r>
        <w:rPr>
          <w:rStyle w:val="normaltextrun"/>
        </w:rPr>
        <w:t>We</w:t>
      </w:r>
      <w:r w:rsidRPr="00B07478">
        <w:rPr>
          <w:rStyle w:val="normaltextrun"/>
        </w:rPr>
        <w:t xml:space="preserve"> would like to recognise all people with lived </w:t>
      </w:r>
      <w:r w:rsidR="00E0777D">
        <w:rPr>
          <w:rStyle w:val="normaltextrun"/>
        </w:rPr>
        <w:t xml:space="preserve">and living </w:t>
      </w:r>
      <w:r w:rsidRPr="00B07478">
        <w:rPr>
          <w:rStyle w:val="normaltextrun"/>
        </w:rPr>
        <w:t>experience of</w:t>
      </w:r>
      <w:r w:rsidR="00B80222">
        <w:rPr>
          <w:rStyle w:val="normaltextrun"/>
        </w:rPr>
        <w:t xml:space="preserve"> mental illness and psychological distress</w:t>
      </w:r>
      <w:r w:rsidR="00466B84">
        <w:rPr>
          <w:rStyle w:val="normaltextrun"/>
        </w:rPr>
        <w:t xml:space="preserve">, </w:t>
      </w:r>
      <w:r w:rsidR="00EE150D">
        <w:rPr>
          <w:rStyle w:val="normaltextrun"/>
        </w:rPr>
        <w:t xml:space="preserve">substance use, and their </w:t>
      </w:r>
      <w:proofErr w:type="spellStart"/>
      <w:r w:rsidR="00EE150D">
        <w:rPr>
          <w:rStyle w:val="normaltextrun"/>
        </w:rPr>
        <w:t>carers</w:t>
      </w:r>
      <w:proofErr w:type="spellEnd"/>
      <w:r w:rsidR="00EE150D">
        <w:rPr>
          <w:rStyle w:val="normaltextrun"/>
        </w:rPr>
        <w:t xml:space="preserve">, </w:t>
      </w:r>
      <w:proofErr w:type="gramStart"/>
      <w:r w:rsidR="00EE150D">
        <w:rPr>
          <w:rStyle w:val="normaltextrun"/>
        </w:rPr>
        <w:t>families</w:t>
      </w:r>
      <w:proofErr w:type="gramEnd"/>
      <w:r w:rsidR="00EE150D">
        <w:rPr>
          <w:rStyle w:val="normaltextrun"/>
        </w:rPr>
        <w:t xml:space="preserve"> and supporters</w:t>
      </w:r>
      <w:r w:rsidRPr="00B07478">
        <w:rPr>
          <w:rStyle w:val="normaltextrun"/>
        </w:rPr>
        <w:t xml:space="preserve">. This recognition extends to the clinical and non-clinical workforces that support people with lived </w:t>
      </w:r>
      <w:r w:rsidR="000F7345">
        <w:rPr>
          <w:rStyle w:val="normaltextrun"/>
        </w:rPr>
        <w:t xml:space="preserve">and living </w:t>
      </w:r>
      <w:r w:rsidRPr="00B07478">
        <w:rPr>
          <w:rStyle w:val="normaltextrun"/>
        </w:rPr>
        <w:t>experience.</w:t>
      </w:r>
      <w:r w:rsidR="006700FF" w:rsidRPr="006700FF">
        <w:t xml:space="preserve"> </w:t>
      </w:r>
      <w:r w:rsidR="006700FF" w:rsidRPr="006700FF">
        <w:rPr>
          <w:rStyle w:val="normaltextrun"/>
        </w:rPr>
        <w:t xml:space="preserve">Thank you for working in partnership to </w:t>
      </w:r>
      <w:r w:rsidR="009B461E">
        <w:rPr>
          <w:rStyle w:val="normaltextrun"/>
        </w:rPr>
        <w:t>transform the</w:t>
      </w:r>
      <w:r w:rsidR="009B461E" w:rsidRPr="006700FF">
        <w:rPr>
          <w:rStyle w:val="normaltextrun"/>
        </w:rPr>
        <w:t xml:space="preserve"> </w:t>
      </w:r>
      <w:r w:rsidR="006700FF" w:rsidRPr="006700FF">
        <w:rPr>
          <w:rStyle w:val="normaltextrun"/>
        </w:rPr>
        <w:t>system</w:t>
      </w:r>
      <w:r w:rsidR="006700FF">
        <w:rPr>
          <w:rStyle w:val="normaltextrun"/>
        </w:rPr>
        <w:t>.</w:t>
      </w:r>
      <w:r w:rsidR="00381B2F">
        <w:br w:type="page"/>
      </w:r>
    </w:p>
    <w:p w14:paraId="3DB06C5A" w14:textId="77777777" w:rsidR="00AC0C3B" w:rsidRPr="003072C6" w:rsidRDefault="00AC0C3B" w:rsidP="00563C62">
      <w:pPr>
        <w:pStyle w:val="Body"/>
        <w:sectPr w:rsidR="00AC0C3B" w:rsidRPr="003072C6" w:rsidSect="00C51B1C">
          <w:pgSz w:w="11906" w:h="16838"/>
          <w:pgMar w:top="1701" w:right="1304" w:bottom="1134" w:left="1304" w:header="454" w:footer="567" w:gutter="0"/>
          <w:cols w:space="720"/>
          <w:docGrid w:linePitch="360"/>
        </w:sectPr>
      </w:pPr>
    </w:p>
    <w:p w14:paraId="1CB23E73" w14:textId="1EDE425D" w:rsidR="00381B2F" w:rsidRPr="0045619A" w:rsidRDefault="00381B2F" w:rsidP="00381B2F">
      <w:pPr>
        <w:pStyle w:val="Heading1"/>
        <w:rPr>
          <w:color w:val="000000" w:themeColor="text1"/>
          <w:sz w:val="22"/>
          <w:szCs w:val="22"/>
        </w:rPr>
      </w:pPr>
      <w:bookmarkStart w:id="2" w:name="_Toc52886229"/>
      <w:bookmarkStart w:id="3" w:name="_Toc118293963"/>
      <w:r>
        <w:lastRenderedPageBreak/>
        <w:t>F</w:t>
      </w:r>
      <w:r w:rsidRPr="00BF5D93">
        <w:t xml:space="preserve">oreword </w:t>
      </w:r>
      <w:r>
        <w:t xml:space="preserve">from the </w:t>
      </w:r>
      <w:r w:rsidRPr="00BF5D93">
        <w:t>Chief Psychiatrist</w:t>
      </w:r>
      <w:bookmarkEnd w:id="2"/>
      <w:bookmarkEnd w:id="3"/>
    </w:p>
    <w:p w14:paraId="45694613" w14:textId="496CE640" w:rsidR="00C17937" w:rsidRPr="00C17937" w:rsidRDefault="00C17937" w:rsidP="00064122">
      <w:pPr>
        <w:pStyle w:val="Body"/>
      </w:pPr>
      <w:bookmarkStart w:id="4" w:name="_Toc52886230"/>
      <w:r w:rsidRPr="00C17937">
        <w:t xml:space="preserve">I am pleased to present the Chief Psychiatrist’s </w:t>
      </w:r>
      <w:r w:rsidR="003D5DD3">
        <w:t>a</w:t>
      </w:r>
      <w:r w:rsidRPr="00C17937">
        <w:t xml:space="preserve">nnual </w:t>
      </w:r>
      <w:r w:rsidR="003D5DD3">
        <w:t>r</w:t>
      </w:r>
      <w:r w:rsidRPr="00C17937">
        <w:t>eport for 2021</w:t>
      </w:r>
      <w:r w:rsidR="003D5DD3">
        <w:t>–</w:t>
      </w:r>
      <w:r w:rsidRPr="00C17937">
        <w:t>22. COVID-19</w:t>
      </w:r>
      <w:r w:rsidR="00311844">
        <w:t xml:space="preserve"> </w:t>
      </w:r>
      <w:r w:rsidR="00285069">
        <w:t>continue</w:t>
      </w:r>
      <w:r w:rsidR="00D32DC6">
        <w:t>s</w:t>
      </w:r>
      <w:r w:rsidR="00285069">
        <w:t xml:space="preserve"> to</w:t>
      </w:r>
      <w:r w:rsidR="008D3331">
        <w:t xml:space="preserve"> </w:t>
      </w:r>
      <w:r w:rsidR="00480C65">
        <w:t>pose</w:t>
      </w:r>
      <w:r w:rsidR="00285069">
        <w:t xml:space="preserve"> </w:t>
      </w:r>
      <w:r w:rsidR="00663347">
        <w:t xml:space="preserve">significant </w:t>
      </w:r>
      <w:r w:rsidR="00FA71BB">
        <w:t xml:space="preserve">challenges </w:t>
      </w:r>
      <w:r w:rsidR="003D5DD3">
        <w:t>in running</w:t>
      </w:r>
      <w:r w:rsidRPr="00C17937">
        <w:t xml:space="preserve"> mental health services</w:t>
      </w:r>
      <w:r w:rsidR="0084224A">
        <w:t xml:space="preserve">. </w:t>
      </w:r>
      <w:r w:rsidR="004C64FC">
        <w:t>Despite this,</w:t>
      </w:r>
      <w:r w:rsidR="00F24C78">
        <w:t xml:space="preserve"> m</w:t>
      </w:r>
      <w:r w:rsidR="00482003">
        <w:t>y sta</w:t>
      </w:r>
      <w:r w:rsidR="003F76FA">
        <w:t>ff and I</w:t>
      </w:r>
      <w:r w:rsidRPr="00C17937">
        <w:t xml:space="preserve"> </w:t>
      </w:r>
      <w:r w:rsidR="003D5DD3">
        <w:t xml:space="preserve">are </w:t>
      </w:r>
      <w:r w:rsidR="00C9523C">
        <w:t xml:space="preserve">focused </w:t>
      </w:r>
      <w:r w:rsidR="003F76FA">
        <w:t xml:space="preserve">on </w:t>
      </w:r>
      <w:r w:rsidR="00004711">
        <w:t>provid</w:t>
      </w:r>
      <w:r w:rsidR="003F76FA">
        <w:t>ing</w:t>
      </w:r>
      <w:r w:rsidR="00CF67F8">
        <w:t xml:space="preserve"> </w:t>
      </w:r>
      <w:r w:rsidRPr="00C17937">
        <w:t>clinical leadership</w:t>
      </w:r>
      <w:r w:rsidR="00004711">
        <w:t xml:space="preserve"> and</w:t>
      </w:r>
      <w:r w:rsidRPr="00C17937">
        <w:t xml:space="preserve"> oversight </w:t>
      </w:r>
      <w:r w:rsidR="00CF67F8">
        <w:t>in Victoria’s mental health and wellbeing system</w:t>
      </w:r>
      <w:r w:rsidR="0085450D">
        <w:t xml:space="preserve"> and</w:t>
      </w:r>
      <w:r w:rsidR="001D76A9">
        <w:t xml:space="preserve"> </w:t>
      </w:r>
      <w:r w:rsidR="0085450D">
        <w:t>promot</w:t>
      </w:r>
      <w:r w:rsidR="003F76FA">
        <w:t>ing</w:t>
      </w:r>
      <w:r w:rsidR="0085450D">
        <w:t xml:space="preserve"> the rights of </w:t>
      </w:r>
      <w:r w:rsidR="00797B95">
        <w:t xml:space="preserve">people who </w:t>
      </w:r>
      <w:r w:rsidR="00DD41F7">
        <w:t xml:space="preserve">receive treatment and care </w:t>
      </w:r>
      <w:r w:rsidR="006B466C">
        <w:t>within it</w:t>
      </w:r>
      <w:r w:rsidRPr="00C17937">
        <w:t xml:space="preserve">. </w:t>
      </w:r>
      <w:r w:rsidR="000F3772">
        <w:t xml:space="preserve">The Office of the Chief Psychiatrist </w:t>
      </w:r>
      <w:r w:rsidR="00EC6273">
        <w:t xml:space="preserve">(OCP) </w:t>
      </w:r>
      <w:r w:rsidR="000F3772">
        <w:t>has</w:t>
      </w:r>
      <w:r w:rsidR="00CA76F5">
        <w:t xml:space="preserve"> be</w:t>
      </w:r>
      <w:r w:rsidR="00773546">
        <w:t xml:space="preserve">en working with the </w:t>
      </w:r>
      <w:r w:rsidRPr="00C17937">
        <w:t xml:space="preserve">sector </w:t>
      </w:r>
      <w:r w:rsidR="00C55CE9">
        <w:t xml:space="preserve">to ensure mental health and wellbeing services </w:t>
      </w:r>
      <w:r w:rsidR="00723095">
        <w:t>can operate and be</w:t>
      </w:r>
      <w:r w:rsidR="00597FAA">
        <w:t xml:space="preserve"> </w:t>
      </w:r>
      <w:r w:rsidR="00CA76F5">
        <w:t>available for</w:t>
      </w:r>
      <w:r w:rsidR="00376802">
        <w:t xml:space="preserve"> all</w:t>
      </w:r>
      <w:r w:rsidR="00CA76F5">
        <w:t xml:space="preserve"> Victorians. </w:t>
      </w:r>
      <w:r w:rsidR="00C03B74">
        <w:t>At the same time, w</w:t>
      </w:r>
      <w:r w:rsidR="00CA76F5">
        <w:t xml:space="preserve">e </w:t>
      </w:r>
      <w:r w:rsidR="0067138C">
        <w:t xml:space="preserve">have </w:t>
      </w:r>
      <w:r w:rsidR="005A523A">
        <w:t xml:space="preserve">been </w:t>
      </w:r>
      <w:r w:rsidR="00376802">
        <w:t xml:space="preserve">working with sector partners to </w:t>
      </w:r>
      <w:r w:rsidR="007E58D7">
        <w:t>build</w:t>
      </w:r>
      <w:r w:rsidRPr="00C17937">
        <w:t xml:space="preserve"> a new </w:t>
      </w:r>
      <w:r w:rsidR="00376802">
        <w:t xml:space="preserve">mental health and wellbeing </w:t>
      </w:r>
      <w:r w:rsidRPr="00C17937">
        <w:t>system</w:t>
      </w:r>
      <w:r w:rsidR="00924667">
        <w:t xml:space="preserve"> through</w:t>
      </w:r>
      <w:r w:rsidR="00064122">
        <w:t xml:space="preserve"> </w:t>
      </w:r>
      <w:r w:rsidR="00924667">
        <w:t>implement</w:t>
      </w:r>
      <w:r w:rsidR="003D5DD3">
        <w:t>ing</w:t>
      </w:r>
      <w:r w:rsidR="00924667">
        <w:t xml:space="preserve"> the </w:t>
      </w:r>
      <w:r w:rsidR="003D5DD3">
        <w:t xml:space="preserve">recommendations from the </w:t>
      </w:r>
      <w:r w:rsidR="00924667">
        <w:t>Royal Commission</w:t>
      </w:r>
      <w:r w:rsidR="003D5DD3">
        <w:t xml:space="preserve"> into Victoria’s Mental Health System</w:t>
      </w:r>
      <w:r w:rsidR="00064122">
        <w:t xml:space="preserve">, </w:t>
      </w:r>
      <w:r w:rsidR="003C27C2">
        <w:t xml:space="preserve">carrying out reforms that are strengthening </w:t>
      </w:r>
      <w:r w:rsidR="002E3B3F">
        <w:t>quality and safety</w:t>
      </w:r>
      <w:r w:rsidR="00064122">
        <w:t xml:space="preserve">, </w:t>
      </w:r>
      <w:r w:rsidR="0067138C">
        <w:t>deepen</w:t>
      </w:r>
      <w:r w:rsidR="003C27C2">
        <w:t>ing</w:t>
      </w:r>
      <w:r w:rsidR="00BB0195">
        <w:t xml:space="preserve"> human rights</w:t>
      </w:r>
      <w:r w:rsidR="00064122">
        <w:t xml:space="preserve">, and </w:t>
      </w:r>
      <w:r w:rsidR="00293714">
        <w:t xml:space="preserve">increasing the voice of </w:t>
      </w:r>
      <w:r w:rsidR="006E3228">
        <w:t>consumers</w:t>
      </w:r>
      <w:r w:rsidR="009443D0">
        <w:t xml:space="preserve"> and their </w:t>
      </w:r>
      <w:proofErr w:type="spellStart"/>
      <w:r w:rsidR="009443D0">
        <w:t>carers</w:t>
      </w:r>
      <w:proofErr w:type="spellEnd"/>
      <w:r w:rsidR="009443D0">
        <w:t xml:space="preserve">, </w:t>
      </w:r>
      <w:proofErr w:type="gramStart"/>
      <w:r w:rsidR="009443D0">
        <w:t>families</w:t>
      </w:r>
      <w:proofErr w:type="gramEnd"/>
      <w:r w:rsidR="009443D0">
        <w:t xml:space="preserve"> and supporters</w:t>
      </w:r>
      <w:r w:rsidR="0DAF5D9E">
        <w:t>.</w:t>
      </w:r>
    </w:p>
    <w:p w14:paraId="72B21400" w14:textId="68054BB8" w:rsidR="00C17937" w:rsidRPr="00C17937" w:rsidRDefault="00C17937" w:rsidP="000A7446">
      <w:pPr>
        <w:pStyle w:val="Bodyafterbullets"/>
      </w:pPr>
      <w:r>
        <w:t xml:space="preserve">Service delivery in </w:t>
      </w:r>
      <w:r w:rsidR="00A40EED">
        <w:t>a</w:t>
      </w:r>
      <w:r>
        <w:t xml:space="preserve"> reform </w:t>
      </w:r>
      <w:r w:rsidR="00A40EED">
        <w:t xml:space="preserve">environment </w:t>
      </w:r>
      <w:r w:rsidR="00D21772">
        <w:t xml:space="preserve">and pandemic comes </w:t>
      </w:r>
      <w:r w:rsidR="000751E7">
        <w:t>with a unique set of challenges.</w:t>
      </w:r>
      <w:r w:rsidR="002B4F16">
        <w:t xml:space="preserve"> On the one hand, we are</w:t>
      </w:r>
      <w:r>
        <w:t xml:space="preserve"> reshap</w:t>
      </w:r>
      <w:r w:rsidR="007B39F9">
        <w:t>ing</w:t>
      </w:r>
      <w:r>
        <w:t xml:space="preserve"> the fundamentals of </w:t>
      </w:r>
      <w:r w:rsidR="000F09A7">
        <w:t>the mental health and wellbeing system</w:t>
      </w:r>
      <w:r w:rsidR="00B66778">
        <w:t xml:space="preserve"> </w:t>
      </w:r>
      <w:r w:rsidR="00376802">
        <w:t xml:space="preserve">so that </w:t>
      </w:r>
      <w:r w:rsidR="00B66778">
        <w:t>it is</w:t>
      </w:r>
      <w:r w:rsidR="005D2BB8">
        <w:t xml:space="preserve"> </w:t>
      </w:r>
      <w:r w:rsidR="00810890">
        <w:t xml:space="preserve">contemporary, effective, </w:t>
      </w:r>
      <w:proofErr w:type="gramStart"/>
      <w:r w:rsidR="00810890">
        <w:t>compassionate</w:t>
      </w:r>
      <w:proofErr w:type="gramEnd"/>
      <w:r w:rsidR="00810890">
        <w:t xml:space="preserve"> and informed by human rights</w:t>
      </w:r>
      <w:r w:rsidR="007B39F9">
        <w:t xml:space="preserve">. On the other hand, we </w:t>
      </w:r>
      <w:r w:rsidR="00DC5CF3">
        <w:t xml:space="preserve">are </w:t>
      </w:r>
      <w:r w:rsidR="00D74294">
        <w:t xml:space="preserve">doing </w:t>
      </w:r>
      <w:r>
        <w:t xml:space="preserve">this at a moment in </w:t>
      </w:r>
      <w:r w:rsidR="00D74294">
        <w:t>time when</w:t>
      </w:r>
      <w:r>
        <w:t xml:space="preserve"> staff </w:t>
      </w:r>
      <w:r w:rsidR="003D5DD3">
        <w:t>absences</w:t>
      </w:r>
      <w:r>
        <w:t xml:space="preserve"> and sick leave are at historically high levels</w:t>
      </w:r>
      <w:r w:rsidR="0072250A">
        <w:t xml:space="preserve"> due to recurring COVID-19 outbreaks</w:t>
      </w:r>
      <w:r w:rsidR="00CA0510">
        <w:t>. S</w:t>
      </w:r>
      <w:r>
        <w:t>taff shortages</w:t>
      </w:r>
      <w:r w:rsidR="000D106E">
        <w:t xml:space="preserve"> and</w:t>
      </w:r>
      <w:r>
        <w:t xml:space="preserve"> </w:t>
      </w:r>
      <w:r w:rsidR="00E266EB">
        <w:t>high workloads</w:t>
      </w:r>
      <w:r w:rsidR="000D106E">
        <w:t xml:space="preserve"> </w:t>
      </w:r>
      <w:r w:rsidR="00207AF9">
        <w:t xml:space="preserve">can </w:t>
      </w:r>
      <w:r w:rsidR="00CD4594">
        <w:t xml:space="preserve">hamper efforts </w:t>
      </w:r>
      <w:r w:rsidR="000A7B7A">
        <w:t>to</w:t>
      </w:r>
      <w:r>
        <w:t xml:space="preserve"> keep services operational. The </w:t>
      </w:r>
      <w:r w:rsidR="00E61B86">
        <w:t>once</w:t>
      </w:r>
      <w:r w:rsidR="003D5DD3">
        <w:t>-</w:t>
      </w:r>
      <w:r w:rsidR="00E61B86">
        <w:t>in</w:t>
      </w:r>
      <w:r w:rsidR="003D5DD3">
        <w:t>-</w:t>
      </w:r>
      <w:r w:rsidR="00E61B86">
        <w:t>a</w:t>
      </w:r>
      <w:r w:rsidR="003D5DD3">
        <w:t>-</w:t>
      </w:r>
      <w:r w:rsidR="00E61B86">
        <w:t>lifetime</w:t>
      </w:r>
      <w:r>
        <w:t xml:space="preserve"> opportunity to effect change over the course of the next decade must be realised against these constraints</w:t>
      </w:r>
      <w:r w:rsidR="00BE6736">
        <w:t xml:space="preserve">. </w:t>
      </w:r>
      <w:r w:rsidR="0042145A">
        <w:t xml:space="preserve">During this </w:t>
      </w:r>
      <w:r w:rsidR="00376802">
        <w:t xml:space="preserve">challenging </w:t>
      </w:r>
      <w:r w:rsidR="0042145A">
        <w:t>period</w:t>
      </w:r>
      <w:r w:rsidR="00AE526D">
        <w:t xml:space="preserve">, </w:t>
      </w:r>
      <w:r w:rsidR="00CD4594">
        <w:t xml:space="preserve">the role of the </w:t>
      </w:r>
      <w:r w:rsidR="00EC6273">
        <w:t>OCP</w:t>
      </w:r>
      <w:r w:rsidR="0082413E">
        <w:t xml:space="preserve"> </w:t>
      </w:r>
      <w:r w:rsidR="00066CFD">
        <w:t>is</w:t>
      </w:r>
      <w:r w:rsidR="009F54AE">
        <w:t xml:space="preserve"> </w:t>
      </w:r>
      <w:r w:rsidR="00F941C4">
        <w:t>ever more</w:t>
      </w:r>
      <w:r w:rsidR="009F54AE">
        <w:t xml:space="preserve"> </w:t>
      </w:r>
      <w:r w:rsidR="00376802">
        <w:t xml:space="preserve">important </w:t>
      </w:r>
      <w:r w:rsidR="009F54AE">
        <w:t xml:space="preserve">through its support to </w:t>
      </w:r>
      <w:r w:rsidR="00912A5A">
        <w:t>the mental health workforce</w:t>
      </w:r>
      <w:r w:rsidR="00BE6736">
        <w:t xml:space="preserve"> </w:t>
      </w:r>
      <w:r w:rsidR="001E5976">
        <w:t xml:space="preserve">and </w:t>
      </w:r>
      <w:r w:rsidR="00FA2094">
        <w:t xml:space="preserve">to </w:t>
      </w:r>
      <w:r w:rsidR="001E5976">
        <w:t>consumers and carers</w:t>
      </w:r>
      <w:r w:rsidR="00066CFD">
        <w:t xml:space="preserve"> </w:t>
      </w:r>
      <w:r w:rsidR="00D42E91">
        <w:t xml:space="preserve">dealing with </w:t>
      </w:r>
      <w:r w:rsidR="006F5878">
        <w:t xml:space="preserve">interruptions </w:t>
      </w:r>
      <w:r w:rsidR="00912A5A">
        <w:t>in their daily</w:t>
      </w:r>
      <w:r w:rsidR="006F5878">
        <w:t xml:space="preserve"> lives</w:t>
      </w:r>
      <w:r w:rsidR="006B789E">
        <w:t>.</w:t>
      </w:r>
    </w:p>
    <w:p w14:paraId="34B640AF" w14:textId="3A203038" w:rsidR="00C17937" w:rsidRPr="00C17937" w:rsidRDefault="00C17937" w:rsidP="00C17937">
      <w:pPr>
        <w:pStyle w:val="Body"/>
      </w:pPr>
      <w:r w:rsidRPr="00C17937">
        <w:t>In July last year the Office of the Chief Mental Health Nurse transferred</w:t>
      </w:r>
      <w:r w:rsidR="0008146B">
        <w:t xml:space="preserve"> from the O</w:t>
      </w:r>
      <w:r w:rsidR="00EC6273">
        <w:t xml:space="preserve">CP </w:t>
      </w:r>
      <w:r w:rsidRPr="00C17937">
        <w:t>to Safer Care Victoria</w:t>
      </w:r>
      <w:r w:rsidR="003D5DD3">
        <w:t>. There,</w:t>
      </w:r>
      <w:r w:rsidRPr="00C17937">
        <w:t xml:space="preserve"> it continue</w:t>
      </w:r>
      <w:r w:rsidR="0000705B">
        <w:t>s</w:t>
      </w:r>
      <w:r w:rsidRPr="00C17937">
        <w:t xml:space="preserve"> its </w:t>
      </w:r>
      <w:r w:rsidR="00EF7D57">
        <w:t>education and training</w:t>
      </w:r>
      <w:r w:rsidRPr="00C17937">
        <w:t xml:space="preserve"> </w:t>
      </w:r>
      <w:r w:rsidR="001E0ABC">
        <w:t xml:space="preserve">activities to improve </w:t>
      </w:r>
      <w:r w:rsidR="00EE62F3">
        <w:t>quality and safety</w:t>
      </w:r>
      <w:r w:rsidRPr="00C17937">
        <w:t xml:space="preserve"> and support</w:t>
      </w:r>
      <w:r w:rsidR="00570E82">
        <w:t>s</w:t>
      </w:r>
      <w:r w:rsidRPr="00C17937">
        <w:t xml:space="preserve"> the </w:t>
      </w:r>
      <w:r w:rsidR="00570E82">
        <w:t>newly established</w:t>
      </w:r>
      <w:r w:rsidRPr="00C17937">
        <w:t xml:space="preserve"> Mental Health Improvement Unit</w:t>
      </w:r>
      <w:r w:rsidR="00BA7CD0">
        <w:t xml:space="preserve">. This change is </w:t>
      </w:r>
      <w:r w:rsidR="00376802">
        <w:t xml:space="preserve">one </w:t>
      </w:r>
      <w:r w:rsidRPr="00C17937">
        <w:t xml:space="preserve">of the Royal Commission’s recommendations for a new mental health governance architecture. </w:t>
      </w:r>
      <w:r w:rsidR="00DC6D42">
        <w:t xml:space="preserve">The lived experience staff </w:t>
      </w:r>
      <w:r w:rsidR="003F706A">
        <w:t xml:space="preserve">who were a part of this move continued to </w:t>
      </w:r>
      <w:r w:rsidR="00DB0059">
        <w:t>provide input in</w:t>
      </w:r>
      <w:r w:rsidR="001D76A9">
        <w:t>to</w:t>
      </w:r>
      <w:r w:rsidR="00DB0059">
        <w:t xml:space="preserve"> the work of my office</w:t>
      </w:r>
      <w:r w:rsidR="003B2195">
        <w:t>, doing so</w:t>
      </w:r>
      <w:r w:rsidR="00DB0059">
        <w:t xml:space="preserve"> until the Lived Experience </w:t>
      </w:r>
      <w:r w:rsidR="00376802">
        <w:t xml:space="preserve">Branch </w:t>
      </w:r>
      <w:r w:rsidR="00DB0059">
        <w:t xml:space="preserve">was </w:t>
      </w:r>
      <w:r w:rsidR="00BD3EDE">
        <w:t xml:space="preserve">set </w:t>
      </w:r>
      <w:r w:rsidR="00DB0059">
        <w:t>up in the Mental Health and Wellbeing Division</w:t>
      </w:r>
      <w:r w:rsidR="003B2195">
        <w:t xml:space="preserve">. I </w:t>
      </w:r>
      <w:r w:rsidR="00C13538">
        <w:t xml:space="preserve">am grateful for their availability to support us in this way. </w:t>
      </w:r>
      <w:r w:rsidR="00C56757">
        <w:t xml:space="preserve">The </w:t>
      </w:r>
      <w:r w:rsidR="00EC6273">
        <w:t>OCP</w:t>
      </w:r>
      <w:r w:rsidRPr="00C17937">
        <w:t xml:space="preserve"> continue</w:t>
      </w:r>
      <w:r w:rsidR="00C56757">
        <w:t>s</w:t>
      </w:r>
      <w:r w:rsidRPr="00C17937">
        <w:t xml:space="preserve"> to work close</w:t>
      </w:r>
      <w:r w:rsidR="00BD3EDE">
        <w:t>ly</w:t>
      </w:r>
      <w:r w:rsidRPr="00C17937">
        <w:t xml:space="preserve"> with the Office of the Chief Mental Health Nurse in all the areas of responsibility that we share to ensure high</w:t>
      </w:r>
      <w:r w:rsidR="00BD3EDE">
        <w:t>-</w:t>
      </w:r>
      <w:r w:rsidRPr="00C17937">
        <w:t>quality and safe service delivery across Victoria.</w:t>
      </w:r>
    </w:p>
    <w:p w14:paraId="4EDC36A4" w14:textId="4F089A81" w:rsidR="00C17937" w:rsidRPr="00C17937" w:rsidRDefault="00C17937" w:rsidP="00C17937">
      <w:pPr>
        <w:pStyle w:val="Body"/>
      </w:pPr>
      <w:r w:rsidRPr="00C17937">
        <w:t xml:space="preserve">The implementation of this Royal Commission recommendation was a timely opportunity to restructure my office </w:t>
      </w:r>
      <w:r w:rsidR="00A64934">
        <w:t>and</w:t>
      </w:r>
      <w:r w:rsidRPr="00C17937">
        <w:t xml:space="preserve"> prepare it for the future. There are now two broad teams with specialised functions that </w:t>
      </w:r>
      <w:r w:rsidR="00376802">
        <w:t xml:space="preserve">make up </w:t>
      </w:r>
      <w:r w:rsidRPr="00C17937">
        <w:t xml:space="preserve">the OCP. One team carries out </w:t>
      </w:r>
      <w:r w:rsidR="0054576D">
        <w:t xml:space="preserve">clinical </w:t>
      </w:r>
      <w:r w:rsidR="0068575C">
        <w:t>service</w:t>
      </w:r>
      <w:r w:rsidR="0013080B">
        <w:t xml:space="preserve"> and consumer </w:t>
      </w:r>
      <w:r w:rsidR="00E57106">
        <w:t>support</w:t>
      </w:r>
      <w:r w:rsidR="00BD3EDE">
        <w:t xml:space="preserve"> tasks.</w:t>
      </w:r>
      <w:r w:rsidRPr="00C17937">
        <w:t xml:space="preserve"> The other team carries out</w:t>
      </w:r>
      <w:r w:rsidR="004D3908">
        <w:t xml:space="preserve"> tasks focus</w:t>
      </w:r>
      <w:r w:rsidR="00BD3EDE">
        <w:t>ing</w:t>
      </w:r>
      <w:r w:rsidR="004D3908">
        <w:t xml:space="preserve"> on</w:t>
      </w:r>
      <w:r w:rsidR="005D54E2">
        <w:t xml:space="preserve"> </w:t>
      </w:r>
      <w:r w:rsidR="00E0603C">
        <w:t>reform</w:t>
      </w:r>
      <w:r w:rsidR="00C158DD">
        <w:t xml:space="preserve"> and project</w:t>
      </w:r>
      <w:r w:rsidR="004D3908">
        <w:t xml:space="preserve"> management</w:t>
      </w:r>
      <w:r w:rsidR="00BD3EDE">
        <w:t>.</w:t>
      </w:r>
    </w:p>
    <w:p w14:paraId="4EDE7716" w14:textId="3A248102" w:rsidR="00C17937" w:rsidRPr="00C17937" w:rsidRDefault="001B094C" w:rsidP="0000274D">
      <w:pPr>
        <w:pStyle w:val="Body"/>
      </w:pPr>
      <w:r>
        <w:t xml:space="preserve">The </w:t>
      </w:r>
      <w:r w:rsidR="00C17937" w:rsidRPr="00C17937">
        <w:t xml:space="preserve">secondment of </w:t>
      </w:r>
      <w:r w:rsidR="005F2783">
        <w:t>mental health professionals</w:t>
      </w:r>
      <w:r w:rsidR="00AF0F6E">
        <w:t xml:space="preserve"> from other workplaces </w:t>
      </w:r>
      <w:r w:rsidR="00BC30A9">
        <w:t>play</w:t>
      </w:r>
      <w:r w:rsidR="00D118C8">
        <w:t>s</w:t>
      </w:r>
      <w:r w:rsidR="00BC30A9">
        <w:t xml:space="preserve"> an important part in </w:t>
      </w:r>
      <w:r w:rsidR="00182070">
        <w:t xml:space="preserve">equipping </w:t>
      </w:r>
      <w:r w:rsidR="00AC7C4C">
        <w:t xml:space="preserve">the </w:t>
      </w:r>
      <w:r w:rsidR="007A5400">
        <w:t>OCP</w:t>
      </w:r>
      <w:r w:rsidR="00E0494E">
        <w:t xml:space="preserve"> </w:t>
      </w:r>
      <w:r w:rsidR="002F73FF">
        <w:t>to</w:t>
      </w:r>
      <w:r w:rsidR="009426B1">
        <w:t xml:space="preserve"> carry out </w:t>
      </w:r>
      <w:r w:rsidR="00F655FE">
        <w:t xml:space="preserve">its core </w:t>
      </w:r>
      <w:r w:rsidR="00072254">
        <w:t>functions</w:t>
      </w:r>
      <w:r w:rsidR="00F655FE">
        <w:t xml:space="preserve">. </w:t>
      </w:r>
      <w:r w:rsidR="00C17937" w:rsidRPr="00C17937">
        <w:t xml:space="preserve">I offer my thanks to the various services that permit and encourage their employees to </w:t>
      </w:r>
      <w:r w:rsidR="007A5400">
        <w:t xml:space="preserve">work with </w:t>
      </w:r>
      <w:r w:rsidR="00BE7960">
        <w:t xml:space="preserve">my </w:t>
      </w:r>
      <w:r w:rsidR="007E46FF">
        <w:t>team</w:t>
      </w:r>
      <w:r w:rsidR="00C17937" w:rsidRPr="00C17937">
        <w:t xml:space="preserve">. </w:t>
      </w:r>
      <w:r w:rsidR="00410EBB">
        <w:t>Such</w:t>
      </w:r>
      <w:r w:rsidR="003170F4">
        <w:t xml:space="preserve"> secondments</w:t>
      </w:r>
      <w:r w:rsidR="00410EBB">
        <w:t xml:space="preserve"> are a </w:t>
      </w:r>
      <w:r w:rsidR="001D5327">
        <w:t>v</w:t>
      </w:r>
      <w:r w:rsidR="00DF0253">
        <w:t>ehicle</w:t>
      </w:r>
      <w:r w:rsidR="00184427">
        <w:t xml:space="preserve"> for knowledge exchange</w:t>
      </w:r>
      <w:r w:rsidR="00BD1497">
        <w:t xml:space="preserve">, bringing </w:t>
      </w:r>
      <w:r w:rsidR="00B67340">
        <w:t>people with different clinical backgrounds</w:t>
      </w:r>
      <w:r w:rsidR="00D41602">
        <w:t xml:space="preserve"> to my office</w:t>
      </w:r>
      <w:r w:rsidR="00270B64">
        <w:t xml:space="preserve"> and </w:t>
      </w:r>
      <w:r w:rsidR="00184427">
        <w:t xml:space="preserve">allowing </w:t>
      </w:r>
      <w:r w:rsidR="00AE3485">
        <w:t>me and my staff</w:t>
      </w:r>
      <w:r w:rsidR="00FE1C24">
        <w:t xml:space="preserve"> to </w:t>
      </w:r>
      <w:r w:rsidR="00F80A77">
        <w:t xml:space="preserve">keep up </w:t>
      </w:r>
      <w:r w:rsidR="00621856">
        <w:t xml:space="preserve">with </w:t>
      </w:r>
      <w:r w:rsidR="00D81332">
        <w:t>new developments</w:t>
      </w:r>
      <w:r w:rsidR="00A81968">
        <w:t xml:space="preserve"> </w:t>
      </w:r>
      <w:r w:rsidR="00843BBE">
        <w:t>across multiple clinical disciplines</w:t>
      </w:r>
      <w:r w:rsidR="007B62BC">
        <w:t xml:space="preserve">. </w:t>
      </w:r>
      <w:r w:rsidR="0029515F">
        <w:t>Th</w:t>
      </w:r>
      <w:r w:rsidR="00A0517D">
        <w:t xml:space="preserve">is arrangement </w:t>
      </w:r>
      <w:r w:rsidR="00656EED">
        <w:t xml:space="preserve">also </w:t>
      </w:r>
      <w:r w:rsidR="00486089">
        <w:t>strengthen</w:t>
      </w:r>
      <w:r w:rsidR="008E31ED">
        <w:t>s</w:t>
      </w:r>
      <w:r w:rsidR="00486089">
        <w:t xml:space="preserve"> the ties </w:t>
      </w:r>
      <w:r w:rsidR="00BC464F">
        <w:t xml:space="preserve">between </w:t>
      </w:r>
      <w:r w:rsidR="00486089">
        <w:t xml:space="preserve">my office </w:t>
      </w:r>
      <w:r w:rsidR="00277EE7">
        <w:t>and mental health</w:t>
      </w:r>
      <w:r w:rsidR="00486089">
        <w:t xml:space="preserve"> </w:t>
      </w:r>
      <w:r w:rsidR="00CC16CD">
        <w:t>services</w:t>
      </w:r>
      <w:r w:rsidR="00486089">
        <w:t xml:space="preserve">, all of which </w:t>
      </w:r>
      <w:r w:rsidR="00DC307B">
        <w:t>leads to better</w:t>
      </w:r>
      <w:r w:rsidR="003904D5">
        <w:t xml:space="preserve"> </w:t>
      </w:r>
      <w:r w:rsidR="00EE44CF">
        <w:t xml:space="preserve">oversight </w:t>
      </w:r>
      <w:r w:rsidR="004A6C3F">
        <w:t xml:space="preserve">and </w:t>
      </w:r>
      <w:r w:rsidR="00B71424">
        <w:t xml:space="preserve">more effective improvements in </w:t>
      </w:r>
      <w:r w:rsidR="00C17937" w:rsidRPr="00C17937">
        <w:t>quality and safety</w:t>
      </w:r>
      <w:r w:rsidR="008911C8">
        <w:t xml:space="preserve"> by allowing us to better understand what is happening on the ground</w:t>
      </w:r>
      <w:r w:rsidR="00C17937" w:rsidRPr="00C17937">
        <w:t>.</w:t>
      </w:r>
    </w:p>
    <w:p w14:paraId="478B5EE2" w14:textId="6CD0B1E3" w:rsidR="00C17937" w:rsidRPr="00C17937" w:rsidRDefault="00C17937" w:rsidP="00C17937">
      <w:pPr>
        <w:pStyle w:val="Body"/>
      </w:pPr>
      <w:r>
        <w:t xml:space="preserve">I would like to thank the many people from across the mental health and wellbeing sector who </w:t>
      </w:r>
      <w:r w:rsidR="007A5400">
        <w:t xml:space="preserve">take part </w:t>
      </w:r>
      <w:r>
        <w:t>in the committees and working parties I convene.</w:t>
      </w:r>
      <w:r w:rsidR="00100EFE">
        <w:t xml:space="preserve"> </w:t>
      </w:r>
      <w:r>
        <w:t xml:space="preserve">This engagement allows us to </w:t>
      </w:r>
      <w:r w:rsidR="00C64267">
        <w:t>address</w:t>
      </w:r>
      <w:r>
        <w:t xml:space="preserve"> issues</w:t>
      </w:r>
      <w:r w:rsidR="003B550F">
        <w:t xml:space="preserve"> </w:t>
      </w:r>
      <w:r w:rsidR="003B550F">
        <w:lastRenderedPageBreak/>
        <w:t>with services</w:t>
      </w:r>
      <w:r>
        <w:t xml:space="preserve"> jointly and at </w:t>
      </w:r>
      <w:r w:rsidR="007A5400">
        <w:t>the</w:t>
      </w:r>
      <w:r>
        <w:t xml:space="preserve"> systemic level</w:t>
      </w:r>
      <w:r w:rsidR="003B550F">
        <w:t xml:space="preserve">, leading to </w:t>
      </w:r>
      <w:r w:rsidR="00D06DA5">
        <w:t>better outcomes</w:t>
      </w:r>
      <w:r>
        <w:t xml:space="preserve">. </w:t>
      </w:r>
      <w:r w:rsidR="00192CCA">
        <w:t xml:space="preserve">In these settings, </w:t>
      </w:r>
      <w:r>
        <w:t xml:space="preserve">I enjoy the support of senior leaders and clinicians, those with lived and living experience (both as consumers and carers), union and workforce representatives, and academics. These people work across four statutory and non-statutory Chief Psychiatrist committees (which include committees monitoring </w:t>
      </w:r>
      <w:r w:rsidR="005E554A">
        <w:t>e</w:t>
      </w:r>
      <w:r>
        <w:t>lectroconvulsive</w:t>
      </w:r>
      <w:r w:rsidR="004065AD">
        <w:t xml:space="preserve"> treatment a</w:t>
      </w:r>
      <w:r w:rsidR="009C03CA">
        <w:t xml:space="preserve">nd </w:t>
      </w:r>
      <w:r w:rsidR="00D2110C">
        <w:t>neurostimulation therapies</w:t>
      </w:r>
      <w:r>
        <w:t xml:space="preserve">, </w:t>
      </w:r>
      <w:r w:rsidR="005E554A">
        <w:t>m</w:t>
      </w:r>
      <w:r>
        <w:t xml:space="preserve">orbidity and </w:t>
      </w:r>
      <w:r w:rsidR="005E554A">
        <w:t>m</w:t>
      </w:r>
      <w:r>
        <w:t xml:space="preserve">ortality, </w:t>
      </w:r>
      <w:r w:rsidR="005E554A">
        <w:t>r</w:t>
      </w:r>
      <w:r>
        <w:t xml:space="preserve">estrictive </w:t>
      </w:r>
      <w:r w:rsidR="005E554A">
        <w:t>i</w:t>
      </w:r>
      <w:r>
        <w:t xml:space="preserve">nterventions, and </w:t>
      </w:r>
      <w:r w:rsidR="005E554A">
        <w:t>n</w:t>
      </w:r>
      <w:r>
        <w:t xml:space="preserve">otifications of </w:t>
      </w:r>
      <w:r w:rsidR="005E554A">
        <w:t>s</w:t>
      </w:r>
      <w:r>
        <w:t xml:space="preserve">exual </w:t>
      </w:r>
      <w:r w:rsidR="005E554A">
        <w:t>s</w:t>
      </w:r>
      <w:r>
        <w:t xml:space="preserve">afety </w:t>
      </w:r>
      <w:r w:rsidR="005E554A">
        <w:t>i</w:t>
      </w:r>
      <w:r>
        <w:t>ncidents). There are also many other people involved in leadership and sector forums and gatherings that support this work</w:t>
      </w:r>
      <w:r w:rsidR="00F4613B">
        <w:t xml:space="preserve">. </w:t>
      </w:r>
      <w:r w:rsidR="00A1722B">
        <w:t>They are too</w:t>
      </w:r>
      <w:r w:rsidR="000E03F1">
        <w:t xml:space="preserve"> numer</w:t>
      </w:r>
      <w:r w:rsidR="00A1722B">
        <w:t xml:space="preserve">ous to </w:t>
      </w:r>
      <w:r w:rsidR="007C327D">
        <w:t>mention</w:t>
      </w:r>
      <w:r w:rsidR="00A1722B">
        <w:t xml:space="preserve"> here. However, </w:t>
      </w:r>
      <w:r>
        <w:t>I am grateful for their generosity</w:t>
      </w:r>
      <w:r w:rsidR="00A92CA7">
        <w:t xml:space="preserve">, </w:t>
      </w:r>
      <w:proofErr w:type="gramStart"/>
      <w:r w:rsidR="00A92CA7">
        <w:t>passion</w:t>
      </w:r>
      <w:proofErr w:type="gramEnd"/>
      <w:r>
        <w:t xml:space="preserve"> and effort</w:t>
      </w:r>
      <w:r w:rsidR="00A92CA7">
        <w:t xml:space="preserve"> </w:t>
      </w:r>
      <w:r>
        <w:t xml:space="preserve">in </w:t>
      </w:r>
      <w:r w:rsidR="00B164C3">
        <w:t>working with me to</w:t>
      </w:r>
      <w:r w:rsidR="00725DFC">
        <w:t xml:space="preserve"> </w:t>
      </w:r>
      <w:r w:rsidR="00B96BC1">
        <w:t>ensure the principles of the</w:t>
      </w:r>
      <w:r w:rsidR="001A2771">
        <w:t xml:space="preserve"> </w:t>
      </w:r>
      <w:r w:rsidR="001A2771" w:rsidRPr="004065AD">
        <w:rPr>
          <w:i/>
          <w:iCs/>
        </w:rPr>
        <w:t>Mental Health Act</w:t>
      </w:r>
      <w:r w:rsidR="007A5400">
        <w:rPr>
          <w:i/>
          <w:iCs/>
        </w:rPr>
        <w:t xml:space="preserve"> 2014</w:t>
      </w:r>
      <w:r w:rsidR="001A2771">
        <w:t xml:space="preserve"> and Chief Psychiatrist’s guidelines</w:t>
      </w:r>
      <w:r w:rsidR="003D4308">
        <w:t xml:space="preserve"> </w:t>
      </w:r>
      <w:r w:rsidR="00B96BC1">
        <w:t>are adhered to</w:t>
      </w:r>
      <w:r>
        <w:t>.</w:t>
      </w:r>
    </w:p>
    <w:p w14:paraId="48C3E06A" w14:textId="36B1D12D" w:rsidR="00C17937" w:rsidRPr="00C17937" w:rsidRDefault="00C17937" w:rsidP="00C17937">
      <w:pPr>
        <w:pStyle w:val="Body"/>
      </w:pPr>
      <w:r w:rsidRPr="00C17937">
        <w:t xml:space="preserve">Two significant </w:t>
      </w:r>
      <w:r w:rsidR="00C152B2">
        <w:t>projects</w:t>
      </w:r>
      <w:r w:rsidRPr="00C17937">
        <w:t xml:space="preserve"> prioritised over the course of this year </w:t>
      </w:r>
      <w:r w:rsidR="00DD4DA6">
        <w:t xml:space="preserve">relate to </w:t>
      </w:r>
      <w:r w:rsidRPr="00C17937">
        <w:t>notifications of sexual safety incidents and eliminati</w:t>
      </w:r>
      <w:r w:rsidR="00972DFD">
        <w:t>ng</w:t>
      </w:r>
      <w:r w:rsidRPr="00C17937">
        <w:t xml:space="preserve"> restrictive practices</w:t>
      </w:r>
      <w:r w:rsidR="001263E3">
        <w:t xml:space="preserve">, </w:t>
      </w:r>
      <w:r w:rsidRPr="00C17937">
        <w:t xml:space="preserve">both </w:t>
      </w:r>
      <w:r w:rsidR="00A37965">
        <w:t xml:space="preserve">arising from </w:t>
      </w:r>
      <w:r w:rsidRPr="00C17937">
        <w:t xml:space="preserve">Royal Commission </w:t>
      </w:r>
      <w:r w:rsidR="00650A9C">
        <w:t>recommendations</w:t>
      </w:r>
      <w:r w:rsidRPr="00C17937">
        <w:t>.</w:t>
      </w:r>
      <w:r w:rsidR="00F04431">
        <w:t xml:space="preserve"> </w:t>
      </w:r>
      <w:r w:rsidR="00C152B2">
        <w:t>Through this work, w</w:t>
      </w:r>
      <w:r w:rsidRPr="00C17937">
        <w:t xml:space="preserve">e </w:t>
      </w:r>
      <w:r w:rsidR="00972DFD">
        <w:t xml:space="preserve">aim </w:t>
      </w:r>
      <w:r w:rsidRPr="00C17937">
        <w:t xml:space="preserve">to </w:t>
      </w:r>
      <w:r w:rsidR="00FA6924">
        <w:t>improve</w:t>
      </w:r>
      <w:r w:rsidRPr="00C17937">
        <w:t xml:space="preserve"> reporting systems with </w:t>
      </w:r>
      <w:r w:rsidR="00D73250">
        <w:t xml:space="preserve">the goal of </w:t>
      </w:r>
      <w:r w:rsidR="00650A9C">
        <w:t xml:space="preserve">avoiding </w:t>
      </w:r>
      <w:r w:rsidRPr="00C17937">
        <w:t xml:space="preserve">duplication and </w:t>
      </w:r>
      <w:r w:rsidR="00FA5271">
        <w:t xml:space="preserve">reducing the administrative burden </w:t>
      </w:r>
      <w:r w:rsidR="00CC5A64">
        <w:t xml:space="preserve">on </w:t>
      </w:r>
      <w:r w:rsidR="00E141B4">
        <w:t>clinicians</w:t>
      </w:r>
      <w:r w:rsidRPr="00C17937">
        <w:t>. We have also been examining the accuracy and consistency of data</w:t>
      </w:r>
      <w:r w:rsidR="00622D1C">
        <w:t xml:space="preserve">. This work will be vital to </w:t>
      </w:r>
      <w:r w:rsidR="00BB193B">
        <w:t xml:space="preserve">strengthening how services are monitored </w:t>
      </w:r>
      <w:r w:rsidR="00916BD7">
        <w:t xml:space="preserve">and improving the </w:t>
      </w:r>
      <w:r w:rsidRPr="00C17937">
        <w:t>experience</w:t>
      </w:r>
      <w:r w:rsidR="00916BD7">
        <w:t xml:space="preserve"> of people who </w:t>
      </w:r>
      <w:r w:rsidR="00002F86">
        <w:t>receive treatment and care within them</w:t>
      </w:r>
      <w:r w:rsidRPr="00C17937">
        <w:t>.</w:t>
      </w:r>
    </w:p>
    <w:p w14:paraId="1D8513F5" w14:textId="255BCE52" w:rsidR="00C17937" w:rsidRPr="00C17937" w:rsidRDefault="001242D7" w:rsidP="00C17937">
      <w:pPr>
        <w:pStyle w:val="Body"/>
      </w:pPr>
      <w:r>
        <w:t xml:space="preserve">My </w:t>
      </w:r>
      <w:r w:rsidR="00C17937" w:rsidRPr="00C17937">
        <w:t xml:space="preserve">office has been working with colleagues across </w:t>
      </w:r>
      <w:r w:rsidR="007B652F">
        <w:t xml:space="preserve">the Mental Health and Wellbeing Division </w:t>
      </w:r>
      <w:r w:rsidR="00C17937" w:rsidRPr="00C17937">
        <w:t xml:space="preserve">and Safer Care Victoria to </w:t>
      </w:r>
      <w:r w:rsidR="003E7B47">
        <w:t xml:space="preserve">develop </w:t>
      </w:r>
      <w:r w:rsidR="00C17937" w:rsidRPr="00C17937">
        <w:t>polic</w:t>
      </w:r>
      <w:r w:rsidR="003E7B47">
        <w:t>ies</w:t>
      </w:r>
      <w:r w:rsidR="00C17937" w:rsidRPr="00C17937">
        <w:t xml:space="preserve"> and guidelines </w:t>
      </w:r>
      <w:r w:rsidR="00A449DD">
        <w:t>to eliminate restrictive practices</w:t>
      </w:r>
      <w:r>
        <w:t xml:space="preserve"> in the next 10 years</w:t>
      </w:r>
      <w:r w:rsidR="00C17937" w:rsidRPr="00C17937">
        <w:t>. Restrictive practices</w:t>
      </w:r>
      <w:r w:rsidR="002B4F59">
        <w:t xml:space="preserve"> have a</w:t>
      </w:r>
      <w:r w:rsidR="00C17937" w:rsidRPr="00C17937">
        <w:t xml:space="preserve"> profound</w:t>
      </w:r>
      <w:r w:rsidR="002B4F59">
        <w:t>ly negative</w:t>
      </w:r>
      <w:r w:rsidR="00C17937" w:rsidRPr="00C17937">
        <w:t xml:space="preserve"> impact on</w:t>
      </w:r>
      <w:r w:rsidR="004C67CE">
        <w:t xml:space="preserve"> people</w:t>
      </w:r>
      <w:r w:rsidR="00993AFE">
        <w:t xml:space="preserve">, making </w:t>
      </w:r>
      <w:r w:rsidR="005A683E">
        <w:t>their reduction and eventual elimination</w:t>
      </w:r>
      <w:r w:rsidR="00805AD4">
        <w:t xml:space="preserve"> a </w:t>
      </w:r>
      <w:r w:rsidR="007B652F">
        <w:t>special</w:t>
      </w:r>
      <w:r w:rsidR="00A06729">
        <w:t xml:space="preserve"> area of concern for us</w:t>
      </w:r>
      <w:r w:rsidR="00C17937" w:rsidRPr="00C17937">
        <w:t xml:space="preserve">. As we </w:t>
      </w:r>
      <w:r w:rsidR="00CA29EA">
        <w:t xml:space="preserve">proceed with this </w:t>
      </w:r>
      <w:r w:rsidR="004F21D6">
        <w:t>initiative</w:t>
      </w:r>
      <w:r w:rsidR="00642099">
        <w:t xml:space="preserve">, </w:t>
      </w:r>
      <w:r w:rsidR="00C17937" w:rsidRPr="00C17937">
        <w:t xml:space="preserve">we </w:t>
      </w:r>
      <w:r w:rsidR="00716533">
        <w:t xml:space="preserve">are </w:t>
      </w:r>
      <w:r w:rsidR="00C17937" w:rsidRPr="00C17937">
        <w:t>striv</w:t>
      </w:r>
      <w:r w:rsidR="00716533">
        <w:t>ing</w:t>
      </w:r>
      <w:r w:rsidR="00C17937" w:rsidRPr="00C17937">
        <w:t xml:space="preserve"> </w:t>
      </w:r>
      <w:r w:rsidR="00716533">
        <w:t xml:space="preserve">to </w:t>
      </w:r>
      <w:r w:rsidR="0050315A">
        <w:t xml:space="preserve">instil </w:t>
      </w:r>
      <w:r w:rsidR="00C17937" w:rsidRPr="00C17937">
        <w:t xml:space="preserve">practice </w:t>
      </w:r>
      <w:r w:rsidR="006E0FD7">
        <w:t>that</w:t>
      </w:r>
      <w:r w:rsidR="00C17937" w:rsidRPr="00C17937">
        <w:t xml:space="preserve"> is humane</w:t>
      </w:r>
      <w:r w:rsidR="003B4E04">
        <w:t>,</w:t>
      </w:r>
      <w:r w:rsidR="00C17937" w:rsidRPr="00C17937">
        <w:t xml:space="preserve"> </w:t>
      </w:r>
      <w:r w:rsidR="00626316">
        <w:t>dignified</w:t>
      </w:r>
      <w:r w:rsidR="00F05CFE">
        <w:t xml:space="preserve"> </w:t>
      </w:r>
      <w:r w:rsidR="003B4E04">
        <w:t xml:space="preserve">and ensures </w:t>
      </w:r>
      <w:r w:rsidR="00AA41ED">
        <w:t>the safety of consumers and staff</w:t>
      </w:r>
      <w:r w:rsidR="00C17937" w:rsidRPr="00C17937">
        <w:t>.</w:t>
      </w:r>
    </w:p>
    <w:p w14:paraId="155B627E" w14:textId="6FF7C5B5" w:rsidR="00C17937" w:rsidRPr="00C17937" w:rsidRDefault="00C17937" w:rsidP="00C17937">
      <w:pPr>
        <w:pStyle w:val="Body"/>
      </w:pPr>
      <w:r w:rsidRPr="00C17937">
        <w:t xml:space="preserve">At the time of writing this report, the </w:t>
      </w:r>
      <w:r w:rsidRPr="00EE5EDC">
        <w:t xml:space="preserve">Mental Health and Wellbeing </w:t>
      </w:r>
      <w:r w:rsidR="00376802" w:rsidRPr="00EE5EDC">
        <w:t>Bill</w:t>
      </w:r>
      <w:r w:rsidR="008D52BB">
        <w:t xml:space="preserve"> </w:t>
      </w:r>
      <w:r w:rsidRPr="00C17937">
        <w:t>was passed</w:t>
      </w:r>
      <w:r w:rsidR="00376802">
        <w:t xml:space="preserve"> in the Victorian Parliament</w:t>
      </w:r>
      <w:r w:rsidR="008D52BB">
        <w:t xml:space="preserve">, becoming the </w:t>
      </w:r>
      <w:r w:rsidR="008D52BB" w:rsidRPr="00EE5EDC">
        <w:rPr>
          <w:i/>
          <w:iCs/>
        </w:rPr>
        <w:t>Mental Health and Wellbeing Act 2022</w:t>
      </w:r>
      <w:r w:rsidR="006A4430">
        <w:t>.</w:t>
      </w:r>
      <w:r w:rsidRPr="00C17937">
        <w:t xml:space="preserve"> This </w:t>
      </w:r>
      <w:r w:rsidR="00CD1508">
        <w:t>marked</w:t>
      </w:r>
      <w:r w:rsidR="003A214C">
        <w:t xml:space="preserve"> a </w:t>
      </w:r>
      <w:r w:rsidR="00E57222">
        <w:t>significant</w:t>
      </w:r>
      <w:r w:rsidR="003A214C">
        <w:t xml:space="preserve"> </w:t>
      </w:r>
      <w:r w:rsidR="00827FB3">
        <w:t xml:space="preserve">milestone in the </w:t>
      </w:r>
      <w:r w:rsidR="00CD1508">
        <w:t xml:space="preserve">Royal Commission </w:t>
      </w:r>
      <w:r w:rsidR="00827FB3">
        <w:t>reform process</w:t>
      </w:r>
      <w:r w:rsidR="00A43DF0">
        <w:t xml:space="preserve">, </w:t>
      </w:r>
      <w:r w:rsidR="00471022">
        <w:t xml:space="preserve">consolidating into law the foundations of the </w:t>
      </w:r>
      <w:r w:rsidR="00AF6917">
        <w:t>future</w:t>
      </w:r>
      <w:r w:rsidR="00471022">
        <w:t xml:space="preserve"> system</w:t>
      </w:r>
      <w:r w:rsidR="006A5FB8">
        <w:t xml:space="preserve">. From the vantage point of my role, the </w:t>
      </w:r>
      <w:r w:rsidR="00E96D53">
        <w:t>new</w:t>
      </w:r>
      <w:r w:rsidR="006A5FB8">
        <w:t xml:space="preserve"> </w:t>
      </w:r>
      <w:r w:rsidRPr="00C17937">
        <w:t xml:space="preserve">Act will expand my responsibilities to </w:t>
      </w:r>
      <w:r w:rsidR="007E088B">
        <w:t>include</w:t>
      </w:r>
      <w:r w:rsidRPr="00C17937">
        <w:t xml:space="preserve"> mental health care delivered in custodial and community</w:t>
      </w:r>
      <w:r w:rsidR="00022FDB">
        <w:t xml:space="preserve"> settings</w:t>
      </w:r>
      <w:r w:rsidRPr="00C17937">
        <w:t xml:space="preserve">. My office is already </w:t>
      </w:r>
      <w:r w:rsidR="00A97475">
        <w:t>deeply</w:t>
      </w:r>
      <w:r w:rsidRPr="00C17937">
        <w:t xml:space="preserve"> engaged with colleagues </w:t>
      </w:r>
      <w:r w:rsidR="00A97475">
        <w:t>from</w:t>
      </w:r>
      <w:r w:rsidRPr="00C17937">
        <w:t xml:space="preserve"> the Department of Justice and Community Safety</w:t>
      </w:r>
      <w:r w:rsidR="000E75B8">
        <w:t xml:space="preserve"> on this area of reform</w:t>
      </w:r>
      <w:r w:rsidRPr="00C17937">
        <w:t xml:space="preserve">, exploring ways </w:t>
      </w:r>
      <w:r w:rsidR="007E088B">
        <w:t>to</w:t>
      </w:r>
      <w:r w:rsidRPr="00C17937">
        <w:t xml:space="preserve"> improve service delivery in </w:t>
      </w:r>
      <w:r w:rsidR="00225876">
        <w:t xml:space="preserve">custodial settings </w:t>
      </w:r>
      <w:r w:rsidR="00837471">
        <w:t xml:space="preserve">and </w:t>
      </w:r>
      <w:r w:rsidR="000D2D5C">
        <w:t>attain</w:t>
      </w:r>
      <w:r w:rsidR="003335C7">
        <w:t xml:space="preserve"> the same</w:t>
      </w:r>
      <w:r w:rsidR="00837471">
        <w:t xml:space="preserve"> standards</w:t>
      </w:r>
      <w:r w:rsidR="00576996">
        <w:t xml:space="preserve"> of quality and safety</w:t>
      </w:r>
      <w:r w:rsidR="00837471">
        <w:t xml:space="preserve"> </w:t>
      </w:r>
      <w:r w:rsidR="003335C7">
        <w:t xml:space="preserve">as </w:t>
      </w:r>
      <w:r w:rsidRPr="00C17937">
        <w:t>in the broader community.</w:t>
      </w:r>
    </w:p>
    <w:p w14:paraId="7FE43AA0" w14:textId="6928EE40" w:rsidR="00C17937" w:rsidRDefault="009365DA" w:rsidP="00C17937">
      <w:pPr>
        <w:pStyle w:val="Body"/>
      </w:pPr>
      <w:r>
        <w:t xml:space="preserve">There are </w:t>
      </w:r>
      <w:r w:rsidR="00C17937" w:rsidRPr="00C17937">
        <w:t xml:space="preserve">many </w:t>
      </w:r>
      <w:r w:rsidR="00A67E91">
        <w:t xml:space="preserve">government agencies and </w:t>
      </w:r>
      <w:r w:rsidR="00C17937" w:rsidRPr="00C17937">
        <w:t xml:space="preserve">organisations </w:t>
      </w:r>
      <w:r w:rsidR="00A67E91">
        <w:t>that</w:t>
      </w:r>
      <w:r w:rsidR="00C17937" w:rsidRPr="00C17937">
        <w:t xml:space="preserve"> </w:t>
      </w:r>
      <w:r w:rsidR="009B30B2">
        <w:t xml:space="preserve">my office </w:t>
      </w:r>
      <w:r w:rsidR="00C17937" w:rsidRPr="00C17937">
        <w:t>partner</w:t>
      </w:r>
      <w:r w:rsidR="009B30B2">
        <w:t>s</w:t>
      </w:r>
      <w:r w:rsidR="00C17937" w:rsidRPr="00C17937">
        <w:t xml:space="preserve"> </w:t>
      </w:r>
      <w:r w:rsidR="008537C3">
        <w:t xml:space="preserve">with </w:t>
      </w:r>
      <w:r w:rsidR="00C17937" w:rsidRPr="00C17937">
        <w:t xml:space="preserve">to </w:t>
      </w:r>
      <w:r w:rsidR="008537C3">
        <w:t>uphold</w:t>
      </w:r>
      <w:r w:rsidR="00C17937" w:rsidRPr="00C17937">
        <w:t xml:space="preserve"> quality </w:t>
      </w:r>
      <w:r w:rsidR="00073E5C">
        <w:t xml:space="preserve">and safety </w:t>
      </w:r>
      <w:r w:rsidR="00C17937" w:rsidRPr="00C17937">
        <w:t>across the system. These include the Mental Health Complaints Commission,</w:t>
      </w:r>
      <w:r w:rsidR="00B76D34">
        <w:t xml:space="preserve"> Safer Care Victoria,</w:t>
      </w:r>
      <w:r w:rsidR="00C17937" w:rsidRPr="00C17937">
        <w:t xml:space="preserve"> the Mental Health Tribunal, the Office of the Public Advocate Community Visitors Program, the Victorian Agency for Health Information</w:t>
      </w:r>
      <w:r w:rsidR="008443DB">
        <w:t>,</w:t>
      </w:r>
      <w:r w:rsidR="00C17937" w:rsidRPr="00C17937">
        <w:t xml:space="preserve"> and the Royal Australian and New Zealand College of Psychiatrists, among other</w:t>
      </w:r>
      <w:r w:rsidR="0091334D">
        <w:t>s</w:t>
      </w:r>
      <w:r w:rsidR="00972DFD">
        <w:t>. These organisations all</w:t>
      </w:r>
      <w:r w:rsidR="0091334D">
        <w:t xml:space="preserve"> </w:t>
      </w:r>
      <w:r w:rsidR="00C17937" w:rsidRPr="00C17937">
        <w:t xml:space="preserve">share </w:t>
      </w:r>
      <w:r w:rsidR="00CF08BD">
        <w:t xml:space="preserve">our </w:t>
      </w:r>
      <w:r w:rsidR="00C17937" w:rsidRPr="00C17937">
        <w:t>purpose of creating a mental health system that is high-quality, equitable and responsive.</w:t>
      </w:r>
      <w:r w:rsidR="000A5DDC">
        <w:t xml:space="preserve"> </w:t>
      </w:r>
      <w:proofErr w:type="gramStart"/>
      <w:r w:rsidR="00537A58">
        <w:t>In particular, I</w:t>
      </w:r>
      <w:proofErr w:type="gramEnd"/>
      <w:r w:rsidR="00537A58">
        <w:t xml:space="preserve"> would like to acknowledge</w:t>
      </w:r>
      <w:r w:rsidR="003B7704">
        <w:t xml:space="preserve"> the</w:t>
      </w:r>
      <w:r w:rsidR="002151F1">
        <w:t xml:space="preserve"> </w:t>
      </w:r>
      <w:r w:rsidR="00E409BD">
        <w:t xml:space="preserve">strong collaborative relationship I have with </w:t>
      </w:r>
      <w:r w:rsidR="00537A58">
        <w:t>Treasure Jennings</w:t>
      </w:r>
      <w:r w:rsidR="00861956">
        <w:t>, the Mental Health Complaints Commissioner, and Anna Love, the Chief Mental Health Nurse</w:t>
      </w:r>
      <w:r w:rsidR="00CF08BD">
        <w:t xml:space="preserve">. Through </w:t>
      </w:r>
      <w:r w:rsidR="00F42CC7">
        <w:t>our close connections</w:t>
      </w:r>
      <w:r w:rsidR="00CF08BD">
        <w:t xml:space="preserve">, we </w:t>
      </w:r>
      <w:r w:rsidR="006F65EB">
        <w:t>have</w:t>
      </w:r>
      <w:r w:rsidR="00591986">
        <w:t xml:space="preserve"> adopt</w:t>
      </w:r>
      <w:r w:rsidR="007E088B">
        <w:t>ed</w:t>
      </w:r>
      <w:r w:rsidR="00591986">
        <w:t xml:space="preserve"> a c</w:t>
      </w:r>
      <w:r w:rsidR="00F71C7E">
        <w:t>oordinated</w:t>
      </w:r>
      <w:r w:rsidR="00F42CC7">
        <w:t xml:space="preserve"> and productive</w:t>
      </w:r>
      <w:r w:rsidR="00F71C7E">
        <w:t xml:space="preserve"> approach to governance and leadership </w:t>
      </w:r>
      <w:r w:rsidR="00C417DE">
        <w:t>in the various areas that our roles and responsibilities overlap</w:t>
      </w:r>
      <w:r w:rsidR="00D943E9">
        <w:t>.</w:t>
      </w:r>
    </w:p>
    <w:p w14:paraId="2A10675F" w14:textId="1F3CF6B1" w:rsidR="00EF4310" w:rsidRPr="00C17937" w:rsidRDefault="00AA00D3" w:rsidP="00C17937">
      <w:pPr>
        <w:pStyle w:val="Body"/>
      </w:pPr>
      <w:r>
        <w:t xml:space="preserve">I also wish to acknowledge the extraordinary efforts of </w:t>
      </w:r>
      <w:r w:rsidR="00C95D8C">
        <w:t>Victoria’s mental health workforce</w:t>
      </w:r>
      <w:r w:rsidR="008B6F0C">
        <w:t xml:space="preserve">. </w:t>
      </w:r>
      <w:r w:rsidR="00EF4310" w:rsidRPr="00EF4310">
        <w:t xml:space="preserve">Staff administering care and treatment </w:t>
      </w:r>
      <w:r w:rsidR="00000870">
        <w:t xml:space="preserve">have had to do so </w:t>
      </w:r>
      <w:r w:rsidR="00841908">
        <w:t>in</w:t>
      </w:r>
      <w:r w:rsidR="00376802">
        <w:t xml:space="preserve"> challenging environments</w:t>
      </w:r>
      <w:r w:rsidR="00841908">
        <w:t xml:space="preserve">. </w:t>
      </w:r>
      <w:r w:rsidR="00A746A6">
        <w:t>T</w:t>
      </w:r>
      <w:r w:rsidR="00F26EA6">
        <w:t>hey</w:t>
      </w:r>
      <w:r w:rsidR="00672C27">
        <w:t xml:space="preserve"> constantly</w:t>
      </w:r>
      <w:r w:rsidR="00F26EA6">
        <w:t xml:space="preserve"> </w:t>
      </w:r>
      <w:r w:rsidR="00EF4310" w:rsidRPr="00EF4310">
        <w:t>run the risk of vicarious trauma and burnout</w:t>
      </w:r>
      <w:r w:rsidR="005E3863">
        <w:t>,</w:t>
      </w:r>
      <w:r w:rsidR="00C54721">
        <w:t xml:space="preserve"> and yet continue to help others in need.</w:t>
      </w:r>
      <w:r w:rsidR="000B6E5C">
        <w:t xml:space="preserve"> </w:t>
      </w:r>
      <w:r w:rsidR="005E3863">
        <w:t>I thank them for</w:t>
      </w:r>
      <w:r w:rsidR="00361DD6">
        <w:t xml:space="preserve"> </w:t>
      </w:r>
      <w:r w:rsidR="00565DD3">
        <w:t>the</w:t>
      </w:r>
      <w:r w:rsidR="00DF7E44">
        <w:t xml:space="preserve"> great job they do</w:t>
      </w:r>
      <w:r w:rsidR="00EB2A3D">
        <w:t xml:space="preserve"> and </w:t>
      </w:r>
      <w:r w:rsidR="00E8392A">
        <w:t>encourage them to persevere</w:t>
      </w:r>
      <w:r w:rsidR="00972DFD">
        <w:t>.</w:t>
      </w:r>
      <w:r w:rsidR="00E8392A">
        <w:t xml:space="preserve"> </w:t>
      </w:r>
      <w:r w:rsidR="00972DFD">
        <w:t>B</w:t>
      </w:r>
      <w:r w:rsidR="00EB2A3D">
        <w:t xml:space="preserve">etter times </w:t>
      </w:r>
      <w:r w:rsidR="00E8392A">
        <w:t>l</w:t>
      </w:r>
      <w:r w:rsidR="005C3BCB">
        <w:t>ie</w:t>
      </w:r>
      <w:r w:rsidR="00EB2A3D">
        <w:t xml:space="preserve"> ahead </w:t>
      </w:r>
      <w:r w:rsidR="005C3BCB">
        <w:t>with</w:t>
      </w:r>
      <w:r w:rsidR="00E8392A">
        <w:t xml:space="preserve"> </w:t>
      </w:r>
      <w:r w:rsidR="0032767C">
        <w:t xml:space="preserve">the Victorian </w:t>
      </w:r>
      <w:r w:rsidR="00972DFD">
        <w:t>G</w:t>
      </w:r>
      <w:r w:rsidR="0032767C">
        <w:t>overnment</w:t>
      </w:r>
      <w:r w:rsidR="00253042">
        <w:t xml:space="preserve"> investing </w:t>
      </w:r>
      <w:r w:rsidR="005C3BCB">
        <w:t xml:space="preserve">unprecedented </w:t>
      </w:r>
      <w:r w:rsidR="00626147">
        <w:t>resources</w:t>
      </w:r>
      <w:r w:rsidR="00547686">
        <w:t xml:space="preserve"> </w:t>
      </w:r>
      <w:r w:rsidR="00EB2A3D">
        <w:t xml:space="preserve">into </w:t>
      </w:r>
      <w:r w:rsidR="0071293D">
        <w:t>expanding</w:t>
      </w:r>
      <w:r w:rsidR="00626147">
        <w:t xml:space="preserve"> and upskilling the state</w:t>
      </w:r>
      <w:r w:rsidR="00672C27">
        <w:t xml:space="preserve">’s </w:t>
      </w:r>
      <w:r w:rsidR="00EB2A3D">
        <w:t xml:space="preserve">mental </w:t>
      </w:r>
      <w:r w:rsidR="00A00DAB">
        <w:t>health workforce</w:t>
      </w:r>
      <w:r w:rsidR="00E51E2A">
        <w:t>.</w:t>
      </w:r>
    </w:p>
    <w:p w14:paraId="71AA0907" w14:textId="21695A88" w:rsidR="00C17937" w:rsidRPr="00C17937" w:rsidRDefault="00C17937" w:rsidP="00C17937">
      <w:pPr>
        <w:pStyle w:val="Body"/>
      </w:pPr>
      <w:r w:rsidRPr="00C17937">
        <w:lastRenderedPageBreak/>
        <w:t>A special thanks goes to the staff in my office</w:t>
      </w:r>
      <w:r w:rsidR="0037139D">
        <w:t xml:space="preserve"> for their tireless work</w:t>
      </w:r>
      <w:r w:rsidRPr="00C17937">
        <w:t xml:space="preserve">. </w:t>
      </w:r>
      <w:r w:rsidR="0037139D">
        <w:t xml:space="preserve">My team is made up of </w:t>
      </w:r>
      <w:r w:rsidR="00286B78">
        <w:t xml:space="preserve">deputy chief psychiatrists, clinical advisers, </w:t>
      </w:r>
      <w:r w:rsidR="006F3E81">
        <w:t xml:space="preserve">managers, </w:t>
      </w:r>
      <w:r w:rsidR="00286B78">
        <w:t xml:space="preserve">project officers, </w:t>
      </w:r>
      <w:r w:rsidR="00741D6D">
        <w:t xml:space="preserve">a data analyst, </w:t>
      </w:r>
      <w:r w:rsidR="0037139D">
        <w:t xml:space="preserve">a </w:t>
      </w:r>
      <w:r w:rsidR="00286B78">
        <w:t xml:space="preserve">policy </w:t>
      </w:r>
      <w:proofErr w:type="gramStart"/>
      <w:r w:rsidR="00286B78">
        <w:t>adv</w:t>
      </w:r>
      <w:r w:rsidR="0056541B">
        <w:t>iser</w:t>
      </w:r>
      <w:proofErr w:type="gramEnd"/>
      <w:r w:rsidR="0037139D">
        <w:t xml:space="preserve"> and </w:t>
      </w:r>
      <w:r w:rsidR="0056541B">
        <w:t>admin officers</w:t>
      </w:r>
      <w:r w:rsidR="006F3E81">
        <w:t xml:space="preserve">, </w:t>
      </w:r>
      <w:r w:rsidR="00741D6D">
        <w:t xml:space="preserve">all of </w:t>
      </w:r>
      <w:r w:rsidR="0037139D">
        <w:t>who</w:t>
      </w:r>
      <w:r w:rsidR="00741D6D">
        <w:t>m</w:t>
      </w:r>
      <w:r w:rsidR="0037139D">
        <w:t xml:space="preserve"> make a </w:t>
      </w:r>
      <w:r w:rsidR="00070CF9">
        <w:t>huge</w:t>
      </w:r>
      <w:r w:rsidR="00024E63">
        <w:t xml:space="preserve"> effort</w:t>
      </w:r>
      <w:r w:rsidR="0037139D">
        <w:t xml:space="preserve"> </w:t>
      </w:r>
      <w:r w:rsidR="00600A04">
        <w:t>assist</w:t>
      </w:r>
      <w:r w:rsidR="002E0A92">
        <w:t>ing</w:t>
      </w:r>
      <w:r w:rsidR="00600A04">
        <w:t xml:space="preserve"> me in my role </w:t>
      </w:r>
      <w:r w:rsidR="0096695B">
        <w:t xml:space="preserve">and </w:t>
      </w:r>
      <w:r w:rsidR="0037139D">
        <w:t>be</w:t>
      </w:r>
      <w:r w:rsidR="002E0A92">
        <w:t>ing</w:t>
      </w:r>
      <w:r w:rsidR="0096695B">
        <w:t xml:space="preserve"> available </w:t>
      </w:r>
      <w:r w:rsidR="002E0A92">
        <w:t>to help</w:t>
      </w:r>
      <w:r w:rsidR="000307FB">
        <w:t xml:space="preserve"> </w:t>
      </w:r>
      <w:r w:rsidR="00582611">
        <w:t xml:space="preserve">people in distress. </w:t>
      </w:r>
      <w:r w:rsidR="00374A67">
        <w:t>Their strong work ethic</w:t>
      </w:r>
      <w:r w:rsidR="007E0742">
        <w:t xml:space="preserve"> </w:t>
      </w:r>
      <w:r w:rsidR="00582611">
        <w:t xml:space="preserve">and compassion </w:t>
      </w:r>
      <w:r w:rsidRPr="00C17937">
        <w:t xml:space="preserve">ensures </w:t>
      </w:r>
      <w:r w:rsidR="00582611">
        <w:t>my office is</w:t>
      </w:r>
      <w:r w:rsidRPr="00C17937">
        <w:t xml:space="preserve"> well placed to </w:t>
      </w:r>
      <w:r w:rsidR="00A0751C">
        <w:t xml:space="preserve">support consumers and </w:t>
      </w:r>
      <w:r w:rsidR="00EF6463">
        <w:t>promote high standards of care in Victoria’s mental health system</w:t>
      </w:r>
      <w:r w:rsidR="00245B21">
        <w:t xml:space="preserve"> going</w:t>
      </w:r>
      <w:r w:rsidR="00F9373D">
        <w:t xml:space="preserve"> into the future</w:t>
      </w:r>
      <w:r w:rsidR="00EF6463">
        <w:t>.</w:t>
      </w:r>
    </w:p>
    <w:p w14:paraId="232949F4" w14:textId="5D2D1DBA" w:rsidR="00C17937" w:rsidRDefault="00C17937" w:rsidP="00C17937">
      <w:pPr>
        <w:pStyle w:val="Body"/>
      </w:pPr>
      <w:r w:rsidRPr="00C17937">
        <w:t xml:space="preserve">Finally, I wish to thank those with lived </w:t>
      </w:r>
      <w:r w:rsidR="0001157A">
        <w:t xml:space="preserve">and living </w:t>
      </w:r>
      <w:r w:rsidRPr="00C17937">
        <w:t>experience</w:t>
      </w:r>
      <w:r w:rsidR="0001157A">
        <w:t xml:space="preserve">, along with their </w:t>
      </w:r>
      <w:proofErr w:type="spellStart"/>
      <w:r w:rsidR="0001157A">
        <w:t>carers</w:t>
      </w:r>
      <w:proofErr w:type="spellEnd"/>
      <w:r w:rsidR="0001157A">
        <w:t xml:space="preserve">, </w:t>
      </w:r>
      <w:proofErr w:type="gramStart"/>
      <w:r w:rsidR="0001157A">
        <w:t>families</w:t>
      </w:r>
      <w:proofErr w:type="gramEnd"/>
      <w:r w:rsidR="00F32524">
        <w:t xml:space="preserve"> and supporters. </w:t>
      </w:r>
      <w:r w:rsidRPr="00C17937">
        <w:t xml:space="preserve">With your </w:t>
      </w:r>
      <w:r w:rsidR="00C97D29">
        <w:t>input</w:t>
      </w:r>
      <w:r w:rsidRPr="00C17937">
        <w:t xml:space="preserve">, </w:t>
      </w:r>
      <w:r w:rsidR="00092D85">
        <w:t xml:space="preserve">we are building a </w:t>
      </w:r>
      <w:r w:rsidR="00AF078A">
        <w:t xml:space="preserve">more humane, </w:t>
      </w:r>
      <w:r w:rsidR="004E70B4">
        <w:t xml:space="preserve">modern, </w:t>
      </w:r>
      <w:proofErr w:type="gramStart"/>
      <w:r w:rsidR="004E70B4">
        <w:t>effective</w:t>
      </w:r>
      <w:proofErr w:type="gramEnd"/>
      <w:r w:rsidR="00AF078A">
        <w:t xml:space="preserve"> and accessible </w:t>
      </w:r>
      <w:r w:rsidR="0025485A">
        <w:t>mental health</w:t>
      </w:r>
      <w:r w:rsidRPr="00C17937">
        <w:t xml:space="preserve"> system. </w:t>
      </w:r>
      <w:r w:rsidR="0025485A">
        <w:t>I</w:t>
      </w:r>
      <w:r w:rsidRPr="00C17937">
        <w:t xml:space="preserve"> </w:t>
      </w:r>
      <w:r w:rsidR="0025485A">
        <w:t>am grateful for</w:t>
      </w:r>
      <w:r w:rsidRPr="00C17937">
        <w:t xml:space="preserve"> your </w:t>
      </w:r>
      <w:r w:rsidR="0025485A">
        <w:t xml:space="preserve">insights and </w:t>
      </w:r>
      <w:r w:rsidRPr="00C17937">
        <w:t xml:space="preserve">generosity in </w:t>
      </w:r>
      <w:r w:rsidR="004E70B4">
        <w:t>this vitally important work</w:t>
      </w:r>
      <w:r w:rsidRPr="00C17937">
        <w:t>.</w:t>
      </w:r>
    </w:p>
    <w:p w14:paraId="2CE73FA3" w14:textId="77777777" w:rsidR="007071FD" w:rsidRDefault="007071FD" w:rsidP="00C17937">
      <w:pPr>
        <w:pStyle w:val="Body"/>
      </w:pPr>
    </w:p>
    <w:p w14:paraId="7C56CB55" w14:textId="689915EC" w:rsidR="007071FD" w:rsidRPr="00CD292B" w:rsidRDefault="007071FD" w:rsidP="00CD292B">
      <w:pPr>
        <w:pStyle w:val="Body"/>
        <w:spacing w:after="0"/>
        <w:rPr>
          <w:b/>
          <w:bCs/>
        </w:rPr>
      </w:pPr>
      <w:r w:rsidRPr="00CD292B">
        <w:rPr>
          <w:b/>
          <w:bCs/>
        </w:rPr>
        <w:t>Neil Coventry</w:t>
      </w:r>
    </w:p>
    <w:p w14:paraId="6953E173" w14:textId="09BD73D1" w:rsidR="00F30033" w:rsidRDefault="007071FD" w:rsidP="009F0798">
      <w:pPr>
        <w:pStyle w:val="Body"/>
        <w:spacing w:after="0"/>
      </w:pPr>
      <w:r>
        <w:t>Chief Psychiatrist</w:t>
      </w:r>
      <w:bookmarkStart w:id="5" w:name="_Toc52886231"/>
      <w:bookmarkEnd w:id="4"/>
    </w:p>
    <w:p w14:paraId="4410CC7A" w14:textId="77777777" w:rsidR="00F30033" w:rsidRDefault="00F30033">
      <w:pPr>
        <w:rPr>
          <w:rFonts w:ascii="Arial" w:eastAsia="Times" w:hAnsi="Arial"/>
          <w:sz w:val="21"/>
          <w:szCs w:val="21"/>
        </w:rPr>
      </w:pPr>
      <w:r>
        <w:br w:type="page"/>
      </w:r>
    </w:p>
    <w:p w14:paraId="10340DD6" w14:textId="37E2BC85" w:rsidR="00436843" w:rsidRPr="00237D40" w:rsidRDefault="00436843" w:rsidP="00436843">
      <w:pPr>
        <w:pStyle w:val="DHHSTOCheadingreport"/>
        <w:rPr>
          <w:sz w:val="21"/>
          <w:szCs w:val="21"/>
        </w:rPr>
      </w:pPr>
      <w:r w:rsidRPr="00636934">
        <w:lastRenderedPageBreak/>
        <w:t>Contents</w:t>
      </w:r>
    </w:p>
    <w:p w14:paraId="57FE54FC" w14:textId="4A1BFE64" w:rsidR="00CA52DA" w:rsidRDefault="00436843">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118293963" w:history="1">
        <w:r w:rsidR="00CA52DA" w:rsidRPr="00EC2905">
          <w:rPr>
            <w:rStyle w:val="Hyperlink"/>
          </w:rPr>
          <w:t>Foreword from the Chief Psychiatrist</w:t>
        </w:r>
        <w:r w:rsidR="00CA52DA">
          <w:rPr>
            <w:webHidden/>
          </w:rPr>
          <w:tab/>
        </w:r>
        <w:r w:rsidR="00CA52DA">
          <w:rPr>
            <w:webHidden/>
          </w:rPr>
          <w:fldChar w:fldCharType="begin"/>
        </w:r>
        <w:r w:rsidR="00CA52DA">
          <w:rPr>
            <w:webHidden/>
          </w:rPr>
          <w:instrText xml:space="preserve"> PAGEREF _Toc118293963 \h </w:instrText>
        </w:r>
        <w:r w:rsidR="00CA52DA">
          <w:rPr>
            <w:webHidden/>
          </w:rPr>
        </w:r>
        <w:r w:rsidR="00CA52DA">
          <w:rPr>
            <w:webHidden/>
          </w:rPr>
          <w:fldChar w:fldCharType="separate"/>
        </w:r>
        <w:r w:rsidR="00357645">
          <w:rPr>
            <w:webHidden/>
          </w:rPr>
          <w:t>5</w:t>
        </w:r>
        <w:r w:rsidR="00CA52DA">
          <w:rPr>
            <w:webHidden/>
          </w:rPr>
          <w:fldChar w:fldCharType="end"/>
        </w:r>
      </w:hyperlink>
    </w:p>
    <w:p w14:paraId="530F1D1D" w14:textId="4CB17B6D" w:rsidR="00CA52DA" w:rsidRDefault="00357645">
      <w:pPr>
        <w:pStyle w:val="TOC1"/>
        <w:rPr>
          <w:rFonts w:asciiTheme="minorHAnsi" w:eastAsiaTheme="minorEastAsia" w:hAnsiTheme="minorHAnsi" w:cstheme="minorBidi"/>
          <w:b w:val="0"/>
          <w:sz w:val="22"/>
          <w:szCs w:val="22"/>
          <w:lang w:eastAsia="en-AU"/>
        </w:rPr>
      </w:pPr>
      <w:hyperlink w:anchor="_Toc118293964" w:history="1">
        <w:r w:rsidR="00CA52DA" w:rsidRPr="00EC2905">
          <w:rPr>
            <w:rStyle w:val="Hyperlink"/>
            <w:rFonts w:eastAsia="Calibri Light"/>
          </w:rPr>
          <w:t>Overview</w:t>
        </w:r>
        <w:r w:rsidR="00CA52DA">
          <w:rPr>
            <w:webHidden/>
          </w:rPr>
          <w:tab/>
        </w:r>
        <w:r w:rsidR="00CA52DA">
          <w:rPr>
            <w:webHidden/>
          </w:rPr>
          <w:fldChar w:fldCharType="begin"/>
        </w:r>
        <w:r w:rsidR="00CA52DA">
          <w:rPr>
            <w:webHidden/>
          </w:rPr>
          <w:instrText xml:space="preserve"> PAGEREF _Toc118293964 \h </w:instrText>
        </w:r>
        <w:r w:rsidR="00CA52DA">
          <w:rPr>
            <w:webHidden/>
          </w:rPr>
        </w:r>
        <w:r w:rsidR="00CA52DA">
          <w:rPr>
            <w:webHidden/>
          </w:rPr>
          <w:fldChar w:fldCharType="separate"/>
        </w:r>
        <w:r>
          <w:rPr>
            <w:webHidden/>
          </w:rPr>
          <w:t>9</w:t>
        </w:r>
        <w:r w:rsidR="00CA52DA">
          <w:rPr>
            <w:webHidden/>
          </w:rPr>
          <w:fldChar w:fldCharType="end"/>
        </w:r>
      </w:hyperlink>
    </w:p>
    <w:p w14:paraId="05DCCC03" w14:textId="5107BBC2" w:rsidR="00CA52DA" w:rsidRDefault="00357645">
      <w:pPr>
        <w:pStyle w:val="TOC2"/>
        <w:rPr>
          <w:rFonts w:asciiTheme="minorHAnsi" w:eastAsiaTheme="minorEastAsia" w:hAnsiTheme="minorHAnsi" w:cstheme="minorBidi"/>
          <w:sz w:val="22"/>
          <w:szCs w:val="22"/>
          <w:lang w:eastAsia="en-AU"/>
        </w:rPr>
      </w:pPr>
      <w:hyperlink w:anchor="_Toc118293965" w:history="1">
        <w:r w:rsidR="00CA52DA" w:rsidRPr="00EC2905">
          <w:rPr>
            <w:rStyle w:val="Hyperlink"/>
            <w:rFonts w:eastAsia="MS Gothic"/>
          </w:rPr>
          <w:t>Aims of the report</w:t>
        </w:r>
        <w:r w:rsidR="00CA52DA">
          <w:rPr>
            <w:webHidden/>
          </w:rPr>
          <w:tab/>
        </w:r>
        <w:r w:rsidR="00CA52DA">
          <w:rPr>
            <w:webHidden/>
          </w:rPr>
          <w:fldChar w:fldCharType="begin"/>
        </w:r>
        <w:r w:rsidR="00CA52DA">
          <w:rPr>
            <w:webHidden/>
          </w:rPr>
          <w:instrText xml:space="preserve"> PAGEREF _Toc118293965 \h </w:instrText>
        </w:r>
        <w:r w:rsidR="00CA52DA">
          <w:rPr>
            <w:webHidden/>
          </w:rPr>
        </w:r>
        <w:r w:rsidR="00CA52DA">
          <w:rPr>
            <w:webHidden/>
          </w:rPr>
          <w:fldChar w:fldCharType="separate"/>
        </w:r>
        <w:r>
          <w:rPr>
            <w:webHidden/>
          </w:rPr>
          <w:t>9</w:t>
        </w:r>
        <w:r w:rsidR="00CA52DA">
          <w:rPr>
            <w:webHidden/>
          </w:rPr>
          <w:fldChar w:fldCharType="end"/>
        </w:r>
      </w:hyperlink>
    </w:p>
    <w:p w14:paraId="028B46D7" w14:textId="0EDDBD2D" w:rsidR="00CA52DA" w:rsidRDefault="00357645">
      <w:pPr>
        <w:pStyle w:val="TOC2"/>
        <w:rPr>
          <w:rFonts w:asciiTheme="minorHAnsi" w:eastAsiaTheme="minorEastAsia" w:hAnsiTheme="minorHAnsi" w:cstheme="minorBidi"/>
          <w:sz w:val="22"/>
          <w:szCs w:val="22"/>
          <w:lang w:eastAsia="en-AU"/>
        </w:rPr>
      </w:pPr>
      <w:hyperlink w:anchor="_Toc118293966" w:history="1">
        <w:r w:rsidR="00CA52DA" w:rsidRPr="00EC2905">
          <w:rPr>
            <w:rStyle w:val="Hyperlink"/>
            <w:rFonts w:eastAsia="MS Gothic"/>
          </w:rPr>
          <w:t>Statutory framework and role of the Chief Psychiatrist</w:t>
        </w:r>
        <w:r w:rsidR="00CA52DA">
          <w:rPr>
            <w:webHidden/>
          </w:rPr>
          <w:tab/>
        </w:r>
        <w:r w:rsidR="00CA52DA">
          <w:rPr>
            <w:webHidden/>
          </w:rPr>
          <w:fldChar w:fldCharType="begin"/>
        </w:r>
        <w:r w:rsidR="00CA52DA">
          <w:rPr>
            <w:webHidden/>
          </w:rPr>
          <w:instrText xml:space="preserve"> PAGEREF _Toc118293966 \h </w:instrText>
        </w:r>
        <w:r w:rsidR="00CA52DA">
          <w:rPr>
            <w:webHidden/>
          </w:rPr>
        </w:r>
        <w:r w:rsidR="00CA52DA">
          <w:rPr>
            <w:webHidden/>
          </w:rPr>
          <w:fldChar w:fldCharType="separate"/>
        </w:r>
        <w:r>
          <w:rPr>
            <w:webHidden/>
          </w:rPr>
          <w:t>9</w:t>
        </w:r>
        <w:r w:rsidR="00CA52DA">
          <w:rPr>
            <w:webHidden/>
          </w:rPr>
          <w:fldChar w:fldCharType="end"/>
        </w:r>
      </w:hyperlink>
    </w:p>
    <w:p w14:paraId="34295EFA" w14:textId="35A81937" w:rsidR="00CA52DA" w:rsidRDefault="00357645">
      <w:pPr>
        <w:pStyle w:val="TOC2"/>
        <w:rPr>
          <w:rFonts w:asciiTheme="minorHAnsi" w:eastAsiaTheme="minorEastAsia" w:hAnsiTheme="minorHAnsi" w:cstheme="minorBidi"/>
          <w:sz w:val="22"/>
          <w:szCs w:val="22"/>
          <w:lang w:eastAsia="en-AU"/>
        </w:rPr>
      </w:pPr>
      <w:hyperlink w:anchor="_Toc118293967" w:history="1">
        <w:r w:rsidR="00CA52DA" w:rsidRPr="00EC2905">
          <w:rPr>
            <w:rStyle w:val="Hyperlink"/>
            <w:lang w:val="en-US"/>
          </w:rPr>
          <w:t>Functions of the Chief Psychiatrist</w:t>
        </w:r>
        <w:r w:rsidR="00CA52DA">
          <w:rPr>
            <w:webHidden/>
          </w:rPr>
          <w:tab/>
        </w:r>
        <w:r w:rsidR="00CA52DA">
          <w:rPr>
            <w:webHidden/>
          </w:rPr>
          <w:fldChar w:fldCharType="begin"/>
        </w:r>
        <w:r w:rsidR="00CA52DA">
          <w:rPr>
            <w:webHidden/>
          </w:rPr>
          <w:instrText xml:space="preserve"> PAGEREF _Toc118293967 \h </w:instrText>
        </w:r>
        <w:r w:rsidR="00CA52DA">
          <w:rPr>
            <w:webHidden/>
          </w:rPr>
        </w:r>
        <w:r w:rsidR="00CA52DA">
          <w:rPr>
            <w:webHidden/>
          </w:rPr>
          <w:fldChar w:fldCharType="separate"/>
        </w:r>
        <w:r>
          <w:rPr>
            <w:webHidden/>
          </w:rPr>
          <w:t>10</w:t>
        </w:r>
        <w:r w:rsidR="00CA52DA">
          <w:rPr>
            <w:webHidden/>
          </w:rPr>
          <w:fldChar w:fldCharType="end"/>
        </w:r>
      </w:hyperlink>
    </w:p>
    <w:p w14:paraId="322D717E" w14:textId="75B605B3" w:rsidR="00CA52DA" w:rsidRDefault="00357645">
      <w:pPr>
        <w:pStyle w:val="TOC2"/>
        <w:rPr>
          <w:rFonts w:asciiTheme="minorHAnsi" w:eastAsiaTheme="minorEastAsia" w:hAnsiTheme="minorHAnsi" w:cstheme="minorBidi"/>
          <w:sz w:val="22"/>
          <w:szCs w:val="22"/>
          <w:lang w:eastAsia="en-AU"/>
        </w:rPr>
      </w:pPr>
      <w:hyperlink w:anchor="_Toc118293968" w:history="1">
        <w:r w:rsidR="00CA52DA" w:rsidRPr="00EC2905">
          <w:rPr>
            <w:rStyle w:val="Hyperlink"/>
            <w:lang w:val="en-US"/>
          </w:rPr>
          <w:t>Office of the Chief Psychiatrist and the Department of Health</w:t>
        </w:r>
        <w:r w:rsidR="00CA52DA">
          <w:rPr>
            <w:webHidden/>
          </w:rPr>
          <w:tab/>
        </w:r>
        <w:r w:rsidR="00CA52DA">
          <w:rPr>
            <w:webHidden/>
          </w:rPr>
          <w:fldChar w:fldCharType="begin"/>
        </w:r>
        <w:r w:rsidR="00CA52DA">
          <w:rPr>
            <w:webHidden/>
          </w:rPr>
          <w:instrText xml:space="preserve"> PAGEREF _Toc118293968 \h </w:instrText>
        </w:r>
        <w:r w:rsidR="00CA52DA">
          <w:rPr>
            <w:webHidden/>
          </w:rPr>
        </w:r>
        <w:r w:rsidR="00CA52DA">
          <w:rPr>
            <w:webHidden/>
          </w:rPr>
          <w:fldChar w:fldCharType="separate"/>
        </w:r>
        <w:r>
          <w:rPr>
            <w:webHidden/>
          </w:rPr>
          <w:t>10</w:t>
        </w:r>
        <w:r w:rsidR="00CA52DA">
          <w:rPr>
            <w:webHidden/>
          </w:rPr>
          <w:fldChar w:fldCharType="end"/>
        </w:r>
      </w:hyperlink>
    </w:p>
    <w:p w14:paraId="1467C2FF" w14:textId="692CCC2E" w:rsidR="00CA52DA" w:rsidRDefault="00357645">
      <w:pPr>
        <w:pStyle w:val="TOC2"/>
        <w:rPr>
          <w:rFonts w:asciiTheme="minorHAnsi" w:eastAsiaTheme="minorEastAsia" w:hAnsiTheme="minorHAnsi" w:cstheme="minorBidi"/>
          <w:sz w:val="22"/>
          <w:szCs w:val="22"/>
          <w:lang w:eastAsia="en-AU"/>
        </w:rPr>
      </w:pPr>
      <w:hyperlink w:anchor="_Toc118293969" w:history="1">
        <w:r w:rsidR="00CA52DA" w:rsidRPr="00EC2905">
          <w:rPr>
            <w:rStyle w:val="Hyperlink"/>
          </w:rPr>
          <w:t>The year in review</w:t>
        </w:r>
        <w:r w:rsidR="00CA52DA">
          <w:rPr>
            <w:webHidden/>
          </w:rPr>
          <w:tab/>
        </w:r>
        <w:r w:rsidR="00CA52DA">
          <w:rPr>
            <w:webHidden/>
          </w:rPr>
          <w:fldChar w:fldCharType="begin"/>
        </w:r>
        <w:r w:rsidR="00CA52DA">
          <w:rPr>
            <w:webHidden/>
          </w:rPr>
          <w:instrText xml:space="preserve"> PAGEREF _Toc118293969 \h </w:instrText>
        </w:r>
        <w:r w:rsidR="00CA52DA">
          <w:rPr>
            <w:webHidden/>
          </w:rPr>
        </w:r>
        <w:r w:rsidR="00CA52DA">
          <w:rPr>
            <w:webHidden/>
          </w:rPr>
          <w:fldChar w:fldCharType="separate"/>
        </w:r>
        <w:r>
          <w:rPr>
            <w:webHidden/>
          </w:rPr>
          <w:t>10</w:t>
        </w:r>
        <w:r w:rsidR="00CA52DA">
          <w:rPr>
            <w:webHidden/>
          </w:rPr>
          <w:fldChar w:fldCharType="end"/>
        </w:r>
      </w:hyperlink>
    </w:p>
    <w:p w14:paraId="6BB06A67" w14:textId="3DEA9B1F" w:rsidR="00CA52DA" w:rsidRDefault="00357645">
      <w:pPr>
        <w:pStyle w:val="TOC2"/>
        <w:rPr>
          <w:rFonts w:asciiTheme="minorHAnsi" w:eastAsiaTheme="minorEastAsia" w:hAnsiTheme="minorHAnsi" w:cstheme="minorBidi"/>
          <w:sz w:val="22"/>
          <w:szCs w:val="22"/>
          <w:lang w:eastAsia="en-AU"/>
        </w:rPr>
      </w:pPr>
      <w:hyperlink w:anchor="_Toc118293970" w:history="1">
        <w:r w:rsidR="00CA52DA" w:rsidRPr="00EC2905">
          <w:rPr>
            <w:rStyle w:val="Hyperlink"/>
            <w:lang w:val="en-US"/>
          </w:rPr>
          <w:t xml:space="preserve">Enquiries received and the </w:t>
        </w:r>
        <w:r w:rsidR="00CA52DA" w:rsidRPr="00EC2905">
          <w:rPr>
            <w:rStyle w:val="Hyperlink"/>
          </w:rPr>
          <w:t>COVID-19 mental health response</w:t>
        </w:r>
        <w:r w:rsidR="00CA52DA">
          <w:rPr>
            <w:webHidden/>
          </w:rPr>
          <w:tab/>
        </w:r>
        <w:r w:rsidR="00CA52DA">
          <w:rPr>
            <w:webHidden/>
          </w:rPr>
          <w:fldChar w:fldCharType="begin"/>
        </w:r>
        <w:r w:rsidR="00CA52DA">
          <w:rPr>
            <w:webHidden/>
          </w:rPr>
          <w:instrText xml:space="preserve"> PAGEREF _Toc118293970 \h </w:instrText>
        </w:r>
        <w:r w:rsidR="00CA52DA">
          <w:rPr>
            <w:webHidden/>
          </w:rPr>
        </w:r>
        <w:r w:rsidR="00CA52DA">
          <w:rPr>
            <w:webHidden/>
          </w:rPr>
          <w:fldChar w:fldCharType="separate"/>
        </w:r>
        <w:r>
          <w:rPr>
            <w:webHidden/>
          </w:rPr>
          <w:t>12</w:t>
        </w:r>
        <w:r w:rsidR="00CA52DA">
          <w:rPr>
            <w:webHidden/>
          </w:rPr>
          <w:fldChar w:fldCharType="end"/>
        </w:r>
      </w:hyperlink>
    </w:p>
    <w:p w14:paraId="69EEF357" w14:textId="0197B9B9" w:rsidR="00CA52DA" w:rsidRDefault="00357645">
      <w:pPr>
        <w:pStyle w:val="TOC1"/>
        <w:rPr>
          <w:rFonts w:asciiTheme="minorHAnsi" w:eastAsiaTheme="minorEastAsia" w:hAnsiTheme="minorHAnsi" w:cstheme="minorBidi"/>
          <w:b w:val="0"/>
          <w:sz w:val="22"/>
          <w:szCs w:val="22"/>
          <w:lang w:eastAsia="en-AU"/>
        </w:rPr>
      </w:pPr>
      <w:hyperlink w:anchor="_Toc118293971" w:history="1">
        <w:r w:rsidR="00CA52DA" w:rsidRPr="00EC2905">
          <w:rPr>
            <w:rStyle w:val="Hyperlink"/>
          </w:rPr>
          <w:t>1. Statutory reporting</w:t>
        </w:r>
        <w:r w:rsidR="00CA52DA">
          <w:rPr>
            <w:webHidden/>
          </w:rPr>
          <w:tab/>
        </w:r>
        <w:r w:rsidR="00CA52DA">
          <w:rPr>
            <w:webHidden/>
          </w:rPr>
          <w:fldChar w:fldCharType="begin"/>
        </w:r>
        <w:r w:rsidR="00CA52DA">
          <w:rPr>
            <w:webHidden/>
          </w:rPr>
          <w:instrText xml:space="preserve"> PAGEREF _Toc118293971 \h </w:instrText>
        </w:r>
        <w:r w:rsidR="00CA52DA">
          <w:rPr>
            <w:webHidden/>
          </w:rPr>
        </w:r>
        <w:r w:rsidR="00CA52DA">
          <w:rPr>
            <w:webHidden/>
          </w:rPr>
          <w:fldChar w:fldCharType="separate"/>
        </w:r>
        <w:r>
          <w:rPr>
            <w:webHidden/>
          </w:rPr>
          <w:t>16</w:t>
        </w:r>
        <w:r w:rsidR="00CA52DA">
          <w:rPr>
            <w:webHidden/>
          </w:rPr>
          <w:fldChar w:fldCharType="end"/>
        </w:r>
      </w:hyperlink>
    </w:p>
    <w:p w14:paraId="0EFA4F9D" w14:textId="42DB9086" w:rsidR="00CA52DA" w:rsidRDefault="00357645">
      <w:pPr>
        <w:pStyle w:val="TOC2"/>
        <w:rPr>
          <w:rFonts w:asciiTheme="minorHAnsi" w:eastAsiaTheme="minorEastAsia" w:hAnsiTheme="minorHAnsi" w:cstheme="minorBidi"/>
          <w:sz w:val="22"/>
          <w:szCs w:val="22"/>
          <w:lang w:eastAsia="en-AU"/>
        </w:rPr>
      </w:pPr>
      <w:hyperlink w:anchor="_Toc118293972" w:history="1">
        <w:r w:rsidR="00CA52DA" w:rsidRPr="00EC2905">
          <w:rPr>
            <w:rStyle w:val="Hyperlink"/>
          </w:rPr>
          <w:t>Electroconvulsive treatment</w:t>
        </w:r>
        <w:r w:rsidR="00CA52DA">
          <w:rPr>
            <w:webHidden/>
          </w:rPr>
          <w:tab/>
        </w:r>
        <w:r w:rsidR="00CA52DA">
          <w:rPr>
            <w:webHidden/>
          </w:rPr>
          <w:fldChar w:fldCharType="begin"/>
        </w:r>
        <w:r w:rsidR="00CA52DA">
          <w:rPr>
            <w:webHidden/>
          </w:rPr>
          <w:instrText xml:space="preserve"> PAGEREF _Toc118293972 \h </w:instrText>
        </w:r>
        <w:r w:rsidR="00CA52DA">
          <w:rPr>
            <w:webHidden/>
          </w:rPr>
        </w:r>
        <w:r w:rsidR="00CA52DA">
          <w:rPr>
            <w:webHidden/>
          </w:rPr>
          <w:fldChar w:fldCharType="separate"/>
        </w:r>
        <w:r>
          <w:rPr>
            <w:webHidden/>
          </w:rPr>
          <w:t>16</w:t>
        </w:r>
        <w:r w:rsidR="00CA52DA">
          <w:rPr>
            <w:webHidden/>
          </w:rPr>
          <w:fldChar w:fldCharType="end"/>
        </w:r>
      </w:hyperlink>
    </w:p>
    <w:p w14:paraId="33CCE8F1" w14:textId="620F4B3A" w:rsidR="00CA52DA" w:rsidRDefault="00357645">
      <w:pPr>
        <w:pStyle w:val="TOC2"/>
        <w:rPr>
          <w:rFonts w:asciiTheme="minorHAnsi" w:eastAsiaTheme="minorEastAsia" w:hAnsiTheme="minorHAnsi" w:cstheme="minorBidi"/>
          <w:sz w:val="22"/>
          <w:szCs w:val="22"/>
          <w:lang w:eastAsia="en-AU"/>
        </w:rPr>
      </w:pPr>
      <w:hyperlink w:anchor="_Toc118293973" w:history="1">
        <w:r w:rsidR="00CA52DA" w:rsidRPr="00EC2905">
          <w:rPr>
            <w:rStyle w:val="Hyperlink"/>
            <w:rFonts w:eastAsia="Arial"/>
          </w:rPr>
          <w:t>Deaths of people receiving mental health treatment</w:t>
        </w:r>
        <w:r w:rsidR="00CA52DA">
          <w:rPr>
            <w:webHidden/>
          </w:rPr>
          <w:tab/>
        </w:r>
        <w:r w:rsidR="00CA52DA">
          <w:rPr>
            <w:webHidden/>
          </w:rPr>
          <w:fldChar w:fldCharType="begin"/>
        </w:r>
        <w:r w:rsidR="00CA52DA">
          <w:rPr>
            <w:webHidden/>
          </w:rPr>
          <w:instrText xml:space="preserve"> PAGEREF _Toc118293973 \h </w:instrText>
        </w:r>
        <w:r w:rsidR="00CA52DA">
          <w:rPr>
            <w:webHidden/>
          </w:rPr>
        </w:r>
        <w:r w:rsidR="00CA52DA">
          <w:rPr>
            <w:webHidden/>
          </w:rPr>
          <w:fldChar w:fldCharType="separate"/>
        </w:r>
        <w:r>
          <w:rPr>
            <w:webHidden/>
          </w:rPr>
          <w:t>17</w:t>
        </w:r>
        <w:r w:rsidR="00CA52DA">
          <w:rPr>
            <w:webHidden/>
          </w:rPr>
          <w:fldChar w:fldCharType="end"/>
        </w:r>
      </w:hyperlink>
    </w:p>
    <w:p w14:paraId="57113426" w14:textId="6280BA13" w:rsidR="00CA52DA" w:rsidRDefault="00357645">
      <w:pPr>
        <w:pStyle w:val="TOC2"/>
        <w:rPr>
          <w:rFonts w:asciiTheme="minorHAnsi" w:eastAsiaTheme="minorEastAsia" w:hAnsiTheme="minorHAnsi" w:cstheme="minorBidi"/>
          <w:sz w:val="22"/>
          <w:szCs w:val="22"/>
          <w:lang w:eastAsia="en-AU"/>
        </w:rPr>
      </w:pPr>
      <w:hyperlink w:anchor="_Toc118293974" w:history="1">
        <w:r w:rsidR="00CA52DA" w:rsidRPr="00EC2905">
          <w:rPr>
            <w:rStyle w:val="Hyperlink"/>
          </w:rPr>
          <w:t>Restrictive interventions</w:t>
        </w:r>
        <w:r w:rsidR="00CA52DA">
          <w:rPr>
            <w:webHidden/>
          </w:rPr>
          <w:tab/>
        </w:r>
        <w:r w:rsidR="00CA52DA">
          <w:rPr>
            <w:webHidden/>
          </w:rPr>
          <w:fldChar w:fldCharType="begin"/>
        </w:r>
        <w:r w:rsidR="00CA52DA">
          <w:rPr>
            <w:webHidden/>
          </w:rPr>
          <w:instrText xml:space="preserve"> PAGEREF _Toc118293974 \h </w:instrText>
        </w:r>
        <w:r w:rsidR="00CA52DA">
          <w:rPr>
            <w:webHidden/>
          </w:rPr>
        </w:r>
        <w:r w:rsidR="00CA52DA">
          <w:rPr>
            <w:webHidden/>
          </w:rPr>
          <w:fldChar w:fldCharType="separate"/>
        </w:r>
        <w:r>
          <w:rPr>
            <w:webHidden/>
          </w:rPr>
          <w:t>20</w:t>
        </w:r>
        <w:r w:rsidR="00CA52DA">
          <w:rPr>
            <w:webHidden/>
          </w:rPr>
          <w:fldChar w:fldCharType="end"/>
        </w:r>
      </w:hyperlink>
    </w:p>
    <w:p w14:paraId="4A0A8466" w14:textId="6A8A803F" w:rsidR="00CA52DA" w:rsidRDefault="00357645">
      <w:pPr>
        <w:pStyle w:val="TOC2"/>
        <w:rPr>
          <w:rFonts w:asciiTheme="minorHAnsi" w:eastAsiaTheme="minorEastAsia" w:hAnsiTheme="minorHAnsi" w:cstheme="minorBidi"/>
          <w:sz w:val="22"/>
          <w:szCs w:val="22"/>
          <w:lang w:eastAsia="en-AU"/>
        </w:rPr>
      </w:pPr>
      <w:hyperlink w:anchor="_Toc118293975" w:history="1">
        <w:r w:rsidR="00CA52DA" w:rsidRPr="00EC2905">
          <w:rPr>
            <w:rStyle w:val="Hyperlink"/>
          </w:rPr>
          <w:t>Acute inpatient units</w:t>
        </w:r>
        <w:r w:rsidR="00CA52DA">
          <w:rPr>
            <w:webHidden/>
          </w:rPr>
          <w:tab/>
        </w:r>
        <w:r w:rsidR="00CA52DA">
          <w:rPr>
            <w:webHidden/>
          </w:rPr>
          <w:fldChar w:fldCharType="begin"/>
        </w:r>
        <w:r w:rsidR="00CA52DA">
          <w:rPr>
            <w:webHidden/>
          </w:rPr>
          <w:instrText xml:space="preserve"> PAGEREF _Toc118293975 \h </w:instrText>
        </w:r>
        <w:r w:rsidR="00CA52DA">
          <w:rPr>
            <w:webHidden/>
          </w:rPr>
        </w:r>
        <w:r w:rsidR="00CA52DA">
          <w:rPr>
            <w:webHidden/>
          </w:rPr>
          <w:fldChar w:fldCharType="separate"/>
        </w:r>
        <w:r>
          <w:rPr>
            <w:webHidden/>
          </w:rPr>
          <w:t>21</w:t>
        </w:r>
        <w:r w:rsidR="00CA52DA">
          <w:rPr>
            <w:webHidden/>
          </w:rPr>
          <w:fldChar w:fldCharType="end"/>
        </w:r>
      </w:hyperlink>
    </w:p>
    <w:p w14:paraId="10861ACB" w14:textId="2A1A009F" w:rsidR="00CA52DA" w:rsidRDefault="00357645">
      <w:pPr>
        <w:pStyle w:val="TOC2"/>
        <w:rPr>
          <w:rFonts w:asciiTheme="minorHAnsi" w:eastAsiaTheme="minorEastAsia" w:hAnsiTheme="minorHAnsi" w:cstheme="minorBidi"/>
          <w:sz w:val="22"/>
          <w:szCs w:val="22"/>
          <w:lang w:eastAsia="en-AU"/>
        </w:rPr>
      </w:pPr>
      <w:hyperlink w:anchor="_Toc118293976" w:history="1">
        <w:r w:rsidR="00CA52DA" w:rsidRPr="00EC2905">
          <w:rPr>
            <w:rStyle w:val="Hyperlink"/>
          </w:rPr>
          <w:t>Secure extended care units</w:t>
        </w:r>
        <w:r w:rsidR="00CA52DA">
          <w:rPr>
            <w:webHidden/>
          </w:rPr>
          <w:tab/>
        </w:r>
        <w:r w:rsidR="00CA52DA">
          <w:rPr>
            <w:webHidden/>
          </w:rPr>
          <w:fldChar w:fldCharType="begin"/>
        </w:r>
        <w:r w:rsidR="00CA52DA">
          <w:rPr>
            <w:webHidden/>
          </w:rPr>
          <w:instrText xml:space="preserve"> PAGEREF _Toc118293976 \h </w:instrText>
        </w:r>
        <w:r w:rsidR="00CA52DA">
          <w:rPr>
            <w:webHidden/>
          </w:rPr>
        </w:r>
        <w:r w:rsidR="00CA52DA">
          <w:rPr>
            <w:webHidden/>
          </w:rPr>
          <w:fldChar w:fldCharType="separate"/>
        </w:r>
        <w:r>
          <w:rPr>
            <w:webHidden/>
          </w:rPr>
          <w:t>25</w:t>
        </w:r>
        <w:r w:rsidR="00CA52DA">
          <w:rPr>
            <w:webHidden/>
          </w:rPr>
          <w:fldChar w:fldCharType="end"/>
        </w:r>
      </w:hyperlink>
    </w:p>
    <w:p w14:paraId="03BE9A24" w14:textId="26CB9E6F" w:rsidR="00CA52DA" w:rsidRDefault="00357645">
      <w:pPr>
        <w:pStyle w:val="TOC1"/>
        <w:rPr>
          <w:rFonts w:asciiTheme="minorHAnsi" w:eastAsiaTheme="minorEastAsia" w:hAnsiTheme="minorHAnsi" w:cstheme="minorBidi"/>
          <w:b w:val="0"/>
          <w:sz w:val="22"/>
          <w:szCs w:val="22"/>
          <w:lang w:eastAsia="en-AU"/>
        </w:rPr>
      </w:pPr>
      <w:hyperlink w:anchor="_Toc118293977" w:history="1">
        <w:r w:rsidR="00CA52DA" w:rsidRPr="00EC2905">
          <w:rPr>
            <w:rStyle w:val="Hyperlink"/>
          </w:rPr>
          <w:t>2. Leadership in clinical mental health</w:t>
        </w:r>
        <w:r w:rsidR="00CA52DA">
          <w:rPr>
            <w:webHidden/>
          </w:rPr>
          <w:tab/>
        </w:r>
        <w:r w:rsidR="00CA52DA">
          <w:rPr>
            <w:webHidden/>
          </w:rPr>
          <w:fldChar w:fldCharType="begin"/>
        </w:r>
        <w:r w:rsidR="00CA52DA">
          <w:rPr>
            <w:webHidden/>
          </w:rPr>
          <w:instrText xml:space="preserve"> PAGEREF _Toc118293977 \h </w:instrText>
        </w:r>
        <w:r w:rsidR="00CA52DA">
          <w:rPr>
            <w:webHidden/>
          </w:rPr>
        </w:r>
        <w:r w:rsidR="00CA52DA">
          <w:rPr>
            <w:webHidden/>
          </w:rPr>
          <w:fldChar w:fldCharType="separate"/>
        </w:r>
        <w:r>
          <w:rPr>
            <w:webHidden/>
          </w:rPr>
          <w:t>28</w:t>
        </w:r>
        <w:r w:rsidR="00CA52DA">
          <w:rPr>
            <w:webHidden/>
          </w:rPr>
          <w:fldChar w:fldCharType="end"/>
        </w:r>
      </w:hyperlink>
    </w:p>
    <w:p w14:paraId="422C19FD" w14:textId="7D57DDB9" w:rsidR="00CA52DA" w:rsidRDefault="00357645">
      <w:pPr>
        <w:pStyle w:val="TOC2"/>
        <w:rPr>
          <w:rFonts w:asciiTheme="minorHAnsi" w:eastAsiaTheme="minorEastAsia" w:hAnsiTheme="minorHAnsi" w:cstheme="minorBidi"/>
          <w:sz w:val="22"/>
          <w:szCs w:val="22"/>
          <w:lang w:eastAsia="en-AU"/>
        </w:rPr>
      </w:pPr>
      <w:hyperlink w:anchor="_Toc118293978" w:history="1">
        <w:r w:rsidR="00CA52DA" w:rsidRPr="00EC2905">
          <w:rPr>
            <w:rStyle w:val="Hyperlink"/>
          </w:rPr>
          <w:t>Quality and safety initiatives</w:t>
        </w:r>
        <w:r w:rsidR="00CA52DA">
          <w:rPr>
            <w:webHidden/>
          </w:rPr>
          <w:tab/>
        </w:r>
        <w:r w:rsidR="00CA52DA">
          <w:rPr>
            <w:webHidden/>
          </w:rPr>
          <w:fldChar w:fldCharType="begin"/>
        </w:r>
        <w:r w:rsidR="00CA52DA">
          <w:rPr>
            <w:webHidden/>
          </w:rPr>
          <w:instrText xml:space="preserve"> PAGEREF _Toc118293978 \h </w:instrText>
        </w:r>
        <w:r w:rsidR="00CA52DA">
          <w:rPr>
            <w:webHidden/>
          </w:rPr>
        </w:r>
        <w:r w:rsidR="00CA52DA">
          <w:rPr>
            <w:webHidden/>
          </w:rPr>
          <w:fldChar w:fldCharType="separate"/>
        </w:r>
        <w:r>
          <w:rPr>
            <w:webHidden/>
          </w:rPr>
          <w:t>28</w:t>
        </w:r>
        <w:r w:rsidR="00CA52DA">
          <w:rPr>
            <w:webHidden/>
          </w:rPr>
          <w:fldChar w:fldCharType="end"/>
        </w:r>
      </w:hyperlink>
    </w:p>
    <w:p w14:paraId="30EDE09E" w14:textId="30C53968" w:rsidR="00CA52DA" w:rsidRDefault="00357645">
      <w:pPr>
        <w:pStyle w:val="TOC2"/>
        <w:rPr>
          <w:rFonts w:asciiTheme="minorHAnsi" w:eastAsiaTheme="minorEastAsia" w:hAnsiTheme="minorHAnsi" w:cstheme="minorBidi"/>
          <w:sz w:val="22"/>
          <w:szCs w:val="22"/>
          <w:lang w:eastAsia="en-AU"/>
        </w:rPr>
      </w:pPr>
      <w:hyperlink w:anchor="_Toc118293979" w:history="1">
        <w:r w:rsidR="00CA52DA" w:rsidRPr="00EC2905">
          <w:rPr>
            <w:rStyle w:val="Hyperlink"/>
          </w:rPr>
          <w:t>Sexual safety</w:t>
        </w:r>
        <w:r w:rsidR="00CA52DA">
          <w:rPr>
            <w:webHidden/>
          </w:rPr>
          <w:tab/>
        </w:r>
        <w:r w:rsidR="00CA52DA">
          <w:rPr>
            <w:webHidden/>
          </w:rPr>
          <w:fldChar w:fldCharType="begin"/>
        </w:r>
        <w:r w:rsidR="00CA52DA">
          <w:rPr>
            <w:webHidden/>
          </w:rPr>
          <w:instrText xml:space="preserve"> PAGEREF _Toc118293979 \h </w:instrText>
        </w:r>
        <w:r w:rsidR="00CA52DA">
          <w:rPr>
            <w:webHidden/>
          </w:rPr>
        </w:r>
        <w:r w:rsidR="00CA52DA">
          <w:rPr>
            <w:webHidden/>
          </w:rPr>
          <w:fldChar w:fldCharType="separate"/>
        </w:r>
        <w:r>
          <w:rPr>
            <w:webHidden/>
          </w:rPr>
          <w:t>30</w:t>
        </w:r>
        <w:r w:rsidR="00CA52DA">
          <w:rPr>
            <w:webHidden/>
          </w:rPr>
          <w:fldChar w:fldCharType="end"/>
        </w:r>
      </w:hyperlink>
    </w:p>
    <w:p w14:paraId="30CEE1D8" w14:textId="1AADD041" w:rsidR="00CA52DA" w:rsidRDefault="00357645">
      <w:pPr>
        <w:pStyle w:val="TOC2"/>
        <w:rPr>
          <w:rFonts w:asciiTheme="minorHAnsi" w:eastAsiaTheme="minorEastAsia" w:hAnsiTheme="minorHAnsi" w:cstheme="minorBidi"/>
          <w:sz w:val="22"/>
          <w:szCs w:val="22"/>
          <w:lang w:eastAsia="en-AU"/>
        </w:rPr>
      </w:pPr>
      <w:hyperlink w:anchor="_Toc118293980" w:history="1">
        <w:r w:rsidR="00CA52DA" w:rsidRPr="00EC2905">
          <w:rPr>
            <w:rStyle w:val="Hyperlink"/>
          </w:rPr>
          <w:t>Promoting the rights of mental health consumers</w:t>
        </w:r>
        <w:r w:rsidR="00CA52DA">
          <w:rPr>
            <w:webHidden/>
          </w:rPr>
          <w:tab/>
        </w:r>
        <w:r w:rsidR="00CA52DA">
          <w:rPr>
            <w:webHidden/>
          </w:rPr>
          <w:fldChar w:fldCharType="begin"/>
        </w:r>
        <w:r w:rsidR="00CA52DA">
          <w:rPr>
            <w:webHidden/>
          </w:rPr>
          <w:instrText xml:space="preserve"> PAGEREF _Toc118293980 \h </w:instrText>
        </w:r>
        <w:r w:rsidR="00CA52DA">
          <w:rPr>
            <w:webHidden/>
          </w:rPr>
        </w:r>
        <w:r w:rsidR="00CA52DA">
          <w:rPr>
            <w:webHidden/>
          </w:rPr>
          <w:fldChar w:fldCharType="separate"/>
        </w:r>
        <w:r>
          <w:rPr>
            <w:webHidden/>
          </w:rPr>
          <w:t>31</w:t>
        </w:r>
        <w:r w:rsidR="00CA52DA">
          <w:rPr>
            <w:webHidden/>
          </w:rPr>
          <w:fldChar w:fldCharType="end"/>
        </w:r>
      </w:hyperlink>
    </w:p>
    <w:p w14:paraId="0BBAEA26" w14:textId="3E19691A" w:rsidR="00CA52DA" w:rsidRDefault="00357645">
      <w:pPr>
        <w:pStyle w:val="TOC1"/>
        <w:rPr>
          <w:rFonts w:asciiTheme="minorHAnsi" w:eastAsiaTheme="minorEastAsia" w:hAnsiTheme="minorHAnsi" w:cstheme="minorBidi"/>
          <w:b w:val="0"/>
          <w:sz w:val="22"/>
          <w:szCs w:val="22"/>
          <w:lang w:eastAsia="en-AU"/>
        </w:rPr>
      </w:pPr>
      <w:hyperlink w:anchor="_Toc118293981" w:history="1">
        <w:r w:rsidR="00CA52DA" w:rsidRPr="00EC2905">
          <w:rPr>
            <w:rStyle w:val="Hyperlink"/>
          </w:rPr>
          <w:t>3. A final word: mental health as a shared responsibility</w:t>
        </w:r>
        <w:r w:rsidR="00CA52DA">
          <w:rPr>
            <w:webHidden/>
          </w:rPr>
          <w:tab/>
        </w:r>
        <w:r w:rsidR="00CA52DA">
          <w:rPr>
            <w:webHidden/>
          </w:rPr>
          <w:fldChar w:fldCharType="begin"/>
        </w:r>
        <w:r w:rsidR="00CA52DA">
          <w:rPr>
            <w:webHidden/>
          </w:rPr>
          <w:instrText xml:space="preserve"> PAGEREF _Toc118293981 \h </w:instrText>
        </w:r>
        <w:r w:rsidR="00CA52DA">
          <w:rPr>
            <w:webHidden/>
          </w:rPr>
        </w:r>
        <w:r w:rsidR="00CA52DA">
          <w:rPr>
            <w:webHidden/>
          </w:rPr>
          <w:fldChar w:fldCharType="separate"/>
        </w:r>
        <w:r>
          <w:rPr>
            <w:webHidden/>
          </w:rPr>
          <w:t>35</w:t>
        </w:r>
        <w:r w:rsidR="00CA52DA">
          <w:rPr>
            <w:webHidden/>
          </w:rPr>
          <w:fldChar w:fldCharType="end"/>
        </w:r>
      </w:hyperlink>
    </w:p>
    <w:p w14:paraId="1CB55CA5" w14:textId="48A92E90" w:rsidR="00CA52DA" w:rsidRDefault="00357645">
      <w:pPr>
        <w:pStyle w:val="TOC2"/>
        <w:rPr>
          <w:rFonts w:asciiTheme="minorHAnsi" w:eastAsiaTheme="minorEastAsia" w:hAnsiTheme="minorHAnsi" w:cstheme="minorBidi"/>
          <w:sz w:val="22"/>
          <w:szCs w:val="22"/>
          <w:lang w:eastAsia="en-AU"/>
        </w:rPr>
      </w:pPr>
      <w:hyperlink w:anchor="_Toc118293982" w:history="1">
        <w:r w:rsidR="00CA52DA" w:rsidRPr="00EC2905">
          <w:rPr>
            <w:rStyle w:val="Hyperlink"/>
          </w:rPr>
          <w:t>Feedback on this report</w:t>
        </w:r>
        <w:r w:rsidR="00CA52DA">
          <w:rPr>
            <w:webHidden/>
          </w:rPr>
          <w:tab/>
        </w:r>
        <w:r w:rsidR="00CA52DA">
          <w:rPr>
            <w:webHidden/>
          </w:rPr>
          <w:fldChar w:fldCharType="begin"/>
        </w:r>
        <w:r w:rsidR="00CA52DA">
          <w:rPr>
            <w:webHidden/>
          </w:rPr>
          <w:instrText xml:space="preserve"> PAGEREF _Toc118293982 \h </w:instrText>
        </w:r>
        <w:r w:rsidR="00CA52DA">
          <w:rPr>
            <w:webHidden/>
          </w:rPr>
        </w:r>
        <w:r w:rsidR="00CA52DA">
          <w:rPr>
            <w:webHidden/>
          </w:rPr>
          <w:fldChar w:fldCharType="separate"/>
        </w:r>
        <w:r>
          <w:rPr>
            <w:webHidden/>
          </w:rPr>
          <w:t>36</w:t>
        </w:r>
        <w:r w:rsidR="00CA52DA">
          <w:rPr>
            <w:webHidden/>
          </w:rPr>
          <w:fldChar w:fldCharType="end"/>
        </w:r>
      </w:hyperlink>
    </w:p>
    <w:p w14:paraId="74AFD931" w14:textId="56B414DC" w:rsidR="00CA52DA" w:rsidRDefault="00357645">
      <w:pPr>
        <w:pStyle w:val="TOC2"/>
        <w:rPr>
          <w:rFonts w:asciiTheme="minorHAnsi" w:eastAsiaTheme="minorEastAsia" w:hAnsiTheme="minorHAnsi" w:cstheme="minorBidi"/>
          <w:sz w:val="22"/>
          <w:szCs w:val="22"/>
          <w:lang w:eastAsia="en-AU"/>
        </w:rPr>
      </w:pPr>
      <w:hyperlink w:anchor="_Toc118293983" w:history="1">
        <w:r w:rsidR="00CA52DA" w:rsidRPr="00EC2905">
          <w:rPr>
            <w:rStyle w:val="Hyperlink"/>
            <w:bCs/>
          </w:rPr>
          <w:t>Notes on data</w:t>
        </w:r>
        <w:r w:rsidR="00CA52DA">
          <w:rPr>
            <w:webHidden/>
          </w:rPr>
          <w:tab/>
        </w:r>
        <w:r w:rsidR="00CA52DA">
          <w:rPr>
            <w:webHidden/>
          </w:rPr>
          <w:fldChar w:fldCharType="begin"/>
        </w:r>
        <w:r w:rsidR="00CA52DA">
          <w:rPr>
            <w:webHidden/>
          </w:rPr>
          <w:instrText xml:space="preserve"> PAGEREF _Toc118293983 \h </w:instrText>
        </w:r>
        <w:r w:rsidR="00CA52DA">
          <w:rPr>
            <w:webHidden/>
          </w:rPr>
        </w:r>
        <w:r w:rsidR="00CA52DA">
          <w:rPr>
            <w:webHidden/>
          </w:rPr>
          <w:fldChar w:fldCharType="separate"/>
        </w:r>
        <w:r>
          <w:rPr>
            <w:webHidden/>
          </w:rPr>
          <w:t>36</w:t>
        </w:r>
        <w:r w:rsidR="00CA52DA">
          <w:rPr>
            <w:webHidden/>
          </w:rPr>
          <w:fldChar w:fldCharType="end"/>
        </w:r>
      </w:hyperlink>
    </w:p>
    <w:p w14:paraId="3C7A79F1" w14:textId="192C0FEF" w:rsidR="00436843" w:rsidRPr="003072C6" w:rsidRDefault="00436843" w:rsidP="00436843">
      <w:pPr>
        <w:pStyle w:val="TOC2"/>
        <w:rPr>
          <w:noProof w:val="0"/>
        </w:rPr>
      </w:pPr>
      <w:r w:rsidRPr="003072C6">
        <w:rPr>
          <w:noProof w:val="0"/>
        </w:rPr>
        <w:fldChar w:fldCharType="end"/>
      </w:r>
    </w:p>
    <w:p w14:paraId="710A531B" w14:textId="77777777" w:rsidR="00436843" w:rsidRDefault="00436843" w:rsidP="00563C62">
      <w:pPr>
        <w:pStyle w:val="Body"/>
        <w:rPr>
          <w:color w:val="004EA8"/>
          <w:sz w:val="44"/>
          <w:szCs w:val="44"/>
        </w:rPr>
      </w:pPr>
      <w:r>
        <w:br w:type="page"/>
      </w:r>
    </w:p>
    <w:p w14:paraId="3AFD860F" w14:textId="41A4F9A7" w:rsidR="00381B2F" w:rsidRDefault="00381B2F" w:rsidP="00381B2F">
      <w:pPr>
        <w:pStyle w:val="Heading1"/>
        <w:rPr>
          <w:rFonts w:eastAsia="Calibri Light"/>
        </w:rPr>
      </w:pPr>
      <w:bookmarkStart w:id="6" w:name="_Toc118293964"/>
      <w:r w:rsidRPr="484CF834">
        <w:rPr>
          <w:rFonts w:eastAsia="Calibri Light"/>
        </w:rPr>
        <w:lastRenderedPageBreak/>
        <w:t>Overview</w:t>
      </w:r>
      <w:bookmarkEnd w:id="5"/>
      <w:bookmarkEnd w:id="6"/>
      <w:r w:rsidRPr="484CF834">
        <w:rPr>
          <w:rFonts w:eastAsia="Calibri Light"/>
        </w:rPr>
        <w:t xml:space="preserve"> </w:t>
      </w:r>
    </w:p>
    <w:p w14:paraId="2B0CC4F8" w14:textId="5D3647EF" w:rsidR="00381B2F" w:rsidRPr="0045619A" w:rsidRDefault="00381B2F" w:rsidP="00381B2F">
      <w:pPr>
        <w:pStyle w:val="Heading2"/>
        <w:rPr>
          <w:b w:val="0"/>
          <w:bCs/>
          <w:color w:val="000000" w:themeColor="text1"/>
          <w:sz w:val="22"/>
          <w:szCs w:val="22"/>
        </w:rPr>
      </w:pPr>
      <w:bookmarkStart w:id="7" w:name="_Toc52886232"/>
      <w:bookmarkStart w:id="8" w:name="_Toc118293965"/>
      <w:r w:rsidRPr="00381B2F">
        <w:rPr>
          <w:rStyle w:val="Heading3Char"/>
          <w:bCs w:val="0"/>
          <w:sz w:val="28"/>
          <w:szCs w:val="28"/>
        </w:rPr>
        <w:t>Aims of the report</w:t>
      </w:r>
      <w:bookmarkEnd w:id="7"/>
      <w:bookmarkEnd w:id="8"/>
    </w:p>
    <w:p w14:paraId="23ED1791" w14:textId="77777777" w:rsidR="00381B2F" w:rsidRDefault="00381B2F" w:rsidP="00563C62">
      <w:pPr>
        <w:pStyle w:val="Body"/>
        <w:rPr>
          <w:lang w:val="en-US"/>
        </w:rPr>
      </w:pPr>
      <w:r w:rsidRPr="00F04593">
        <w:rPr>
          <w:lang w:val="en-US"/>
        </w:rPr>
        <w:t xml:space="preserve">The aims of this annual report are to: </w:t>
      </w:r>
    </w:p>
    <w:p w14:paraId="59ADD55D" w14:textId="2ED8AF37" w:rsidR="00381B2F" w:rsidRPr="008F76E3" w:rsidRDefault="00381B2F" w:rsidP="00563C62">
      <w:pPr>
        <w:pStyle w:val="Bullet1"/>
      </w:pPr>
      <w:r w:rsidRPr="00F04593">
        <w:t xml:space="preserve">inform mental health consumers, carers, service providers and members of the public about the activities of the Office of the Chief Psychiatrist (OCP) in the </w:t>
      </w:r>
      <w:r w:rsidR="611BB504">
        <w:t>2021</w:t>
      </w:r>
      <w:r w:rsidR="005B0764">
        <w:t>–</w:t>
      </w:r>
      <w:r w:rsidR="611BB504">
        <w:t>22</w:t>
      </w:r>
      <w:r w:rsidRPr="00F04593">
        <w:t xml:space="preserve"> financial year </w:t>
      </w:r>
    </w:p>
    <w:p w14:paraId="7CDF39C2" w14:textId="3810B6AC" w:rsidR="00381B2F" w:rsidRDefault="00381B2F" w:rsidP="00563C62">
      <w:pPr>
        <w:pStyle w:val="Bullet1"/>
      </w:pPr>
      <w:r w:rsidRPr="00F04593">
        <w:t xml:space="preserve">provide information about specific clinical practices that must be reported by health services to </w:t>
      </w:r>
      <w:r w:rsidR="00221C07">
        <w:t>t</w:t>
      </w:r>
      <w:r w:rsidRPr="00F04593">
        <w:t>he</w:t>
      </w:r>
      <w:r w:rsidRPr="008F76E3">
        <w:t xml:space="preserve"> </w:t>
      </w:r>
      <w:r w:rsidRPr="00F04593">
        <w:t xml:space="preserve">Chief Psychiatrist under the </w:t>
      </w:r>
      <w:r w:rsidRPr="00F04593">
        <w:rPr>
          <w:i/>
          <w:iCs/>
        </w:rPr>
        <w:t>Mental Health Act 2014</w:t>
      </w:r>
      <w:r w:rsidRPr="008F76E3">
        <w:t xml:space="preserve"> </w:t>
      </w:r>
    </w:p>
    <w:p w14:paraId="1AB7B3AD" w14:textId="6053BBD4" w:rsidR="00381B2F" w:rsidRDefault="00381B2F" w:rsidP="00563C62">
      <w:pPr>
        <w:pStyle w:val="Bullet1"/>
      </w:pPr>
      <w:r w:rsidRPr="00F04593">
        <w:t>contribute to ongoing improvement in the quality and safety of Victoria’s mental health services.</w:t>
      </w:r>
      <w:r w:rsidR="0057779F">
        <w:t xml:space="preserve"> </w:t>
      </w:r>
    </w:p>
    <w:p w14:paraId="5BED59AF" w14:textId="26BE9E5B" w:rsidR="00381B2F" w:rsidRPr="00381B2F" w:rsidRDefault="00381B2F" w:rsidP="00381B2F">
      <w:pPr>
        <w:pStyle w:val="Heading2"/>
      </w:pPr>
      <w:bookmarkStart w:id="9" w:name="_Toc52886233"/>
      <w:bookmarkStart w:id="10" w:name="_Toc118293966"/>
      <w:r w:rsidRPr="00381B2F">
        <w:rPr>
          <w:rStyle w:val="Heading3Char"/>
          <w:bCs w:val="0"/>
          <w:sz w:val="28"/>
          <w:szCs w:val="28"/>
        </w:rPr>
        <w:t>Statutory framework and role of the Chief Psychiatrist</w:t>
      </w:r>
      <w:bookmarkEnd w:id="9"/>
      <w:bookmarkEnd w:id="10"/>
    </w:p>
    <w:p w14:paraId="3B966BDC" w14:textId="6263B0B0" w:rsidR="00381B2F" w:rsidRDefault="00381B2F" w:rsidP="00563C62">
      <w:pPr>
        <w:pStyle w:val="Body"/>
        <w:rPr>
          <w:lang w:val="en-US"/>
        </w:rPr>
      </w:pPr>
      <w:r w:rsidRPr="00F04593">
        <w:rPr>
          <w:lang w:val="en-US"/>
        </w:rPr>
        <w:t xml:space="preserve">The </w:t>
      </w:r>
      <w:r w:rsidRPr="00F91C20">
        <w:rPr>
          <w:lang w:val="en-US"/>
        </w:rPr>
        <w:t>Mental Health Act</w:t>
      </w:r>
      <w:r w:rsidR="00EC7768" w:rsidRPr="00674FB8">
        <w:rPr>
          <w:i/>
          <w:iCs/>
          <w:lang w:val="en-US"/>
        </w:rPr>
        <w:t xml:space="preserve"> </w:t>
      </w:r>
      <w:r w:rsidRPr="00F04593">
        <w:rPr>
          <w:lang w:val="en-US"/>
        </w:rPr>
        <w:t xml:space="preserve">aims to improve the treatment experiences of people with a mental illness by actively involving and supporting them, and their families and </w:t>
      </w:r>
      <w:proofErr w:type="spellStart"/>
      <w:r w:rsidRPr="00F04593">
        <w:rPr>
          <w:lang w:val="en-US"/>
        </w:rPr>
        <w:t>carers</w:t>
      </w:r>
      <w:proofErr w:type="spellEnd"/>
      <w:r w:rsidRPr="00F04593">
        <w:rPr>
          <w:lang w:val="en-US"/>
        </w:rPr>
        <w:t>, in making decisions about their</w:t>
      </w:r>
      <w:r>
        <w:rPr>
          <w:lang w:val="en-US"/>
        </w:rPr>
        <w:t xml:space="preserve"> </w:t>
      </w:r>
      <w:r w:rsidRPr="00F04593">
        <w:rPr>
          <w:lang w:val="en-US"/>
        </w:rPr>
        <w:t>treatment and exercising their rights.</w:t>
      </w:r>
      <w:r w:rsidR="0057779F">
        <w:rPr>
          <w:lang w:val="en-US"/>
        </w:rPr>
        <w:t xml:space="preserve"> </w:t>
      </w:r>
    </w:p>
    <w:p w14:paraId="14B4B63C" w14:textId="77777777" w:rsidR="00381B2F" w:rsidRPr="00892ED8" w:rsidRDefault="00381B2F" w:rsidP="00563C62">
      <w:pPr>
        <w:pStyle w:val="Body"/>
      </w:pPr>
      <w:r w:rsidRPr="00892ED8">
        <w:t xml:space="preserve">The Act has several core principles and objectives including that: </w:t>
      </w:r>
    </w:p>
    <w:p w14:paraId="73BFD111" w14:textId="77777777" w:rsidR="00381B2F" w:rsidRPr="008F76E3" w:rsidRDefault="00381B2F" w:rsidP="00563C62">
      <w:pPr>
        <w:pStyle w:val="Bullet1"/>
      </w:pPr>
      <w:r w:rsidRPr="00F04593">
        <w:t xml:space="preserve">assessment and treatment are provided in the least intrusive and restrictive way </w:t>
      </w:r>
    </w:p>
    <w:p w14:paraId="20C47F00" w14:textId="4EABC3E2" w:rsidR="00381B2F" w:rsidRPr="008F76E3" w:rsidRDefault="00381B2F" w:rsidP="00563C62">
      <w:pPr>
        <w:pStyle w:val="Bullet1"/>
      </w:pPr>
      <w:r w:rsidRPr="00F04593">
        <w:t xml:space="preserve">people are supported to make and </w:t>
      </w:r>
      <w:r w:rsidR="005B0764">
        <w:t>take part</w:t>
      </w:r>
      <w:r w:rsidR="005B0764" w:rsidRPr="00F04593">
        <w:t xml:space="preserve"> </w:t>
      </w:r>
      <w:r w:rsidRPr="00F04593">
        <w:t xml:space="preserve">in decisions about their assessment, </w:t>
      </w:r>
      <w:proofErr w:type="gramStart"/>
      <w:r w:rsidRPr="00F04593">
        <w:t>treatment</w:t>
      </w:r>
      <w:proofErr w:type="gramEnd"/>
      <w:r w:rsidRPr="00F04593">
        <w:t xml:space="preserve"> and recovery </w:t>
      </w:r>
    </w:p>
    <w:p w14:paraId="2D48E65D" w14:textId="77777777" w:rsidR="00381B2F" w:rsidRPr="008F76E3" w:rsidRDefault="00381B2F" w:rsidP="00563C62">
      <w:pPr>
        <w:pStyle w:val="Bullet1"/>
      </w:pPr>
      <w:r w:rsidRPr="00F04593">
        <w:t xml:space="preserve">individuals’ rights, dignity and autonomy are protected and </w:t>
      </w:r>
      <w:proofErr w:type="gramStart"/>
      <w:r w:rsidRPr="00F04593">
        <w:t>promoted at all times</w:t>
      </w:r>
      <w:proofErr w:type="gramEnd"/>
      <w:r w:rsidRPr="00F04593">
        <w:t xml:space="preserve"> </w:t>
      </w:r>
    </w:p>
    <w:p w14:paraId="60BA3C93" w14:textId="6A9FBD4B" w:rsidR="00381B2F" w:rsidRPr="008F76E3" w:rsidRDefault="00381B2F" w:rsidP="00563C62">
      <w:pPr>
        <w:pStyle w:val="Bullet1"/>
      </w:pPr>
      <w:r w:rsidRPr="00F04593">
        <w:t>priority is given to holistic care and support options that respon</w:t>
      </w:r>
      <w:r w:rsidR="00B90937">
        <w:t>d</w:t>
      </w:r>
      <w:r w:rsidRPr="00F04593">
        <w:t xml:space="preserve"> to individual needs</w:t>
      </w:r>
    </w:p>
    <w:p w14:paraId="63B2B57B" w14:textId="77777777" w:rsidR="00381B2F" w:rsidRPr="008F76E3" w:rsidRDefault="00381B2F" w:rsidP="00563C62">
      <w:pPr>
        <w:pStyle w:val="Bullet1"/>
      </w:pPr>
      <w:r w:rsidRPr="00F04593">
        <w:t xml:space="preserve">the wellbeing and safety of children and young people are protected and prioritised </w:t>
      </w:r>
    </w:p>
    <w:p w14:paraId="59E926F8" w14:textId="77777777" w:rsidR="00381B2F" w:rsidRDefault="00381B2F" w:rsidP="00563C62">
      <w:pPr>
        <w:pStyle w:val="Bullet1"/>
        <w:rPr>
          <w:lang w:val="en-US"/>
        </w:rPr>
      </w:pPr>
      <w:r w:rsidRPr="00F04593">
        <w:t>carers are recognised</w:t>
      </w:r>
      <w:r w:rsidRPr="00F04593">
        <w:rPr>
          <w:lang w:val="en-US"/>
        </w:rPr>
        <w:t xml:space="preserve"> and supported in decisions about treatment and care. </w:t>
      </w:r>
    </w:p>
    <w:p w14:paraId="7CE7841D" w14:textId="2FB5F796" w:rsidR="00381B2F" w:rsidRPr="0032154F" w:rsidRDefault="00381B2F" w:rsidP="0032154F">
      <w:pPr>
        <w:pStyle w:val="Bodyafterbullets"/>
      </w:pPr>
      <w:bookmarkStart w:id="11" w:name="_Toc52886234"/>
      <w:r w:rsidRPr="0032154F">
        <w:rPr>
          <w:rStyle w:val="Heading3Char"/>
          <w:rFonts w:eastAsia="Times"/>
          <w:bCs w:val="0"/>
          <w:sz w:val="21"/>
          <w:szCs w:val="21"/>
        </w:rPr>
        <w:t xml:space="preserve">Under s 119 of the Act, the Secretary </w:t>
      </w:r>
      <w:r w:rsidR="00612485" w:rsidRPr="0032154F">
        <w:rPr>
          <w:rStyle w:val="Heading3Char"/>
          <w:rFonts w:eastAsia="Times"/>
          <w:bCs w:val="0"/>
          <w:sz w:val="21"/>
          <w:szCs w:val="21"/>
        </w:rPr>
        <w:t>of</w:t>
      </w:r>
      <w:r w:rsidRPr="0032154F">
        <w:rPr>
          <w:rStyle w:val="Heading3Char"/>
          <w:rFonts w:eastAsia="Times"/>
          <w:bCs w:val="0"/>
          <w:sz w:val="21"/>
          <w:szCs w:val="21"/>
        </w:rPr>
        <w:t xml:space="preserve"> the Department of Health (</w:t>
      </w:r>
      <w:r w:rsidR="002B14AA" w:rsidRPr="0032154F">
        <w:rPr>
          <w:rStyle w:val="Heading3Char"/>
          <w:rFonts w:eastAsia="Times"/>
          <w:bCs w:val="0"/>
          <w:sz w:val="21"/>
          <w:szCs w:val="21"/>
        </w:rPr>
        <w:t>formerly ‘</w:t>
      </w:r>
      <w:r w:rsidR="0049278C" w:rsidRPr="0032154F">
        <w:rPr>
          <w:rStyle w:val="Heading3Char"/>
          <w:rFonts w:eastAsia="Times"/>
          <w:bCs w:val="0"/>
          <w:sz w:val="21"/>
          <w:szCs w:val="21"/>
        </w:rPr>
        <w:t>Department of Health and Human Services’</w:t>
      </w:r>
      <w:r w:rsidR="003A0997" w:rsidRPr="0032154F">
        <w:rPr>
          <w:rStyle w:val="Heading3Char"/>
          <w:rFonts w:eastAsia="Times"/>
          <w:bCs w:val="0"/>
          <w:sz w:val="21"/>
          <w:szCs w:val="21"/>
        </w:rPr>
        <w:t xml:space="preserve">; </w:t>
      </w:r>
      <w:r w:rsidR="006F55A8" w:rsidRPr="0032154F">
        <w:rPr>
          <w:rStyle w:val="Heading3Char"/>
          <w:rFonts w:eastAsia="Times"/>
          <w:bCs w:val="0"/>
          <w:sz w:val="21"/>
          <w:szCs w:val="21"/>
        </w:rPr>
        <w:t>abbreviated</w:t>
      </w:r>
      <w:r w:rsidR="003A0997" w:rsidRPr="0032154F">
        <w:rPr>
          <w:rStyle w:val="Heading3Char"/>
          <w:rFonts w:eastAsia="Times"/>
          <w:bCs w:val="0"/>
          <w:sz w:val="21"/>
          <w:szCs w:val="21"/>
        </w:rPr>
        <w:t xml:space="preserve"> as </w:t>
      </w:r>
      <w:r w:rsidRPr="0032154F">
        <w:rPr>
          <w:rStyle w:val="Heading3Char"/>
          <w:rFonts w:eastAsia="Times"/>
          <w:bCs w:val="0"/>
          <w:sz w:val="21"/>
          <w:szCs w:val="21"/>
        </w:rPr>
        <w:t xml:space="preserve">‘the </w:t>
      </w:r>
      <w:r w:rsidR="00ED205E">
        <w:rPr>
          <w:rStyle w:val="Heading3Char"/>
          <w:rFonts w:eastAsia="Times"/>
          <w:bCs w:val="0"/>
          <w:sz w:val="21"/>
          <w:szCs w:val="21"/>
        </w:rPr>
        <w:t>d</w:t>
      </w:r>
      <w:r w:rsidRPr="0032154F">
        <w:rPr>
          <w:rStyle w:val="Heading3Char"/>
          <w:rFonts w:eastAsia="Times"/>
          <w:bCs w:val="0"/>
          <w:sz w:val="21"/>
          <w:szCs w:val="21"/>
        </w:rPr>
        <w:t>epartment’</w:t>
      </w:r>
      <w:r w:rsidR="003A0997" w:rsidRPr="0032154F">
        <w:rPr>
          <w:rStyle w:val="Heading3Char"/>
          <w:rFonts w:eastAsia="Times"/>
          <w:bCs w:val="0"/>
          <w:sz w:val="21"/>
          <w:szCs w:val="21"/>
        </w:rPr>
        <w:t xml:space="preserve"> hereon</w:t>
      </w:r>
      <w:r w:rsidRPr="0032154F">
        <w:rPr>
          <w:rStyle w:val="Heading3Char"/>
          <w:rFonts w:eastAsia="Times"/>
          <w:bCs w:val="0"/>
          <w:sz w:val="21"/>
          <w:szCs w:val="21"/>
        </w:rPr>
        <w:t>) can appoint a Chief Psychiatrist. The role of the Chief Psychiatrist, as described in s 120 of the Act, is to:</w:t>
      </w:r>
      <w:bookmarkEnd w:id="11"/>
      <w:r w:rsidRPr="0032154F">
        <w:t xml:space="preserve"> </w:t>
      </w:r>
    </w:p>
    <w:p w14:paraId="58C43AE7" w14:textId="598965E2" w:rsidR="00381B2F" w:rsidRPr="008F76E3" w:rsidRDefault="00381B2F" w:rsidP="00563C62">
      <w:pPr>
        <w:pStyle w:val="Bullet1"/>
      </w:pPr>
      <w:r w:rsidRPr="00F04593">
        <w:t>provide clinical leadership and expert clinical advice to mental health service providers</w:t>
      </w:r>
    </w:p>
    <w:p w14:paraId="7B149F2F" w14:textId="77777777" w:rsidR="00381B2F" w:rsidRPr="008F76E3" w:rsidRDefault="00381B2F" w:rsidP="00563C62">
      <w:pPr>
        <w:pStyle w:val="Bullet1"/>
      </w:pPr>
      <w:r w:rsidRPr="00F04593">
        <w:t xml:space="preserve">promote continuous improvement in the quality and safety of mental health services </w:t>
      </w:r>
    </w:p>
    <w:p w14:paraId="612BC429" w14:textId="77777777" w:rsidR="00381B2F" w:rsidRPr="008F76E3" w:rsidRDefault="00381B2F" w:rsidP="00563C62">
      <w:pPr>
        <w:pStyle w:val="Bullet1"/>
      </w:pPr>
      <w:r w:rsidRPr="00F04593">
        <w:t xml:space="preserve">promote the rights of people receiving mental health services </w:t>
      </w:r>
    </w:p>
    <w:p w14:paraId="67113CEC" w14:textId="161A7E1A" w:rsidR="00381B2F" w:rsidRDefault="00381B2F" w:rsidP="00563C62">
      <w:pPr>
        <w:pStyle w:val="Bullet1"/>
      </w:pPr>
      <w:r w:rsidRPr="00F04593">
        <w:t xml:space="preserve">provide advice to the designated </w:t>
      </w:r>
      <w:r w:rsidR="00E42FD4">
        <w:t>M</w:t>
      </w:r>
      <w:r w:rsidRPr="00F04593">
        <w:t xml:space="preserve">inister and the departmental Secretary about mental health </w:t>
      </w:r>
      <w:r w:rsidRPr="00397F78">
        <w:t>services</w:t>
      </w:r>
      <w:r w:rsidRPr="00F04593">
        <w:t>.</w:t>
      </w:r>
      <w:r w:rsidR="0057779F">
        <w:t xml:space="preserve"> </w:t>
      </w:r>
    </w:p>
    <w:p w14:paraId="10766F9E" w14:textId="340610CC" w:rsidR="00381B2F" w:rsidRPr="00F04593" w:rsidRDefault="00381B2F" w:rsidP="0032154F">
      <w:pPr>
        <w:pStyle w:val="Bodyafterbullets"/>
        <w:rPr>
          <w:lang w:val="en-US"/>
        </w:rPr>
      </w:pPr>
      <w:r w:rsidRPr="00F04593">
        <w:rPr>
          <w:lang w:val="en-US"/>
        </w:rPr>
        <w:t>Under the Act, ‘mental health service providers’ are designated mental health services (often public or denominational hospitals) and publicly funded mental health community support services. Often referred to jointly as ‘public mental health services’, these services include a range of hospital and</w:t>
      </w:r>
      <w:r>
        <w:rPr>
          <w:lang w:val="en-US"/>
        </w:rPr>
        <w:t xml:space="preserve"> </w:t>
      </w:r>
      <w:r w:rsidRPr="00F04593">
        <w:rPr>
          <w:lang w:val="en-US"/>
        </w:rPr>
        <w:t>community-based clinical mental health services and the Victorian Institute of Forensic Mental Health (known as ‘</w:t>
      </w:r>
      <w:proofErr w:type="spellStart"/>
      <w:r w:rsidRPr="00F04593">
        <w:rPr>
          <w:lang w:val="en-US"/>
        </w:rPr>
        <w:t>Forensicare</w:t>
      </w:r>
      <w:proofErr w:type="spellEnd"/>
      <w:r w:rsidRPr="00F04593">
        <w:rPr>
          <w:lang w:val="en-US"/>
        </w:rPr>
        <w:t xml:space="preserve">’). More information about the Mental Health Act and how it relates to the role of the Chief Psychiatrist can be found on </w:t>
      </w:r>
      <w:hyperlink r:id="rId16" w:history="1">
        <w:r w:rsidR="00EE5025" w:rsidRPr="00433C13">
          <w:rPr>
            <w:rStyle w:val="Hyperlink"/>
            <w:lang w:val="en-US"/>
          </w:rPr>
          <w:t xml:space="preserve">the </w:t>
        </w:r>
        <w:r w:rsidR="00ED205E">
          <w:rPr>
            <w:rStyle w:val="Hyperlink"/>
            <w:lang w:val="en-US"/>
          </w:rPr>
          <w:t>d</w:t>
        </w:r>
        <w:r w:rsidR="00EE5025" w:rsidRPr="00433C13">
          <w:rPr>
            <w:rStyle w:val="Hyperlink"/>
            <w:lang w:val="en-US"/>
          </w:rPr>
          <w:t>epartment’s website</w:t>
        </w:r>
      </w:hyperlink>
      <w:r w:rsidRPr="00F04593">
        <w:rPr>
          <w:lang w:val="en-US"/>
        </w:rPr>
        <w:t xml:space="preserve"> </w:t>
      </w:r>
      <w:r w:rsidR="00500664">
        <w:rPr>
          <w:lang w:val="en-US"/>
        </w:rPr>
        <w:t>&lt;</w:t>
      </w:r>
      <w:r w:rsidR="005C0931" w:rsidRPr="005C0931">
        <w:t>https://www.health.vic.gov.au/practice-and-service-quality/mental-health-act-2014</w:t>
      </w:r>
      <w:r w:rsidR="00500664">
        <w:rPr>
          <w:lang w:val="en-US"/>
        </w:rPr>
        <w:t>&gt;</w:t>
      </w:r>
      <w:r w:rsidRPr="00F04593">
        <w:rPr>
          <w:lang w:val="en-US"/>
        </w:rPr>
        <w:t>.</w:t>
      </w:r>
      <w:r w:rsidR="0057779F">
        <w:rPr>
          <w:lang w:val="en-US"/>
        </w:rPr>
        <w:t xml:space="preserve"> </w:t>
      </w:r>
    </w:p>
    <w:p w14:paraId="4E9E4CAA" w14:textId="07142783" w:rsidR="006B3F7E" w:rsidRPr="004A5DB4" w:rsidRDefault="00123091" w:rsidP="009A5423">
      <w:pPr>
        <w:pStyle w:val="Body"/>
        <w:rPr>
          <w:b/>
          <w:color w:val="004EA8"/>
          <w:lang w:val="en-US"/>
        </w:rPr>
      </w:pPr>
      <w:bookmarkStart w:id="12" w:name="_Toc52886235"/>
      <w:r w:rsidRPr="00123091">
        <w:rPr>
          <w:lang w:val="en-US"/>
        </w:rPr>
        <w:t>The Royal Commission into Victoria’s Mental Health System recommended the Victorian Government repeal the Mental Health Act and enact a new Mental Health and Wellbeing Act.</w:t>
      </w:r>
      <w:r>
        <w:rPr>
          <w:lang w:val="en-US"/>
        </w:rPr>
        <w:t xml:space="preserve"> In June 2022, t</w:t>
      </w:r>
      <w:r w:rsidR="00BD0B6D" w:rsidRPr="00BD0B6D">
        <w:rPr>
          <w:lang w:val="en-US"/>
        </w:rPr>
        <w:t>he Victorian Government introduced the new Mental Health and Wellbeing Bill to the Victorian Parliament</w:t>
      </w:r>
      <w:r w:rsidR="00BD0B6D">
        <w:rPr>
          <w:lang w:val="en-US"/>
        </w:rPr>
        <w:t xml:space="preserve"> as part of </w:t>
      </w:r>
      <w:r>
        <w:rPr>
          <w:lang w:val="en-US"/>
        </w:rPr>
        <w:t>implementing this key recommendation. The</w:t>
      </w:r>
      <w:r w:rsidR="00BD0B6D">
        <w:rPr>
          <w:lang w:val="en-US"/>
        </w:rPr>
        <w:t xml:space="preserve"> new Act</w:t>
      </w:r>
      <w:r>
        <w:rPr>
          <w:lang w:val="en-US"/>
        </w:rPr>
        <w:t xml:space="preserve"> is </w:t>
      </w:r>
      <w:r w:rsidR="00BD0B6D">
        <w:rPr>
          <w:lang w:val="en-US"/>
        </w:rPr>
        <w:t xml:space="preserve">expected to </w:t>
      </w:r>
      <w:r w:rsidR="00B90937">
        <w:rPr>
          <w:lang w:val="en-US"/>
        </w:rPr>
        <w:t xml:space="preserve">take effect about </w:t>
      </w:r>
      <w:r w:rsidR="00BD0B6D">
        <w:rPr>
          <w:lang w:val="en-US"/>
        </w:rPr>
        <w:t xml:space="preserve">one year after </w:t>
      </w:r>
      <w:r>
        <w:rPr>
          <w:lang w:val="en-US"/>
        </w:rPr>
        <w:t xml:space="preserve">parliament passes the </w:t>
      </w:r>
      <w:r w:rsidR="00B90937">
        <w:rPr>
          <w:lang w:val="en-US"/>
        </w:rPr>
        <w:t>B</w:t>
      </w:r>
      <w:r>
        <w:rPr>
          <w:lang w:val="en-US"/>
        </w:rPr>
        <w:t xml:space="preserve">ill. </w:t>
      </w:r>
      <w:r w:rsidR="006B3F7E" w:rsidRPr="004A5DB4">
        <w:rPr>
          <w:lang w:val="en-US"/>
        </w:rPr>
        <w:br w:type="page"/>
      </w:r>
    </w:p>
    <w:p w14:paraId="2D4EE82A" w14:textId="55B81652" w:rsidR="00381B2F" w:rsidRPr="00CB452A" w:rsidRDefault="00381B2F" w:rsidP="00381B2F">
      <w:pPr>
        <w:pStyle w:val="Heading2"/>
        <w:rPr>
          <w:color w:val="FF0000"/>
          <w:lang w:val="en-US"/>
        </w:rPr>
      </w:pPr>
      <w:bookmarkStart w:id="13" w:name="_Toc118293967"/>
      <w:r w:rsidRPr="00F04593">
        <w:rPr>
          <w:lang w:val="en-US"/>
        </w:rPr>
        <w:lastRenderedPageBreak/>
        <w:t>Functions of the Chief Psychiatrist</w:t>
      </w:r>
      <w:bookmarkEnd w:id="12"/>
      <w:bookmarkEnd w:id="13"/>
    </w:p>
    <w:p w14:paraId="472D6A53" w14:textId="2B3C72CE" w:rsidR="00381B2F" w:rsidRDefault="00381B2F" w:rsidP="00563C62">
      <w:pPr>
        <w:pStyle w:val="Body"/>
        <w:rPr>
          <w:lang w:val="en-US"/>
        </w:rPr>
      </w:pPr>
      <w:r w:rsidRPr="00F04593">
        <w:rPr>
          <w:lang w:val="en-US"/>
        </w:rPr>
        <w:t xml:space="preserve">The Chief Psychiatrist provides system-wide oversight of Victoria’s public mental health services. Supported by the OCP, the role promotes quality and safety in services </w:t>
      </w:r>
      <w:r w:rsidR="00751A64">
        <w:rPr>
          <w:lang w:val="en-US"/>
        </w:rPr>
        <w:t xml:space="preserve">that are </w:t>
      </w:r>
      <w:r w:rsidRPr="00F04593">
        <w:rPr>
          <w:lang w:val="en-US"/>
        </w:rPr>
        <w:t xml:space="preserve">provided to some of </w:t>
      </w:r>
      <w:r w:rsidR="000846DB">
        <w:rPr>
          <w:lang w:val="en-US"/>
        </w:rPr>
        <w:t>the state’s</w:t>
      </w:r>
      <w:r w:rsidR="000846DB" w:rsidRPr="00F04593">
        <w:rPr>
          <w:lang w:val="en-US"/>
        </w:rPr>
        <w:t xml:space="preserve"> </w:t>
      </w:r>
      <w:r w:rsidRPr="00F04593">
        <w:rPr>
          <w:lang w:val="en-US"/>
        </w:rPr>
        <w:t xml:space="preserve">most vulnerable people. The functions of the Chief Psychiatrist, as </w:t>
      </w:r>
      <w:proofErr w:type="spellStart"/>
      <w:r w:rsidRPr="00F04593">
        <w:rPr>
          <w:lang w:val="en-US"/>
        </w:rPr>
        <w:t>summarised</w:t>
      </w:r>
      <w:proofErr w:type="spellEnd"/>
      <w:r w:rsidRPr="00F04593">
        <w:rPr>
          <w:lang w:val="en-US"/>
        </w:rPr>
        <w:t xml:space="preserve"> under s 121 of the </w:t>
      </w:r>
      <w:r w:rsidR="005E58D9">
        <w:rPr>
          <w:lang w:val="en-US"/>
        </w:rPr>
        <w:t xml:space="preserve">Mental Health </w:t>
      </w:r>
      <w:r w:rsidRPr="00F04593">
        <w:rPr>
          <w:lang w:val="en-US"/>
        </w:rPr>
        <w:t xml:space="preserve">Act, </w:t>
      </w:r>
      <w:r w:rsidR="0062282B">
        <w:rPr>
          <w:lang w:val="en-US"/>
        </w:rPr>
        <w:t>include</w:t>
      </w:r>
      <w:r w:rsidR="00FA4B8C">
        <w:rPr>
          <w:lang w:val="en-US"/>
        </w:rPr>
        <w:t xml:space="preserve"> a requirement</w:t>
      </w:r>
      <w:r w:rsidRPr="00F04593">
        <w:rPr>
          <w:lang w:val="en-US"/>
        </w:rPr>
        <w:t xml:space="preserve"> to: </w:t>
      </w:r>
    </w:p>
    <w:p w14:paraId="3454CE8A" w14:textId="77777777" w:rsidR="00381B2F" w:rsidRPr="00F04593" w:rsidRDefault="00381B2F" w:rsidP="00563C62">
      <w:pPr>
        <w:pStyle w:val="Bullet1"/>
      </w:pPr>
      <w:r w:rsidRPr="00F04593">
        <w:t xml:space="preserve">develop, </w:t>
      </w:r>
      <w:proofErr w:type="gramStart"/>
      <w:r w:rsidRPr="00F04593">
        <w:t>communicate</w:t>
      </w:r>
      <w:proofErr w:type="gramEnd"/>
      <w:r w:rsidRPr="00F04593">
        <w:t xml:space="preserve"> and assist mental health service providers to comply with standards, guidelines and practice directions </w:t>
      </w:r>
    </w:p>
    <w:p w14:paraId="54DF4D96" w14:textId="30F0C1E5" w:rsidR="00381B2F" w:rsidRDefault="00381B2F" w:rsidP="00563C62">
      <w:pPr>
        <w:pStyle w:val="Bullet1"/>
      </w:pPr>
      <w:r w:rsidRPr="00F04593">
        <w:t xml:space="preserve">assist mental health services to comply with the Act, </w:t>
      </w:r>
      <w:r w:rsidR="00612485">
        <w:t xml:space="preserve">with </w:t>
      </w:r>
      <w:r w:rsidRPr="00F04593">
        <w:t xml:space="preserve">regulations made under the Act and </w:t>
      </w:r>
      <w:r w:rsidR="00612485">
        <w:t xml:space="preserve">with </w:t>
      </w:r>
      <w:r w:rsidRPr="00F04593">
        <w:t>codes of practice</w:t>
      </w:r>
    </w:p>
    <w:p w14:paraId="6467B989" w14:textId="77777777" w:rsidR="003640C3" w:rsidRPr="003640C3" w:rsidRDefault="003640C3" w:rsidP="003640C3">
      <w:pPr>
        <w:pStyle w:val="Bullet1"/>
      </w:pPr>
      <w:r w:rsidRPr="003640C3">
        <w:t xml:space="preserve">develop and provide information or training, and monitor service provision, to promote quality and safety </w:t>
      </w:r>
    </w:p>
    <w:p w14:paraId="15B04E75" w14:textId="77777777" w:rsidR="00381B2F" w:rsidRPr="00F04593" w:rsidRDefault="00381B2F" w:rsidP="00563C62">
      <w:pPr>
        <w:pStyle w:val="Bullet1"/>
      </w:pPr>
      <w:r w:rsidRPr="00F04593">
        <w:t xml:space="preserve">conduct clinical practice audits and clinical reviews of mental health service providers and investigations in relation to service provision </w:t>
      </w:r>
    </w:p>
    <w:p w14:paraId="27BEA59D" w14:textId="77777777" w:rsidR="00381B2F" w:rsidRDefault="00381B2F" w:rsidP="00563C62">
      <w:pPr>
        <w:pStyle w:val="Bullet1"/>
      </w:pPr>
      <w:r w:rsidRPr="00F04593">
        <w:t xml:space="preserve">analyse data, undertake </w:t>
      </w:r>
      <w:proofErr w:type="gramStart"/>
      <w:r w:rsidRPr="00F04593">
        <w:t>research</w:t>
      </w:r>
      <w:proofErr w:type="gramEnd"/>
      <w:r w:rsidRPr="00F04593">
        <w:t xml:space="preserve"> and publish information about mental health services </w:t>
      </w:r>
    </w:p>
    <w:p w14:paraId="57E439F9" w14:textId="77777777" w:rsidR="00381B2F" w:rsidRPr="00F04593" w:rsidRDefault="00381B2F" w:rsidP="00563C62">
      <w:pPr>
        <w:pStyle w:val="Bullet1"/>
      </w:pPr>
      <w:r w:rsidRPr="00F04593">
        <w:t xml:space="preserve">publish an annual report </w:t>
      </w:r>
    </w:p>
    <w:p w14:paraId="6990D94D" w14:textId="77777777" w:rsidR="00381B2F" w:rsidRPr="00F04593" w:rsidRDefault="00381B2F" w:rsidP="00563C62">
      <w:pPr>
        <w:pStyle w:val="Bullet1"/>
      </w:pPr>
      <w:r w:rsidRPr="00F04593">
        <w:t xml:space="preserve">give directions to mental health service providers </w:t>
      </w:r>
      <w:r w:rsidR="00612485">
        <w:t xml:space="preserve">about </w:t>
      </w:r>
      <w:r w:rsidRPr="00F04593">
        <w:t>service provision</w:t>
      </w:r>
    </w:p>
    <w:p w14:paraId="74ED42A0" w14:textId="77777777" w:rsidR="00381B2F" w:rsidRDefault="00381B2F" w:rsidP="00563C62">
      <w:pPr>
        <w:pStyle w:val="Bullet1"/>
      </w:pPr>
      <w:r w:rsidRPr="00F04593">
        <w:t xml:space="preserve">promote cooperation and coordination between mental health services and providers of health, </w:t>
      </w:r>
      <w:proofErr w:type="gramStart"/>
      <w:r w:rsidRPr="00F04593">
        <w:t>disability</w:t>
      </w:r>
      <w:proofErr w:type="gramEnd"/>
      <w:r w:rsidRPr="00F04593">
        <w:t xml:space="preserve"> and community support services.</w:t>
      </w:r>
      <w:r w:rsidR="0057779F">
        <w:t xml:space="preserve"> </w:t>
      </w:r>
    </w:p>
    <w:p w14:paraId="0362C57D" w14:textId="59B22D6D" w:rsidR="00C2527A" w:rsidRPr="00F0735C" w:rsidRDefault="00381B2F" w:rsidP="00F0735C">
      <w:pPr>
        <w:pStyle w:val="Heading2"/>
        <w:rPr>
          <w:lang w:val="en-US"/>
        </w:rPr>
      </w:pPr>
      <w:bookmarkStart w:id="14" w:name="_Toc52886236"/>
      <w:bookmarkStart w:id="15" w:name="_Toc118293968"/>
      <w:r w:rsidRPr="00F04593">
        <w:rPr>
          <w:lang w:val="en-US"/>
        </w:rPr>
        <w:t>Office of the Chief Psychiatrist and the Department of Health</w:t>
      </w:r>
      <w:bookmarkEnd w:id="14"/>
      <w:bookmarkEnd w:id="15"/>
      <w:r w:rsidR="0045619A">
        <w:rPr>
          <w:lang w:val="en-US"/>
        </w:rPr>
        <w:t xml:space="preserve"> </w:t>
      </w:r>
    </w:p>
    <w:p w14:paraId="5234DE7A" w14:textId="490D14BD" w:rsidR="00381B2F" w:rsidRDefault="00381B2F" w:rsidP="00563C62">
      <w:pPr>
        <w:pStyle w:val="Body"/>
        <w:rPr>
          <w:lang w:val="en-US"/>
        </w:rPr>
      </w:pPr>
      <w:r w:rsidRPr="00F04593">
        <w:rPr>
          <w:lang w:val="en-US"/>
        </w:rPr>
        <w:t xml:space="preserve">The Act defines the statutory role of the Chief Psychiatrist, who also holds an executive officer role in the </w:t>
      </w:r>
      <w:r w:rsidR="00ED205E">
        <w:rPr>
          <w:lang w:val="en-US"/>
        </w:rPr>
        <w:t>d</w:t>
      </w:r>
      <w:r w:rsidRPr="00F04593">
        <w:rPr>
          <w:lang w:val="en-US"/>
        </w:rPr>
        <w:t>epartment</w:t>
      </w:r>
      <w:r w:rsidR="009159EC">
        <w:rPr>
          <w:lang w:val="en-US"/>
        </w:rPr>
        <w:t>, where they lead</w:t>
      </w:r>
      <w:r w:rsidRPr="00F04593">
        <w:rPr>
          <w:lang w:val="en-US"/>
        </w:rPr>
        <w:t xml:space="preserve"> the OCP.</w:t>
      </w:r>
      <w:r w:rsidR="0057779F">
        <w:rPr>
          <w:lang w:val="en-US"/>
        </w:rPr>
        <w:t xml:space="preserve"> </w:t>
      </w:r>
      <w:r w:rsidRPr="00F04593">
        <w:rPr>
          <w:lang w:val="en-US"/>
        </w:rPr>
        <w:t xml:space="preserve">As the </w:t>
      </w:r>
      <w:r w:rsidR="00ED205E">
        <w:rPr>
          <w:lang w:val="en-US"/>
        </w:rPr>
        <w:t>d</w:t>
      </w:r>
      <w:r w:rsidRPr="00F04593">
        <w:rPr>
          <w:lang w:val="en-US"/>
        </w:rPr>
        <w:t xml:space="preserve">epartment’s quality and safety ‘arm’ in </w:t>
      </w:r>
      <w:r w:rsidR="00B90937">
        <w:rPr>
          <w:lang w:val="en-US"/>
        </w:rPr>
        <w:t xml:space="preserve">guiding </w:t>
      </w:r>
      <w:r w:rsidRPr="00F04593">
        <w:rPr>
          <w:lang w:val="en-US"/>
        </w:rPr>
        <w:t xml:space="preserve">clinical mental health services, the OCP supports the Chief Psychiatrist’s responsibility to provide clinical leadership to the sector. </w:t>
      </w:r>
      <w:r w:rsidRPr="006D2325">
        <w:rPr>
          <w:lang w:val="en-US"/>
        </w:rPr>
        <w:t>The OCP</w:t>
      </w:r>
      <w:r w:rsidRPr="00F04593">
        <w:rPr>
          <w:lang w:val="en-US"/>
        </w:rPr>
        <w:t xml:space="preserve"> undertakes a wide range of activities including:</w:t>
      </w:r>
      <w:r w:rsidR="0057779F">
        <w:rPr>
          <w:lang w:val="en-US"/>
        </w:rPr>
        <w:t xml:space="preserve"> </w:t>
      </w:r>
    </w:p>
    <w:p w14:paraId="5147CB88" w14:textId="77777777" w:rsidR="00381B2F" w:rsidRPr="00F04593" w:rsidRDefault="00381B2F" w:rsidP="00563C62">
      <w:pPr>
        <w:pStyle w:val="Bullet1"/>
      </w:pPr>
      <w:r w:rsidRPr="00F04593">
        <w:t xml:space="preserve">monitoring restrictive and invasive interventions, which include seclusion, </w:t>
      </w:r>
      <w:proofErr w:type="gramStart"/>
      <w:r w:rsidRPr="00F04593">
        <w:t>restraint</w:t>
      </w:r>
      <w:proofErr w:type="gramEnd"/>
      <w:r w:rsidRPr="00F04593">
        <w:t xml:space="preserve"> and electroconvulsive treatment (ECT) </w:t>
      </w:r>
    </w:p>
    <w:p w14:paraId="4A57F8BF" w14:textId="510E5722" w:rsidR="00381B2F" w:rsidRPr="00F04593" w:rsidRDefault="00381B2F" w:rsidP="00563C62">
      <w:pPr>
        <w:pStyle w:val="Bullet1"/>
      </w:pPr>
      <w:r w:rsidRPr="00F04593">
        <w:t>responding to serious clinical incidents</w:t>
      </w:r>
      <w:r w:rsidR="0057779F">
        <w:t xml:space="preserve"> </w:t>
      </w:r>
    </w:p>
    <w:p w14:paraId="2BEE9726" w14:textId="40106ACE" w:rsidR="00381B2F" w:rsidRPr="00F04593" w:rsidRDefault="00381B2F" w:rsidP="00563C62">
      <w:pPr>
        <w:pStyle w:val="Bullet1"/>
      </w:pPr>
      <w:r w:rsidRPr="00F04593">
        <w:t>working with mental health and other service providers to improve care for individual consumers</w:t>
      </w:r>
      <w:r w:rsidR="0057779F">
        <w:t xml:space="preserve"> </w:t>
      </w:r>
    </w:p>
    <w:p w14:paraId="7B294586" w14:textId="77777777" w:rsidR="00381B2F" w:rsidRDefault="00381B2F" w:rsidP="00563C62">
      <w:pPr>
        <w:pStyle w:val="Bullet1"/>
      </w:pPr>
      <w:r w:rsidRPr="00F04593">
        <w:t>helping to embed new practices and models of care.</w:t>
      </w:r>
    </w:p>
    <w:p w14:paraId="21A52B76" w14:textId="4E446FDD" w:rsidR="004A1104" w:rsidRDefault="00CB3D7A" w:rsidP="0032154F">
      <w:pPr>
        <w:pStyle w:val="Bodyafterbullets"/>
        <w:rPr>
          <w:lang w:val="en-US"/>
        </w:rPr>
      </w:pPr>
      <w:r>
        <w:rPr>
          <w:lang w:val="en-US"/>
        </w:rPr>
        <w:t>The OCP works closely with Safer Care Victoria to</w:t>
      </w:r>
      <w:r w:rsidR="004871F0">
        <w:rPr>
          <w:lang w:val="en-US"/>
        </w:rPr>
        <w:t xml:space="preserve"> ensure mental health service</w:t>
      </w:r>
      <w:r w:rsidR="003860F8">
        <w:rPr>
          <w:lang w:val="en-US"/>
        </w:rPr>
        <w:t>s</w:t>
      </w:r>
      <w:r w:rsidR="004871F0">
        <w:rPr>
          <w:lang w:val="en-US"/>
        </w:rPr>
        <w:t xml:space="preserve"> </w:t>
      </w:r>
      <w:r w:rsidR="003860F8">
        <w:rPr>
          <w:lang w:val="en-US"/>
        </w:rPr>
        <w:t>are</w:t>
      </w:r>
      <w:r w:rsidR="004871F0">
        <w:rPr>
          <w:lang w:val="en-US"/>
        </w:rPr>
        <w:t xml:space="preserve"> safe and of a high standard. </w:t>
      </w:r>
      <w:r w:rsidR="00017299">
        <w:rPr>
          <w:lang w:val="en-US"/>
        </w:rPr>
        <w:t xml:space="preserve">In the new mental health and wellbeing system recommended by the Royal Commission, quality and safety governance is </w:t>
      </w:r>
      <w:r w:rsidR="00FC032F">
        <w:rPr>
          <w:lang w:val="en-US"/>
        </w:rPr>
        <w:t>a</w:t>
      </w:r>
      <w:r w:rsidR="00017299">
        <w:rPr>
          <w:lang w:val="en-US"/>
        </w:rPr>
        <w:t xml:space="preserve"> responsibility </w:t>
      </w:r>
      <w:r w:rsidR="00FC032F">
        <w:rPr>
          <w:lang w:val="en-US"/>
        </w:rPr>
        <w:t xml:space="preserve">shared </w:t>
      </w:r>
      <w:r w:rsidR="00017299">
        <w:rPr>
          <w:lang w:val="en-US"/>
        </w:rPr>
        <w:t xml:space="preserve">between </w:t>
      </w:r>
      <w:r w:rsidR="00FC032F">
        <w:rPr>
          <w:lang w:val="en-US"/>
        </w:rPr>
        <w:t>each body</w:t>
      </w:r>
      <w:r w:rsidR="003860F8">
        <w:rPr>
          <w:lang w:val="en-US"/>
        </w:rPr>
        <w:t>.</w:t>
      </w:r>
      <w:r w:rsidR="00FC032F">
        <w:rPr>
          <w:lang w:val="en-US"/>
        </w:rPr>
        <w:t xml:space="preserve"> </w:t>
      </w:r>
      <w:r w:rsidR="003860F8">
        <w:rPr>
          <w:lang w:val="en-US"/>
        </w:rPr>
        <w:t>T</w:t>
      </w:r>
      <w:r w:rsidR="00FC032F">
        <w:rPr>
          <w:lang w:val="en-US"/>
        </w:rPr>
        <w:t xml:space="preserve">he </w:t>
      </w:r>
      <w:r w:rsidR="0040158E">
        <w:rPr>
          <w:lang w:val="en-US"/>
        </w:rPr>
        <w:t>OCP undertak</w:t>
      </w:r>
      <w:r w:rsidR="002A2773">
        <w:rPr>
          <w:lang w:val="en-US"/>
        </w:rPr>
        <w:t>es</w:t>
      </w:r>
      <w:r w:rsidR="0040158E">
        <w:rPr>
          <w:lang w:val="en-US"/>
        </w:rPr>
        <w:t xml:space="preserve"> its </w:t>
      </w:r>
      <w:r w:rsidR="00FC032F">
        <w:rPr>
          <w:lang w:val="en-US"/>
        </w:rPr>
        <w:t xml:space="preserve">oversight activities </w:t>
      </w:r>
      <w:r w:rsidR="0040158E">
        <w:rPr>
          <w:lang w:val="en-US"/>
        </w:rPr>
        <w:t xml:space="preserve">alongside </w:t>
      </w:r>
      <w:r w:rsidR="00294135">
        <w:rPr>
          <w:lang w:val="en-US"/>
        </w:rPr>
        <w:t xml:space="preserve">Safer Care Victoria’s </w:t>
      </w:r>
      <w:r w:rsidR="00FC032F">
        <w:rPr>
          <w:lang w:val="en-US"/>
        </w:rPr>
        <w:t xml:space="preserve">training </w:t>
      </w:r>
      <w:r w:rsidR="000A559C">
        <w:rPr>
          <w:lang w:val="en-US"/>
        </w:rPr>
        <w:t xml:space="preserve">and education activities </w:t>
      </w:r>
      <w:r w:rsidR="00FC032F">
        <w:rPr>
          <w:lang w:val="en-US"/>
        </w:rPr>
        <w:t xml:space="preserve">to </w:t>
      </w:r>
      <w:r w:rsidR="00FA2B04">
        <w:rPr>
          <w:lang w:val="en-US"/>
        </w:rPr>
        <w:t>embed</w:t>
      </w:r>
      <w:r w:rsidR="00FC032F">
        <w:rPr>
          <w:lang w:val="en-US"/>
        </w:rPr>
        <w:t xml:space="preserve"> contemporary approaches to treatment and care</w:t>
      </w:r>
      <w:r w:rsidR="00017299">
        <w:rPr>
          <w:lang w:val="en-US"/>
        </w:rPr>
        <w:t xml:space="preserve">. </w:t>
      </w:r>
      <w:r w:rsidR="008C4D68">
        <w:rPr>
          <w:lang w:val="en-US"/>
        </w:rPr>
        <w:t xml:space="preserve">Regular meetings </w:t>
      </w:r>
      <w:r w:rsidR="00CA5340">
        <w:rPr>
          <w:lang w:val="en-US"/>
        </w:rPr>
        <w:t>with Safer Care Victoria</w:t>
      </w:r>
      <w:r w:rsidR="008B2E78">
        <w:rPr>
          <w:lang w:val="en-US"/>
        </w:rPr>
        <w:t xml:space="preserve"> </w:t>
      </w:r>
      <w:r w:rsidR="003860F8">
        <w:rPr>
          <w:lang w:val="en-US"/>
        </w:rPr>
        <w:t xml:space="preserve">help </w:t>
      </w:r>
      <w:r w:rsidR="00E777D3">
        <w:rPr>
          <w:lang w:val="en-US"/>
        </w:rPr>
        <w:t>align</w:t>
      </w:r>
      <w:r w:rsidR="00C85EAC">
        <w:rPr>
          <w:lang w:val="en-US"/>
        </w:rPr>
        <w:t xml:space="preserve"> these</w:t>
      </w:r>
      <w:r w:rsidR="00017299">
        <w:rPr>
          <w:lang w:val="en-US"/>
        </w:rPr>
        <w:t xml:space="preserve"> </w:t>
      </w:r>
      <w:r w:rsidR="00FC032F">
        <w:rPr>
          <w:lang w:val="en-US"/>
        </w:rPr>
        <w:t>activities</w:t>
      </w:r>
      <w:r w:rsidR="00017299">
        <w:rPr>
          <w:lang w:val="en-US"/>
        </w:rPr>
        <w:t xml:space="preserve"> </w:t>
      </w:r>
      <w:r w:rsidR="00FA2B04">
        <w:rPr>
          <w:lang w:val="en-US"/>
        </w:rPr>
        <w:t>and ensure mental health governance is integrated and effective.</w:t>
      </w:r>
    </w:p>
    <w:p w14:paraId="60EE2401" w14:textId="7E801039" w:rsidR="00381B2F" w:rsidRPr="00C01899" w:rsidRDefault="00381B2F" w:rsidP="00381B2F">
      <w:pPr>
        <w:pStyle w:val="Heading2"/>
      </w:pPr>
      <w:bookmarkStart w:id="16" w:name="_Toc52886237"/>
      <w:bookmarkStart w:id="17" w:name="_Toc118293969"/>
      <w:bookmarkStart w:id="18" w:name="_Hlk51074546"/>
      <w:r w:rsidRPr="00C01899">
        <w:t>The year in review</w:t>
      </w:r>
      <w:bookmarkEnd w:id="16"/>
      <w:bookmarkEnd w:id="17"/>
    </w:p>
    <w:p w14:paraId="5DA8CA13" w14:textId="18050E04" w:rsidR="008D59D0" w:rsidRDefault="008D59D0" w:rsidP="008D59D0">
      <w:pPr>
        <w:pStyle w:val="Body"/>
        <w:rPr>
          <w:lang w:val="en-US"/>
        </w:rPr>
      </w:pPr>
      <w:r>
        <w:rPr>
          <w:lang w:val="en-US"/>
        </w:rPr>
        <w:t xml:space="preserve">In July 2021 the OCP </w:t>
      </w:r>
      <w:r w:rsidR="003860F8">
        <w:rPr>
          <w:lang w:val="en-US"/>
        </w:rPr>
        <w:t xml:space="preserve">began </w:t>
      </w:r>
      <w:r>
        <w:rPr>
          <w:lang w:val="en-US"/>
        </w:rPr>
        <w:t xml:space="preserve">operating in a new structure as part of </w:t>
      </w:r>
      <w:r w:rsidR="003860F8">
        <w:rPr>
          <w:lang w:val="en-US"/>
        </w:rPr>
        <w:t xml:space="preserve">setting up the </w:t>
      </w:r>
      <w:r>
        <w:rPr>
          <w:lang w:val="en-US"/>
        </w:rPr>
        <w:t>overarching Mental Health and Wellbeing Division. This resulted</w:t>
      </w:r>
      <w:r w:rsidR="009E6ADE">
        <w:rPr>
          <w:lang w:val="en-US"/>
        </w:rPr>
        <w:t xml:space="preserve"> in</w:t>
      </w:r>
      <w:r>
        <w:rPr>
          <w:lang w:val="en-US"/>
        </w:rPr>
        <w:t xml:space="preserve"> two distinct teams – a clinical team led by the newly created </w:t>
      </w:r>
      <w:r w:rsidR="000A1B97">
        <w:rPr>
          <w:lang w:val="en-US"/>
        </w:rPr>
        <w:t>C</w:t>
      </w:r>
      <w:r>
        <w:rPr>
          <w:lang w:val="en-US"/>
        </w:rPr>
        <w:t xml:space="preserve">linical </w:t>
      </w:r>
      <w:r w:rsidR="000A1B97">
        <w:rPr>
          <w:lang w:val="en-US"/>
        </w:rPr>
        <w:t>M</w:t>
      </w:r>
      <w:r>
        <w:rPr>
          <w:lang w:val="en-US"/>
        </w:rPr>
        <w:t>anager role, and a non-clinical team compris</w:t>
      </w:r>
      <w:r w:rsidR="003860F8">
        <w:rPr>
          <w:lang w:val="en-US"/>
        </w:rPr>
        <w:t>ing</w:t>
      </w:r>
      <w:r>
        <w:rPr>
          <w:lang w:val="en-US"/>
        </w:rPr>
        <w:t xml:space="preserve"> project, </w:t>
      </w:r>
      <w:proofErr w:type="gramStart"/>
      <w:r>
        <w:rPr>
          <w:lang w:val="en-US"/>
        </w:rPr>
        <w:t>policy</w:t>
      </w:r>
      <w:proofErr w:type="gramEnd"/>
      <w:r>
        <w:rPr>
          <w:lang w:val="en-US"/>
        </w:rPr>
        <w:t xml:space="preserve"> and administrative staff, led by the </w:t>
      </w:r>
      <w:r w:rsidR="00E51C13">
        <w:rPr>
          <w:lang w:val="en-US"/>
        </w:rPr>
        <w:t>S</w:t>
      </w:r>
      <w:r>
        <w:rPr>
          <w:lang w:val="en-US"/>
        </w:rPr>
        <w:t>trategy</w:t>
      </w:r>
      <w:r w:rsidR="003860F8">
        <w:rPr>
          <w:lang w:val="en-US"/>
        </w:rPr>
        <w:t>,</w:t>
      </w:r>
      <w:r>
        <w:rPr>
          <w:lang w:val="en-US"/>
        </w:rPr>
        <w:t xml:space="preserve"> </w:t>
      </w:r>
      <w:r w:rsidR="00E51C13">
        <w:rPr>
          <w:lang w:val="en-US"/>
        </w:rPr>
        <w:t>P</w:t>
      </w:r>
      <w:r>
        <w:rPr>
          <w:lang w:val="en-US"/>
        </w:rPr>
        <w:t xml:space="preserve">olicy and </w:t>
      </w:r>
      <w:r w:rsidR="00E51C13">
        <w:rPr>
          <w:lang w:val="en-US"/>
        </w:rPr>
        <w:t>O</w:t>
      </w:r>
      <w:r>
        <w:rPr>
          <w:lang w:val="en-US"/>
        </w:rPr>
        <w:t>perations</w:t>
      </w:r>
      <w:r w:rsidR="00E51C13">
        <w:rPr>
          <w:lang w:val="en-US"/>
        </w:rPr>
        <w:t xml:space="preserve"> Manager</w:t>
      </w:r>
      <w:r>
        <w:rPr>
          <w:lang w:val="en-US"/>
        </w:rPr>
        <w:t xml:space="preserve">. </w:t>
      </w:r>
      <w:r w:rsidR="003860F8">
        <w:rPr>
          <w:lang w:val="en-US"/>
        </w:rPr>
        <w:t xml:space="preserve">Although </w:t>
      </w:r>
      <w:r>
        <w:rPr>
          <w:lang w:val="en-US"/>
        </w:rPr>
        <w:t>line management arrangements have been aligned in this way, staff across both teams continue to be involved across the breadth of operational and project activities. The commitment to collaboration and building a supportive team culture has enabled the OCP to grow positively, with a shared sense of purpose.</w:t>
      </w:r>
    </w:p>
    <w:p w14:paraId="2F5D14F8" w14:textId="5E0DB6F2" w:rsidR="008D59D0" w:rsidRDefault="008D59D0" w:rsidP="008D59D0">
      <w:pPr>
        <w:pStyle w:val="Body"/>
        <w:rPr>
          <w:lang w:val="en-US"/>
        </w:rPr>
      </w:pPr>
      <w:r>
        <w:rPr>
          <w:lang w:val="en-US"/>
        </w:rPr>
        <w:lastRenderedPageBreak/>
        <w:t xml:space="preserve">The transition of the Office of the Chief Mental Health Nurse from the OCP to Safer Care Victoria in July 2021 resulted in our consumer and </w:t>
      </w:r>
      <w:proofErr w:type="spellStart"/>
      <w:r>
        <w:rPr>
          <w:lang w:val="en-US"/>
        </w:rPr>
        <w:t>carer</w:t>
      </w:r>
      <w:proofErr w:type="spellEnd"/>
      <w:r>
        <w:rPr>
          <w:lang w:val="en-US"/>
        </w:rPr>
        <w:t xml:space="preserve"> adviser colleagues moving to S</w:t>
      </w:r>
      <w:r w:rsidR="005704D1">
        <w:rPr>
          <w:lang w:val="en-US"/>
        </w:rPr>
        <w:t xml:space="preserve">afer </w:t>
      </w:r>
      <w:r>
        <w:rPr>
          <w:lang w:val="en-US"/>
        </w:rPr>
        <w:t>C</w:t>
      </w:r>
      <w:r w:rsidR="005704D1">
        <w:rPr>
          <w:lang w:val="en-US"/>
        </w:rPr>
        <w:t xml:space="preserve">are </w:t>
      </w:r>
      <w:r>
        <w:rPr>
          <w:lang w:val="en-US"/>
        </w:rPr>
        <w:t>V</w:t>
      </w:r>
      <w:r w:rsidR="005704D1">
        <w:rPr>
          <w:lang w:val="en-US"/>
        </w:rPr>
        <w:t>ictoria</w:t>
      </w:r>
      <w:r>
        <w:rPr>
          <w:lang w:val="en-US"/>
        </w:rPr>
        <w:t xml:space="preserve"> as part of that team. While we continue to work with them closely across existing and emerging pieces of work, the OCP has also forged new relationships with the Lived Experience </w:t>
      </w:r>
      <w:r w:rsidR="00606416">
        <w:rPr>
          <w:lang w:val="en-US"/>
        </w:rPr>
        <w:t>B</w:t>
      </w:r>
      <w:r>
        <w:rPr>
          <w:lang w:val="en-US"/>
        </w:rPr>
        <w:t>ranch of the division</w:t>
      </w:r>
      <w:r w:rsidR="003860F8">
        <w:rPr>
          <w:lang w:val="en-US"/>
        </w:rPr>
        <w:t>. This is</w:t>
      </w:r>
      <w:r>
        <w:rPr>
          <w:lang w:val="en-US"/>
        </w:rPr>
        <w:t xml:space="preserve"> in addition to our connections with </w:t>
      </w:r>
      <w:r w:rsidR="0085745F">
        <w:rPr>
          <w:lang w:val="en-US"/>
        </w:rPr>
        <w:t xml:space="preserve">the peak consumer and </w:t>
      </w:r>
      <w:proofErr w:type="spellStart"/>
      <w:r w:rsidR="0085745F">
        <w:rPr>
          <w:lang w:val="en-US"/>
        </w:rPr>
        <w:t>carer</w:t>
      </w:r>
      <w:proofErr w:type="spellEnd"/>
      <w:r w:rsidR="0085745F">
        <w:rPr>
          <w:lang w:val="en-US"/>
        </w:rPr>
        <w:t xml:space="preserve"> bodies,</w:t>
      </w:r>
      <w:r w:rsidR="00AE5EC0">
        <w:rPr>
          <w:lang w:val="en-US"/>
        </w:rPr>
        <w:t xml:space="preserve"> </w:t>
      </w:r>
      <w:r w:rsidR="00D5437C">
        <w:rPr>
          <w:lang w:val="en-US"/>
        </w:rPr>
        <w:t>Victorian Mental Illness Awareness Council (</w:t>
      </w:r>
      <w:r>
        <w:rPr>
          <w:lang w:val="en-US"/>
        </w:rPr>
        <w:t>VMIAC</w:t>
      </w:r>
      <w:r w:rsidR="00D5437C">
        <w:rPr>
          <w:lang w:val="en-US"/>
        </w:rPr>
        <w:t>)</w:t>
      </w:r>
      <w:r>
        <w:rPr>
          <w:lang w:val="en-US"/>
        </w:rPr>
        <w:t xml:space="preserve"> and Tandem. This ensures our work continues to be grounded in co</w:t>
      </w:r>
      <w:r w:rsidR="003860F8">
        <w:rPr>
          <w:lang w:val="en-US"/>
        </w:rPr>
        <w:t>-</w:t>
      </w:r>
      <w:r>
        <w:rPr>
          <w:lang w:val="en-US"/>
        </w:rPr>
        <w:t xml:space="preserve">design and respects and reflects the views of consumers and </w:t>
      </w:r>
      <w:proofErr w:type="spellStart"/>
      <w:r>
        <w:rPr>
          <w:lang w:val="en-US"/>
        </w:rPr>
        <w:t>carers</w:t>
      </w:r>
      <w:proofErr w:type="spellEnd"/>
      <w:r>
        <w:rPr>
          <w:lang w:val="en-US"/>
        </w:rPr>
        <w:t>.</w:t>
      </w:r>
    </w:p>
    <w:p w14:paraId="20FA2E4F" w14:textId="1131A6F1" w:rsidR="008D59D0" w:rsidRDefault="008D59D0" w:rsidP="008D59D0">
      <w:pPr>
        <w:pStyle w:val="Body"/>
        <w:rPr>
          <w:lang w:val="en-US"/>
        </w:rPr>
      </w:pPr>
      <w:r>
        <w:rPr>
          <w:lang w:val="en-US"/>
        </w:rPr>
        <w:t>The establishment of the Mental Health Improvement Program in S</w:t>
      </w:r>
      <w:r w:rsidR="0001303D">
        <w:rPr>
          <w:lang w:val="en-US"/>
        </w:rPr>
        <w:t xml:space="preserve">afer </w:t>
      </w:r>
      <w:r>
        <w:rPr>
          <w:lang w:val="en-US"/>
        </w:rPr>
        <w:t>C</w:t>
      </w:r>
      <w:r w:rsidR="0001303D">
        <w:rPr>
          <w:lang w:val="en-US"/>
        </w:rPr>
        <w:t xml:space="preserve">are </w:t>
      </w:r>
      <w:r>
        <w:rPr>
          <w:lang w:val="en-US"/>
        </w:rPr>
        <w:t>V</w:t>
      </w:r>
      <w:r w:rsidR="0001303D">
        <w:rPr>
          <w:lang w:val="en-US"/>
        </w:rPr>
        <w:t>ictoria</w:t>
      </w:r>
      <w:r>
        <w:rPr>
          <w:lang w:val="en-US"/>
        </w:rPr>
        <w:t xml:space="preserve"> has required all parties to consider how we collaborate across the quality and safety landscape to create value and </w:t>
      </w:r>
      <w:proofErr w:type="spellStart"/>
      <w:r>
        <w:rPr>
          <w:lang w:val="en-US"/>
        </w:rPr>
        <w:t>minimi</w:t>
      </w:r>
      <w:r w:rsidR="003D5DD3">
        <w:rPr>
          <w:lang w:val="en-US"/>
        </w:rPr>
        <w:t>s</w:t>
      </w:r>
      <w:r>
        <w:rPr>
          <w:lang w:val="en-US"/>
        </w:rPr>
        <w:t>e</w:t>
      </w:r>
      <w:proofErr w:type="spellEnd"/>
      <w:r>
        <w:rPr>
          <w:lang w:val="en-US"/>
        </w:rPr>
        <w:t xml:space="preserve"> duplication.</w:t>
      </w:r>
      <w:r w:rsidRPr="00DE7725">
        <w:rPr>
          <w:lang w:val="en-US"/>
        </w:rPr>
        <w:t xml:space="preserve"> </w:t>
      </w:r>
      <w:r>
        <w:rPr>
          <w:lang w:val="en-US"/>
        </w:rPr>
        <w:t xml:space="preserve">We have jointly led </w:t>
      </w:r>
      <w:r w:rsidR="003860F8">
        <w:rPr>
          <w:lang w:val="en-US"/>
        </w:rPr>
        <w:t>several</w:t>
      </w:r>
      <w:r>
        <w:rPr>
          <w:lang w:val="en-US"/>
        </w:rPr>
        <w:t xml:space="preserve"> quality and safety forums and workshops, including a recent national Mental Health Summit</w:t>
      </w:r>
      <w:r w:rsidR="003860F8">
        <w:rPr>
          <w:lang w:val="en-US"/>
        </w:rPr>
        <w:t>. The summit</w:t>
      </w:r>
      <w:r>
        <w:rPr>
          <w:lang w:val="en-US"/>
        </w:rPr>
        <w:t xml:space="preserve"> included attendees from quality and safety agencies and Offices of Chief Psychiatrists across Australia and New Zealand.</w:t>
      </w:r>
    </w:p>
    <w:p w14:paraId="38CF59BA" w14:textId="2DBE995C" w:rsidR="008D59D0" w:rsidRPr="004A2DB4" w:rsidRDefault="008D59D0" w:rsidP="008D59D0">
      <w:pPr>
        <w:pStyle w:val="Body"/>
        <w:rPr>
          <w:lang w:val="en-US"/>
        </w:rPr>
      </w:pPr>
      <w:r w:rsidRPr="00786D0C">
        <w:rPr>
          <w:lang w:val="en-US"/>
        </w:rPr>
        <w:t xml:space="preserve">The OCP has also been building new relationships with the Department of Justice and Community Safety </w:t>
      </w:r>
      <w:r w:rsidR="000A7385">
        <w:rPr>
          <w:lang w:val="en-US"/>
        </w:rPr>
        <w:t>to</w:t>
      </w:r>
      <w:r w:rsidRPr="00786D0C">
        <w:rPr>
          <w:lang w:val="en-US"/>
        </w:rPr>
        <w:t xml:space="preserve"> collectively build our understanding</w:t>
      </w:r>
      <w:r>
        <w:rPr>
          <w:lang w:val="en-US"/>
        </w:rPr>
        <w:t xml:space="preserve">, and </w:t>
      </w:r>
      <w:proofErr w:type="gramStart"/>
      <w:r>
        <w:rPr>
          <w:lang w:val="en-US"/>
        </w:rPr>
        <w:t>plan for</w:t>
      </w:r>
      <w:r w:rsidRPr="00786D0C">
        <w:rPr>
          <w:lang w:val="en-US"/>
        </w:rPr>
        <w:t xml:space="preserve"> the future</w:t>
      </w:r>
      <w:proofErr w:type="gramEnd"/>
      <w:r w:rsidRPr="00786D0C">
        <w:rPr>
          <w:lang w:val="en-US"/>
        </w:rPr>
        <w:t xml:space="preserve"> role</w:t>
      </w:r>
      <w:r w:rsidR="00956970">
        <w:rPr>
          <w:lang w:val="en-US"/>
        </w:rPr>
        <w:t>,</w:t>
      </w:r>
      <w:r w:rsidRPr="00786D0C">
        <w:rPr>
          <w:lang w:val="en-US"/>
        </w:rPr>
        <w:t xml:space="preserve"> of the Chief Psychiatrist in custodial settings once the Mental Health and Wellbeing </w:t>
      </w:r>
      <w:r w:rsidR="0078119D">
        <w:rPr>
          <w:lang w:val="en-US"/>
        </w:rPr>
        <w:t>A</w:t>
      </w:r>
      <w:r w:rsidRPr="00786D0C">
        <w:rPr>
          <w:lang w:val="en-US"/>
        </w:rPr>
        <w:t>ct commences in mid-2023</w:t>
      </w:r>
      <w:r w:rsidRPr="004A2DB4">
        <w:rPr>
          <w:lang w:val="en-US"/>
        </w:rPr>
        <w:t xml:space="preserve">. </w:t>
      </w:r>
    </w:p>
    <w:p w14:paraId="033309F4" w14:textId="2058B3B5" w:rsidR="008B1987" w:rsidRDefault="000D07B5" w:rsidP="005B1814">
      <w:pPr>
        <w:pStyle w:val="Body"/>
        <w:rPr>
          <w:lang w:val="en-US"/>
        </w:rPr>
      </w:pPr>
      <w:r w:rsidRPr="005D6F99">
        <w:rPr>
          <w:lang w:val="en-US"/>
        </w:rPr>
        <w:t xml:space="preserve">The Chief </w:t>
      </w:r>
      <w:r w:rsidR="002939BE" w:rsidRPr="005D6F99">
        <w:rPr>
          <w:lang w:val="en-US"/>
        </w:rPr>
        <w:t>Psychiatrist</w:t>
      </w:r>
      <w:r w:rsidRPr="005D6F99">
        <w:rPr>
          <w:lang w:val="en-US"/>
        </w:rPr>
        <w:t xml:space="preserve"> continued to </w:t>
      </w:r>
      <w:r w:rsidR="00C04B5F" w:rsidRPr="005D6F99">
        <w:rPr>
          <w:lang w:val="en-US"/>
        </w:rPr>
        <w:t>chair the</w:t>
      </w:r>
      <w:r w:rsidR="006A2CCF" w:rsidRPr="005D6F99">
        <w:rPr>
          <w:lang w:val="en-US"/>
        </w:rPr>
        <w:t xml:space="preserve"> </w:t>
      </w:r>
      <w:r w:rsidR="003609C1" w:rsidRPr="005D6F99">
        <w:rPr>
          <w:lang w:val="en-US"/>
        </w:rPr>
        <w:t>Crimes Mental Impairment Act and Complex Needs Advisory Panel</w:t>
      </w:r>
      <w:r w:rsidR="00F5048A" w:rsidRPr="005D6F99">
        <w:rPr>
          <w:lang w:val="en-US"/>
        </w:rPr>
        <w:t xml:space="preserve">. </w:t>
      </w:r>
      <w:r w:rsidR="0073307A" w:rsidRPr="005D6F99">
        <w:rPr>
          <w:lang w:val="en-US"/>
        </w:rPr>
        <w:t>This</w:t>
      </w:r>
      <w:r w:rsidR="003609C1" w:rsidRPr="005D6F99">
        <w:rPr>
          <w:lang w:val="en-US"/>
        </w:rPr>
        <w:t xml:space="preserve"> </w:t>
      </w:r>
      <w:r w:rsidR="25992D3A" w:rsidRPr="005D6F99">
        <w:rPr>
          <w:lang w:val="en-US"/>
        </w:rPr>
        <w:t xml:space="preserve">is a collaborative forum </w:t>
      </w:r>
      <w:r w:rsidR="00EA0170" w:rsidRPr="005D6F99">
        <w:rPr>
          <w:lang w:val="en-US"/>
        </w:rPr>
        <w:t xml:space="preserve">that </w:t>
      </w:r>
      <w:r w:rsidR="25992D3A" w:rsidRPr="005D6F99">
        <w:rPr>
          <w:lang w:val="en-US"/>
        </w:rPr>
        <w:t>discuss</w:t>
      </w:r>
      <w:r w:rsidR="00EA0170" w:rsidRPr="005D6F99">
        <w:rPr>
          <w:lang w:val="en-US"/>
        </w:rPr>
        <w:t>es</w:t>
      </w:r>
      <w:r w:rsidR="25992D3A" w:rsidRPr="005D6F99">
        <w:rPr>
          <w:lang w:val="en-US"/>
        </w:rPr>
        <w:t xml:space="preserve"> service delivery options for people subject to </w:t>
      </w:r>
      <w:r w:rsidR="005D6F99">
        <w:rPr>
          <w:lang w:val="en-US"/>
        </w:rPr>
        <w:t xml:space="preserve">the </w:t>
      </w:r>
      <w:r w:rsidR="25992D3A" w:rsidRPr="00DD3C30">
        <w:rPr>
          <w:i/>
          <w:iCs/>
          <w:lang w:val="en-US"/>
        </w:rPr>
        <w:t xml:space="preserve">Crimes Mental Impairment and </w:t>
      </w:r>
      <w:r w:rsidR="001D56D3" w:rsidRPr="00DD3C30">
        <w:rPr>
          <w:i/>
          <w:iCs/>
          <w:lang w:val="en-US"/>
        </w:rPr>
        <w:t>U</w:t>
      </w:r>
      <w:r w:rsidR="25992D3A" w:rsidRPr="00DD3C30">
        <w:rPr>
          <w:i/>
          <w:iCs/>
          <w:lang w:val="en-US"/>
        </w:rPr>
        <w:t>n</w:t>
      </w:r>
      <w:r w:rsidR="7EF7E1AA" w:rsidRPr="00DD3C30">
        <w:rPr>
          <w:i/>
          <w:iCs/>
          <w:lang w:val="en-US"/>
        </w:rPr>
        <w:t>fi</w:t>
      </w:r>
      <w:r w:rsidR="25992D3A" w:rsidRPr="00DD3C30">
        <w:rPr>
          <w:i/>
          <w:iCs/>
          <w:lang w:val="en-US"/>
        </w:rPr>
        <w:t xml:space="preserve">tness to </w:t>
      </w:r>
      <w:r w:rsidR="001D56D3" w:rsidRPr="00DD3C30">
        <w:rPr>
          <w:i/>
          <w:iCs/>
          <w:lang w:val="en-US"/>
        </w:rPr>
        <w:t>Plead</w:t>
      </w:r>
      <w:r w:rsidR="007B6578" w:rsidRPr="00DD3C30">
        <w:rPr>
          <w:i/>
          <w:iCs/>
          <w:lang w:val="en-US"/>
        </w:rPr>
        <w:t xml:space="preserve"> Act</w:t>
      </w:r>
      <w:r w:rsidR="25992D3A" w:rsidRPr="00DD3C30">
        <w:rPr>
          <w:i/>
          <w:iCs/>
          <w:lang w:val="en-US"/>
        </w:rPr>
        <w:t xml:space="preserve"> </w:t>
      </w:r>
      <w:r w:rsidR="72592B8D" w:rsidRPr="00DD3C30">
        <w:rPr>
          <w:i/>
          <w:iCs/>
          <w:lang w:val="en-US"/>
        </w:rPr>
        <w:t>1997</w:t>
      </w:r>
      <w:r w:rsidR="0017629E" w:rsidRPr="005D6F99">
        <w:rPr>
          <w:lang w:val="en-US"/>
        </w:rPr>
        <w:t xml:space="preserve">. </w:t>
      </w:r>
      <w:r w:rsidR="005D7060">
        <w:rPr>
          <w:lang w:val="en-US"/>
        </w:rPr>
        <w:t>These</w:t>
      </w:r>
      <w:r w:rsidR="0017629E" w:rsidRPr="005D6F99">
        <w:rPr>
          <w:lang w:val="en-US"/>
        </w:rPr>
        <w:t xml:space="preserve"> people may be </w:t>
      </w:r>
      <w:r w:rsidR="72592B8D" w:rsidRPr="005D6F99">
        <w:rPr>
          <w:lang w:val="en-US"/>
        </w:rPr>
        <w:t>at risk of poor outcomes b</w:t>
      </w:r>
      <w:r w:rsidR="55FD1CBF" w:rsidRPr="005D6F99">
        <w:rPr>
          <w:lang w:val="en-US"/>
        </w:rPr>
        <w:t>e</w:t>
      </w:r>
      <w:r w:rsidR="72592B8D" w:rsidRPr="005D6F99">
        <w:rPr>
          <w:lang w:val="en-US"/>
        </w:rPr>
        <w:t>cause</w:t>
      </w:r>
      <w:r w:rsidR="008B1987">
        <w:rPr>
          <w:lang w:val="en-US"/>
        </w:rPr>
        <w:t xml:space="preserve"> either</w:t>
      </w:r>
      <w:r w:rsidR="005B1814">
        <w:rPr>
          <w:lang w:val="en-US"/>
        </w:rPr>
        <w:t xml:space="preserve"> </w:t>
      </w:r>
      <w:r w:rsidR="72592B8D" w:rsidRPr="005D6F99">
        <w:rPr>
          <w:lang w:val="en-US"/>
        </w:rPr>
        <w:t>their needs fall outside standard service responses</w:t>
      </w:r>
      <w:r w:rsidR="005B1814">
        <w:rPr>
          <w:lang w:val="en-US"/>
        </w:rPr>
        <w:t xml:space="preserve">, </w:t>
      </w:r>
      <w:r w:rsidR="72592B8D" w:rsidRPr="005D6F99">
        <w:rPr>
          <w:lang w:val="en-US"/>
        </w:rPr>
        <w:t>the</w:t>
      </w:r>
      <w:r w:rsidR="00796602" w:rsidRPr="005D6F99">
        <w:rPr>
          <w:lang w:val="en-US"/>
        </w:rPr>
        <w:t xml:space="preserve">re are </w:t>
      </w:r>
      <w:r w:rsidR="002B4F3E" w:rsidRPr="005D6F99">
        <w:rPr>
          <w:lang w:val="en-US"/>
        </w:rPr>
        <w:t>no appropriate care and treatment options in the</w:t>
      </w:r>
      <w:r w:rsidR="72592B8D" w:rsidRPr="005D6F99">
        <w:rPr>
          <w:lang w:val="en-US"/>
        </w:rPr>
        <w:t xml:space="preserve"> service system </w:t>
      </w:r>
      <w:r w:rsidR="005B1814">
        <w:rPr>
          <w:lang w:val="en-US"/>
        </w:rPr>
        <w:t xml:space="preserve">or </w:t>
      </w:r>
      <w:r w:rsidR="72592B8D" w:rsidRPr="005D6F99">
        <w:rPr>
          <w:lang w:val="en-US"/>
        </w:rPr>
        <w:t>ex</w:t>
      </w:r>
      <w:r w:rsidR="369339E6" w:rsidRPr="005D6F99">
        <w:rPr>
          <w:lang w:val="en-US"/>
        </w:rPr>
        <w:t>i</w:t>
      </w:r>
      <w:r w:rsidR="72592B8D" w:rsidRPr="005D6F99">
        <w:rPr>
          <w:lang w:val="en-US"/>
        </w:rPr>
        <w:t xml:space="preserve">sting pathways </w:t>
      </w:r>
      <w:r w:rsidR="004E5546" w:rsidRPr="005D6F99">
        <w:rPr>
          <w:lang w:val="en-US"/>
        </w:rPr>
        <w:t xml:space="preserve">of treatment and care </w:t>
      </w:r>
      <w:r w:rsidR="00A35A76">
        <w:rPr>
          <w:lang w:val="en-US"/>
        </w:rPr>
        <w:t>are</w:t>
      </w:r>
      <w:r w:rsidR="1035B656" w:rsidRPr="005D6F99">
        <w:rPr>
          <w:lang w:val="en-US"/>
        </w:rPr>
        <w:t xml:space="preserve"> ineffective or unsustainable. </w:t>
      </w:r>
    </w:p>
    <w:p w14:paraId="7E861121" w14:textId="3D83AE84" w:rsidR="003609C1" w:rsidRPr="005D6F99" w:rsidRDefault="1035B656" w:rsidP="00DD3C30">
      <w:pPr>
        <w:pStyle w:val="Bodyafterbullets"/>
        <w:rPr>
          <w:lang w:val="en-US"/>
        </w:rPr>
      </w:pPr>
      <w:r w:rsidRPr="005D6F99">
        <w:rPr>
          <w:lang w:val="en-US"/>
        </w:rPr>
        <w:t xml:space="preserve">The </w:t>
      </w:r>
      <w:r w:rsidR="2249F7B2" w:rsidRPr="005D6F99">
        <w:rPr>
          <w:lang w:val="en-US"/>
        </w:rPr>
        <w:t>Program Manager – Complex Needs at the OCP supports the pan</w:t>
      </w:r>
      <w:r w:rsidR="2B9CD341" w:rsidRPr="005D6F99">
        <w:rPr>
          <w:lang w:val="en-US"/>
        </w:rPr>
        <w:t>el</w:t>
      </w:r>
      <w:r w:rsidR="008B1987">
        <w:rPr>
          <w:lang w:val="en-US"/>
        </w:rPr>
        <w:t>. The panel</w:t>
      </w:r>
      <w:r w:rsidR="00DC2829" w:rsidRPr="005D6F99">
        <w:rPr>
          <w:lang w:val="en-US"/>
        </w:rPr>
        <w:t xml:space="preserve"> </w:t>
      </w:r>
      <w:r w:rsidR="2B9CD341" w:rsidRPr="005D6F99">
        <w:rPr>
          <w:lang w:val="en-US"/>
        </w:rPr>
        <w:t xml:space="preserve">includes experts from across the Department of </w:t>
      </w:r>
      <w:r w:rsidR="07025C18" w:rsidRPr="005D6F99">
        <w:rPr>
          <w:lang w:val="en-US"/>
        </w:rPr>
        <w:t xml:space="preserve">Health and </w:t>
      </w:r>
      <w:r w:rsidR="00DC2829" w:rsidRPr="005D6F99">
        <w:rPr>
          <w:lang w:val="en-US"/>
        </w:rPr>
        <w:t xml:space="preserve">the Department of </w:t>
      </w:r>
      <w:r w:rsidR="07025C18" w:rsidRPr="005D6F99">
        <w:rPr>
          <w:lang w:val="en-US"/>
        </w:rPr>
        <w:t>Family, Fairness and Housing, the service sector</w:t>
      </w:r>
      <w:r w:rsidR="005D6F99" w:rsidRPr="005D6F99">
        <w:rPr>
          <w:lang w:val="en-US"/>
        </w:rPr>
        <w:t>,</w:t>
      </w:r>
      <w:r w:rsidR="07025C18" w:rsidRPr="005D6F99">
        <w:rPr>
          <w:lang w:val="en-US"/>
        </w:rPr>
        <w:t xml:space="preserve"> and people with lived experience.</w:t>
      </w:r>
    </w:p>
    <w:p w14:paraId="784C18E5" w14:textId="014F457C" w:rsidR="003609C1" w:rsidRDefault="21113206" w:rsidP="003609C1">
      <w:pPr>
        <w:pStyle w:val="Body"/>
        <w:rPr>
          <w:lang w:val="en-US"/>
        </w:rPr>
      </w:pPr>
      <w:r w:rsidRPr="004A2DB4">
        <w:t>In January 2022</w:t>
      </w:r>
      <w:r w:rsidR="009F397A" w:rsidRPr="004A2DB4">
        <w:t xml:space="preserve"> </w:t>
      </w:r>
      <w:r w:rsidR="3B7C9F6B" w:rsidRPr="004A2DB4">
        <w:t>the</w:t>
      </w:r>
      <w:r w:rsidR="003609C1" w:rsidRPr="004A2DB4">
        <w:t xml:space="preserve"> OCP </w:t>
      </w:r>
      <w:r w:rsidR="009D4A9D" w:rsidRPr="004A2DB4">
        <w:t>began</w:t>
      </w:r>
      <w:r w:rsidR="003609C1" w:rsidRPr="004A2DB4">
        <w:t xml:space="preserve"> regular </w:t>
      </w:r>
      <w:r w:rsidR="00DE556C" w:rsidRPr="004A2DB4">
        <w:t xml:space="preserve">huddles with </w:t>
      </w:r>
      <w:r w:rsidR="003014B2" w:rsidRPr="004A2DB4">
        <w:t xml:space="preserve">staff from </w:t>
      </w:r>
      <w:r w:rsidR="002C1CB8" w:rsidRPr="004A2DB4">
        <w:t>a</w:t>
      </w:r>
      <w:r w:rsidR="003609C1" w:rsidRPr="004A2DB4">
        <w:t xml:space="preserve">dolescent </w:t>
      </w:r>
      <w:r w:rsidR="003014B2" w:rsidRPr="004A2DB4">
        <w:t>p</w:t>
      </w:r>
      <w:r w:rsidR="003609C1" w:rsidRPr="004A2DB4">
        <w:t xml:space="preserve">sychiatric </w:t>
      </w:r>
      <w:r w:rsidR="003014B2" w:rsidRPr="004A2DB4">
        <w:t>i</w:t>
      </w:r>
      <w:r w:rsidR="003609C1" w:rsidRPr="004A2DB4">
        <w:t xml:space="preserve">npatient </w:t>
      </w:r>
      <w:r w:rsidR="003014B2" w:rsidRPr="004A2DB4">
        <w:t>u</w:t>
      </w:r>
      <w:r w:rsidR="003609C1" w:rsidRPr="004A2DB4">
        <w:t>nit</w:t>
      </w:r>
      <w:r w:rsidR="003014B2" w:rsidRPr="004A2DB4">
        <w:t>s</w:t>
      </w:r>
      <w:r w:rsidR="00CA506B" w:rsidRPr="004A2DB4">
        <w:t xml:space="preserve">, </w:t>
      </w:r>
      <w:r w:rsidR="00A268BC" w:rsidRPr="004A2DB4">
        <w:t>bring</w:t>
      </w:r>
      <w:r w:rsidR="0011153B" w:rsidRPr="004A2DB4">
        <w:t>ing</w:t>
      </w:r>
      <w:r w:rsidR="00A268BC" w:rsidRPr="004A2DB4">
        <w:t xml:space="preserve"> together leaders </w:t>
      </w:r>
      <w:r w:rsidR="007F0CAC" w:rsidRPr="004A2DB4">
        <w:t xml:space="preserve">from various </w:t>
      </w:r>
      <w:r w:rsidR="00EE76E4">
        <w:t>services</w:t>
      </w:r>
      <w:r w:rsidR="00453A73" w:rsidRPr="004A2DB4">
        <w:t xml:space="preserve"> to </w:t>
      </w:r>
      <w:r w:rsidR="008B1987">
        <w:t>help</w:t>
      </w:r>
      <w:r w:rsidR="008B1987" w:rsidRPr="004A2DB4">
        <w:t xml:space="preserve"> </w:t>
      </w:r>
      <w:r w:rsidR="00C23B45" w:rsidRPr="004A2DB4">
        <w:t>eac</w:t>
      </w:r>
      <w:r w:rsidR="00624FD4" w:rsidRPr="004A2DB4">
        <w:t xml:space="preserve">h </w:t>
      </w:r>
      <w:r w:rsidR="00D701C7" w:rsidRPr="004A2DB4">
        <w:t xml:space="preserve">other </w:t>
      </w:r>
      <w:r w:rsidR="00375F47" w:rsidRPr="004A2DB4">
        <w:t>manag</w:t>
      </w:r>
      <w:r w:rsidR="008B1987">
        <w:t>e</w:t>
      </w:r>
      <w:r w:rsidR="00375F47" w:rsidRPr="004A2DB4">
        <w:t xml:space="preserve"> </w:t>
      </w:r>
      <w:r w:rsidR="003609C1" w:rsidRPr="004A2DB4">
        <w:t xml:space="preserve">demand for inpatient services. </w:t>
      </w:r>
      <w:r w:rsidR="00824750" w:rsidRPr="004A2DB4">
        <w:t xml:space="preserve">These huddles </w:t>
      </w:r>
      <w:r w:rsidR="0013237B" w:rsidRPr="004A2DB4">
        <w:t>have been taking place</w:t>
      </w:r>
      <w:r w:rsidR="00824750" w:rsidRPr="004A2DB4">
        <w:t xml:space="preserve"> alongside </w:t>
      </w:r>
      <w:r w:rsidR="0013237B" w:rsidRPr="004A2DB4">
        <w:t xml:space="preserve">similar ones </w:t>
      </w:r>
      <w:r w:rsidR="000F23D5" w:rsidRPr="004A2DB4">
        <w:t xml:space="preserve">coordinated </w:t>
      </w:r>
      <w:r w:rsidR="00A8157D" w:rsidRPr="004A2DB4">
        <w:t xml:space="preserve">by </w:t>
      </w:r>
      <w:r w:rsidR="002C1CB8" w:rsidRPr="004A2DB4">
        <w:t>the</w:t>
      </w:r>
      <w:r w:rsidR="00F50486" w:rsidRPr="004A2DB4">
        <w:t xml:space="preserve"> </w:t>
      </w:r>
      <w:r w:rsidR="00ED7BFC" w:rsidRPr="004A2DB4">
        <w:t>Mental Health and</w:t>
      </w:r>
      <w:r w:rsidR="00ED7BFC" w:rsidRPr="002264C6">
        <w:t xml:space="preserve"> Wellbeing Division</w:t>
      </w:r>
      <w:r w:rsidR="00461D78">
        <w:t xml:space="preserve"> throughout the year</w:t>
      </w:r>
      <w:r w:rsidR="00ED7BFC" w:rsidRPr="002264C6">
        <w:t xml:space="preserve"> </w:t>
      </w:r>
      <w:r w:rsidR="00EC0AB6" w:rsidRPr="002264C6">
        <w:t>to support mental health services experiencing significant impact due to COVID</w:t>
      </w:r>
      <w:r w:rsidR="002264C6" w:rsidRPr="002264C6">
        <w:t>-</w:t>
      </w:r>
      <w:r w:rsidR="00EC0AB6" w:rsidRPr="002264C6">
        <w:t>19.</w:t>
      </w:r>
    </w:p>
    <w:p w14:paraId="05B203EC" w14:textId="1508477E" w:rsidR="008D59D0" w:rsidRDefault="008D59D0" w:rsidP="008D59D0">
      <w:pPr>
        <w:pStyle w:val="Body"/>
        <w:rPr>
          <w:lang w:val="en-US"/>
        </w:rPr>
      </w:pPr>
      <w:r>
        <w:rPr>
          <w:lang w:val="en-US"/>
        </w:rPr>
        <w:t xml:space="preserve">The past year has seen a </w:t>
      </w:r>
      <w:r w:rsidR="00C46D9C">
        <w:rPr>
          <w:lang w:val="en-US"/>
        </w:rPr>
        <w:t>growing</w:t>
      </w:r>
      <w:r>
        <w:rPr>
          <w:lang w:val="en-US"/>
        </w:rPr>
        <w:t xml:space="preserve"> focus </w:t>
      </w:r>
      <w:r w:rsidR="002540FF">
        <w:rPr>
          <w:lang w:val="en-US"/>
        </w:rPr>
        <w:t>in the</w:t>
      </w:r>
      <w:r w:rsidR="00B135B1">
        <w:rPr>
          <w:lang w:val="en-US"/>
        </w:rPr>
        <w:t xml:space="preserve"> OCP</w:t>
      </w:r>
      <w:r>
        <w:rPr>
          <w:lang w:val="en-US"/>
        </w:rPr>
        <w:t xml:space="preserve"> on planning </w:t>
      </w:r>
      <w:r w:rsidR="008B1987">
        <w:rPr>
          <w:lang w:val="en-US"/>
        </w:rPr>
        <w:t xml:space="preserve">to </w:t>
      </w:r>
      <w:r>
        <w:rPr>
          <w:lang w:val="en-US"/>
        </w:rPr>
        <w:t>implement the Royal Commission’s</w:t>
      </w:r>
      <w:r w:rsidRPr="0035558D">
        <w:rPr>
          <w:lang w:val="en-US"/>
        </w:rPr>
        <w:t xml:space="preserve"> </w:t>
      </w:r>
      <w:r>
        <w:rPr>
          <w:lang w:val="en-US"/>
        </w:rPr>
        <w:t>recommendations and the anticipated changes to the jurisdiction of the Chief Psychiatrist</w:t>
      </w:r>
      <w:r w:rsidR="009E6ADE">
        <w:rPr>
          <w:lang w:val="en-US"/>
        </w:rPr>
        <w:t>, as</w:t>
      </w:r>
      <w:r>
        <w:rPr>
          <w:lang w:val="en-US"/>
        </w:rPr>
        <w:t xml:space="preserve"> specified in the new Mental Health and Wellbeing Act. The OCP has been consistently engaged in supporting the reforms led across the division</w:t>
      </w:r>
      <w:r w:rsidR="00BD2FAB">
        <w:rPr>
          <w:lang w:val="en-US"/>
        </w:rPr>
        <w:t xml:space="preserve">. </w:t>
      </w:r>
      <w:r w:rsidR="008B1987">
        <w:rPr>
          <w:lang w:val="en-US"/>
        </w:rPr>
        <w:t xml:space="preserve">We have consulted </w:t>
      </w:r>
      <w:r>
        <w:rPr>
          <w:lang w:val="en-US"/>
        </w:rPr>
        <w:t xml:space="preserve">on the drafting of the </w:t>
      </w:r>
      <w:r w:rsidR="008B1987">
        <w:rPr>
          <w:lang w:val="en-US"/>
        </w:rPr>
        <w:t>Mental Health and Wellbeing B</w:t>
      </w:r>
      <w:r>
        <w:rPr>
          <w:lang w:val="en-US"/>
        </w:rPr>
        <w:t xml:space="preserve">ill, reflecting the deep system knowledge and clinical expertise held within the team. </w:t>
      </w:r>
    </w:p>
    <w:p w14:paraId="194D35ED" w14:textId="285905CD" w:rsidR="008D59D0" w:rsidRDefault="00216822" w:rsidP="008D59D0">
      <w:pPr>
        <w:pStyle w:val="Body"/>
        <w:rPr>
          <w:lang w:val="en-US"/>
        </w:rPr>
      </w:pPr>
      <w:r>
        <w:rPr>
          <w:lang w:val="en-US"/>
        </w:rPr>
        <w:t xml:space="preserve">We have been </w:t>
      </w:r>
      <w:r w:rsidR="008D59D0">
        <w:rPr>
          <w:lang w:val="en-US"/>
        </w:rPr>
        <w:t>required</w:t>
      </w:r>
      <w:r w:rsidR="003A25B4">
        <w:rPr>
          <w:lang w:val="en-US"/>
        </w:rPr>
        <w:t xml:space="preserve"> to</w:t>
      </w:r>
      <w:r w:rsidR="008D59D0">
        <w:rPr>
          <w:lang w:val="en-US"/>
        </w:rPr>
        <w:t xml:space="preserve"> think about the changes that </w:t>
      </w:r>
      <w:r w:rsidR="003A25B4">
        <w:rPr>
          <w:lang w:val="en-US"/>
        </w:rPr>
        <w:t>must be</w:t>
      </w:r>
      <w:r w:rsidR="008D59D0">
        <w:rPr>
          <w:lang w:val="en-US"/>
        </w:rPr>
        <w:t xml:space="preserve"> made to</w:t>
      </w:r>
      <w:r w:rsidR="003A25B4">
        <w:rPr>
          <w:lang w:val="en-US"/>
        </w:rPr>
        <w:t xml:space="preserve"> the OCP’s</w:t>
      </w:r>
      <w:r w:rsidR="008D59D0">
        <w:rPr>
          <w:lang w:val="en-US"/>
        </w:rPr>
        <w:t xml:space="preserve"> operating model and workplan </w:t>
      </w:r>
      <w:r w:rsidR="007F4A82">
        <w:rPr>
          <w:lang w:val="en-US"/>
        </w:rPr>
        <w:t>so the</w:t>
      </w:r>
      <w:r w:rsidR="008D59D0">
        <w:rPr>
          <w:lang w:val="en-US"/>
        </w:rPr>
        <w:t xml:space="preserve"> OCP </w:t>
      </w:r>
      <w:r w:rsidR="007F4A82">
        <w:rPr>
          <w:lang w:val="en-US"/>
        </w:rPr>
        <w:t>can</w:t>
      </w:r>
      <w:r w:rsidR="008D59D0">
        <w:rPr>
          <w:lang w:val="en-US"/>
        </w:rPr>
        <w:t xml:space="preserve"> deliver on critical business as usua</w:t>
      </w:r>
      <w:r w:rsidR="007F4A82">
        <w:rPr>
          <w:lang w:val="en-US"/>
        </w:rPr>
        <w:t xml:space="preserve">l as the future role of the Chief Psychiatrist </w:t>
      </w:r>
      <w:r w:rsidR="00BA17EC">
        <w:rPr>
          <w:lang w:val="en-US"/>
        </w:rPr>
        <w:t>changes</w:t>
      </w:r>
      <w:r w:rsidR="00741240">
        <w:rPr>
          <w:lang w:val="en-US"/>
        </w:rPr>
        <w:t xml:space="preserve"> through the Royal Commission reform process</w:t>
      </w:r>
      <w:r w:rsidR="008D59D0">
        <w:rPr>
          <w:lang w:val="en-US"/>
        </w:rPr>
        <w:t xml:space="preserve">. </w:t>
      </w:r>
      <w:r w:rsidR="00911FBA">
        <w:rPr>
          <w:lang w:val="en-US"/>
        </w:rPr>
        <w:t xml:space="preserve">This </w:t>
      </w:r>
      <w:r w:rsidR="00741240">
        <w:rPr>
          <w:lang w:val="en-US"/>
        </w:rPr>
        <w:t xml:space="preserve">planning </w:t>
      </w:r>
      <w:r w:rsidR="00911FBA">
        <w:rPr>
          <w:lang w:val="en-US"/>
        </w:rPr>
        <w:t>has occurred</w:t>
      </w:r>
      <w:r w:rsidR="008D59D0">
        <w:rPr>
          <w:lang w:val="en-US"/>
        </w:rPr>
        <w:t xml:space="preserve"> in the context of</w:t>
      </w:r>
      <w:r w:rsidR="00911FBA">
        <w:rPr>
          <w:lang w:val="en-US"/>
        </w:rPr>
        <w:t xml:space="preserve"> a</w:t>
      </w:r>
      <w:r w:rsidR="008D59D0">
        <w:rPr>
          <w:lang w:val="en-US"/>
        </w:rPr>
        <w:t xml:space="preserve"> significant increase in frontline activity </w:t>
      </w:r>
      <w:r w:rsidR="00911FBA">
        <w:rPr>
          <w:lang w:val="en-US"/>
        </w:rPr>
        <w:t>during</w:t>
      </w:r>
      <w:r w:rsidR="008D59D0">
        <w:rPr>
          <w:lang w:val="en-US"/>
        </w:rPr>
        <w:t xml:space="preserve"> the year, as highlighted </w:t>
      </w:r>
      <w:r w:rsidR="009E6ADE">
        <w:rPr>
          <w:lang w:val="en-US"/>
        </w:rPr>
        <w:t>in the data included below</w:t>
      </w:r>
      <w:r w:rsidR="008D59D0">
        <w:rPr>
          <w:lang w:val="en-US"/>
        </w:rPr>
        <w:t>.</w:t>
      </w:r>
      <w:r w:rsidR="008D59D0" w:rsidRPr="006B5381">
        <w:rPr>
          <w:lang w:val="en-US"/>
        </w:rPr>
        <w:t xml:space="preserve"> </w:t>
      </w:r>
    </w:p>
    <w:p w14:paraId="639792DC" w14:textId="660D271C" w:rsidR="00CC0ED7" w:rsidRDefault="008B1987" w:rsidP="009E6ADE">
      <w:pPr>
        <w:pStyle w:val="Body"/>
        <w:rPr>
          <w:lang w:val="en-US"/>
        </w:rPr>
      </w:pPr>
      <w:r>
        <w:rPr>
          <w:lang w:val="en-US"/>
        </w:rPr>
        <w:t>We have started on a</w:t>
      </w:r>
      <w:r w:rsidR="008D59D0">
        <w:rPr>
          <w:lang w:val="en-US"/>
        </w:rPr>
        <w:t xml:space="preserve"> range of project and program activities to plan for the expanded jurisdiction of the Chief Psychiatrist in 2023 and to streamline our existing processes. This will enable the office to focus on its core function</w:t>
      </w:r>
      <w:r w:rsidR="007C0A24">
        <w:rPr>
          <w:lang w:val="en-US"/>
        </w:rPr>
        <w:t>s</w:t>
      </w:r>
      <w:r w:rsidR="008D59D0">
        <w:rPr>
          <w:lang w:val="en-US"/>
        </w:rPr>
        <w:t xml:space="preserve"> and reduce the reporting burden on the sector</w:t>
      </w:r>
      <w:r w:rsidR="000B4D72">
        <w:rPr>
          <w:lang w:val="en-US"/>
        </w:rPr>
        <w:t xml:space="preserve"> </w:t>
      </w:r>
      <w:proofErr w:type="gramStart"/>
      <w:r w:rsidR="000B4D72">
        <w:rPr>
          <w:lang w:val="en-US"/>
        </w:rPr>
        <w:t>at the same time that</w:t>
      </w:r>
      <w:proofErr w:type="gramEnd"/>
      <w:r w:rsidR="000B4D72">
        <w:rPr>
          <w:lang w:val="en-US"/>
        </w:rPr>
        <w:t xml:space="preserve"> it </w:t>
      </w:r>
      <w:r w:rsidR="008D59D0">
        <w:rPr>
          <w:lang w:val="en-US"/>
        </w:rPr>
        <w:t>maintain</w:t>
      </w:r>
      <w:r w:rsidR="000B4D72">
        <w:rPr>
          <w:lang w:val="en-US"/>
        </w:rPr>
        <w:t>s</w:t>
      </w:r>
      <w:r w:rsidR="008D59D0">
        <w:rPr>
          <w:lang w:val="en-US"/>
        </w:rPr>
        <w:t xml:space="preserve"> quality</w:t>
      </w:r>
      <w:r w:rsidR="008A16B0">
        <w:rPr>
          <w:lang w:val="en-US"/>
        </w:rPr>
        <w:t xml:space="preserve"> in </w:t>
      </w:r>
      <w:r w:rsidR="00875586">
        <w:rPr>
          <w:lang w:val="en-US"/>
        </w:rPr>
        <w:t>mental health system</w:t>
      </w:r>
      <w:r w:rsidR="008D59D0">
        <w:rPr>
          <w:lang w:val="en-US"/>
        </w:rPr>
        <w:t xml:space="preserve"> and strengthen</w:t>
      </w:r>
      <w:r w:rsidR="002E0F05">
        <w:rPr>
          <w:lang w:val="en-US"/>
        </w:rPr>
        <w:t>s</w:t>
      </w:r>
      <w:r w:rsidR="008D59D0">
        <w:rPr>
          <w:lang w:val="en-US"/>
        </w:rPr>
        <w:t xml:space="preserve"> oversight in participation with </w:t>
      </w:r>
      <w:r w:rsidR="002E2160">
        <w:rPr>
          <w:lang w:val="en-US"/>
        </w:rPr>
        <w:t>its</w:t>
      </w:r>
      <w:r w:rsidR="008D59D0">
        <w:rPr>
          <w:lang w:val="en-US"/>
        </w:rPr>
        <w:t xml:space="preserve"> partners, including those with </w:t>
      </w:r>
      <w:r w:rsidR="0095574B">
        <w:rPr>
          <w:lang w:val="en-US"/>
        </w:rPr>
        <w:t>l</w:t>
      </w:r>
      <w:r w:rsidR="008D59D0">
        <w:rPr>
          <w:lang w:val="en-US"/>
        </w:rPr>
        <w:t xml:space="preserve">ived and </w:t>
      </w:r>
      <w:r w:rsidR="0095574B">
        <w:rPr>
          <w:lang w:val="en-US"/>
        </w:rPr>
        <w:t>l</w:t>
      </w:r>
      <w:r w:rsidR="008D59D0">
        <w:rPr>
          <w:lang w:val="en-US"/>
        </w:rPr>
        <w:t xml:space="preserve">iving </w:t>
      </w:r>
      <w:r w:rsidR="002E2160">
        <w:rPr>
          <w:lang w:val="en-US"/>
        </w:rPr>
        <w:t>e</w:t>
      </w:r>
      <w:r w:rsidR="008D59D0">
        <w:rPr>
          <w:lang w:val="en-US"/>
        </w:rPr>
        <w:t>xperience. Significant projects are also underway to</w:t>
      </w:r>
      <w:r w:rsidR="009E6ADE">
        <w:rPr>
          <w:lang w:val="en-US"/>
        </w:rPr>
        <w:t xml:space="preserve"> </w:t>
      </w:r>
      <w:r w:rsidR="008D59D0">
        <w:rPr>
          <w:lang w:val="en-US"/>
        </w:rPr>
        <w:lastRenderedPageBreak/>
        <w:t xml:space="preserve">revise the full suite of Chief Psychiatrist’s </w:t>
      </w:r>
      <w:r w:rsidR="002E2160">
        <w:rPr>
          <w:lang w:val="en-US"/>
        </w:rPr>
        <w:t>g</w:t>
      </w:r>
      <w:r w:rsidR="008D59D0">
        <w:rPr>
          <w:lang w:val="en-US"/>
        </w:rPr>
        <w:t>uidelines</w:t>
      </w:r>
      <w:r w:rsidR="009E6ADE">
        <w:rPr>
          <w:lang w:val="en-US"/>
        </w:rPr>
        <w:t xml:space="preserve">, to </w:t>
      </w:r>
      <w:r w:rsidR="008D59D0">
        <w:rPr>
          <w:lang w:val="en-US"/>
        </w:rPr>
        <w:t>review and rebuild the OCP webpages</w:t>
      </w:r>
      <w:r w:rsidR="009E6ADE">
        <w:rPr>
          <w:lang w:val="en-US"/>
        </w:rPr>
        <w:t xml:space="preserve"> and to </w:t>
      </w:r>
      <w:r w:rsidR="008D59D0">
        <w:rPr>
          <w:lang w:val="en-US"/>
        </w:rPr>
        <w:t xml:space="preserve">consider the future role of the OCP enquiry line. </w:t>
      </w:r>
    </w:p>
    <w:p w14:paraId="256BFD5A" w14:textId="57D8278D" w:rsidR="00795E8C" w:rsidRPr="00D026E5" w:rsidRDefault="00A35B5D" w:rsidP="00795E8C">
      <w:pPr>
        <w:pStyle w:val="Heading2"/>
        <w:rPr>
          <w:rStyle w:val="normaltextrun"/>
          <w:color w:val="auto"/>
          <w:sz w:val="22"/>
          <w:szCs w:val="22"/>
        </w:rPr>
      </w:pPr>
      <w:bookmarkStart w:id="19" w:name="_Toc118293970"/>
      <w:r>
        <w:rPr>
          <w:lang w:val="en-US"/>
        </w:rPr>
        <w:t xml:space="preserve">Enquiries received </w:t>
      </w:r>
      <w:bookmarkStart w:id="20" w:name="_Toc52886238"/>
      <w:r w:rsidR="00C5245B">
        <w:rPr>
          <w:lang w:val="en-US"/>
        </w:rPr>
        <w:t xml:space="preserve">and </w:t>
      </w:r>
      <w:r w:rsidR="004C104B">
        <w:rPr>
          <w:lang w:val="en-US"/>
        </w:rPr>
        <w:t xml:space="preserve">the </w:t>
      </w:r>
      <w:r w:rsidR="00795E8C" w:rsidRPr="00381B2F">
        <w:rPr>
          <w:rStyle w:val="normaltextrun"/>
        </w:rPr>
        <w:t>COVI</w:t>
      </w:r>
      <w:r w:rsidR="00795E8C">
        <w:rPr>
          <w:rStyle w:val="normaltextrun"/>
        </w:rPr>
        <w:t>D-19</w:t>
      </w:r>
      <w:r w:rsidR="00795E8C" w:rsidRPr="00381B2F">
        <w:rPr>
          <w:rStyle w:val="normaltextrun"/>
        </w:rPr>
        <w:t xml:space="preserve"> mental health response</w:t>
      </w:r>
      <w:bookmarkEnd w:id="19"/>
      <w:bookmarkEnd w:id="20"/>
      <w:r w:rsidR="00D026E5">
        <w:rPr>
          <w:rStyle w:val="normaltextrun"/>
        </w:rPr>
        <w:t xml:space="preserve"> </w:t>
      </w:r>
    </w:p>
    <w:p w14:paraId="2C04B102" w14:textId="3B9DEDFF" w:rsidR="00381B2F" w:rsidRDefault="004C02F0" w:rsidP="00563C62">
      <w:pPr>
        <w:pStyle w:val="Body"/>
        <w:rPr>
          <w:lang w:val="en-US"/>
        </w:rPr>
      </w:pPr>
      <w:r w:rsidRPr="00E34713">
        <w:rPr>
          <w:lang w:val="en-US"/>
        </w:rPr>
        <w:t>Table</w:t>
      </w:r>
      <w:r w:rsidR="00D356B5">
        <w:rPr>
          <w:lang w:val="en-US"/>
        </w:rPr>
        <w:t>s</w:t>
      </w:r>
      <w:r w:rsidRPr="00E34713">
        <w:rPr>
          <w:lang w:val="en-US"/>
        </w:rPr>
        <w:t xml:space="preserve"> 1</w:t>
      </w:r>
      <w:r w:rsidR="00D356B5">
        <w:rPr>
          <w:lang w:val="en-US"/>
        </w:rPr>
        <w:t xml:space="preserve">–3 </w:t>
      </w:r>
      <w:r w:rsidR="00FE687A">
        <w:rPr>
          <w:lang w:val="en-US"/>
        </w:rPr>
        <w:t>and Figure 1</w:t>
      </w:r>
      <w:r w:rsidR="00381B2F" w:rsidRPr="00892665">
        <w:rPr>
          <w:lang w:val="en-US"/>
        </w:rPr>
        <w:t xml:space="preserve"> provide an outline of the </w:t>
      </w:r>
      <w:r w:rsidR="0016283B">
        <w:rPr>
          <w:lang w:val="en-US"/>
        </w:rPr>
        <w:t>e</w:t>
      </w:r>
      <w:r w:rsidR="00C0173E">
        <w:rPr>
          <w:lang w:val="en-US"/>
        </w:rPr>
        <w:t>nquir</w:t>
      </w:r>
      <w:r w:rsidR="007B2175">
        <w:rPr>
          <w:lang w:val="en-US"/>
        </w:rPr>
        <w:t>i</w:t>
      </w:r>
      <w:r w:rsidR="00C0173E">
        <w:rPr>
          <w:lang w:val="en-US"/>
        </w:rPr>
        <w:t xml:space="preserve">es </w:t>
      </w:r>
      <w:r w:rsidR="00D356B5">
        <w:rPr>
          <w:lang w:val="en-US"/>
        </w:rPr>
        <w:t xml:space="preserve">the </w:t>
      </w:r>
      <w:r w:rsidR="00D356B5" w:rsidRPr="00892665">
        <w:rPr>
          <w:lang w:val="en-US"/>
        </w:rPr>
        <w:t>OCP</w:t>
      </w:r>
      <w:r w:rsidR="00D356B5">
        <w:rPr>
          <w:lang w:val="en-US"/>
        </w:rPr>
        <w:t xml:space="preserve"> </w:t>
      </w:r>
      <w:r w:rsidR="00C0173E">
        <w:rPr>
          <w:lang w:val="en-US"/>
        </w:rPr>
        <w:t>received over several year</w:t>
      </w:r>
      <w:r w:rsidR="003E0D59">
        <w:rPr>
          <w:lang w:val="en-US"/>
        </w:rPr>
        <w:t>s</w:t>
      </w:r>
      <w:r w:rsidR="00381B2F" w:rsidRPr="00892665">
        <w:rPr>
          <w:lang w:val="en-US"/>
        </w:rPr>
        <w:t>.</w:t>
      </w:r>
      <w:r w:rsidR="0057779F" w:rsidRPr="00892665">
        <w:rPr>
          <w:lang w:val="en-US"/>
        </w:rPr>
        <w:t xml:space="preserve"> </w:t>
      </w:r>
      <w:r w:rsidR="00FA68C3">
        <w:rPr>
          <w:lang w:val="en-US"/>
        </w:rPr>
        <w:t>M</w:t>
      </w:r>
      <w:r w:rsidR="00381B2F" w:rsidRPr="00892665">
        <w:rPr>
          <w:lang w:val="en-US"/>
        </w:rPr>
        <w:t xml:space="preserve">ost </w:t>
      </w:r>
      <w:r w:rsidR="00890682">
        <w:rPr>
          <w:lang w:val="en-US"/>
        </w:rPr>
        <w:t xml:space="preserve">contacts with the OCP </w:t>
      </w:r>
      <w:r w:rsidR="003E0D59">
        <w:rPr>
          <w:lang w:val="en-US"/>
        </w:rPr>
        <w:t>during</w:t>
      </w:r>
      <w:r w:rsidR="00D532A8">
        <w:rPr>
          <w:lang w:val="en-US"/>
        </w:rPr>
        <w:t xml:space="preserve"> </w:t>
      </w:r>
      <w:r w:rsidR="003E0D59" w:rsidRPr="00892665">
        <w:rPr>
          <w:lang w:val="en-US"/>
        </w:rPr>
        <w:t>20</w:t>
      </w:r>
      <w:r w:rsidR="003E0D59">
        <w:rPr>
          <w:lang w:val="en-US"/>
        </w:rPr>
        <w:t>2</w:t>
      </w:r>
      <w:r w:rsidR="00FC5130">
        <w:rPr>
          <w:lang w:val="en-US"/>
        </w:rPr>
        <w:t>1</w:t>
      </w:r>
      <w:r w:rsidR="003E0D59" w:rsidRPr="00892665">
        <w:rPr>
          <w:lang w:val="en-US"/>
        </w:rPr>
        <w:t>–2</w:t>
      </w:r>
      <w:r w:rsidR="00FC5130">
        <w:rPr>
          <w:lang w:val="en-US"/>
        </w:rPr>
        <w:t>2</w:t>
      </w:r>
      <w:r w:rsidR="003E0D59" w:rsidRPr="00892665">
        <w:rPr>
          <w:lang w:val="en-US"/>
        </w:rPr>
        <w:t xml:space="preserve"> </w:t>
      </w:r>
      <w:r w:rsidR="008765A5">
        <w:rPr>
          <w:lang w:val="en-US"/>
        </w:rPr>
        <w:t>(</w:t>
      </w:r>
      <w:r w:rsidR="00126A20" w:rsidRPr="00986270">
        <w:rPr>
          <w:lang w:val="en-US"/>
        </w:rPr>
        <w:t>3</w:t>
      </w:r>
      <w:r w:rsidR="002B0105">
        <w:rPr>
          <w:lang w:val="en-US"/>
        </w:rPr>
        <w:t>6.</w:t>
      </w:r>
      <w:r w:rsidR="008765A5">
        <w:rPr>
          <w:lang w:val="en-US"/>
        </w:rPr>
        <w:t>1</w:t>
      </w:r>
      <w:r w:rsidR="008F74B0" w:rsidRPr="00986270">
        <w:rPr>
          <w:lang w:val="en-US"/>
        </w:rPr>
        <w:t xml:space="preserve"> per cent</w:t>
      </w:r>
      <w:r w:rsidR="00381B2F" w:rsidRPr="00892665">
        <w:rPr>
          <w:lang w:val="en-US"/>
        </w:rPr>
        <w:t xml:space="preserve">) </w:t>
      </w:r>
      <w:r w:rsidR="00890682">
        <w:rPr>
          <w:lang w:val="en-US"/>
        </w:rPr>
        <w:t xml:space="preserve">came via </w:t>
      </w:r>
      <w:r w:rsidR="000B4E91">
        <w:rPr>
          <w:lang w:val="en-US"/>
        </w:rPr>
        <w:t>clinical services</w:t>
      </w:r>
      <w:r w:rsidR="35885834" w:rsidRPr="75EB3A12">
        <w:rPr>
          <w:lang w:val="en-US"/>
        </w:rPr>
        <w:t>, closely followed by contact from consumers</w:t>
      </w:r>
      <w:r w:rsidR="003A3944" w:rsidRPr="75EB3A12">
        <w:rPr>
          <w:lang w:val="en-US"/>
        </w:rPr>
        <w:t>.</w:t>
      </w:r>
      <w:r w:rsidR="003A3944" w:rsidRPr="00892665">
        <w:rPr>
          <w:lang w:val="en-US"/>
        </w:rPr>
        <w:t xml:space="preserve"> These contacts</w:t>
      </w:r>
      <w:r w:rsidR="00AE47A7" w:rsidRPr="00892665">
        <w:rPr>
          <w:lang w:val="en-US"/>
        </w:rPr>
        <w:t xml:space="preserve"> </w:t>
      </w:r>
      <w:r w:rsidR="00710C91" w:rsidRPr="00892665">
        <w:rPr>
          <w:lang w:val="en-US"/>
        </w:rPr>
        <w:t xml:space="preserve">frequently </w:t>
      </w:r>
      <w:r w:rsidR="00BF2679" w:rsidRPr="00892665">
        <w:rPr>
          <w:lang w:val="en-US"/>
        </w:rPr>
        <w:t xml:space="preserve">related to treatment access </w:t>
      </w:r>
      <w:r w:rsidR="00E520AB" w:rsidRPr="00892665">
        <w:rPr>
          <w:lang w:val="en-US"/>
        </w:rPr>
        <w:t xml:space="preserve">and </w:t>
      </w:r>
      <w:r w:rsidR="00A1033D" w:rsidRPr="00892665">
        <w:rPr>
          <w:lang w:val="en-US"/>
        </w:rPr>
        <w:t xml:space="preserve">clinical </w:t>
      </w:r>
      <w:r w:rsidR="00840002" w:rsidRPr="00892665">
        <w:rPr>
          <w:lang w:val="en-US"/>
        </w:rPr>
        <w:t>practice</w:t>
      </w:r>
      <w:r w:rsidR="00381B2F" w:rsidRPr="00892665">
        <w:rPr>
          <w:lang w:val="en-US"/>
        </w:rPr>
        <w:t>.</w:t>
      </w:r>
      <w:r w:rsidR="0057779F">
        <w:rPr>
          <w:lang w:val="en-US"/>
        </w:rPr>
        <w:t xml:space="preserve"> </w:t>
      </w:r>
    </w:p>
    <w:p w14:paraId="75936E3F" w14:textId="156941DC" w:rsidR="00381B2F" w:rsidRDefault="00C0122F" w:rsidP="000D0B9B">
      <w:pPr>
        <w:pStyle w:val="Tablecaption"/>
        <w:rPr>
          <w:lang w:val="en-US"/>
        </w:rPr>
      </w:pPr>
      <w:r>
        <w:rPr>
          <w:lang w:val="en-US"/>
        </w:rPr>
        <w:t>Table</w:t>
      </w:r>
      <w:r w:rsidR="00381B2F">
        <w:rPr>
          <w:lang w:val="en-US"/>
        </w:rPr>
        <w:t xml:space="preserve"> 1</w:t>
      </w:r>
      <w:r w:rsidR="00381B2F" w:rsidRPr="00E9A183">
        <w:rPr>
          <w:lang w:val="en-US"/>
        </w:rPr>
        <w:t>:</w:t>
      </w:r>
      <w:r w:rsidR="00381B2F">
        <w:rPr>
          <w:lang w:val="en-US"/>
        </w:rPr>
        <w:t xml:space="preserve"> Type of enquiries to the </w:t>
      </w:r>
      <w:r w:rsidR="00500664">
        <w:rPr>
          <w:lang w:val="en-US"/>
        </w:rPr>
        <w:t>Office of the Chief Psychiatrist</w:t>
      </w:r>
      <w:r w:rsidR="00381B2F">
        <w:rPr>
          <w:lang w:val="en-US"/>
        </w:rPr>
        <w:t xml:space="preserve">, </w:t>
      </w:r>
      <w:r w:rsidR="007B2175">
        <w:rPr>
          <w:lang w:val="en-US"/>
        </w:rPr>
        <w:t>202</w:t>
      </w:r>
      <w:r w:rsidR="00BE6F4E">
        <w:rPr>
          <w:lang w:val="en-US"/>
        </w:rPr>
        <w:t>1</w:t>
      </w:r>
      <w:r w:rsidR="007B2175">
        <w:rPr>
          <w:lang w:val="en-US"/>
        </w:rPr>
        <w:t>–</w:t>
      </w:r>
      <w:r w:rsidR="007B2175" w:rsidRPr="00BE6F4E">
        <w:rPr>
          <w:lang w:val="en-US"/>
        </w:rPr>
        <w:t>2</w:t>
      </w:r>
      <w:r w:rsidR="00BE6F4E" w:rsidRPr="00BE6F4E">
        <w:rPr>
          <w:lang w:val="en-US"/>
        </w:rPr>
        <w:t>2</w:t>
      </w:r>
    </w:p>
    <w:tbl>
      <w:tblPr>
        <w:tblStyle w:val="TableGrid"/>
        <w:tblW w:w="0" w:type="auto"/>
        <w:tblLook w:val="0620" w:firstRow="1" w:lastRow="0" w:firstColumn="0" w:lastColumn="0" w:noHBand="1" w:noVBand="1"/>
      </w:tblPr>
      <w:tblGrid>
        <w:gridCol w:w="1597"/>
        <w:gridCol w:w="1710"/>
        <w:gridCol w:w="1710"/>
      </w:tblGrid>
      <w:tr w:rsidR="00126DD9" w14:paraId="4B4B0320" w14:textId="622B0F37" w:rsidTr="002F0EE3">
        <w:trPr>
          <w:tblHeader/>
        </w:trPr>
        <w:tc>
          <w:tcPr>
            <w:tcW w:w="1597" w:type="dxa"/>
          </w:tcPr>
          <w:p w14:paraId="178E1CE6" w14:textId="0FF66344" w:rsidR="00126DD9" w:rsidRDefault="00126DD9" w:rsidP="000D0B9B">
            <w:pPr>
              <w:pStyle w:val="Tablecolhead"/>
              <w:rPr>
                <w:lang w:val="en-US"/>
              </w:rPr>
            </w:pPr>
            <w:r>
              <w:rPr>
                <w:lang w:val="en-US"/>
              </w:rPr>
              <w:t>Enquiry type</w:t>
            </w:r>
          </w:p>
        </w:tc>
        <w:tc>
          <w:tcPr>
            <w:tcW w:w="1710" w:type="dxa"/>
          </w:tcPr>
          <w:p w14:paraId="41F76784" w14:textId="35E0E4AE" w:rsidR="00126DD9" w:rsidRDefault="00126DD9" w:rsidP="00481D22">
            <w:pPr>
              <w:pStyle w:val="Tablecolhead"/>
              <w:jc w:val="center"/>
              <w:rPr>
                <w:lang w:val="en-US"/>
              </w:rPr>
            </w:pPr>
            <w:r>
              <w:rPr>
                <w:lang w:val="en-US"/>
              </w:rPr>
              <w:t>Number</w:t>
            </w:r>
          </w:p>
        </w:tc>
        <w:tc>
          <w:tcPr>
            <w:tcW w:w="1710" w:type="dxa"/>
          </w:tcPr>
          <w:p w14:paraId="28F3A5CC" w14:textId="73AA7D79" w:rsidR="00126DD9" w:rsidRDefault="00126DD9" w:rsidP="00481D22">
            <w:pPr>
              <w:pStyle w:val="Tablecolhead"/>
              <w:jc w:val="center"/>
              <w:rPr>
                <w:lang w:val="en-US"/>
              </w:rPr>
            </w:pPr>
            <w:r>
              <w:rPr>
                <w:lang w:val="en-US"/>
              </w:rPr>
              <w:t>Proportion (%)</w:t>
            </w:r>
          </w:p>
        </w:tc>
      </w:tr>
      <w:tr w:rsidR="00BE6F4E" w14:paraId="567FA968" w14:textId="09C8071D" w:rsidTr="002F0EE3">
        <w:tc>
          <w:tcPr>
            <w:tcW w:w="1597" w:type="dxa"/>
            <w:vAlign w:val="bottom"/>
          </w:tcPr>
          <w:p w14:paraId="17C3CA1B" w14:textId="606F60F4" w:rsidR="00BE6F4E" w:rsidRPr="00314430" w:rsidRDefault="00BE6F4E" w:rsidP="00BE6F4E">
            <w:pPr>
              <w:pStyle w:val="Tabletext"/>
              <w:rPr>
                <w:rFonts w:cs="Arial"/>
              </w:rPr>
            </w:pPr>
            <w:r w:rsidRPr="00314430">
              <w:rPr>
                <w:rFonts w:cs="Arial"/>
                <w:color w:val="000000"/>
              </w:rPr>
              <w:t>Clinical</w:t>
            </w:r>
          </w:p>
        </w:tc>
        <w:tc>
          <w:tcPr>
            <w:tcW w:w="1710" w:type="dxa"/>
            <w:vAlign w:val="bottom"/>
          </w:tcPr>
          <w:p w14:paraId="4D2D1B5D" w14:textId="2BE758A5" w:rsidR="00BE6F4E" w:rsidRPr="00314430" w:rsidRDefault="00BE6F4E" w:rsidP="00481D22">
            <w:pPr>
              <w:pStyle w:val="Tabletext"/>
              <w:jc w:val="center"/>
              <w:rPr>
                <w:rFonts w:cs="Arial"/>
              </w:rPr>
            </w:pPr>
            <w:r w:rsidRPr="00314430">
              <w:rPr>
                <w:rFonts w:cs="Arial"/>
                <w:color w:val="000000"/>
              </w:rPr>
              <w:t>474</w:t>
            </w:r>
          </w:p>
        </w:tc>
        <w:tc>
          <w:tcPr>
            <w:tcW w:w="1710" w:type="dxa"/>
            <w:vAlign w:val="bottom"/>
          </w:tcPr>
          <w:p w14:paraId="59C5A147" w14:textId="654069E9" w:rsidR="00BE6F4E" w:rsidRPr="00314430" w:rsidRDefault="00BE6F4E" w:rsidP="00481D22">
            <w:pPr>
              <w:pStyle w:val="Tabletext"/>
              <w:jc w:val="center"/>
              <w:rPr>
                <w:rFonts w:cs="Arial"/>
              </w:rPr>
            </w:pPr>
            <w:r w:rsidRPr="00314430">
              <w:rPr>
                <w:rFonts w:cs="Arial"/>
                <w:color w:val="000000"/>
              </w:rPr>
              <w:t>36.1%</w:t>
            </w:r>
          </w:p>
        </w:tc>
      </w:tr>
      <w:tr w:rsidR="00BE6F4E" w14:paraId="648E6438" w14:textId="04FA8DB0" w:rsidTr="002F0EE3">
        <w:tc>
          <w:tcPr>
            <w:tcW w:w="1597" w:type="dxa"/>
            <w:vAlign w:val="bottom"/>
          </w:tcPr>
          <w:p w14:paraId="7A92E6D3" w14:textId="732C03C8" w:rsidR="00BE6F4E" w:rsidRPr="00314430" w:rsidRDefault="00BE6F4E" w:rsidP="00BE6F4E">
            <w:pPr>
              <w:pStyle w:val="Tabletext"/>
              <w:rPr>
                <w:rFonts w:cs="Arial"/>
              </w:rPr>
            </w:pPr>
            <w:r w:rsidRPr="00314430">
              <w:rPr>
                <w:rFonts w:cs="Arial"/>
                <w:color w:val="000000"/>
              </w:rPr>
              <w:t>Consumer</w:t>
            </w:r>
          </w:p>
        </w:tc>
        <w:tc>
          <w:tcPr>
            <w:tcW w:w="1710" w:type="dxa"/>
            <w:vAlign w:val="bottom"/>
          </w:tcPr>
          <w:p w14:paraId="70AE2A01" w14:textId="208AAE8F" w:rsidR="00BE6F4E" w:rsidRPr="00314430" w:rsidRDefault="00BE6F4E" w:rsidP="00481D22">
            <w:pPr>
              <w:pStyle w:val="Tabletext"/>
              <w:jc w:val="center"/>
              <w:rPr>
                <w:rFonts w:cs="Arial"/>
              </w:rPr>
            </w:pPr>
            <w:r w:rsidRPr="00314430">
              <w:rPr>
                <w:rFonts w:cs="Arial"/>
                <w:color w:val="000000"/>
              </w:rPr>
              <w:t>361</w:t>
            </w:r>
          </w:p>
        </w:tc>
        <w:tc>
          <w:tcPr>
            <w:tcW w:w="1710" w:type="dxa"/>
            <w:vAlign w:val="bottom"/>
          </w:tcPr>
          <w:p w14:paraId="1B1A4B38" w14:textId="03576F55" w:rsidR="00BE6F4E" w:rsidRPr="00314430" w:rsidRDefault="00BE6F4E" w:rsidP="00481D22">
            <w:pPr>
              <w:pStyle w:val="Tabletext"/>
              <w:jc w:val="center"/>
              <w:rPr>
                <w:rFonts w:cs="Arial"/>
              </w:rPr>
            </w:pPr>
            <w:r w:rsidRPr="00314430">
              <w:rPr>
                <w:rFonts w:cs="Arial"/>
                <w:color w:val="000000"/>
              </w:rPr>
              <w:t>27.5%</w:t>
            </w:r>
          </w:p>
        </w:tc>
      </w:tr>
      <w:tr w:rsidR="00BE6F4E" w14:paraId="3925CC90" w14:textId="27FC866E" w:rsidTr="002F0EE3">
        <w:tc>
          <w:tcPr>
            <w:tcW w:w="1597" w:type="dxa"/>
            <w:vAlign w:val="bottom"/>
          </w:tcPr>
          <w:p w14:paraId="45A79BEC" w14:textId="4C56B904" w:rsidR="00BE6F4E" w:rsidRPr="00314430" w:rsidRDefault="00BE6F4E" w:rsidP="00BE6F4E">
            <w:pPr>
              <w:pStyle w:val="Tabletext"/>
              <w:rPr>
                <w:rFonts w:cs="Arial"/>
              </w:rPr>
            </w:pPr>
            <w:proofErr w:type="spellStart"/>
            <w:r w:rsidRPr="00314430">
              <w:rPr>
                <w:rFonts w:cs="Arial"/>
                <w:color w:val="000000"/>
              </w:rPr>
              <w:t>Carer</w:t>
            </w:r>
            <w:proofErr w:type="spellEnd"/>
          </w:p>
        </w:tc>
        <w:tc>
          <w:tcPr>
            <w:tcW w:w="1710" w:type="dxa"/>
            <w:vAlign w:val="bottom"/>
          </w:tcPr>
          <w:p w14:paraId="4A1595EF" w14:textId="36049D94" w:rsidR="00BE6F4E" w:rsidRPr="00314430" w:rsidRDefault="00BE6F4E" w:rsidP="00481D22">
            <w:pPr>
              <w:pStyle w:val="Tabletext"/>
              <w:jc w:val="center"/>
              <w:rPr>
                <w:rFonts w:cs="Arial"/>
              </w:rPr>
            </w:pPr>
            <w:r w:rsidRPr="00314430">
              <w:rPr>
                <w:rFonts w:cs="Arial"/>
                <w:color w:val="000000"/>
              </w:rPr>
              <w:t>249</w:t>
            </w:r>
          </w:p>
        </w:tc>
        <w:tc>
          <w:tcPr>
            <w:tcW w:w="1710" w:type="dxa"/>
            <w:vAlign w:val="bottom"/>
          </w:tcPr>
          <w:p w14:paraId="1DBDE156" w14:textId="6A1E0969" w:rsidR="00BE6F4E" w:rsidRPr="00314430" w:rsidRDefault="00BE6F4E" w:rsidP="00481D22">
            <w:pPr>
              <w:pStyle w:val="Tabletext"/>
              <w:jc w:val="center"/>
              <w:rPr>
                <w:rFonts w:cs="Arial"/>
              </w:rPr>
            </w:pPr>
            <w:r w:rsidRPr="00314430">
              <w:rPr>
                <w:rFonts w:cs="Arial"/>
                <w:color w:val="000000"/>
              </w:rPr>
              <w:t>18.9%</w:t>
            </w:r>
          </w:p>
        </w:tc>
      </w:tr>
      <w:tr w:rsidR="00BE6F4E" w14:paraId="77B8C86D" w14:textId="2EB25955" w:rsidTr="002F0EE3">
        <w:tc>
          <w:tcPr>
            <w:tcW w:w="1597" w:type="dxa"/>
            <w:vAlign w:val="bottom"/>
          </w:tcPr>
          <w:p w14:paraId="7A2588E0" w14:textId="1D5BE866" w:rsidR="00BE6F4E" w:rsidRPr="00314430" w:rsidRDefault="00BE6F4E" w:rsidP="00BE6F4E">
            <w:pPr>
              <w:pStyle w:val="Tabletext"/>
              <w:rPr>
                <w:rFonts w:cs="Arial"/>
              </w:rPr>
            </w:pPr>
            <w:bookmarkStart w:id="21" w:name="_Hlk82608769"/>
            <w:r w:rsidRPr="00314430">
              <w:rPr>
                <w:rFonts w:cs="Arial"/>
                <w:color w:val="000000"/>
              </w:rPr>
              <w:t>General</w:t>
            </w:r>
            <w:bookmarkEnd w:id="21"/>
          </w:p>
        </w:tc>
        <w:tc>
          <w:tcPr>
            <w:tcW w:w="1710" w:type="dxa"/>
            <w:vAlign w:val="bottom"/>
          </w:tcPr>
          <w:p w14:paraId="0D00EE0B" w14:textId="6281DAF8" w:rsidR="00BE6F4E" w:rsidRPr="00314430" w:rsidRDefault="00BE6F4E" w:rsidP="00481D22">
            <w:pPr>
              <w:pStyle w:val="Tabletext"/>
              <w:jc w:val="center"/>
              <w:rPr>
                <w:rFonts w:cs="Arial"/>
              </w:rPr>
            </w:pPr>
            <w:r w:rsidRPr="00314430">
              <w:rPr>
                <w:rFonts w:cs="Arial"/>
                <w:color w:val="000000"/>
              </w:rPr>
              <w:t>186</w:t>
            </w:r>
          </w:p>
        </w:tc>
        <w:tc>
          <w:tcPr>
            <w:tcW w:w="1710" w:type="dxa"/>
            <w:vAlign w:val="bottom"/>
          </w:tcPr>
          <w:p w14:paraId="0B19E654" w14:textId="2ABA4C0A" w:rsidR="00BE6F4E" w:rsidRPr="00314430" w:rsidRDefault="00BE6F4E" w:rsidP="00481D22">
            <w:pPr>
              <w:pStyle w:val="Tabletext"/>
              <w:jc w:val="center"/>
              <w:rPr>
                <w:rFonts w:cs="Arial"/>
              </w:rPr>
            </w:pPr>
            <w:r w:rsidRPr="00314430">
              <w:rPr>
                <w:rFonts w:cs="Arial"/>
                <w:color w:val="000000"/>
              </w:rPr>
              <w:t>14.2%</w:t>
            </w:r>
          </w:p>
        </w:tc>
      </w:tr>
      <w:tr w:rsidR="00BE6F4E" w14:paraId="05955DE8" w14:textId="490807AB" w:rsidTr="002F0EE3">
        <w:tc>
          <w:tcPr>
            <w:tcW w:w="1597" w:type="dxa"/>
            <w:vAlign w:val="bottom"/>
          </w:tcPr>
          <w:p w14:paraId="06EDF2CA" w14:textId="4803DD58" w:rsidR="00BE6F4E" w:rsidRPr="00314430" w:rsidRDefault="00BE6F4E" w:rsidP="00BE6F4E">
            <w:pPr>
              <w:pStyle w:val="Tabletext"/>
              <w:rPr>
                <w:rFonts w:cs="Arial"/>
              </w:rPr>
            </w:pPr>
            <w:r w:rsidRPr="00314430">
              <w:rPr>
                <w:rFonts w:cs="Arial"/>
                <w:color w:val="000000"/>
              </w:rPr>
              <w:t>CCNAP</w:t>
            </w:r>
          </w:p>
        </w:tc>
        <w:tc>
          <w:tcPr>
            <w:tcW w:w="1710" w:type="dxa"/>
            <w:vAlign w:val="bottom"/>
          </w:tcPr>
          <w:p w14:paraId="7187E627" w14:textId="574F5E45" w:rsidR="00BE6F4E" w:rsidRPr="00314430" w:rsidRDefault="00BE6F4E" w:rsidP="00481D22">
            <w:pPr>
              <w:pStyle w:val="Tabletext"/>
              <w:jc w:val="center"/>
              <w:rPr>
                <w:rFonts w:cs="Arial"/>
              </w:rPr>
            </w:pPr>
            <w:r w:rsidRPr="00314430">
              <w:rPr>
                <w:rFonts w:cs="Arial"/>
                <w:color w:val="000000"/>
              </w:rPr>
              <w:t>22</w:t>
            </w:r>
          </w:p>
        </w:tc>
        <w:tc>
          <w:tcPr>
            <w:tcW w:w="1710" w:type="dxa"/>
            <w:vAlign w:val="bottom"/>
          </w:tcPr>
          <w:p w14:paraId="541B1538" w14:textId="1AE06D16" w:rsidR="00BE6F4E" w:rsidRPr="00314430" w:rsidRDefault="00BE6F4E" w:rsidP="00481D22">
            <w:pPr>
              <w:pStyle w:val="Tabletext"/>
              <w:jc w:val="center"/>
              <w:rPr>
                <w:rFonts w:cs="Arial"/>
              </w:rPr>
            </w:pPr>
            <w:r w:rsidRPr="00314430">
              <w:rPr>
                <w:rFonts w:cs="Arial"/>
                <w:color w:val="000000"/>
              </w:rPr>
              <w:t>1.7%</w:t>
            </w:r>
          </w:p>
        </w:tc>
      </w:tr>
      <w:tr w:rsidR="00BE6F4E" w14:paraId="7A09132A" w14:textId="77777777" w:rsidTr="002F0EE3">
        <w:tc>
          <w:tcPr>
            <w:tcW w:w="1597" w:type="dxa"/>
            <w:vAlign w:val="bottom"/>
          </w:tcPr>
          <w:p w14:paraId="24896F19" w14:textId="2EC5ADAD" w:rsidR="00BE6F4E" w:rsidRPr="00314430" w:rsidRDefault="00BE6F4E" w:rsidP="00BE6F4E">
            <w:pPr>
              <w:pStyle w:val="Tabletext"/>
              <w:rPr>
                <w:rFonts w:cs="Arial"/>
                <w:color w:val="FF0000"/>
              </w:rPr>
            </w:pPr>
            <w:r w:rsidRPr="00314430">
              <w:rPr>
                <w:rFonts w:cs="Arial"/>
                <w:color w:val="000000"/>
              </w:rPr>
              <w:t>Coroner</w:t>
            </w:r>
          </w:p>
        </w:tc>
        <w:tc>
          <w:tcPr>
            <w:tcW w:w="1710" w:type="dxa"/>
            <w:vAlign w:val="bottom"/>
          </w:tcPr>
          <w:p w14:paraId="4777E255" w14:textId="70A480AA" w:rsidR="00BE6F4E" w:rsidRPr="00314430" w:rsidRDefault="00BE6F4E" w:rsidP="00481D22">
            <w:pPr>
              <w:pStyle w:val="Tabletext"/>
              <w:jc w:val="center"/>
              <w:rPr>
                <w:rFonts w:cs="Arial"/>
              </w:rPr>
            </w:pPr>
            <w:r w:rsidRPr="00314430">
              <w:rPr>
                <w:rFonts w:cs="Arial"/>
                <w:color w:val="000000"/>
              </w:rPr>
              <w:t>17</w:t>
            </w:r>
          </w:p>
        </w:tc>
        <w:tc>
          <w:tcPr>
            <w:tcW w:w="1710" w:type="dxa"/>
            <w:vAlign w:val="bottom"/>
          </w:tcPr>
          <w:p w14:paraId="5D329EF5" w14:textId="71E8EA26" w:rsidR="00BE6F4E" w:rsidRPr="00314430" w:rsidRDefault="00BE6F4E" w:rsidP="00481D22">
            <w:pPr>
              <w:pStyle w:val="Tabletext"/>
              <w:jc w:val="center"/>
              <w:rPr>
                <w:rFonts w:cs="Arial"/>
              </w:rPr>
            </w:pPr>
            <w:r w:rsidRPr="00314430">
              <w:rPr>
                <w:rFonts w:cs="Arial"/>
                <w:color w:val="000000"/>
              </w:rPr>
              <w:t>1.3%</w:t>
            </w:r>
          </w:p>
        </w:tc>
      </w:tr>
      <w:tr w:rsidR="00BE6F4E" w14:paraId="0D3A5811" w14:textId="77777777" w:rsidTr="002F0EE3">
        <w:tc>
          <w:tcPr>
            <w:tcW w:w="1597" w:type="dxa"/>
            <w:vAlign w:val="bottom"/>
          </w:tcPr>
          <w:p w14:paraId="4D575404" w14:textId="0F6B9F55" w:rsidR="00BE6F4E" w:rsidRPr="00314430" w:rsidRDefault="00BE6F4E" w:rsidP="00BE6F4E">
            <w:pPr>
              <w:pStyle w:val="Tabletext"/>
              <w:rPr>
                <w:rFonts w:cs="Arial"/>
              </w:rPr>
            </w:pPr>
            <w:r w:rsidRPr="00314430">
              <w:rPr>
                <w:rFonts w:cs="Arial"/>
                <w:color w:val="000000"/>
              </w:rPr>
              <w:t>Legal</w:t>
            </w:r>
          </w:p>
        </w:tc>
        <w:tc>
          <w:tcPr>
            <w:tcW w:w="1710" w:type="dxa"/>
            <w:vAlign w:val="bottom"/>
          </w:tcPr>
          <w:p w14:paraId="2A3EFF50" w14:textId="2ECC262B" w:rsidR="00BE6F4E" w:rsidRPr="00314430" w:rsidRDefault="00BE6F4E" w:rsidP="00481D22">
            <w:pPr>
              <w:pStyle w:val="Tabletext"/>
              <w:jc w:val="center"/>
              <w:rPr>
                <w:rFonts w:cs="Arial"/>
              </w:rPr>
            </w:pPr>
            <w:r w:rsidRPr="00314430">
              <w:rPr>
                <w:rFonts w:cs="Arial"/>
                <w:color w:val="000000"/>
              </w:rPr>
              <w:t>5</w:t>
            </w:r>
          </w:p>
        </w:tc>
        <w:tc>
          <w:tcPr>
            <w:tcW w:w="1710" w:type="dxa"/>
            <w:vAlign w:val="bottom"/>
          </w:tcPr>
          <w:p w14:paraId="4DD55C14" w14:textId="68E1127D" w:rsidR="00BE6F4E" w:rsidRPr="00314430" w:rsidRDefault="00BE6F4E" w:rsidP="00481D22">
            <w:pPr>
              <w:pStyle w:val="Tabletext"/>
              <w:jc w:val="center"/>
              <w:rPr>
                <w:rFonts w:cs="Arial"/>
              </w:rPr>
            </w:pPr>
            <w:r w:rsidRPr="00314430">
              <w:rPr>
                <w:rFonts w:cs="Arial"/>
                <w:color w:val="000000"/>
              </w:rPr>
              <w:t>0.4%</w:t>
            </w:r>
          </w:p>
        </w:tc>
      </w:tr>
      <w:tr w:rsidR="00BE6F4E" w14:paraId="39ED480A" w14:textId="77777777" w:rsidTr="002F0EE3">
        <w:tc>
          <w:tcPr>
            <w:tcW w:w="1597" w:type="dxa"/>
            <w:vAlign w:val="bottom"/>
          </w:tcPr>
          <w:p w14:paraId="16115D00" w14:textId="1D8F4192" w:rsidR="00BE6F4E" w:rsidRPr="00314430" w:rsidRDefault="00BE6F4E" w:rsidP="00BE6F4E">
            <w:pPr>
              <w:pStyle w:val="Tabletext"/>
              <w:rPr>
                <w:rFonts w:cs="Arial"/>
                <w:b/>
                <w:bCs/>
              </w:rPr>
            </w:pPr>
            <w:r w:rsidRPr="00314430">
              <w:rPr>
                <w:rFonts w:cs="Arial"/>
                <w:b/>
                <w:bCs/>
                <w:color w:val="000000"/>
              </w:rPr>
              <w:t>Total</w:t>
            </w:r>
          </w:p>
        </w:tc>
        <w:tc>
          <w:tcPr>
            <w:tcW w:w="1710" w:type="dxa"/>
            <w:vAlign w:val="bottom"/>
          </w:tcPr>
          <w:p w14:paraId="33297E46" w14:textId="3587188F" w:rsidR="00BE6F4E" w:rsidRPr="00314430" w:rsidRDefault="00BE6F4E" w:rsidP="00481D22">
            <w:pPr>
              <w:pStyle w:val="Tabletext"/>
              <w:jc w:val="center"/>
              <w:rPr>
                <w:rFonts w:cs="Arial"/>
                <w:b/>
                <w:bCs/>
              </w:rPr>
            </w:pPr>
            <w:r w:rsidRPr="00314430">
              <w:rPr>
                <w:rFonts w:cs="Arial"/>
                <w:b/>
                <w:bCs/>
                <w:color w:val="000000"/>
              </w:rPr>
              <w:t>1</w:t>
            </w:r>
            <w:r w:rsidR="00D356B5">
              <w:rPr>
                <w:rFonts w:cs="Arial"/>
                <w:b/>
                <w:bCs/>
                <w:color w:val="000000"/>
              </w:rPr>
              <w:t>,</w:t>
            </w:r>
            <w:r w:rsidRPr="00314430">
              <w:rPr>
                <w:rFonts w:cs="Arial"/>
                <w:b/>
                <w:bCs/>
                <w:color w:val="000000"/>
              </w:rPr>
              <w:t>314</w:t>
            </w:r>
          </w:p>
        </w:tc>
        <w:tc>
          <w:tcPr>
            <w:tcW w:w="1710" w:type="dxa"/>
            <w:vAlign w:val="bottom"/>
          </w:tcPr>
          <w:p w14:paraId="59DE22E3" w14:textId="0FFFC80D" w:rsidR="00BE6F4E" w:rsidRPr="00314430" w:rsidRDefault="00BE6F4E" w:rsidP="00481D22">
            <w:pPr>
              <w:pStyle w:val="Tabletext"/>
              <w:jc w:val="center"/>
              <w:rPr>
                <w:rFonts w:cs="Arial"/>
                <w:b/>
                <w:bCs/>
              </w:rPr>
            </w:pPr>
            <w:r w:rsidRPr="00314430">
              <w:rPr>
                <w:rFonts w:cs="Arial"/>
                <w:b/>
                <w:bCs/>
                <w:color w:val="000000"/>
              </w:rPr>
              <w:t>100.0%</w:t>
            </w:r>
          </w:p>
        </w:tc>
      </w:tr>
    </w:tbl>
    <w:p w14:paraId="2BC5F4EB" w14:textId="024DB11A" w:rsidR="003546AA" w:rsidRPr="00A9539C" w:rsidRDefault="00F46937" w:rsidP="00F22070">
      <w:pPr>
        <w:pStyle w:val="Bodyaftertable"/>
        <w:rPr>
          <w:color w:val="FF0000"/>
          <w:lang w:val="en-US"/>
        </w:rPr>
      </w:pPr>
      <w:r>
        <w:rPr>
          <w:lang w:val="en-US"/>
        </w:rPr>
        <w:t xml:space="preserve">The enquiry types </w:t>
      </w:r>
      <w:r w:rsidR="00D356B5">
        <w:rPr>
          <w:lang w:val="en-US"/>
        </w:rPr>
        <w:t xml:space="preserve">the OCP </w:t>
      </w:r>
      <w:r>
        <w:rPr>
          <w:lang w:val="en-US"/>
        </w:rPr>
        <w:t>received can be explained as follows:</w:t>
      </w:r>
      <w:r w:rsidR="00A9539C">
        <w:rPr>
          <w:lang w:val="en-US"/>
        </w:rPr>
        <w:t xml:space="preserve"> </w:t>
      </w:r>
    </w:p>
    <w:p w14:paraId="61D87263" w14:textId="798FD476" w:rsidR="007C4716" w:rsidRPr="007C4716" w:rsidRDefault="00D356B5" w:rsidP="00563C62">
      <w:pPr>
        <w:pStyle w:val="Bullet1"/>
        <w:rPr>
          <w:lang w:val="en-US"/>
        </w:rPr>
      </w:pPr>
      <w:r>
        <w:rPr>
          <w:i/>
          <w:iCs/>
          <w:lang w:val="en-US"/>
        </w:rPr>
        <w:t>c</w:t>
      </w:r>
      <w:r w:rsidR="0016283B" w:rsidRPr="00956807">
        <w:rPr>
          <w:i/>
          <w:iCs/>
          <w:lang w:val="en-US"/>
        </w:rPr>
        <w:t>linical</w:t>
      </w:r>
      <w:r w:rsidR="00960B23">
        <w:rPr>
          <w:lang w:val="en-US"/>
        </w:rPr>
        <w:t xml:space="preserve"> </w:t>
      </w:r>
      <w:r w:rsidR="0024398B">
        <w:rPr>
          <w:lang w:val="en-US"/>
        </w:rPr>
        <w:t xml:space="preserve">– </w:t>
      </w:r>
      <w:r w:rsidR="00180AC7">
        <w:rPr>
          <w:lang w:val="en-US"/>
        </w:rPr>
        <w:t>relat</w:t>
      </w:r>
      <w:r w:rsidR="00256DDD">
        <w:rPr>
          <w:lang w:val="en-US"/>
        </w:rPr>
        <w:t>e</w:t>
      </w:r>
      <w:r w:rsidR="00180AC7">
        <w:rPr>
          <w:lang w:val="en-US"/>
        </w:rPr>
        <w:t xml:space="preserve"> to</w:t>
      </w:r>
      <w:r w:rsidR="00E57B28">
        <w:rPr>
          <w:lang w:val="en-US"/>
        </w:rPr>
        <w:t xml:space="preserve"> clinical practice and service delivery</w:t>
      </w:r>
    </w:p>
    <w:p w14:paraId="475AF702" w14:textId="1DD69E8B" w:rsidR="0016283B" w:rsidRDefault="00D356B5" w:rsidP="00563C62">
      <w:pPr>
        <w:pStyle w:val="Bullet1"/>
        <w:rPr>
          <w:lang w:val="en-US"/>
        </w:rPr>
      </w:pPr>
      <w:r>
        <w:rPr>
          <w:i/>
          <w:iCs/>
          <w:lang w:val="en-US"/>
        </w:rPr>
        <w:t>c</w:t>
      </w:r>
      <w:r w:rsidR="0016283B" w:rsidRPr="00956807">
        <w:rPr>
          <w:i/>
          <w:iCs/>
          <w:lang w:val="en-US"/>
        </w:rPr>
        <w:t>onsumer</w:t>
      </w:r>
      <w:r w:rsidR="007B3471">
        <w:rPr>
          <w:lang w:val="en-US"/>
        </w:rPr>
        <w:t xml:space="preserve"> </w:t>
      </w:r>
      <w:r w:rsidR="0024398B">
        <w:rPr>
          <w:lang w:val="en-US"/>
        </w:rPr>
        <w:t xml:space="preserve">– </w:t>
      </w:r>
      <w:r w:rsidR="00256DDD">
        <w:rPr>
          <w:lang w:val="en-US"/>
        </w:rPr>
        <w:t>relate</w:t>
      </w:r>
      <w:r w:rsidR="00512491">
        <w:rPr>
          <w:lang w:val="en-US"/>
        </w:rPr>
        <w:t xml:space="preserve"> </w:t>
      </w:r>
      <w:r w:rsidR="004657A1">
        <w:rPr>
          <w:lang w:val="en-US"/>
        </w:rPr>
        <w:t>to consumers of mental health services</w:t>
      </w:r>
    </w:p>
    <w:p w14:paraId="6AF273D6" w14:textId="77777777" w:rsidR="004052B1" w:rsidRDefault="00D356B5" w:rsidP="004052B1">
      <w:pPr>
        <w:pStyle w:val="Bullet1"/>
        <w:rPr>
          <w:lang w:val="en-US"/>
        </w:rPr>
      </w:pPr>
      <w:proofErr w:type="spellStart"/>
      <w:r>
        <w:rPr>
          <w:i/>
          <w:iCs/>
          <w:lang w:val="en-US"/>
        </w:rPr>
        <w:t>c</w:t>
      </w:r>
      <w:r w:rsidR="0016283B" w:rsidRPr="00956807">
        <w:rPr>
          <w:i/>
          <w:iCs/>
          <w:lang w:val="en-US"/>
        </w:rPr>
        <w:t>arer</w:t>
      </w:r>
      <w:proofErr w:type="spellEnd"/>
      <w:r w:rsidR="004657A1">
        <w:rPr>
          <w:lang w:val="en-US"/>
        </w:rPr>
        <w:t xml:space="preserve"> </w:t>
      </w:r>
      <w:r w:rsidR="0024398B">
        <w:rPr>
          <w:lang w:val="en-US"/>
        </w:rPr>
        <w:t xml:space="preserve">– </w:t>
      </w:r>
      <w:r w:rsidR="00256DDD">
        <w:rPr>
          <w:lang w:val="en-US"/>
        </w:rPr>
        <w:t xml:space="preserve">relate to </w:t>
      </w:r>
      <w:proofErr w:type="spellStart"/>
      <w:r w:rsidR="004657A1">
        <w:rPr>
          <w:lang w:val="en-US"/>
        </w:rPr>
        <w:t>carers</w:t>
      </w:r>
      <w:proofErr w:type="spellEnd"/>
      <w:r w:rsidR="004657A1">
        <w:rPr>
          <w:lang w:val="en-US"/>
        </w:rPr>
        <w:t xml:space="preserve"> of mental health consumers</w:t>
      </w:r>
    </w:p>
    <w:p w14:paraId="34C8E9DB" w14:textId="1212812E" w:rsidR="0016283B" w:rsidRPr="004052B1" w:rsidRDefault="00D356B5" w:rsidP="004052B1">
      <w:pPr>
        <w:pStyle w:val="Bullet1"/>
        <w:rPr>
          <w:lang w:val="en-US"/>
        </w:rPr>
      </w:pPr>
      <w:r w:rsidRPr="004052B1">
        <w:rPr>
          <w:i/>
          <w:iCs/>
          <w:lang w:val="en-US"/>
        </w:rPr>
        <w:t>g</w:t>
      </w:r>
      <w:r w:rsidR="00D532A8" w:rsidRPr="004052B1">
        <w:rPr>
          <w:i/>
          <w:iCs/>
          <w:lang w:val="en-US"/>
        </w:rPr>
        <w:t>eneral</w:t>
      </w:r>
      <w:r w:rsidR="00256DDD" w:rsidRPr="004052B1">
        <w:rPr>
          <w:lang w:val="en-US"/>
        </w:rPr>
        <w:t xml:space="preserve"> </w:t>
      </w:r>
      <w:r w:rsidR="0024398B" w:rsidRPr="004052B1">
        <w:rPr>
          <w:lang w:val="en-US"/>
        </w:rPr>
        <w:t xml:space="preserve">– </w:t>
      </w:r>
      <w:r w:rsidR="00256DDD" w:rsidRPr="004052B1">
        <w:rPr>
          <w:lang w:val="en-US"/>
        </w:rPr>
        <w:t>relate to</w:t>
      </w:r>
      <w:r w:rsidR="009832EE" w:rsidRPr="004052B1">
        <w:rPr>
          <w:lang w:val="en-US"/>
        </w:rPr>
        <w:t xml:space="preserve"> </w:t>
      </w:r>
      <w:r w:rsidR="00E168D0" w:rsidRPr="004052B1">
        <w:rPr>
          <w:lang w:val="en-US"/>
        </w:rPr>
        <w:t>comp</w:t>
      </w:r>
      <w:r w:rsidR="009832EE" w:rsidRPr="004052B1">
        <w:rPr>
          <w:lang w:val="en-US"/>
        </w:rPr>
        <w:t xml:space="preserve">laints about care and treatment, operational </w:t>
      </w:r>
      <w:proofErr w:type="gramStart"/>
      <w:r w:rsidR="009832EE" w:rsidRPr="004052B1">
        <w:rPr>
          <w:lang w:val="en-US"/>
        </w:rPr>
        <w:t>matters</w:t>
      </w:r>
      <w:proofErr w:type="gramEnd"/>
      <w:r w:rsidR="009832EE" w:rsidRPr="004052B1">
        <w:rPr>
          <w:lang w:val="en-US"/>
        </w:rPr>
        <w:t xml:space="preserve"> </w:t>
      </w:r>
      <w:r w:rsidR="00256DDD" w:rsidRPr="004052B1">
        <w:rPr>
          <w:lang w:val="en-US"/>
        </w:rPr>
        <w:t xml:space="preserve">and </w:t>
      </w:r>
      <w:r w:rsidR="009832EE" w:rsidRPr="004052B1">
        <w:rPr>
          <w:lang w:val="en-US"/>
        </w:rPr>
        <w:t>requests for information</w:t>
      </w:r>
    </w:p>
    <w:p w14:paraId="06EE2C12" w14:textId="1CADA118" w:rsidR="00116E9A" w:rsidRDefault="0008330C" w:rsidP="00EA5DA1">
      <w:pPr>
        <w:pStyle w:val="Bullet1"/>
        <w:rPr>
          <w:lang w:val="en-US"/>
        </w:rPr>
      </w:pPr>
      <w:r w:rsidRPr="0008330C">
        <w:rPr>
          <w:i/>
          <w:iCs/>
          <w:lang w:val="en-US"/>
        </w:rPr>
        <w:t>CCNAP</w:t>
      </w:r>
      <w:r>
        <w:rPr>
          <w:i/>
          <w:iCs/>
          <w:lang w:val="en-US"/>
        </w:rPr>
        <w:t xml:space="preserve"> </w:t>
      </w:r>
      <w:r>
        <w:rPr>
          <w:lang w:val="en-US"/>
        </w:rPr>
        <w:t xml:space="preserve">– relate to </w:t>
      </w:r>
      <w:r w:rsidR="00D356B5">
        <w:rPr>
          <w:lang w:val="en-US"/>
        </w:rPr>
        <w:t xml:space="preserve">the </w:t>
      </w:r>
      <w:r>
        <w:rPr>
          <w:lang w:val="en-US"/>
        </w:rPr>
        <w:t xml:space="preserve">Complex Needs Advisory Panel, which </w:t>
      </w:r>
      <w:r w:rsidR="00D356B5">
        <w:rPr>
          <w:lang w:val="en-US"/>
        </w:rPr>
        <w:t xml:space="preserve">offers </w:t>
      </w:r>
      <w:r>
        <w:rPr>
          <w:lang w:val="en-US"/>
        </w:rPr>
        <w:t xml:space="preserve">advice on the circumstances of people who are subject to the </w:t>
      </w:r>
      <w:r w:rsidR="00EA5DA1" w:rsidRPr="00EA5DA1">
        <w:rPr>
          <w:lang w:val="en-US"/>
        </w:rPr>
        <w:t>Crimes Mental Impairment and Unfitness to Plead Act</w:t>
      </w:r>
    </w:p>
    <w:p w14:paraId="063AE85E" w14:textId="55DC2486" w:rsidR="00A02758" w:rsidRDefault="00D356B5" w:rsidP="00A02758">
      <w:pPr>
        <w:pStyle w:val="Bullet1"/>
        <w:rPr>
          <w:lang w:val="en-US"/>
        </w:rPr>
      </w:pPr>
      <w:r>
        <w:rPr>
          <w:i/>
          <w:iCs/>
          <w:lang w:val="en-US"/>
        </w:rPr>
        <w:t>c</w:t>
      </w:r>
      <w:r w:rsidR="00A02758" w:rsidRPr="00956807">
        <w:rPr>
          <w:i/>
          <w:iCs/>
          <w:lang w:val="en-US"/>
        </w:rPr>
        <w:t>oroner</w:t>
      </w:r>
      <w:r w:rsidR="00A02758">
        <w:rPr>
          <w:lang w:val="en-US"/>
        </w:rPr>
        <w:t xml:space="preserve"> – relate to information that assists coroner investigations</w:t>
      </w:r>
    </w:p>
    <w:p w14:paraId="2A37CE60" w14:textId="79721C71" w:rsidR="00D35FED" w:rsidRPr="00D35FED" w:rsidRDefault="00D356B5" w:rsidP="00563C62">
      <w:pPr>
        <w:pStyle w:val="Bullet1"/>
        <w:rPr>
          <w:lang w:val="en-US"/>
        </w:rPr>
      </w:pPr>
      <w:r>
        <w:rPr>
          <w:i/>
          <w:iCs/>
          <w:lang w:val="en-US"/>
        </w:rPr>
        <w:t>l</w:t>
      </w:r>
      <w:r w:rsidR="00D532A8" w:rsidRPr="00956807">
        <w:rPr>
          <w:i/>
          <w:iCs/>
          <w:lang w:val="en-US"/>
        </w:rPr>
        <w:t>egal</w:t>
      </w:r>
      <w:r w:rsidR="00515E22">
        <w:rPr>
          <w:lang w:val="en-US"/>
        </w:rPr>
        <w:t xml:space="preserve"> </w:t>
      </w:r>
      <w:r w:rsidR="0024398B">
        <w:rPr>
          <w:lang w:val="en-US"/>
        </w:rPr>
        <w:t xml:space="preserve">– </w:t>
      </w:r>
      <w:r w:rsidR="002A14D4">
        <w:rPr>
          <w:lang w:val="en-US"/>
        </w:rPr>
        <w:t>relate to</w:t>
      </w:r>
      <w:r w:rsidR="00515E22">
        <w:rPr>
          <w:lang w:val="en-US"/>
        </w:rPr>
        <w:t xml:space="preserve"> </w:t>
      </w:r>
      <w:r w:rsidR="009F537C">
        <w:rPr>
          <w:lang w:val="en-US"/>
        </w:rPr>
        <w:t xml:space="preserve">apprehension orders, non-custodial supervision orders, </w:t>
      </w:r>
      <w:r w:rsidR="000959C3">
        <w:rPr>
          <w:lang w:val="en-US"/>
        </w:rPr>
        <w:t>subpoenas</w:t>
      </w:r>
      <w:r w:rsidR="00A636DF">
        <w:rPr>
          <w:lang w:val="en-US"/>
        </w:rPr>
        <w:t xml:space="preserve">, the Mental Health Act, </w:t>
      </w:r>
      <w:r w:rsidR="00325B86">
        <w:rPr>
          <w:lang w:val="en-US"/>
        </w:rPr>
        <w:t>the F</w:t>
      </w:r>
      <w:r w:rsidR="001E2103">
        <w:rPr>
          <w:lang w:val="en-US"/>
        </w:rPr>
        <w:t xml:space="preserve">orensic </w:t>
      </w:r>
      <w:r w:rsidR="00325B86">
        <w:rPr>
          <w:lang w:val="en-US"/>
        </w:rPr>
        <w:t>L</w:t>
      </w:r>
      <w:r w:rsidR="001E2103">
        <w:rPr>
          <w:lang w:val="en-US"/>
        </w:rPr>
        <w:t xml:space="preserve">eave </w:t>
      </w:r>
      <w:proofErr w:type="gramStart"/>
      <w:r w:rsidR="00325B86">
        <w:rPr>
          <w:lang w:val="en-US"/>
        </w:rPr>
        <w:t>P</w:t>
      </w:r>
      <w:r w:rsidR="001E2103">
        <w:rPr>
          <w:lang w:val="en-US"/>
        </w:rPr>
        <w:t>anel</w:t>
      </w:r>
      <w:proofErr w:type="gramEnd"/>
      <w:r w:rsidR="00325B86">
        <w:rPr>
          <w:lang w:val="en-US"/>
        </w:rPr>
        <w:t xml:space="preserve"> and i</w:t>
      </w:r>
      <w:r w:rsidR="00B56703">
        <w:rPr>
          <w:lang w:val="en-US"/>
        </w:rPr>
        <w:t>ntra-Australian transfers</w:t>
      </w:r>
      <w:r>
        <w:rPr>
          <w:lang w:val="en-US"/>
        </w:rPr>
        <w:t>.</w:t>
      </w:r>
    </w:p>
    <w:p w14:paraId="279E3CA8" w14:textId="06420729" w:rsidR="00144714" w:rsidRDefault="001B3D1E" w:rsidP="007B2175">
      <w:pPr>
        <w:pStyle w:val="Figurecaption"/>
      </w:pPr>
      <w:r>
        <w:lastRenderedPageBreak/>
        <w:t>Fig</w:t>
      </w:r>
      <w:r w:rsidR="00E93819">
        <w:t>ure 1: Enquir</w:t>
      </w:r>
      <w:r w:rsidR="007B2175">
        <w:t>i</w:t>
      </w:r>
      <w:r w:rsidR="00E93819">
        <w:t>es received by Office of the Chief Psychiatrist, by number per quarter</w:t>
      </w:r>
      <w:r w:rsidR="004D2FA6">
        <w:t xml:space="preserve">, </w:t>
      </w:r>
      <w:r w:rsidR="00993C80">
        <w:br/>
      </w:r>
      <w:r w:rsidR="004D2FA6">
        <w:t>201</w:t>
      </w:r>
      <w:r w:rsidR="00741D98">
        <w:t>7</w:t>
      </w:r>
      <w:r w:rsidR="006F4A1E">
        <w:t>–</w:t>
      </w:r>
      <w:r w:rsidR="004D2FA6">
        <w:t>1</w:t>
      </w:r>
      <w:r w:rsidR="00741D98">
        <w:t>8</w:t>
      </w:r>
      <w:r w:rsidR="004D2FA6">
        <w:t xml:space="preserve"> to </w:t>
      </w:r>
      <w:r w:rsidR="007B2175">
        <w:t>202</w:t>
      </w:r>
      <w:r w:rsidR="00B03F0C">
        <w:t>1</w:t>
      </w:r>
      <w:r w:rsidR="007B2175">
        <w:t>–2</w:t>
      </w:r>
      <w:r w:rsidR="00C7527D">
        <w:t>2</w:t>
      </w:r>
    </w:p>
    <w:p w14:paraId="0F09C032" w14:textId="55D2B5F3" w:rsidR="001B3D1E" w:rsidRPr="001B3D1E" w:rsidRDefault="009C0D05" w:rsidP="00563C62">
      <w:pPr>
        <w:pStyle w:val="Body"/>
      </w:pPr>
      <w:r>
        <w:rPr>
          <w:noProof/>
        </w:rPr>
        <w:drawing>
          <wp:inline distT="0" distB="0" distL="0" distR="0" wp14:anchorId="787C7E30" wp14:editId="4D625F4D">
            <wp:extent cx="5686427" cy="2794000"/>
            <wp:effectExtent l="0" t="0" r="9525" b="6350"/>
            <wp:docPr id="2" name="Chart 2" descr="Data visualisation of enquiries received by the Office of the Chief Psychiatrist on a yearly and quarterly basis from 2017-18 to 2021-22">
              <a:extLst xmlns:a="http://schemas.openxmlformats.org/drawingml/2006/main">
                <a:ext uri="{FF2B5EF4-FFF2-40B4-BE49-F238E27FC236}">
                  <a16:creationId xmlns:a16="http://schemas.microsoft.com/office/drawing/2014/main" id="{1DDD2171-A0C7-419E-8DDA-6F8DBC041D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06CD558" w14:textId="039FBB4F" w:rsidR="002D7392" w:rsidRPr="002D7392" w:rsidRDefault="002D7392" w:rsidP="0099684E">
      <w:pPr>
        <w:pStyle w:val="Tablecaption"/>
        <w:rPr>
          <w:lang w:val="en-US"/>
        </w:rPr>
      </w:pPr>
      <w:bookmarkStart w:id="22" w:name="_Hlk83106005"/>
      <w:r w:rsidRPr="002D7392">
        <w:rPr>
          <w:lang w:val="en-US"/>
        </w:rPr>
        <w:t>Table 2</w:t>
      </w:r>
      <w:r w:rsidRPr="002D7392">
        <w:rPr>
          <w:iCs/>
          <w:lang w:val="en-US"/>
        </w:rPr>
        <w:t>:</w:t>
      </w:r>
      <w:r w:rsidRPr="002D7392">
        <w:rPr>
          <w:lang w:val="en-US"/>
        </w:rPr>
        <w:t xml:space="preserve"> Enquiries received by the Office of the Chief Psychiatrist, by number per quarter, </w:t>
      </w:r>
      <w:r w:rsidRPr="002D7392">
        <w:rPr>
          <w:lang w:val="en-US"/>
        </w:rPr>
        <w:br/>
        <w:t>201</w:t>
      </w:r>
      <w:r w:rsidR="00741D98">
        <w:rPr>
          <w:lang w:val="en-US"/>
        </w:rPr>
        <w:t>7</w:t>
      </w:r>
      <w:r w:rsidR="00993C80">
        <w:rPr>
          <w:lang w:val="en-US"/>
        </w:rPr>
        <w:t>–</w:t>
      </w:r>
      <w:r w:rsidRPr="002D7392">
        <w:rPr>
          <w:lang w:val="en-US"/>
        </w:rPr>
        <w:t>1</w:t>
      </w:r>
      <w:r w:rsidR="00741D98">
        <w:rPr>
          <w:lang w:val="en-US"/>
        </w:rPr>
        <w:t>8</w:t>
      </w:r>
      <w:r w:rsidRPr="002D7392">
        <w:rPr>
          <w:lang w:val="en-US"/>
        </w:rPr>
        <w:t xml:space="preserve"> to 202</w:t>
      </w:r>
      <w:r w:rsidR="00342EA4">
        <w:rPr>
          <w:lang w:val="en-US"/>
        </w:rPr>
        <w:t>1</w:t>
      </w:r>
      <w:r w:rsidR="0099684E">
        <w:rPr>
          <w:lang w:val="en-US"/>
        </w:rPr>
        <w:t>–</w:t>
      </w:r>
      <w:r w:rsidRPr="008B3E80">
        <w:rPr>
          <w:lang w:val="en-US"/>
        </w:rPr>
        <w:t>2</w:t>
      </w:r>
      <w:r w:rsidR="00342EA4" w:rsidRPr="008B3E80">
        <w:rPr>
          <w:lang w:val="en-US"/>
        </w:rPr>
        <w:t>2</w:t>
      </w:r>
    </w:p>
    <w:tbl>
      <w:tblPr>
        <w:tblStyle w:val="TableGrid"/>
        <w:tblW w:w="8749" w:type="dxa"/>
        <w:tblLook w:val="0620" w:firstRow="1" w:lastRow="0" w:firstColumn="0" w:lastColumn="0" w:noHBand="1" w:noVBand="1"/>
      </w:tblPr>
      <w:tblGrid>
        <w:gridCol w:w="1239"/>
        <w:gridCol w:w="1503"/>
        <w:gridCol w:w="1503"/>
        <w:gridCol w:w="1503"/>
        <w:gridCol w:w="1503"/>
        <w:gridCol w:w="1498"/>
      </w:tblGrid>
      <w:tr w:rsidR="008B3E80" w14:paraId="302F8146" w14:textId="77777777" w:rsidTr="005962F1">
        <w:trPr>
          <w:trHeight w:val="377"/>
          <w:tblHeader/>
        </w:trPr>
        <w:tc>
          <w:tcPr>
            <w:tcW w:w="1239" w:type="dxa"/>
            <w:vAlign w:val="bottom"/>
          </w:tcPr>
          <w:p w14:paraId="0D23CFFB" w14:textId="27C9B3DB" w:rsidR="008B3E80" w:rsidRPr="0074172D" w:rsidRDefault="0074172D" w:rsidP="008B3E80">
            <w:pPr>
              <w:pStyle w:val="DHHStablecolhead"/>
              <w:rPr>
                <w:rFonts w:cs="Arial"/>
                <w:sz w:val="21"/>
                <w:szCs w:val="21"/>
                <w:lang w:val="en-US"/>
              </w:rPr>
            </w:pPr>
            <w:r w:rsidRPr="0074172D">
              <w:rPr>
                <w:rFonts w:cs="Arial"/>
                <w:color w:val="auto"/>
                <w:sz w:val="21"/>
                <w:szCs w:val="21"/>
                <w:lang w:val="en-US"/>
              </w:rPr>
              <w:t>Quarter</w:t>
            </w:r>
          </w:p>
        </w:tc>
        <w:tc>
          <w:tcPr>
            <w:tcW w:w="1503" w:type="dxa"/>
            <w:vAlign w:val="bottom"/>
          </w:tcPr>
          <w:p w14:paraId="5C4D3882" w14:textId="6E7BACE8" w:rsidR="008B3E80" w:rsidRPr="00047C73" w:rsidRDefault="008B3E80" w:rsidP="009F5881">
            <w:pPr>
              <w:pStyle w:val="DHHStablecolhead"/>
              <w:jc w:val="center"/>
              <w:rPr>
                <w:rFonts w:cs="Arial"/>
                <w:sz w:val="21"/>
                <w:szCs w:val="21"/>
                <w:lang w:val="en-US"/>
              </w:rPr>
            </w:pPr>
            <w:r w:rsidRPr="00047C73">
              <w:rPr>
                <w:rFonts w:cs="Arial"/>
                <w:sz w:val="21"/>
                <w:szCs w:val="21"/>
                <w:lang w:val="en-US"/>
              </w:rPr>
              <w:t>2017–18</w:t>
            </w:r>
          </w:p>
        </w:tc>
        <w:tc>
          <w:tcPr>
            <w:tcW w:w="1503" w:type="dxa"/>
            <w:vAlign w:val="bottom"/>
          </w:tcPr>
          <w:p w14:paraId="197DB589" w14:textId="19A53399" w:rsidR="008B3E80" w:rsidRPr="00047C73" w:rsidRDefault="008B3E80" w:rsidP="009F5881">
            <w:pPr>
              <w:pStyle w:val="DHHStablecolhead"/>
              <w:jc w:val="center"/>
              <w:rPr>
                <w:rFonts w:cs="Arial"/>
                <w:sz w:val="21"/>
                <w:szCs w:val="21"/>
                <w:lang w:val="en-US"/>
              </w:rPr>
            </w:pPr>
            <w:r w:rsidRPr="00047C73">
              <w:rPr>
                <w:rFonts w:cs="Arial"/>
                <w:sz w:val="21"/>
                <w:szCs w:val="21"/>
                <w:lang w:val="en-US"/>
              </w:rPr>
              <w:t>2018–19</w:t>
            </w:r>
          </w:p>
        </w:tc>
        <w:tc>
          <w:tcPr>
            <w:tcW w:w="1503" w:type="dxa"/>
            <w:vAlign w:val="bottom"/>
          </w:tcPr>
          <w:p w14:paraId="06AA083D" w14:textId="6A6774E8" w:rsidR="008B3E80" w:rsidRPr="00047C73" w:rsidRDefault="008B3E80" w:rsidP="009F5881">
            <w:pPr>
              <w:pStyle w:val="DHHStablecolhead"/>
              <w:jc w:val="center"/>
              <w:rPr>
                <w:rFonts w:cs="Arial"/>
                <w:sz w:val="21"/>
                <w:szCs w:val="21"/>
                <w:lang w:val="en-US"/>
              </w:rPr>
            </w:pPr>
            <w:r w:rsidRPr="00047C73">
              <w:rPr>
                <w:rFonts w:cs="Arial"/>
                <w:sz w:val="21"/>
                <w:szCs w:val="21"/>
                <w:lang w:val="en-US"/>
              </w:rPr>
              <w:t>2019–20</w:t>
            </w:r>
          </w:p>
        </w:tc>
        <w:tc>
          <w:tcPr>
            <w:tcW w:w="1503" w:type="dxa"/>
            <w:vAlign w:val="bottom"/>
          </w:tcPr>
          <w:p w14:paraId="440AB9DE" w14:textId="1DFCE530" w:rsidR="008B3E80" w:rsidRPr="00047C73" w:rsidRDefault="008B3E80" w:rsidP="009F5881">
            <w:pPr>
              <w:pStyle w:val="DHHStablecolhead"/>
              <w:jc w:val="center"/>
              <w:rPr>
                <w:rFonts w:cs="Arial"/>
                <w:sz w:val="21"/>
                <w:szCs w:val="21"/>
                <w:lang w:val="en-US"/>
              </w:rPr>
            </w:pPr>
            <w:r w:rsidRPr="00047C73">
              <w:rPr>
                <w:rFonts w:cs="Arial"/>
                <w:sz w:val="21"/>
                <w:szCs w:val="21"/>
                <w:lang w:val="en-US"/>
              </w:rPr>
              <w:t>2020–21</w:t>
            </w:r>
          </w:p>
        </w:tc>
        <w:tc>
          <w:tcPr>
            <w:tcW w:w="1498" w:type="dxa"/>
            <w:vAlign w:val="bottom"/>
          </w:tcPr>
          <w:p w14:paraId="6A894BD8" w14:textId="0999E989" w:rsidR="008B3E80" w:rsidRPr="00047C73" w:rsidRDefault="008B3E80" w:rsidP="00E9759C">
            <w:pPr>
              <w:pStyle w:val="DHHStablecolhead"/>
              <w:jc w:val="center"/>
              <w:rPr>
                <w:rFonts w:cs="Arial"/>
                <w:sz w:val="21"/>
                <w:szCs w:val="21"/>
                <w:lang w:val="en-US"/>
              </w:rPr>
            </w:pPr>
            <w:r w:rsidRPr="00047C73">
              <w:rPr>
                <w:rFonts w:cs="Arial"/>
                <w:sz w:val="21"/>
                <w:szCs w:val="21"/>
                <w:lang w:val="en-US"/>
              </w:rPr>
              <w:t>2021</w:t>
            </w:r>
            <w:r w:rsidR="00D356B5">
              <w:rPr>
                <w:rFonts w:cs="Arial"/>
                <w:sz w:val="21"/>
                <w:szCs w:val="21"/>
                <w:lang w:val="en-US"/>
              </w:rPr>
              <w:t>–</w:t>
            </w:r>
            <w:r w:rsidRPr="00047C73">
              <w:rPr>
                <w:rFonts w:cs="Arial"/>
                <w:sz w:val="21"/>
                <w:szCs w:val="21"/>
                <w:lang w:val="en-US"/>
              </w:rPr>
              <w:t>22</w:t>
            </w:r>
          </w:p>
        </w:tc>
      </w:tr>
      <w:tr w:rsidR="008B3E80" w14:paraId="3B4509AF" w14:textId="77777777" w:rsidTr="005962F1">
        <w:trPr>
          <w:trHeight w:val="377"/>
        </w:trPr>
        <w:tc>
          <w:tcPr>
            <w:tcW w:w="1239" w:type="dxa"/>
            <w:vAlign w:val="bottom"/>
          </w:tcPr>
          <w:p w14:paraId="297F322C" w14:textId="05746F0C" w:rsidR="008B3E80" w:rsidRDefault="008B3E80" w:rsidP="008B3E80">
            <w:pPr>
              <w:pStyle w:val="Tabletext"/>
            </w:pPr>
            <w:r w:rsidRPr="00953D14">
              <w:rPr>
                <w:rFonts w:cs="Arial"/>
                <w:color w:val="000000"/>
              </w:rPr>
              <w:t>Q1</w:t>
            </w:r>
          </w:p>
        </w:tc>
        <w:tc>
          <w:tcPr>
            <w:tcW w:w="1503" w:type="dxa"/>
            <w:vAlign w:val="bottom"/>
          </w:tcPr>
          <w:p w14:paraId="7B056344" w14:textId="69EEBFEA" w:rsidR="008B3E80" w:rsidRDefault="008B3E80" w:rsidP="009F5881">
            <w:pPr>
              <w:pStyle w:val="Tabletext"/>
              <w:jc w:val="center"/>
            </w:pPr>
            <w:r w:rsidRPr="00953D14">
              <w:rPr>
                <w:rFonts w:cs="Arial"/>
                <w:color w:val="000000"/>
              </w:rPr>
              <w:t>72</w:t>
            </w:r>
          </w:p>
        </w:tc>
        <w:tc>
          <w:tcPr>
            <w:tcW w:w="1503" w:type="dxa"/>
            <w:vAlign w:val="bottom"/>
          </w:tcPr>
          <w:p w14:paraId="18BE2FB3" w14:textId="07457590" w:rsidR="008B3E80" w:rsidRDefault="008B3E80" w:rsidP="009F5881">
            <w:pPr>
              <w:pStyle w:val="Tabletext"/>
              <w:jc w:val="center"/>
            </w:pPr>
            <w:r w:rsidRPr="00953D14">
              <w:rPr>
                <w:rFonts w:cs="Arial"/>
                <w:color w:val="000000"/>
              </w:rPr>
              <w:t>105</w:t>
            </w:r>
          </w:p>
        </w:tc>
        <w:tc>
          <w:tcPr>
            <w:tcW w:w="1503" w:type="dxa"/>
            <w:vAlign w:val="bottom"/>
          </w:tcPr>
          <w:p w14:paraId="5338B394" w14:textId="0EBBCAF7" w:rsidR="008B3E80" w:rsidRDefault="008B3E80" w:rsidP="009F5881">
            <w:pPr>
              <w:pStyle w:val="Tabletext"/>
              <w:jc w:val="center"/>
            </w:pPr>
            <w:r w:rsidRPr="00953D14">
              <w:rPr>
                <w:rFonts w:cs="Arial"/>
                <w:color w:val="000000"/>
              </w:rPr>
              <w:t>134</w:t>
            </w:r>
          </w:p>
        </w:tc>
        <w:tc>
          <w:tcPr>
            <w:tcW w:w="1503" w:type="dxa"/>
            <w:vAlign w:val="bottom"/>
          </w:tcPr>
          <w:p w14:paraId="414E0E88" w14:textId="55661B4E" w:rsidR="008B3E80" w:rsidRDefault="008B3E80" w:rsidP="009F5881">
            <w:pPr>
              <w:pStyle w:val="Tabletext"/>
              <w:jc w:val="center"/>
            </w:pPr>
            <w:r w:rsidRPr="00953D14">
              <w:rPr>
                <w:rFonts w:cs="Arial"/>
                <w:color w:val="000000"/>
              </w:rPr>
              <w:t>287</w:t>
            </w:r>
          </w:p>
        </w:tc>
        <w:tc>
          <w:tcPr>
            <w:tcW w:w="1498" w:type="dxa"/>
            <w:vAlign w:val="bottom"/>
          </w:tcPr>
          <w:p w14:paraId="6A90421C" w14:textId="4932544E" w:rsidR="008B3E80" w:rsidRDefault="008B3E80" w:rsidP="009F5881">
            <w:pPr>
              <w:pStyle w:val="Tabletext"/>
              <w:jc w:val="center"/>
            </w:pPr>
            <w:r w:rsidRPr="00953D14">
              <w:rPr>
                <w:rFonts w:cs="Arial"/>
                <w:color w:val="000000"/>
              </w:rPr>
              <w:t>294</w:t>
            </w:r>
          </w:p>
        </w:tc>
      </w:tr>
      <w:tr w:rsidR="008B3E80" w14:paraId="2F3D7258" w14:textId="77777777" w:rsidTr="005962F1">
        <w:trPr>
          <w:trHeight w:val="377"/>
        </w:trPr>
        <w:tc>
          <w:tcPr>
            <w:tcW w:w="1239" w:type="dxa"/>
            <w:vAlign w:val="bottom"/>
          </w:tcPr>
          <w:p w14:paraId="62914C6C" w14:textId="2AD90D6D" w:rsidR="008B3E80" w:rsidRDefault="008B3E80" w:rsidP="008B3E80">
            <w:pPr>
              <w:pStyle w:val="Tabletext"/>
            </w:pPr>
            <w:r w:rsidRPr="00953D14">
              <w:rPr>
                <w:rFonts w:cs="Arial"/>
                <w:color w:val="000000"/>
              </w:rPr>
              <w:t>Q2</w:t>
            </w:r>
          </w:p>
        </w:tc>
        <w:tc>
          <w:tcPr>
            <w:tcW w:w="1503" w:type="dxa"/>
            <w:vAlign w:val="bottom"/>
          </w:tcPr>
          <w:p w14:paraId="17C2A54E" w14:textId="69998873" w:rsidR="008B3E80" w:rsidRDefault="008B3E80" w:rsidP="009F5881">
            <w:pPr>
              <w:pStyle w:val="Tabletext"/>
              <w:jc w:val="center"/>
            </w:pPr>
            <w:r w:rsidRPr="00953D14">
              <w:rPr>
                <w:rFonts w:cs="Arial"/>
                <w:color w:val="000000"/>
              </w:rPr>
              <w:t>95</w:t>
            </w:r>
          </w:p>
        </w:tc>
        <w:tc>
          <w:tcPr>
            <w:tcW w:w="1503" w:type="dxa"/>
            <w:vAlign w:val="bottom"/>
          </w:tcPr>
          <w:p w14:paraId="214C6812" w14:textId="421492BF" w:rsidR="008B3E80" w:rsidRDefault="008B3E80" w:rsidP="009F5881">
            <w:pPr>
              <w:pStyle w:val="Tabletext"/>
              <w:jc w:val="center"/>
            </w:pPr>
            <w:r w:rsidRPr="00953D14">
              <w:rPr>
                <w:rFonts w:cs="Arial"/>
                <w:color w:val="000000"/>
              </w:rPr>
              <w:t>143</w:t>
            </w:r>
          </w:p>
        </w:tc>
        <w:tc>
          <w:tcPr>
            <w:tcW w:w="1503" w:type="dxa"/>
            <w:vAlign w:val="bottom"/>
          </w:tcPr>
          <w:p w14:paraId="0B414000" w14:textId="2A4E839A" w:rsidR="008B3E80" w:rsidRDefault="008B3E80" w:rsidP="009F5881">
            <w:pPr>
              <w:pStyle w:val="Tabletext"/>
              <w:jc w:val="center"/>
            </w:pPr>
            <w:r w:rsidRPr="00953D14">
              <w:rPr>
                <w:rFonts w:cs="Arial"/>
                <w:color w:val="000000"/>
              </w:rPr>
              <w:t>157</w:t>
            </w:r>
          </w:p>
        </w:tc>
        <w:tc>
          <w:tcPr>
            <w:tcW w:w="1503" w:type="dxa"/>
            <w:vAlign w:val="bottom"/>
          </w:tcPr>
          <w:p w14:paraId="61410216" w14:textId="211B7919" w:rsidR="008B3E80" w:rsidRDefault="008B3E80" w:rsidP="009F5881">
            <w:pPr>
              <w:pStyle w:val="Tabletext"/>
              <w:jc w:val="center"/>
            </w:pPr>
            <w:r w:rsidRPr="00953D14">
              <w:rPr>
                <w:rFonts w:cs="Arial"/>
                <w:color w:val="000000"/>
              </w:rPr>
              <w:t>209</w:t>
            </w:r>
          </w:p>
        </w:tc>
        <w:tc>
          <w:tcPr>
            <w:tcW w:w="1498" w:type="dxa"/>
            <w:vAlign w:val="bottom"/>
          </w:tcPr>
          <w:p w14:paraId="15F9E7C7" w14:textId="360178DE" w:rsidR="008B3E80" w:rsidRDefault="008B3E80" w:rsidP="009F5881">
            <w:pPr>
              <w:pStyle w:val="Tabletext"/>
              <w:jc w:val="center"/>
            </w:pPr>
            <w:r w:rsidRPr="00953D14">
              <w:rPr>
                <w:rFonts w:cs="Arial"/>
                <w:color w:val="000000"/>
              </w:rPr>
              <w:t>320</w:t>
            </w:r>
          </w:p>
        </w:tc>
      </w:tr>
      <w:tr w:rsidR="008B3E80" w14:paraId="745222D9" w14:textId="77777777" w:rsidTr="005962F1">
        <w:trPr>
          <w:trHeight w:val="377"/>
        </w:trPr>
        <w:tc>
          <w:tcPr>
            <w:tcW w:w="1239" w:type="dxa"/>
            <w:vAlign w:val="bottom"/>
          </w:tcPr>
          <w:p w14:paraId="63586485" w14:textId="7186ACBE" w:rsidR="008B3E80" w:rsidRDefault="008B3E80" w:rsidP="008B3E80">
            <w:pPr>
              <w:pStyle w:val="Tabletext"/>
            </w:pPr>
            <w:r w:rsidRPr="00953D14">
              <w:rPr>
                <w:rFonts w:cs="Arial"/>
                <w:color w:val="000000"/>
              </w:rPr>
              <w:t>Q3</w:t>
            </w:r>
          </w:p>
        </w:tc>
        <w:tc>
          <w:tcPr>
            <w:tcW w:w="1503" w:type="dxa"/>
            <w:vAlign w:val="bottom"/>
          </w:tcPr>
          <w:p w14:paraId="682E4D47" w14:textId="64A6B9AE" w:rsidR="008B3E80" w:rsidRDefault="008B3E80" w:rsidP="009F5881">
            <w:pPr>
              <w:pStyle w:val="Tabletext"/>
              <w:jc w:val="center"/>
            </w:pPr>
            <w:r w:rsidRPr="00953D14">
              <w:rPr>
                <w:rFonts w:cs="Arial"/>
                <w:color w:val="000000"/>
              </w:rPr>
              <w:t>105</w:t>
            </w:r>
          </w:p>
        </w:tc>
        <w:tc>
          <w:tcPr>
            <w:tcW w:w="1503" w:type="dxa"/>
            <w:vAlign w:val="bottom"/>
          </w:tcPr>
          <w:p w14:paraId="5357846B" w14:textId="6B2E37C7" w:rsidR="008B3E80" w:rsidRDefault="008B3E80" w:rsidP="009F5881">
            <w:pPr>
              <w:pStyle w:val="Tabletext"/>
              <w:jc w:val="center"/>
            </w:pPr>
            <w:r w:rsidRPr="00953D14">
              <w:rPr>
                <w:rFonts w:cs="Arial"/>
                <w:color w:val="000000"/>
              </w:rPr>
              <w:t>161</w:t>
            </w:r>
          </w:p>
        </w:tc>
        <w:tc>
          <w:tcPr>
            <w:tcW w:w="1503" w:type="dxa"/>
            <w:vAlign w:val="bottom"/>
          </w:tcPr>
          <w:p w14:paraId="5F7FDEBA" w14:textId="671EB8E3" w:rsidR="008B3E80" w:rsidRDefault="008B3E80" w:rsidP="009F5881">
            <w:pPr>
              <w:pStyle w:val="Tabletext"/>
              <w:jc w:val="center"/>
            </w:pPr>
            <w:r w:rsidRPr="00953D14">
              <w:rPr>
                <w:rFonts w:cs="Arial"/>
                <w:color w:val="000000"/>
              </w:rPr>
              <w:t>142</w:t>
            </w:r>
          </w:p>
        </w:tc>
        <w:tc>
          <w:tcPr>
            <w:tcW w:w="1503" w:type="dxa"/>
            <w:vAlign w:val="bottom"/>
          </w:tcPr>
          <w:p w14:paraId="479067F3" w14:textId="20A7D660" w:rsidR="008B3E80" w:rsidRDefault="008B3E80" w:rsidP="009F5881">
            <w:pPr>
              <w:pStyle w:val="Tabletext"/>
              <w:jc w:val="center"/>
            </w:pPr>
            <w:r w:rsidRPr="00953D14">
              <w:rPr>
                <w:rFonts w:cs="Arial"/>
                <w:color w:val="000000"/>
              </w:rPr>
              <w:t>226</w:t>
            </w:r>
          </w:p>
        </w:tc>
        <w:tc>
          <w:tcPr>
            <w:tcW w:w="1498" w:type="dxa"/>
            <w:vAlign w:val="bottom"/>
          </w:tcPr>
          <w:p w14:paraId="09F0C214" w14:textId="61D7E8A8" w:rsidR="008B3E80" w:rsidRDefault="008B3E80" w:rsidP="009F5881">
            <w:pPr>
              <w:pStyle w:val="Tabletext"/>
              <w:jc w:val="center"/>
            </w:pPr>
            <w:r w:rsidRPr="00953D14">
              <w:rPr>
                <w:rFonts w:cs="Arial"/>
                <w:color w:val="000000"/>
              </w:rPr>
              <w:t>382</w:t>
            </w:r>
          </w:p>
        </w:tc>
      </w:tr>
      <w:tr w:rsidR="008B3E80" w14:paraId="2642E88B" w14:textId="77777777" w:rsidTr="005962F1">
        <w:trPr>
          <w:trHeight w:val="377"/>
        </w:trPr>
        <w:tc>
          <w:tcPr>
            <w:tcW w:w="1239" w:type="dxa"/>
            <w:vAlign w:val="bottom"/>
          </w:tcPr>
          <w:p w14:paraId="0E0FD7C5" w14:textId="33054F52" w:rsidR="008B3E80" w:rsidRDefault="008B3E80" w:rsidP="008B3E80">
            <w:pPr>
              <w:pStyle w:val="Tabletext"/>
            </w:pPr>
            <w:r w:rsidRPr="00953D14">
              <w:rPr>
                <w:rFonts w:cs="Arial"/>
                <w:color w:val="000000"/>
              </w:rPr>
              <w:t>Q4</w:t>
            </w:r>
          </w:p>
        </w:tc>
        <w:tc>
          <w:tcPr>
            <w:tcW w:w="1503" w:type="dxa"/>
            <w:vAlign w:val="bottom"/>
          </w:tcPr>
          <w:p w14:paraId="5FC90EE3" w14:textId="047CDF40" w:rsidR="008B3E80" w:rsidRDefault="008B3E80" w:rsidP="009F5881">
            <w:pPr>
              <w:pStyle w:val="Tabletext"/>
              <w:jc w:val="center"/>
            </w:pPr>
            <w:r w:rsidRPr="00953D14">
              <w:rPr>
                <w:rFonts w:cs="Arial"/>
                <w:color w:val="000000"/>
              </w:rPr>
              <w:t>93</w:t>
            </w:r>
          </w:p>
        </w:tc>
        <w:tc>
          <w:tcPr>
            <w:tcW w:w="1503" w:type="dxa"/>
            <w:vAlign w:val="bottom"/>
          </w:tcPr>
          <w:p w14:paraId="3F4D09A9" w14:textId="458D57D7" w:rsidR="008B3E80" w:rsidRDefault="008B3E80" w:rsidP="009F5881">
            <w:pPr>
              <w:pStyle w:val="Tabletext"/>
              <w:jc w:val="center"/>
            </w:pPr>
            <w:r w:rsidRPr="00953D14">
              <w:rPr>
                <w:rFonts w:cs="Arial"/>
                <w:color w:val="000000"/>
              </w:rPr>
              <w:t>122</w:t>
            </w:r>
          </w:p>
        </w:tc>
        <w:tc>
          <w:tcPr>
            <w:tcW w:w="1503" w:type="dxa"/>
            <w:vAlign w:val="bottom"/>
          </w:tcPr>
          <w:p w14:paraId="09786127" w14:textId="5A6FB8C8" w:rsidR="008B3E80" w:rsidRDefault="008B3E80" w:rsidP="009F5881">
            <w:pPr>
              <w:pStyle w:val="Tabletext"/>
              <w:jc w:val="center"/>
            </w:pPr>
            <w:r w:rsidRPr="00953D14">
              <w:rPr>
                <w:rFonts w:cs="Arial"/>
                <w:color w:val="000000"/>
              </w:rPr>
              <w:t>218</w:t>
            </w:r>
          </w:p>
        </w:tc>
        <w:tc>
          <w:tcPr>
            <w:tcW w:w="1503" w:type="dxa"/>
            <w:vAlign w:val="bottom"/>
          </w:tcPr>
          <w:p w14:paraId="6A33D6F4" w14:textId="0B10BD28" w:rsidR="008B3E80" w:rsidRDefault="008B3E80" w:rsidP="009F5881">
            <w:pPr>
              <w:pStyle w:val="Tabletext"/>
              <w:jc w:val="center"/>
            </w:pPr>
            <w:r w:rsidRPr="00953D14">
              <w:rPr>
                <w:rFonts w:cs="Arial"/>
                <w:color w:val="000000"/>
              </w:rPr>
              <w:t>271</w:t>
            </w:r>
          </w:p>
        </w:tc>
        <w:tc>
          <w:tcPr>
            <w:tcW w:w="1498" w:type="dxa"/>
            <w:vAlign w:val="bottom"/>
          </w:tcPr>
          <w:p w14:paraId="61CA3AE9" w14:textId="1C355B9C" w:rsidR="008B3E80" w:rsidRDefault="008B3E80" w:rsidP="009F5881">
            <w:pPr>
              <w:pStyle w:val="Tabletext"/>
              <w:jc w:val="center"/>
            </w:pPr>
            <w:r w:rsidRPr="00953D14">
              <w:rPr>
                <w:rFonts w:cs="Arial"/>
                <w:color w:val="000000"/>
              </w:rPr>
              <w:t>318</w:t>
            </w:r>
          </w:p>
        </w:tc>
      </w:tr>
      <w:tr w:rsidR="008B3E80" w14:paraId="152AF5FE" w14:textId="77777777" w:rsidTr="005962F1">
        <w:trPr>
          <w:trHeight w:val="357"/>
        </w:trPr>
        <w:tc>
          <w:tcPr>
            <w:tcW w:w="1239" w:type="dxa"/>
            <w:vAlign w:val="bottom"/>
          </w:tcPr>
          <w:p w14:paraId="6FDFE58C" w14:textId="46082C5D" w:rsidR="008B3E80" w:rsidRPr="005F5BC0" w:rsidRDefault="008B3E80" w:rsidP="008B3E80">
            <w:pPr>
              <w:pStyle w:val="Tabletext"/>
              <w:rPr>
                <w:b/>
              </w:rPr>
            </w:pPr>
            <w:r w:rsidRPr="00953D14">
              <w:rPr>
                <w:rFonts w:cs="Arial"/>
                <w:b/>
                <w:bCs/>
                <w:color w:val="000000"/>
              </w:rPr>
              <w:t>Total</w:t>
            </w:r>
          </w:p>
        </w:tc>
        <w:tc>
          <w:tcPr>
            <w:tcW w:w="1503" w:type="dxa"/>
            <w:vAlign w:val="bottom"/>
          </w:tcPr>
          <w:p w14:paraId="2C21CDAE" w14:textId="65C82448" w:rsidR="008B3E80" w:rsidRPr="005F5BC0" w:rsidRDefault="008B3E80" w:rsidP="009F5881">
            <w:pPr>
              <w:pStyle w:val="Tabletext"/>
              <w:jc w:val="center"/>
              <w:rPr>
                <w:b/>
              </w:rPr>
            </w:pPr>
            <w:r w:rsidRPr="00953D14">
              <w:rPr>
                <w:rFonts w:cs="Arial"/>
                <w:b/>
                <w:bCs/>
                <w:color w:val="000000"/>
              </w:rPr>
              <w:t>365</w:t>
            </w:r>
          </w:p>
        </w:tc>
        <w:tc>
          <w:tcPr>
            <w:tcW w:w="1503" w:type="dxa"/>
            <w:vAlign w:val="bottom"/>
          </w:tcPr>
          <w:p w14:paraId="27DC45E9" w14:textId="4A24C51C" w:rsidR="008B3E80" w:rsidRPr="005F5BC0" w:rsidRDefault="008B3E80" w:rsidP="009F5881">
            <w:pPr>
              <w:pStyle w:val="Tabletext"/>
              <w:jc w:val="center"/>
              <w:rPr>
                <w:b/>
              </w:rPr>
            </w:pPr>
            <w:r w:rsidRPr="00953D14">
              <w:rPr>
                <w:rFonts w:cs="Arial"/>
                <w:b/>
                <w:bCs/>
                <w:color w:val="000000"/>
              </w:rPr>
              <w:t>531</w:t>
            </w:r>
          </w:p>
        </w:tc>
        <w:tc>
          <w:tcPr>
            <w:tcW w:w="1503" w:type="dxa"/>
            <w:vAlign w:val="bottom"/>
          </w:tcPr>
          <w:p w14:paraId="4872B783" w14:textId="7FAA8CAC" w:rsidR="008B3E80" w:rsidRPr="005F5BC0" w:rsidRDefault="008B3E80" w:rsidP="009F5881">
            <w:pPr>
              <w:pStyle w:val="Tabletext"/>
              <w:jc w:val="center"/>
              <w:rPr>
                <w:b/>
              </w:rPr>
            </w:pPr>
            <w:r w:rsidRPr="00953D14">
              <w:rPr>
                <w:rFonts w:cs="Arial"/>
                <w:b/>
                <w:bCs/>
                <w:color w:val="000000"/>
              </w:rPr>
              <w:t>651</w:t>
            </w:r>
          </w:p>
        </w:tc>
        <w:tc>
          <w:tcPr>
            <w:tcW w:w="1503" w:type="dxa"/>
            <w:vAlign w:val="bottom"/>
          </w:tcPr>
          <w:p w14:paraId="73F6FB72" w14:textId="4CE3A9F4" w:rsidR="008B3E80" w:rsidRPr="005F5BC0" w:rsidRDefault="008B3E80" w:rsidP="009F5881">
            <w:pPr>
              <w:pStyle w:val="Tabletext"/>
              <w:jc w:val="center"/>
              <w:rPr>
                <w:b/>
              </w:rPr>
            </w:pPr>
            <w:r w:rsidRPr="00953D14">
              <w:rPr>
                <w:rFonts w:cs="Arial"/>
                <w:b/>
                <w:bCs/>
                <w:color w:val="000000"/>
              </w:rPr>
              <w:t>993</w:t>
            </w:r>
          </w:p>
        </w:tc>
        <w:tc>
          <w:tcPr>
            <w:tcW w:w="1498" w:type="dxa"/>
            <w:vAlign w:val="bottom"/>
          </w:tcPr>
          <w:p w14:paraId="651942F7" w14:textId="47D65FB7" w:rsidR="008B3E80" w:rsidRPr="005F5BC0" w:rsidRDefault="008B3E80" w:rsidP="009F5881">
            <w:pPr>
              <w:pStyle w:val="Tabletext"/>
              <w:jc w:val="center"/>
              <w:rPr>
                <w:b/>
              </w:rPr>
            </w:pPr>
            <w:r w:rsidRPr="00953D14">
              <w:rPr>
                <w:rFonts w:cs="Arial"/>
                <w:b/>
                <w:bCs/>
                <w:color w:val="000000"/>
              </w:rPr>
              <w:t>1</w:t>
            </w:r>
            <w:r w:rsidR="00D356B5">
              <w:rPr>
                <w:rFonts w:cs="Arial"/>
                <w:b/>
                <w:bCs/>
                <w:color w:val="000000"/>
              </w:rPr>
              <w:t>,</w:t>
            </w:r>
            <w:r w:rsidRPr="00953D14">
              <w:rPr>
                <w:rFonts w:cs="Arial"/>
                <w:b/>
                <w:bCs/>
                <w:color w:val="000000"/>
              </w:rPr>
              <w:t>314</w:t>
            </w:r>
          </w:p>
        </w:tc>
      </w:tr>
    </w:tbl>
    <w:p w14:paraId="135F9AB5" w14:textId="05119234" w:rsidR="005852E0" w:rsidRPr="00052F88" w:rsidRDefault="0099684E" w:rsidP="00D55654">
      <w:pPr>
        <w:pStyle w:val="Tablefigurenote"/>
      </w:pPr>
      <w:bookmarkStart w:id="23" w:name="_Hlk83213090"/>
      <w:bookmarkStart w:id="24" w:name="_Hlk83213124"/>
      <w:r>
        <w:t xml:space="preserve">Note: </w:t>
      </w:r>
      <w:bookmarkEnd w:id="23"/>
      <w:r w:rsidR="002B6688" w:rsidRPr="002B6688">
        <w:t xml:space="preserve">This table </w:t>
      </w:r>
      <w:r w:rsidR="00792533">
        <w:t>corresponds with</w:t>
      </w:r>
      <w:r w:rsidR="002B6688" w:rsidRPr="002B6688">
        <w:t xml:space="preserve"> the graph above. It is included for purposes of accessibility</w:t>
      </w:r>
      <w:r w:rsidR="00344E29" w:rsidRPr="00052F88">
        <w:t>.</w:t>
      </w:r>
      <w:bookmarkEnd w:id="24"/>
    </w:p>
    <w:p w14:paraId="05E81473" w14:textId="641BCDF7" w:rsidR="00AD1364" w:rsidRPr="00AD1364" w:rsidRDefault="00AD1364" w:rsidP="0099684E">
      <w:pPr>
        <w:pStyle w:val="Tablecaption"/>
        <w:rPr>
          <w:lang w:val="en-US"/>
        </w:rPr>
      </w:pPr>
      <w:r w:rsidRPr="00AD1364">
        <w:rPr>
          <w:lang w:val="en-US"/>
        </w:rPr>
        <w:t xml:space="preserve">Table </w:t>
      </w:r>
      <w:r w:rsidR="008B788D" w:rsidRPr="007F108E">
        <w:rPr>
          <w:lang w:val="en-US"/>
        </w:rPr>
        <w:t>3</w:t>
      </w:r>
      <w:r w:rsidRPr="00AD1364">
        <w:rPr>
          <w:lang w:val="en-US"/>
        </w:rPr>
        <w:t>: Enquiries to the Office of the Chief Psychiatrist, trend data</w:t>
      </w:r>
      <w:r w:rsidR="008D1CA6">
        <w:rPr>
          <w:lang w:val="en-US"/>
        </w:rPr>
        <w:t>,</w:t>
      </w:r>
      <w:r w:rsidRPr="00AD1364">
        <w:rPr>
          <w:lang w:val="en-US"/>
        </w:rPr>
        <w:t xml:space="preserve"> 20</w:t>
      </w:r>
      <w:r w:rsidR="008D1CA6">
        <w:rPr>
          <w:lang w:val="en-US"/>
        </w:rPr>
        <w:t>1</w:t>
      </w:r>
      <w:r w:rsidR="00342EA4">
        <w:rPr>
          <w:lang w:val="en-US"/>
        </w:rPr>
        <w:t>9</w:t>
      </w:r>
      <w:r w:rsidR="008D1CA6" w:rsidRPr="00AD1364">
        <w:rPr>
          <w:lang w:val="en-US"/>
        </w:rPr>
        <w:t>–</w:t>
      </w:r>
      <w:bookmarkStart w:id="25" w:name="_Hlk84858781"/>
      <w:r w:rsidR="00342EA4">
        <w:rPr>
          <w:lang w:val="en-US"/>
        </w:rPr>
        <w:t>20</w:t>
      </w:r>
      <w:r w:rsidR="008D1CA6">
        <w:rPr>
          <w:lang w:val="en-US"/>
        </w:rPr>
        <w:t xml:space="preserve"> to 202</w:t>
      </w:r>
      <w:r w:rsidR="00342EA4">
        <w:rPr>
          <w:lang w:val="en-US"/>
        </w:rPr>
        <w:t>1</w:t>
      </w:r>
      <w:r w:rsidRPr="00AD1364">
        <w:rPr>
          <w:lang w:val="en-US"/>
        </w:rPr>
        <w:t>–</w:t>
      </w:r>
      <w:bookmarkEnd w:id="25"/>
      <w:r w:rsidRPr="00AD1364">
        <w:rPr>
          <w:lang w:val="en-US"/>
        </w:rPr>
        <w:t>2</w:t>
      </w:r>
      <w:r w:rsidR="00342EA4">
        <w:rPr>
          <w:lang w:val="en-US"/>
        </w:rPr>
        <w:t>2</w:t>
      </w:r>
    </w:p>
    <w:tbl>
      <w:tblPr>
        <w:tblStyle w:val="TableGrid"/>
        <w:tblW w:w="9610" w:type="dxa"/>
        <w:tblInd w:w="27" w:type="dxa"/>
        <w:tblLayout w:type="fixed"/>
        <w:tblLook w:val="0620" w:firstRow="1" w:lastRow="0" w:firstColumn="0" w:lastColumn="0" w:noHBand="1" w:noVBand="1"/>
      </w:tblPr>
      <w:tblGrid>
        <w:gridCol w:w="1102"/>
        <w:gridCol w:w="709"/>
        <w:gridCol w:w="709"/>
        <w:gridCol w:w="709"/>
        <w:gridCol w:w="709"/>
        <w:gridCol w:w="709"/>
        <w:gridCol w:w="709"/>
        <w:gridCol w:w="709"/>
        <w:gridCol w:w="709"/>
        <w:gridCol w:w="709"/>
        <w:gridCol w:w="709"/>
        <w:gridCol w:w="709"/>
        <w:gridCol w:w="709"/>
      </w:tblGrid>
      <w:tr w:rsidR="001A3C90" w14:paraId="312CCFD2" w14:textId="77777777" w:rsidTr="008D33F1">
        <w:trPr>
          <w:trHeight w:val="300"/>
          <w:tblHeader/>
        </w:trPr>
        <w:tc>
          <w:tcPr>
            <w:tcW w:w="1102" w:type="dxa"/>
            <w:vAlign w:val="center"/>
          </w:tcPr>
          <w:p w14:paraId="058CF307" w14:textId="16A39B07" w:rsidR="00575587" w:rsidRPr="004C1918" w:rsidRDefault="00575587" w:rsidP="00575587">
            <w:pPr>
              <w:pStyle w:val="DHHStablecolhead"/>
              <w:rPr>
                <w:rFonts w:cs="Arial"/>
                <w:sz w:val="21"/>
                <w:szCs w:val="21"/>
                <w:lang w:val="en-US"/>
              </w:rPr>
            </w:pPr>
            <w:r w:rsidRPr="004C1918">
              <w:rPr>
                <w:rFonts w:cs="Arial"/>
                <w:color w:val="auto"/>
                <w:sz w:val="21"/>
                <w:szCs w:val="21"/>
                <w:lang w:val="en-US"/>
              </w:rPr>
              <w:t>Year</w:t>
            </w:r>
          </w:p>
        </w:tc>
        <w:tc>
          <w:tcPr>
            <w:tcW w:w="709" w:type="dxa"/>
            <w:vAlign w:val="center"/>
          </w:tcPr>
          <w:p w14:paraId="0B5419E7" w14:textId="1D7F2580" w:rsidR="00575587" w:rsidRPr="004C1918" w:rsidRDefault="00575587" w:rsidP="0074172D">
            <w:pPr>
              <w:pStyle w:val="DHHStablecolhead"/>
              <w:jc w:val="center"/>
              <w:rPr>
                <w:rFonts w:cs="Arial"/>
                <w:sz w:val="21"/>
                <w:szCs w:val="21"/>
                <w:lang w:val="en-US"/>
              </w:rPr>
            </w:pPr>
            <w:r w:rsidRPr="004C1918">
              <w:rPr>
                <w:rFonts w:cs="Arial"/>
                <w:sz w:val="21"/>
                <w:szCs w:val="21"/>
                <w:lang w:val="en-US"/>
              </w:rPr>
              <w:t>Jul</w:t>
            </w:r>
          </w:p>
        </w:tc>
        <w:tc>
          <w:tcPr>
            <w:tcW w:w="709" w:type="dxa"/>
            <w:vAlign w:val="center"/>
          </w:tcPr>
          <w:p w14:paraId="34727BE6" w14:textId="54ED1FFF" w:rsidR="00575587" w:rsidRPr="004C1918" w:rsidRDefault="00575587" w:rsidP="0074172D">
            <w:pPr>
              <w:pStyle w:val="DHHStablecolhead"/>
              <w:jc w:val="center"/>
              <w:rPr>
                <w:rFonts w:cs="Arial"/>
                <w:sz w:val="21"/>
                <w:szCs w:val="21"/>
                <w:lang w:val="en-US"/>
              </w:rPr>
            </w:pPr>
            <w:r w:rsidRPr="004C1918">
              <w:rPr>
                <w:rFonts w:cs="Arial"/>
                <w:sz w:val="21"/>
                <w:szCs w:val="21"/>
                <w:lang w:val="en-US"/>
              </w:rPr>
              <w:t>Aug</w:t>
            </w:r>
          </w:p>
        </w:tc>
        <w:tc>
          <w:tcPr>
            <w:tcW w:w="709" w:type="dxa"/>
            <w:vAlign w:val="center"/>
          </w:tcPr>
          <w:p w14:paraId="2707FD40" w14:textId="27F16B88" w:rsidR="00575587" w:rsidRPr="004C1918" w:rsidRDefault="00575587" w:rsidP="0074172D">
            <w:pPr>
              <w:pStyle w:val="DHHStablecolhead"/>
              <w:jc w:val="center"/>
              <w:rPr>
                <w:rFonts w:cs="Arial"/>
                <w:sz w:val="21"/>
                <w:szCs w:val="21"/>
                <w:lang w:val="en-US"/>
              </w:rPr>
            </w:pPr>
            <w:r w:rsidRPr="004C1918">
              <w:rPr>
                <w:rFonts w:cs="Arial"/>
                <w:sz w:val="21"/>
                <w:szCs w:val="21"/>
                <w:lang w:val="en-US"/>
              </w:rPr>
              <w:t>Sep</w:t>
            </w:r>
          </w:p>
        </w:tc>
        <w:tc>
          <w:tcPr>
            <w:tcW w:w="709" w:type="dxa"/>
            <w:vAlign w:val="center"/>
          </w:tcPr>
          <w:p w14:paraId="788B39CB" w14:textId="73B6F77A" w:rsidR="00575587" w:rsidRPr="004C1918" w:rsidRDefault="00575587" w:rsidP="0074172D">
            <w:pPr>
              <w:pStyle w:val="DHHStablecolhead"/>
              <w:jc w:val="center"/>
              <w:rPr>
                <w:rFonts w:cs="Arial"/>
                <w:sz w:val="21"/>
                <w:szCs w:val="21"/>
                <w:lang w:val="en-US"/>
              </w:rPr>
            </w:pPr>
            <w:r w:rsidRPr="004C1918">
              <w:rPr>
                <w:rFonts w:cs="Arial"/>
                <w:sz w:val="21"/>
                <w:szCs w:val="21"/>
                <w:lang w:val="en-US"/>
              </w:rPr>
              <w:t>Oct</w:t>
            </w:r>
          </w:p>
        </w:tc>
        <w:tc>
          <w:tcPr>
            <w:tcW w:w="709" w:type="dxa"/>
            <w:vAlign w:val="center"/>
          </w:tcPr>
          <w:p w14:paraId="10350DC5" w14:textId="4D40F091" w:rsidR="00575587" w:rsidRPr="004C1918" w:rsidRDefault="00575587" w:rsidP="0074172D">
            <w:pPr>
              <w:pStyle w:val="DHHStablecolhead"/>
              <w:jc w:val="center"/>
              <w:rPr>
                <w:rFonts w:cs="Arial"/>
                <w:sz w:val="21"/>
                <w:szCs w:val="21"/>
                <w:lang w:val="en-US"/>
              </w:rPr>
            </w:pPr>
            <w:r w:rsidRPr="004C1918">
              <w:rPr>
                <w:rFonts w:cs="Arial"/>
                <w:sz w:val="21"/>
                <w:szCs w:val="21"/>
                <w:lang w:val="en-US"/>
              </w:rPr>
              <w:t>Nov</w:t>
            </w:r>
          </w:p>
        </w:tc>
        <w:tc>
          <w:tcPr>
            <w:tcW w:w="709" w:type="dxa"/>
            <w:vAlign w:val="center"/>
          </w:tcPr>
          <w:p w14:paraId="5E5DFD21" w14:textId="4F59BE38" w:rsidR="00575587" w:rsidRPr="004C1918" w:rsidRDefault="00575587" w:rsidP="0074172D">
            <w:pPr>
              <w:pStyle w:val="DHHStablecolhead"/>
              <w:jc w:val="center"/>
              <w:rPr>
                <w:rFonts w:cs="Arial"/>
                <w:sz w:val="21"/>
                <w:szCs w:val="21"/>
                <w:lang w:val="en-US"/>
              </w:rPr>
            </w:pPr>
            <w:r w:rsidRPr="004C1918">
              <w:rPr>
                <w:rFonts w:cs="Arial"/>
                <w:sz w:val="21"/>
                <w:szCs w:val="21"/>
                <w:lang w:val="en-US"/>
              </w:rPr>
              <w:t>Dec</w:t>
            </w:r>
          </w:p>
        </w:tc>
        <w:tc>
          <w:tcPr>
            <w:tcW w:w="709" w:type="dxa"/>
            <w:vAlign w:val="center"/>
          </w:tcPr>
          <w:p w14:paraId="56C4CE87" w14:textId="40E3587D" w:rsidR="00575587" w:rsidRPr="004C1918" w:rsidRDefault="00575587" w:rsidP="0074172D">
            <w:pPr>
              <w:pStyle w:val="DHHStablecolhead"/>
              <w:jc w:val="center"/>
              <w:rPr>
                <w:rFonts w:cs="Arial"/>
                <w:sz w:val="21"/>
                <w:szCs w:val="21"/>
                <w:lang w:val="en-US"/>
              </w:rPr>
            </w:pPr>
            <w:r w:rsidRPr="004C1918">
              <w:rPr>
                <w:rFonts w:cs="Arial"/>
                <w:sz w:val="21"/>
                <w:szCs w:val="21"/>
                <w:lang w:val="en-US"/>
              </w:rPr>
              <w:t>Jan</w:t>
            </w:r>
          </w:p>
        </w:tc>
        <w:tc>
          <w:tcPr>
            <w:tcW w:w="709" w:type="dxa"/>
            <w:vAlign w:val="center"/>
          </w:tcPr>
          <w:p w14:paraId="5733EE54" w14:textId="6CC68DB2" w:rsidR="00575587" w:rsidRPr="004C1918" w:rsidRDefault="00575587" w:rsidP="0074172D">
            <w:pPr>
              <w:pStyle w:val="DHHStablecolhead"/>
              <w:jc w:val="center"/>
              <w:rPr>
                <w:rFonts w:cs="Arial"/>
                <w:sz w:val="21"/>
                <w:szCs w:val="21"/>
                <w:lang w:val="en-US"/>
              </w:rPr>
            </w:pPr>
            <w:r w:rsidRPr="004C1918">
              <w:rPr>
                <w:rFonts w:cs="Arial"/>
                <w:sz w:val="21"/>
                <w:szCs w:val="21"/>
                <w:lang w:val="en-US"/>
              </w:rPr>
              <w:t>Feb</w:t>
            </w:r>
          </w:p>
        </w:tc>
        <w:tc>
          <w:tcPr>
            <w:tcW w:w="709" w:type="dxa"/>
            <w:vAlign w:val="center"/>
          </w:tcPr>
          <w:p w14:paraId="7E4AEBD2" w14:textId="1836E126" w:rsidR="00575587" w:rsidRPr="004C1918" w:rsidRDefault="00575587" w:rsidP="0074172D">
            <w:pPr>
              <w:pStyle w:val="DHHStablecolhead"/>
              <w:jc w:val="center"/>
              <w:rPr>
                <w:rFonts w:cs="Arial"/>
                <w:sz w:val="21"/>
                <w:szCs w:val="21"/>
                <w:lang w:val="en-US"/>
              </w:rPr>
            </w:pPr>
            <w:r w:rsidRPr="004C1918">
              <w:rPr>
                <w:rFonts w:cs="Arial"/>
                <w:sz w:val="21"/>
                <w:szCs w:val="21"/>
                <w:lang w:val="en-US"/>
              </w:rPr>
              <w:t>Mar</w:t>
            </w:r>
          </w:p>
        </w:tc>
        <w:tc>
          <w:tcPr>
            <w:tcW w:w="709" w:type="dxa"/>
            <w:vAlign w:val="center"/>
          </w:tcPr>
          <w:p w14:paraId="1B45D94B" w14:textId="0C682F79" w:rsidR="00575587" w:rsidRPr="004C1918" w:rsidRDefault="00575587" w:rsidP="0074172D">
            <w:pPr>
              <w:pStyle w:val="DHHStablecolhead"/>
              <w:jc w:val="center"/>
              <w:rPr>
                <w:rFonts w:cs="Arial"/>
                <w:sz w:val="21"/>
                <w:szCs w:val="21"/>
                <w:lang w:val="en-US"/>
              </w:rPr>
            </w:pPr>
            <w:r w:rsidRPr="004C1918">
              <w:rPr>
                <w:rFonts w:cs="Arial"/>
                <w:sz w:val="21"/>
                <w:szCs w:val="21"/>
                <w:lang w:val="en-US"/>
              </w:rPr>
              <w:t>Apr</w:t>
            </w:r>
          </w:p>
        </w:tc>
        <w:tc>
          <w:tcPr>
            <w:tcW w:w="709" w:type="dxa"/>
            <w:vAlign w:val="center"/>
          </w:tcPr>
          <w:p w14:paraId="61ADCB6A" w14:textId="13F1DF12" w:rsidR="00575587" w:rsidRPr="004C1918" w:rsidRDefault="00575587" w:rsidP="0074172D">
            <w:pPr>
              <w:pStyle w:val="DHHStablecolhead"/>
              <w:jc w:val="center"/>
              <w:rPr>
                <w:rFonts w:cs="Arial"/>
                <w:sz w:val="21"/>
                <w:szCs w:val="21"/>
                <w:lang w:val="en-US"/>
              </w:rPr>
            </w:pPr>
            <w:r w:rsidRPr="004C1918">
              <w:rPr>
                <w:rFonts w:cs="Arial"/>
                <w:sz w:val="21"/>
                <w:szCs w:val="21"/>
                <w:lang w:val="en-US"/>
              </w:rPr>
              <w:t>May</w:t>
            </w:r>
          </w:p>
        </w:tc>
        <w:tc>
          <w:tcPr>
            <w:tcW w:w="709" w:type="dxa"/>
            <w:vAlign w:val="center"/>
          </w:tcPr>
          <w:p w14:paraId="6361920C" w14:textId="41076C29" w:rsidR="00575587" w:rsidRPr="004C1918" w:rsidRDefault="00575587" w:rsidP="0074172D">
            <w:pPr>
              <w:pStyle w:val="DHHStablecolhead"/>
              <w:jc w:val="center"/>
              <w:rPr>
                <w:rFonts w:cs="Arial"/>
                <w:sz w:val="21"/>
                <w:szCs w:val="21"/>
                <w:lang w:val="en-US"/>
              </w:rPr>
            </w:pPr>
            <w:r w:rsidRPr="004C1918">
              <w:rPr>
                <w:rFonts w:cs="Arial"/>
                <w:sz w:val="21"/>
                <w:szCs w:val="21"/>
                <w:lang w:val="en-US"/>
              </w:rPr>
              <w:t>Jun</w:t>
            </w:r>
          </w:p>
        </w:tc>
      </w:tr>
      <w:tr w:rsidR="001A3C90" w14:paraId="78CD58C1" w14:textId="77777777" w:rsidTr="008D33F1">
        <w:trPr>
          <w:trHeight w:val="316"/>
        </w:trPr>
        <w:tc>
          <w:tcPr>
            <w:tcW w:w="1102" w:type="dxa"/>
            <w:vAlign w:val="center"/>
          </w:tcPr>
          <w:p w14:paraId="1F2D6FA0" w14:textId="54CD4AB1" w:rsidR="00575587" w:rsidRDefault="00575587" w:rsidP="00575587">
            <w:pPr>
              <w:pStyle w:val="Tabletext"/>
            </w:pPr>
            <w:r w:rsidRPr="004C1918">
              <w:rPr>
                <w:rFonts w:cs="Arial"/>
                <w:color w:val="000000"/>
              </w:rPr>
              <w:t>2019–20</w:t>
            </w:r>
          </w:p>
        </w:tc>
        <w:tc>
          <w:tcPr>
            <w:tcW w:w="709" w:type="dxa"/>
            <w:vAlign w:val="center"/>
          </w:tcPr>
          <w:p w14:paraId="2D2019C7" w14:textId="62B7546C" w:rsidR="00575587" w:rsidRPr="00F41AA3" w:rsidRDefault="00575587" w:rsidP="0074172D">
            <w:pPr>
              <w:pStyle w:val="Tabletext"/>
              <w:jc w:val="center"/>
            </w:pPr>
            <w:r w:rsidRPr="004C1918">
              <w:rPr>
                <w:rFonts w:cs="Arial"/>
                <w:color w:val="000000"/>
              </w:rPr>
              <w:t>50</w:t>
            </w:r>
          </w:p>
        </w:tc>
        <w:tc>
          <w:tcPr>
            <w:tcW w:w="709" w:type="dxa"/>
            <w:vAlign w:val="center"/>
          </w:tcPr>
          <w:p w14:paraId="4389BA2A" w14:textId="2E2E9132" w:rsidR="00575587" w:rsidRPr="00F41AA3" w:rsidRDefault="00575587" w:rsidP="0074172D">
            <w:pPr>
              <w:pStyle w:val="Tabletext"/>
              <w:jc w:val="center"/>
            </w:pPr>
            <w:r w:rsidRPr="004C1918">
              <w:rPr>
                <w:rFonts w:cs="Arial"/>
                <w:color w:val="000000"/>
              </w:rPr>
              <w:t>42</w:t>
            </w:r>
          </w:p>
        </w:tc>
        <w:tc>
          <w:tcPr>
            <w:tcW w:w="709" w:type="dxa"/>
            <w:vAlign w:val="center"/>
          </w:tcPr>
          <w:p w14:paraId="15B7B30E" w14:textId="4B84FC76" w:rsidR="00575587" w:rsidRPr="00F41AA3" w:rsidRDefault="00575587" w:rsidP="0074172D">
            <w:pPr>
              <w:pStyle w:val="Tabletext"/>
              <w:jc w:val="center"/>
            </w:pPr>
            <w:r w:rsidRPr="004C1918">
              <w:rPr>
                <w:rFonts w:cs="Arial"/>
                <w:color w:val="000000"/>
              </w:rPr>
              <w:t>42</w:t>
            </w:r>
          </w:p>
        </w:tc>
        <w:tc>
          <w:tcPr>
            <w:tcW w:w="709" w:type="dxa"/>
            <w:vAlign w:val="center"/>
          </w:tcPr>
          <w:p w14:paraId="435CD2BD" w14:textId="47D617C7" w:rsidR="00575587" w:rsidRPr="00F41AA3" w:rsidRDefault="00575587" w:rsidP="0074172D">
            <w:pPr>
              <w:pStyle w:val="Tabletext"/>
              <w:jc w:val="center"/>
            </w:pPr>
            <w:r w:rsidRPr="004C1918">
              <w:rPr>
                <w:rFonts w:cs="Arial"/>
                <w:color w:val="000000"/>
              </w:rPr>
              <w:t>72</w:t>
            </w:r>
          </w:p>
        </w:tc>
        <w:tc>
          <w:tcPr>
            <w:tcW w:w="709" w:type="dxa"/>
            <w:vAlign w:val="center"/>
          </w:tcPr>
          <w:p w14:paraId="5B0D6E68" w14:textId="7B5B101F" w:rsidR="00575587" w:rsidRPr="00F41AA3" w:rsidRDefault="00575587" w:rsidP="0074172D">
            <w:pPr>
              <w:pStyle w:val="Tabletext"/>
              <w:jc w:val="center"/>
            </w:pPr>
            <w:r w:rsidRPr="004C1918">
              <w:rPr>
                <w:rFonts w:cs="Arial"/>
                <w:color w:val="000000"/>
              </w:rPr>
              <w:t>42</w:t>
            </w:r>
          </w:p>
        </w:tc>
        <w:tc>
          <w:tcPr>
            <w:tcW w:w="709" w:type="dxa"/>
            <w:vAlign w:val="center"/>
          </w:tcPr>
          <w:p w14:paraId="2D516C24" w14:textId="6F866580" w:rsidR="00575587" w:rsidRPr="00F41AA3" w:rsidRDefault="00575587" w:rsidP="0074172D">
            <w:pPr>
              <w:pStyle w:val="Tabletext"/>
              <w:jc w:val="center"/>
            </w:pPr>
            <w:r w:rsidRPr="004C1918">
              <w:rPr>
                <w:rFonts w:cs="Arial"/>
                <w:color w:val="000000"/>
              </w:rPr>
              <w:t>43</w:t>
            </w:r>
          </w:p>
        </w:tc>
        <w:tc>
          <w:tcPr>
            <w:tcW w:w="709" w:type="dxa"/>
            <w:vAlign w:val="center"/>
          </w:tcPr>
          <w:p w14:paraId="27AE6B2F" w14:textId="11F0E39A" w:rsidR="00575587" w:rsidRPr="00F41AA3" w:rsidRDefault="00575587" w:rsidP="0074172D">
            <w:pPr>
              <w:pStyle w:val="Tabletext"/>
              <w:jc w:val="center"/>
            </w:pPr>
            <w:r w:rsidRPr="004C1918">
              <w:rPr>
                <w:rFonts w:cs="Arial"/>
                <w:color w:val="000000"/>
              </w:rPr>
              <w:t>59</w:t>
            </w:r>
          </w:p>
        </w:tc>
        <w:tc>
          <w:tcPr>
            <w:tcW w:w="709" w:type="dxa"/>
            <w:vAlign w:val="center"/>
          </w:tcPr>
          <w:p w14:paraId="6952B633" w14:textId="61584769" w:rsidR="00575587" w:rsidRPr="00F41AA3" w:rsidRDefault="00575587" w:rsidP="0074172D">
            <w:pPr>
              <w:pStyle w:val="Tabletext"/>
              <w:jc w:val="center"/>
            </w:pPr>
            <w:r w:rsidRPr="004C1918">
              <w:rPr>
                <w:rFonts w:cs="Arial"/>
                <w:color w:val="000000"/>
              </w:rPr>
              <w:t>42</w:t>
            </w:r>
          </w:p>
        </w:tc>
        <w:tc>
          <w:tcPr>
            <w:tcW w:w="709" w:type="dxa"/>
            <w:vAlign w:val="center"/>
          </w:tcPr>
          <w:p w14:paraId="2524B159" w14:textId="12B87764" w:rsidR="00575587" w:rsidRPr="00F41AA3" w:rsidRDefault="00575587" w:rsidP="0074172D">
            <w:pPr>
              <w:pStyle w:val="Tabletext"/>
              <w:jc w:val="center"/>
            </w:pPr>
            <w:r w:rsidRPr="004C1918">
              <w:rPr>
                <w:rFonts w:cs="Arial"/>
                <w:color w:val="000000"/>
              </w:rPr>
              <w:t>41</w:t>
            </w:r>
          </w:p>
        </w:tc>
        <w:tc>
          <w:tcPr>
            <w:tcW w:w="709" w:type="dxa"/>
            <w:vAlign w:val="center"/>
          </w:tcPr>
          <w:p w14:paraId="0BB46F9D" w14:textId="49C8EE8D" w:rsidR="00575587" w:rsidRPr="00F41AA3" w:rsidRDefault="00575587" w:rsidP="0074172D">
            <w:pPr>
              <w:pStyle w:val="Tabletext"/>
              <w:jc w:val="center"/>
            </w:pPr>
            <w:r w:rsidRPr="004C1918">
              <w:rPr>
                <w:rFonts w:cs="Arial"/>
                <w:color w:val="000000"/>
              </w:rPr>
              <w:t>69</w:t>
            </w:r>
          </w:p>
        </w:tc>
        <w:tc>
          <w:tcPr>
            <w:tcW w:w="709" w:type="dxa"/>
            <w:vAlign w:val="center"/>
          </w:tcPr>
          <w:p w14:paraId="242A8A11" w14:textId="3C746C0B" w:rsidR="00575587" w:rsidRPr="00F41AA3" w:rsidRDefault="00575587" w:rsidP="0074172D">
            <w:pPr>
              <w:pStyle w:val="Tabletext"/>
              <w:jc w:val="center"/>
            </w:pPr>
            <w:r w:rsidRPr="004C1918">
              <w:rPr>
                <w:rFonts w:cs="Arial"/>
                <w:color w:val="000000"/>
              </w:rPr>
              <w:t>63</w:t>
            </w:r>
          </w:p>
        </w:tc>
        <w:tc>
          <w:tcPr>
            <w:tcW w:w="709" w:type="dxa"/>
            <w:vAlign w:val="center"/>
          </w:tcPr>
          <w:p w14:paraId="0EFF7237" w14:textId="5961AD26" w:rsidR="00575587" w:rsidRPr="00F41AA3" w:rsidRDefault="00575587" w:rsidP="0074172D">
            <w:pPr>
              <w:pStyle w:val="Tabletext"/>
              <w:jc w:val="center"/>
            </w:pPr>
            <w:r w:rsidRPr="004C1918">
              <w:rPr>
                <w:rFonts w:cs="Arial"/>
                <w:color w:val="000000"/>
              </w:rPr>
              <w:t>86</w:t>
            </w:r>
          </w:p>
        </w:tc>
      </w:tr>
      <w:tr w:rsidR="001A3C90" w14:paraId="1F9BF28E" w14:textId="77777777" w:rsidTr="008D33F1">
        <w:trPr>
          <w:trHeight w:val="316"/>
        </w:trPr>
        <w:tc>
          <w:tcPr>
            <w:tcW w:w="1102" w:type="dxa"/>
            <w:vAlign w:val="center"/>
          </w:tcPr>
          <w:p w14:paraId="78D2EDD4" w14:textId="133C6BC4" w:rsidR="00575587" w:rsidRDefault="00575587" w:rsidP="00575587">
            <w:pPr>
              <w:pStyle w:val="Tabletext"/>
            </w:pPr>
            <w:r w:rsidRPr="004C1918">
              <w:rPr>
                <w:rFonts w:cs="Arial"/>
                <w:color w:val="000000"/>
              </w:rPr>
              <w:t>2020–21</w:t>
            </w:r>
          </w:p>
        </w:tc>
        <w:tc>
          <w:tcPr>
            <w:tcW w:w="709" w:type="dxa"/>
            <w:vAlign w:val="center"/>
          </w:tcPr>
          <w:p w14:paraId="4EFAD8D3" w14:textId="0FFEF355" w:rsidR="00575587" w:rsidRPr="00F41AA3" w:rsidRDefault="00575587" w:rsidP="0074172D">
            <w:pPr>
              <w:pStyle w:val="Tabletext"/>
              <w:jc w:val="center"/>
            </w:pPr>
            <w:r w:rsidRPr="004C1918">
              <w:rPr>
                <w:rFonts w:cs="Arial"/>
                <w:color w:val="000000"/>
              </w:rPr>
              <w:t>97</w:t>
            </w:r>
          </w:p>
        </w:tc>
        <w:tc>
          <w:tcPr>
            <w:tcW w:w="709" w:type="dxa"/>
            <w:vAlign w:val="center"/>
          </w:tcPr>
          <w:p w14:paraId="085CE568" w14:textId="42C9AF0A" w:rsidR="00575587" w:rsidRPr="00F41AA3" w:rsidRDefault="00575587" w:rsidP="0074172D">
            <w:pPr>
              <w:pStyle w:val="Tabletext"/>
              <w:jc w:val="center"/>
            </w:pPr>
            <w:r w:rsidRPr="004C1918">
              <w:rPr>
                <w:rFonts w:cs="Arial"/>
                <w:color w:val="000000"/>
              </w:rPr>
              <w:t>106</w:t>
            </w:r>
          </w:p>
        </w:tc>
        <w:tc>
          <w:tcPr>
            <w:tcW w:w="709" w:type="dxa"/>
            <w:vAlign w:val="center"/>
          </w:tcPr>
          <w:p w14:paraId="6ED97695" w14:textId="4E4CDE16" w:rsidR="00575587" w:rsidRPr="00F41AA3" w:rsidRDefault="00575587" w:rsidP="0074172D">
            <w:pPr>
              <w:pStyle w:val="Tabletext"/>
              <w:jc w:val="center"/>
            </w:pPr>
            <w:r w:rsidRPr="004C1918">
              <w:rPr>
                <w:rFonts w:cs="Arial"/>
                <w:color w:val="000000"/>
              </w:rPr>
              <w:t>84</w:t>
            </w:r>
          </w:p>
        </w:tc>
        <w:tc>
          <w:tcPr>
            <w:tcW w:w="709" w:type="dxa"/>
            <w:vAlign w:val="center"/>
          </w:tcPr>
          <w:p w14:paraId="27A72DFD" w14:textId="75F0C875" w:rsidR="00575587" w:rsidRPr="00F41AA3" w:rsidRDefault="00575587" w:rsidP="0074172D">
            <w:pPr>
              <w:pStyle w:val="Tabletext"/>
              <w:jc w:val="center"/>
            </w:pPr>
            <w:r w:rsidRPr="004C1918">
              <w:rPr>
                <w:rFonts w:cs="Arial"/>
                <w:color w:val="000000"/>
              </w:rPr>
              <w:t>67</w:t>
            </w:r>
          </w:p>
        </w:tc>
        <w:tc>
          <w:tcPr>
            <w:tcW w:w="709" w:type="dxa"/>
            <w:vAlign w:val="center"/>
          </w:tcPr>
          <w:p w14:paraId="539C0020" w14:textId="314721DF" w:rsidR="00575587" w:rsidRPr="00F41AA3" w:rsidRDefault="00575587" w:rsidP="0074172D">
            <w:pPr>
              <w:pStyle w:val="Tabletext"/>
              <w:jc w:val="center"/>
            </w:pPr>
            <w:r w:rsidRPr="004C1918">
              <w:rPr>
                <w:rFonts w:cs="Arial"/>
                <w:color w:val="000000"/>
              </w:rPr>
              <w:t>72</w:t>
            </w:r>
          </w:p>
        </w:tc>
        <w:tc>
          <w:tcPr>
            <w:tcW w:w="709" w:type="dxa"/>
            <w:vAlign w:val="center"/>
          </w:tcPr>
          <w:p w14:paraId="22BDB4D4" w14:textId="10EB3B1C" w:rsidR="00575587" w:rsidRPr="00F41AA3" w:rsidRDefault="00575587" w:rsidP="0074172D">
            <w:pPr>
              <w:pStyle w:val="Tabletext"/>
              <w:jc w:val="center"/>
            </w:pPr>
            <w:r w:rsidRPr="004C1918">
              <w:rPr>
                <w:rFonts w:cs="Arial"/>
                <w:color w:val="000000"/>
              </w:rPr>
              <w:t>70</w:t>
            </w:r>
          </w:p>
        </w:tc>
        <w:tc>
          <w:tcPr>
            <w:tcW w:w="709" w:type="dxa"/>
            <w:vAlign w:val="center"/>
          </w:tcPr>
          <w:p w14:paraId="62CEDD64" w14:textId="2B476582" w:rsidR="00575587" w:rsidRPr="00F41AA3" w:rsidRDefault="00575587" w:rsidP="0074172D">
            <w:pPr>
              <w:pStyle w:val="Tabletext"/>
              <w:jc w:val="center"/>
            </w:pPr>
            <w:r w:rsidRPr="004C1918">
              <w:rPr>
                <w:rFonts w:cs="Arial"/>
                <w:color w:val="000000"/>
              </w:rPr>
              <w:t>70</w:t>
            </w:r>
          </w:p>
        </w:tc>
        <w:tc>
          <w:tcPr>
            <w:tcW w:w="709" w:type="dxa"/>
            <w:vAlign w:val="center"/>
          </w:tcPr>
          <w:p w14:paraId="35101DE5" w14:textId="6D0DF8E0" w:rsidR="00575587" w:rsidRPr="00F41AA3" w:rsidRDefault="00575587" w:rsidP="0074172D">
            <w:pPr>
              <w:pStyle w:val="Tabletext"/>
              <w:jc w:val="center"/>
            </w:pPr>
            <w:r w:rsidRPr="004C1918">
              <w:rPr>
                <w:rFonts w:cs="Arial"/>
                <w:color w:val="000000"/>
              </w:rPr>
              <w:t>64</w:t>
            </w:r>
          </w:p>
        </w:tc>
        <w:tc>
          <w:tcPr>
            <w:tcW w:w="709" w:type="dxa"/>
            <w:vAlign w:val="center"/>
          </w:tcPr>
          <w:p w14:paraId="4657A87E" w14:textId="4C11A29C" w:rsidR="00575587" w:rsidRPr="00F41AA3" w:rsidRDefault="00575587" w:rsidP="0074172D">
            <w:pPr>
              <w:pStyle w:val="Tabletext"/>
              <w:jc w:val="center"/>
            </w:pPr>
            <w:r w:rsidRPr="004C1918">
              <w:rPr>
                <w:rFonts w:cs="Arial"/>
                <w:color w:val="000000"/>
              </w:rPr>
              <w:t>92</w:t>
            </w:r>
          </w:p>
        </w:tc>
        <w:tc>
          <w:tcPr>
            <w:tcW w:w="709" w:type="dxa"/>
            <w:vAlign w:val="center"/>
          </w:tcPr>
          <w:p w14:paraId="2BE7BC7F" w14:textId="5B98109D" w:rsidR="00575587" w:rsidRPr="00F41AA3" w:rsidRDefault="00575587" w:rsidP="0074172D">
            <w:pPr>
              <w:pStyle w:val="Tabletext"/>
              <w:jc w:val="center"/>
            </w:pPr>
            <w:r w:rsidRPr="004C1918">
              <w:rPr>
                <w:rFonts w:cs="Arial"/>
                <w:color w:val="000000"/>
              </w:rPr>
              <w:t>96</w:t>
            </w:r>
          </w:p>
        </w:tc>
        <w:tc>
          <w:tcPr>
            <w:tcW w:w="709" w:type="dxa"/>
            <w:vAlign w:val="center"/>
          </w:tcPr>
          <w:p w14:paraId="74371BFD" w14:textId="73C23DFC" w:rsidR="00575587" w:rsidRPr="00F41AA3" w:rsidRDefault="00575587" w:rsidP="0074172D">
            <w:pPr>
              <w:pStyle w:val="Tabletext"/>
              <w:jc w:val="center"/>
            </w:pPr>
            <w:r w:rsidRPr="004C1918">
              <w:rPr>
                <w:rFonts w:cs="Arial"/>
                <w:color w:val="000000"/>
              </w:rPr>
              <w:t>79</w:t>
            </w:r>
          </w:p>
        </w:tc>
        <w:tc>
          <w:tcPr>
            <w:tcW w:w="709" w:type="dxa"/>
            <w:vAlign w:val="center"/>
          </w:tcPr>
          <w:p w14:paraId="0139C089" w14:textId="7DD0DC69" w:rsidR="00575587" w:rsidRPr="00F41AA3" w:rsidRDefault="00575587" w:rsidP="0074172D">
            <w:pPr>
              <w:pStyle w:val="Tabletext"/>
              <w:jc w:val="center"/>
            </w:pPr>
            <w:r w:rsidRPr="004C1918">
              <w:rPr>
                <w:rFonts w:cs="Arial"/>
                <w:color w:val="000000"/>
              </w:rPr>
              <w:t>96</w:t>
            </w:r>
          </w:p>
        </w:tc>
      </w:tr>
      <w:tr w:rsidR="001A3C90" w14:paraId="10CBAC29" w14:textId="77777777" w:rsidTr="008D33F1">
        <w:trPr>
          <w:trHeight w:val="332"/>
        </w:trPr>
        <w:tc>
          <w:tcPr>
            <w:tcW w:w="1102" w:type="dxa"/>
            <w:vAlign w:val="center"/>
          </w:tcPr>
          <w:p w14:paraId="3CB50090" w14:textId="73E43FB9" w:rsidR="00575587" w:rsidRDefault="00575587" w:rsidP="00575587">
            <w:pPr>
              <w:pStyle w:val="Tabletext"/>
            </w:pPr>
            <w:r w:rsidRPr="004C1918">
              <w:rPr>
                <w:rFonts w:cs="Arial"/>
                <w:color w:val="000000"/>
              </w:rPr>
              <w:t>2021</w:t>
            </w:r>
            <w:r w:rsidR="00D356B5">
              <w:rPr>
                <w:rFonts w:cs="Arial"/>
                <w:color w:val="000000"/>
              </w:rPr>
              <w:t>–</w:t>
            </w:r>
            <w:r w:rsidRPr="004C1918">
              <w:rPr>
                <w:rFonts w:cs="Arial"/>
                <w:color w:val="000000"/>
              </w:rPr>
              <w:t>22</w:t>
            </w:r>
          </w:p>
        </w:tc>
        <w:tc>
          <w:tcPr>
            <w:tcW w:w="709" w:type="dxa"/>
            <w:vAlign w:val="bottom"/>
          </w:tcPr>
          <w:p w14:paraId="06E36487" w14:textId="58F4E367" w:rsidR="00575587" w:rsidRPr="00F41AA3" w:rsidRDefault="00575587" w:rsidP="0074172D">
            <w:pPr>
              <w:pStyle w:val="Tabletext"/>
              <w:jc w:val="center"/>
            </w:pPr>
            <w:r w:rsidRPr="004C1918">
              <w:rPr>
                <w:rFonts w:cs="Arial"/>
                <w:color w:val="000000"/>
              </w:rPr>
              <w:t>118</w:t>
            </w:r>
          </w:p>
        </w:tc>
        <w:tc>
          <w:tcPr>
            <w:tcW w:w="709" w:type="dxa"/>
            <w:vAlign w:val="bottom"/>
          </w:tcPr>
          <w:p w14:paraId="5C94407F" w14:textId="45C4D8E9" w:rsidR="00575587" w:rsidRPr="00F41AA3" w:rsidRDefault="00575587" w:rsidP="0074172D">
            <w:pPr>
              <w:pStyle w:val="Tabletext"/>
              <w:jc w:val="center"/>
            </w:pPr>
            <w:r w:rsidRPr="004C1918">
              <w:rPr>
                <w:rFonts w:cs="Arial"/>
                <w:color w:val="000000"/>
              </w:rPr>
              <w:t>131</w:t>
            </w:r>
          </w:p>
        </w:tc>
        <w:tc>
          <w:tcPr>
            <w:tcW w:w="709" w:type="dxa"/>
            <w:vAlign w:val="bottom"/>
          </w:tcPr>
          <w:p w14:paraId="3E7B1D7B" w14:textId="2BC22B1A" w:rsidR="00575587" w:rsidRPr="00F41AA3" w:rsidRDefault="00575587" w:rsidP="0074172D">
            <w:pPr>
              <w:pStyle w:val="Tabletext"/>
              <w:jc w:val="center"/>
            </w:pPr>
            <w:r w:rsidRPr="004C1918">
              <w:rPr>
                <w:rFonts w:cs="Arial"/>
                <w:color w:val="000000"/>
              </w:rPr>
              <w:t>133</w:t>
            </w:r>
          </w:p>
        </w:tc>
        <w:tc>
          <w:tcPr>
            <w:tcW w:w="709" w:type="dxa"/>
            <w:vAlign w:val="bottom"/>
          </w:tcPr>
          <w:p w14:paraId="1426CD41" w14:textId="52FC50B9" w:rsidR="00575587" w:rsidRPr="00F41AA3" w:rsidRDefault="00575587" w:rsidP="0074172D">
            <w:pPr>
              <w:pStyle w:val="Tabletext"/>
              <w:jc w:val="center"/>
            </w:pPr>
            <w:r w:rsidRPr="004C1918">
              <w:rPr>
                <w:rFonts w:cs="Arial"/>
                <w:color w:val="000000"/>
              </w:rPr>
              <w:t>141</w:t>
            </w:r>
          </w:p>
        </w:tc>
        <w:tc>
          <w:tcPr>
            <w:tcW w:w="709" w:type="dxa"/>
            <w:vAlign w:val="bottom"/>
          </w:tcPr>
          <w:p w14:paraId="2F9CFAB9" w14:textId="34B19F9A" w:rsidR="00575587" w:rsidRPr="00F41AA3" w:rsidRDefault="00575587" w:rsidP="0074172D">
            <w:pPr>
              <w:pStyle w:val="Tabletext"/>
              <w:jc w:val="center"/>
            </w:pPr>
            <w:r w:rsidRPr="004C1918">
              <w:rPr>
                <w:rFonts w:cs="Arial"/>
                <w:color w:val="000000"/>
              </w:rPr>
              <w:t>87</w:t>
            </w:r>
          </w:p>
        </w:tc>
        <w:tc>
          <w:tcPr>
            <w:tcW w:w="709" w:type="dxa"/>
            <w:vAlign w:val="bottom"/>
          </w:tcPr>
          <w:p w14:paraId="344B6951" w14:textId="1D449AFC" w:rsidR="00575587" w:rsidRPr="00F41AA3" w:rsidRDefault="00575587" w:rsidP="0074172D">
            <w:pPr>
              <w:pStyle w:val="Tabletext"/>
              <w:jc w:val="center"/>
            </w:pPr>
            <w:r w:rsidRPr="004C1918">
              <w:rPr>
                <w:rFonts w:cs="Arial"/>
                <w:color w:val="000000"/>
              </w:rPr>
              <w:t>90</w:t>
            </w:r>
          </w:p>
        </w:tc>
        <w:tc>
          <w:tcPr>
            <w:tcW w:w="709" w:type="dxa"/>
            <w:vAlign w:val="bottom"/>
          </w:tcPr>
          <w:p w14:paraId="4C1427A9" w14:textId="6BFA6653" w:rsidR="00575587" w:rsidRPr="00F41AA3" w:rsidRDefault="00575587" w:rsidP="0074172D">
            <w:pPr>
              <w:pStyle w:val="Tabletext"/>
              <w:jc w:val="center"/>
            </w:pPr>
            <w:r w:rsidRPr="004C1918">
              <w:rPr>
                <w:rFonts w:cs="Arial"/>
                <w:color w:val="000000"/>
              </w:rPr>
              <w:t>72</w:t>
            </w:r>
          </w:p>
        </w:tc>
        <w:tc>
          <w:tcPr>
            <w:tcW w:w="709" w:type="dxa"/>
            <w:vAlign w:val="bottom"/>
          </w:tcPr>
          <w:p w14:paraId="3C425310" w14:textId="00346183" w:rsidR="00575587" w:rsidRPr="00F41AA3" w:rsidRDefault="00575587" w:rsidP="0074172D">
            <w:pPr>
              <w:pStyle w:val="Tabletext"/>
              <w:jc w:val="center"/>
            </w:pPr>
            <w:r w:rsidRPr="004C1918">
              <w:rPr>
                <w:rFonts w:cs="Arial"/>
                <w:color w:val="000000"/>
              </w:rPr>
              <w:t>103</w:t>
            </w:r>
          </w:p>
        </w:tc>
        <w:tc>
          <w:tcPr>
            <w:tcW w:w="709" w:type="dxa"/>
            <w:vAlign w:val="bottom"/>
          </w:tcPr>
          <w:p w14:paraId="57797064" w14:textId="748D8CAB" w:rsidR="00575587" w:rsidRPr="00F41AA3" w:rsidRDefault="00575587" w:rsidP="0074172D">
            <w:pPr>
              <w:pStyle w:val="Tabletext"/>
              <w:jc w:val="center"/>
            </w:pPr>
            <w:r w:rsidRPr="004C1918">
              <w:rPr>
                <w:rFonts w:cs="Arial"/>
                <w:color w:val="000000"/>
              </w:rPr>
              <w:t>119</w:t>
            </w:r>
          </w:p>
        </w:tc>
        <w:tc>
          <w:tcPr>
            <w:tcW w:w="709" w:type="dxa"/>
            <w:vAlign w:val="bottom"/>
          </w:tcPr>
          <w:p w14:paraId="68D99586" w14:textId="755A7128" w:rsidR="00575587" w:rsidRPr="00F41AA3" w:rsidRDefault="00575587" w:rsidP="0074172D">
            <w:pPr>
              <w:pStyle w:val="Tabletext"/>
              <w:jc w:val="center"/>
            </w:pPr>
            <w:r w:rsidRPr="004C1918">
              <w:rPr>
                <w:rFonts w:cs="Arial"/>
                <w:color w:val="000000"/>
              </w:rPr>
              <w:t>99</w:t>
            </w:r>
          </w:p>
        </w:tc>
        <w:tc>
          <w:tcPr>
            <w:tcW w:w="709" w:type="dxa"/>
            <w:vAlign w:val="bottom"/>
          </w:tcPr>
          <w:p w14:paraId="7E4A36C7" w14:textId="29B40F7B" w:rsidR="00575587" w:rsidRPr="00F41AA3" w:rsidRDefault="00575587" w:rsidP="0074172D">
            <w:pPr>
              <w:pStyle w:val="Tabletext"/>
              <w:jc w:val="center"/>
            </w:pPr>
            <w:r w:rsidRPr="004C1918">
              <w:rPr>
                <w:rFonts w:cs="Arial"/>
                <w:color w:val="000000"/>
              </w:rPr>
              <w:t>98</w:t>
            </w:r>
          </w:p>
        </w:tc>
        <w:tc>
          <w:tcPr>
            <w:tcW w:w="709" w:type="dxa"/>
            <w:vAlign w:val="bottom"/>
          </w:tcPr>
          <w:p w14:paraId="00246F3A" w14:textId="120DAA9E" w:rsidR="00575587" w:rsidRPr="00F41AA3" w:rsidRDefault="00575587" w:rsidP="0074172D">
            <w:pPr>
              <w:pStyle w:val="Tabletext"/>
              <w:jc w:val="center"/>
            </w:pPr>
            <w:r w:rsidRPr="004C1918">
              <w:rPr>
                <w:rFonts w:cs="Arial"/>
                <w:color w:val="000000"/>
              </w:rPr>
              <w:t>123</w:t>
            </w:r>
          </w:p>
        </w:tc>
      </w:tr>
    </w:tbl>
    <w:p w14:paraId="39ADACA6" w14:textId="1B929F79" w:rsidR="00344E29" w:rsidRPr="00052F88" w:rsidRDefault="0099684E" w:rsidP="00C93361">
      <w:pPr>
        <w:pStyle w:val="Tablefigurenote"/>
      </w:pPr>
      <w:r>
        <w:t xml:space="preserve">Note: </w:t>
      </w:r>
      <w:r w:rsidR="002B6688" w:rsidRPr="002B6688">
        <w:t xml:space="preserve">This table </w:t>
      </w:r>
      <w:r w:rsidR="00792533">
        <w:t>corresponds with</w:t>
      </w:r>
      <w:r w:rsidR="002B6688" w:rsidRPr="002B6688">
        <w:t xml:space="preserve"> the graph above. It is included for purposes of accessibility</w:t>
      </w:r>
      <w:r w:rsidR="007833E4" w:rsidRPr="00052F88">
        <w:t>.</w:t>
      </w:r>
    </w:p>
    <w:bookmarkEnd w:id="18"/>
    <w:bookmarkEnd w:id="22"/>
    <w:p w14:paraId="25BA80B4" w14:textId="739F06BB" w:rsidR="006F14DD" w:rsidRDefault="00B92BE0" w:rsidP="00993C80">
      <w:pPr>
        <w:pStyle w:val="Bodyaftertable"/>
        <w:rPr>
          <w:rStyle w:val="normaltextrun"/>
          <w:rFonts w:cstheme="minorBidi"/>
          <w:lang w:val="en-US"/>
        </w:rPr>
      </w:pPr>
      <w:r>
        <w:rPr>
          <w:rStyle w:val="normaltextrun"/>
          <w:rFonts w:cstheme="minorBidi"/>
          <w:lang w:val="en-US"/>
        </w:rPr>
        <w:t>Figure 1</w:t>
      </w:r>
      <w:r w:rsidR="004C02F0" w:rsidRPr="75EB3A12">
        <w:rPr>
          <w:rStyle w:val="normaltextrun"/>
          <w:rFonts w:cstheme="minorBidi"/>
          <w:lang w:val="en-US"/>
        </w:rPr>
        <w:t xml:space="preserve"> </w:t>
      </w:r>
      <w:r w:rsidRPr="00817690">
        <w:rPr>
          <w:rStyle w:val="normaltextrun"/>
          <w:rFonts w:cstheme="minorBidi"/>
          <w:lang w:val="en-US"/>
        </w:rPr>
        <w:t>illustrates</w:t>
      </w:r>
      <w:r w:rsidR="00381B2F" w:rsidRPr="00817690">
        <w:rPr>
          <w:rStyle w:val="normaltextrun"/>
          <w:rFonts w:cstheme="minorBidi"/>
          <w:lang w:val="en-US"/>
        </w:rPr>
        <w:t xml:space="preserve"> the </w:t>
      </w:r>
      <w:r w:rsidR="00385023">
        <w:rPr>
          <w:rStyle w:val="normaltextrun"/>
          <w:rFonts w:cstheme="minorBidi"/>
          <w:lang w:val="en-US"/>
        </w:rPr>
        <w:t xml:space="preserve">volume of enquiries </w:t>
      </w:r>
      <w:r w:rsidR="00DF564B" w:rsidRPr="00817690">
        <w:rPr>
          <w:rStyle w:val="normaltextrun"/>
          <w:rFonts w:cstheme="minorBidi"/>
          <w:lang w:val="en-US"/>
        </w:rPr>
        <w:t>the OCP</w:t>
      </w:r>
      <w:r w:rsidR="00DF564B">
        <w:rPr>
          <w:rStyle w:val="normaltextrun"/>
          <w:rFonts w:cstheme="minorBidi"/>
          <w:lang w:val="en-US"/>
        </w:rPr>
        <w:t xml:space="preserve"> </w:t>
      </w:r>
      <w:r w:rsidR="00385023">
        <w:rPr>
          <w:rStyle w:val="normaltextrun"/>
          <w:rFonts w:cstheme="minorBidi"/>
          <w:lang w:val="en-US"/>
        </w:rPr>
        <w:t xml:space="preserve">received </w:t>
      </w:r>
      <w:r w:rsidR="00CC3376">
        <w:rPr>
          <w:rStyle w:val="normaltextrun"/>
          <w:rFonts w:cstheme="minorBidi"/>
          <w:lang w:val="en-US"/>
        </w:rPr>
        <w:t xml:space="preserve">over the course of </w:t>
      </w:r>
      <w:r w:rsidR="00073C95">
        <w:rPr>
          <w:rStyle w:val="normaltextrun"/>
          <w:rFonts w:cstheme="minorBidi"/>
          <w:lang w:val="en-US"/>
        </w:rPr>
        <w:t>five</w:t>
      </w:r>
      <w:r w:rsidR="00CC3376">
        <w:rPr>
          <w:rStyle w:val="normaltextrun"/>
          <w:rFonts w:cstheme="minorBidi"/>
          <w:lang w:val="en-US"/>
        </w:rPr>
        <w:t xml:space="preserve"> years</w:t>
      </w:r>
      <w:r w:rsidR="005F5A1C">
        <w:rPr>
          <w:rStyle w:val="normaltextrun"/>
          <w:rFonts w:cstheme="minorBidi"/>
          <w:lang w:val="en-US"/>
        </w:rPr>
        <w:t xml:space="preserve">. </w:t>
      </w:r>
      <w:r w:rsidR="00574A04">
        <w:rPr>
          <w:rStyle w:val="normaltextrun"/>
          <w:rFonts w:cstheme="minorBidi"/>
          <w:lang w:val="en-US"/>
        </w:rPr>
        <w:t xml:space="preserve">These </w:t>
      </w:r>
      <w:r w:rsidR="00A73D34">
        <w:rPr>
          <w:rStyle w:val="normaltextrun"/>
          <w:rFonts w:cstheme="minorBidi"/>
          <w:lang w:val="en-US"/>
        </w:rPr>
        <w:t xml:space="preserve">have been on an upward trend since </w:t>
      </w:r>
      <w:r w:rsidR="00817690" w:rsidRPr="00817690">
        <w:rPr>
          <w:rStyle w:val="normaltextrun"/>
          <w:rFonts w:cstheme="minorBidi"/>
          <w:lang w:val="en-US"/>
        </w:rPr>
        <w:t>201</w:t>
      </w:r>
      <w:r w:rsidR="000B14F3">
        <w:rPr>
          <w:rStyle w:val="normaltextrun"/>
          <w:rFonts w:cstheme="minorBidi"/>
          <w:lang w:val="en-US"/>
        </w:rPr>
        <w:t>7</w:t>
      </w:r>
      <w:r w:rsidR="006F4A1E">
        <w:rPr>
          <w:rStyle w:val="normaltextrun"/>
          <w:rFonts w:cstheme="minorBidi"/>
          <w:lang w:val="en-US"/>
        </w:rPr>
        <w:t>–</w:t>
      </w:r>
      <w:r w:rsidR="00817690" w:rsidRPr="00817690">
        <w:rPr>
          <w:rStyle w:val="normaltextrun"/>
          <w:rFonts w:cstheme="minorBidi"/>
          <w:lang w:val="en-US"/>
        </w:rPr>
        <w:t>1</w:t>
      </w:r>
      <w:r w:rsidR="000B14F3">
        <w:rPr>
          <w:rStyle w:val="normaltextrun"/>
          <w:rFonts w:cstheme="minorBidi"/>
          <w:lang w:val="en-US"/>
        </w:rPr>
        <w:t>8</w:t>
      </w:r>
      <w:r w:rsidR="004870AC">
        <w:rPr>
          <w:rStyle w:val="normaltextrun"/>
          <w:rFonts w:cstheme="minorBidi"/>
          <w:lang w:val="en-US"/>
        </w:rPr>
        <w:t xml:space="preserve">, rising from </w:t>
      </w:r>
      <w:r w:rsidR="000B14F3">
        <w:rPr>
          <w:rStyle w:val="normaltextrun"/>
          <w:rFonts w:cstheme="minorBidi"/>
          <w:lang w:val="en-US"/>
        </w:rPr>
        <w:t>365</w:t>
      </w:r>
      <w:r w:rsidR="004870AC">
        <w:rPr>
          <w:rStyle w:val="normaltextrun"/>
          <w:rFonts w:cstheme="minorBidi"/>
          <w:lang w:val="en-US"/>
        </w:rPr>
        <w:t xml:space="preserve"> enquir</w:t>
      </w:r>
      <w:r w:rsidR="007B2175">
        <w:rPr>
          <w:rStyle w:val="normaltextrun"/>
          <w:rFonts w:cstheme="minorBidi"/>
          <w:lang w:val="en-US"/>
        </w:rPr>
        <w:t>i</w:t>
      </w:r>
      <w:r w:rsidR="004870AC">
        <w:rPr>
          <w:rStyle w:val="normaltextrun"/>
          <w:rFonts w:cstheme="minorBidi"/>
          <w:lang w:val="en-US"/>
        </w:rPr>
        <w:t>e</w:t>
      </w:r>
      <w:r w:rsidR="00D66421">
        <w:rPr>
          <w:rStyle w:val="normaltextrun"/>
          <w:rFonts w:cstheme="minorBidi"/>
          <w:lang w:val="en-US"/>
        </w:rPr>
        <w:t>s in that year to 651 in 2019</w:t>
      </w:r>
      <w:r w:rsidR="007B2175">
        <w:rPr>
          <w:rStyle w:val="normaltextrun"/>
          <w:rFonts w:cstheme="minorBidi"/>
          <w:lang w:val="en-US"/>
        </w:rPr>
        <w:t>–</w:t>
      </w:r>
      <w:r w:rsidR="00D66421">
        <w:rPr>
          <w:rStyle w:val="normaltextrun"/>
          <w:rFonts w:cstheme="minorBidi"/>
          <w:lang w:val="en-US"/>
        </w:rPr>
        <w:t xml:space="preserve">20. </w:t>
      </w:r>
      <w:r w:rsidR="00410622">
        <w:rPr>
          <w:rStyle w:val="normaltextrun"/>
          <w:rFonts w:cstheme="minorBidi"/>
          <w:lang w:val="en-US"/>
        </w:rPr>
        <w:t xml:space="preserve">As was highlighted in last year’s report, </w:t>
      </w:r>
      <w:r w:rsidR="00D66421">
        <w:rPr>
          <w:rStyle w:val="normaltextrun"/>
          <w:rFonts w:cstheme="minorBidi"/>
          <w:lang w:val="en-US"/>
        </w:rPr>
        <w:t xml:space="preserve">the increase was </w:t>
      </w:r>
      <w:r w:rsidR="006C702B">
        <w:rPr>
          <w:rStyle w:val="normaltextrun"/>
          <w:rFonts w:cstheme="minorBidi"/>
          <w:lang w:val="en-US"/>
        </w:rPr>
        <w:t xml:space="preserve">especially steep </w:t>
      </w:r>
      <w:r w:rsidR="00595B3F">
        <w:rPr>
          <w:rStyle w:val="normaltextrun"/>
          <w:rFonts w:cstheme="minorBidi"/>
          <w:lang w:val="en-US"/>
        </w:rPr>
        <w:t>between</w:t>
      </w:r>
      <w:r w:rsidR="006C702B">
        <w:rPr>
          <w:rStyle w:val="normaltextrun"/>
          <w:rFonts w:cstheme="minorBidi"/>
          <w:lang w:val="en-US"/>
        </w:rPr>
        <w:t xml:space="preserve"> 2019</w:t>
      </w:r>
      <w:r w:rsidR="007B2175">
        <w:rPr>
          <w:rStyle w:val="normaltextrun"/>
          <w:rFonts w:cstheme="minorBidi"/>
          <w:lang w:val="en-US"/>
        </w:rPr>
        <w:t>–</w:t>
      </w:r>
      <w:r w:rsidR="00133A53">
        <w:rPr>
          <w:rStyle w:val="normaltextrun"/>
          <w:rFonts w:cstheme="minorBidi"/>
          <w:lang w:val="en-US"/>
        </w:rPr>
        <w:t xml:space="preserve">20 </w:t>
      </w:r>
      <w:r w:rsidR="00595B3F">
        <w:rPr>
          <w:rStyle w:val="normaltextrun"/>
          <w:rFonts w:cstheme="minorBidi"/>
          <w:lang w:val="en-US"/>
        </w:rPr>
        <w:t>and</w:t>
      </w:r>
      <w:r w:rsidR="00133A53">
        <w:rPr>
          <w:rStyle w:val="normaltextrun"/>
          <w:rFonts w:cstheme="minorBidi"/>
          <w:lang w:val="en-US"/>
        </w:rPr>
        <w:t xml:space="preserve"> </w:t>
      </w:r>
      <w:r w:rsidR="007B2175">
        <w:rPr>
          <w:rStyle w:val="normaltextrun"/>
          <w:rFonts w:cstheme="minorBidi"/>
          <w:lang w:val="en-US"/>
        </w:rPr>
        <w:t>2020–21</w:t>
      </w:r>
      <w:r w:rsidR="00133A53">
        <w:rPr>
          <w:rStyle w:val="normaltextrun"/>
          <w:rFonts w:cstheme="minorBidi"/>
          <w:lang w:val="en-US"/>
        </w:rPr>
        <w:t>,</w:t>
      </w:r>
      <w:r w:rsidR="00746B14">
        <w:rPr>
          <w:rStyle w:val="normaltextrun"/>
          <w:rFonts w:cstheme="minorBidi"/>
          <w:lang w:val="en-US"/>
        </w:rPr>
        <w:t xml:space="preserve"> </w:t>
      </w:r>
      <w:r w:rsidR="00CC3507">
        <w:rPr>
          <w:rStyle w:val="normaltextrun"/>
          <w:rFonts w:cstheme="minorBidi"/>
          <w:lang w:val="en-US"/>
        </w:rPr>
        <w:t>when</w:t>
      </w:r>
      <w:r w:rsidR="002467C8">
        <w:rPr>
          <w:rStyle w:val="normaltextrun"/>
          <w:rFonts w:cstheme="minorBidi"/>
          <w:lang w:val="en-US"/>
        </w:rPr>
        <w:t xml:space="preserve"> enquir</w:t>
      </w:r>
      <w:r w:rsidR="007B2175">
        <w:rPr>
          <w:rStyle w:val="normaltextrun"/>
          <w:rFonts w:cstheme="minorBidi"/>
          <w:lang w:val="en-US"/>
        </w:rPr>
        <w:t>i</w:t>
      </w:r>
      <w:r w:rsidR="002467C8">
        <w:rPr>
          <w:rStyle w:val="normaltextrun"/>
          <w:rFonts w:cstheme="minorBidi"/>
          <w:lang w:val="en-US"/>
        </w:rPr>
        <w:t xml:space="preserve">es rose </w:t>
      </w:r>
      <w:r w:rsidR="00207614">
        <w:rPr>
          <w:rStyle w:val="normaltextrun"/>
          <w:rFonts w:cstheme="minorBidi"/>
          <w:lang w:val="en-US"/>
        </w:rPr>
        <w:t>to 993</w:t>
      </w:r>
      <w:r w:rsidR="00725E99">
        <w:rPr>
          <w:rStyle w:val="normaltextrun"/>
          <w:rFonts w:cstheme="minorBidi"/>
          <w:lang w:val="en-US"/>
        </w:rPr>
        <w:t xml:space="preserve">, </w:t>
      </w:r>
      <w:r w:rsidR="00FD51CD">
        <w:rPr>
          <w:rStyle w:val="normaltextrun"/>
          <w:rFonts w:cstheme="minorBidi"/>
          <w:lang w:val="en-US"/>
        </w:rPr>
        <w:t xml:space="preserve">a </w:t>
      </w:r>
      <w:r w:rsidR="00346E61">
        <w:rPr>
          <w:rStyle w:val="normaltextrun"/>
          <w:rFonts w:cstheme="minorBidi"/>
          <w:lang w:val="en-US"/>
        </w:rPr>
        <w:t>53</w:t>
      </w:r>
      <w:r w:rsidR="002467C8">
        <w:rPr>
          <w:rStyle w:val="normaltextrun"/>
          <w:rFonts w:cstheme="minorBidi"/>
          <w:lang w:val="en-US"/>
        </w:rPr>
        <w:t xml:space="preserve"> per cent </w:t>
      </w:r>
      <w:r w:rsidR="00FD51CD">
        <w:rPr>
          <w:rStyle w:val="normaltextrun"/>
          <w:rFonts w:cstheme="minorBidi"/>
          <w:lang w:val="en-US"/>
        </w:rPr>
        <w:t xml:space="preserve">increase on the previous </w:t>
      </w:r>
      <w:r w:rsidR="00346E61">
        <w:rPr>
          <w:rStyle w:val="normaltextrun"/>
          <w:rFonts w:cstheme="minorBidi"/>
          <w:lang w:val="en-US"/>
        </w:rPr>
        <w:t>year</w:t>
      </w:r>
      <w:r w:rsidR="00DF564B">
        <w:rPr>
          <w:rStyle w:val="normaltextrun"/>
          <w:rFonts w:cstheme="minorBidi"/>
          <w:lang w:val="en-US"/>
        </w:rPr>
        <w:t>. This is</w:t>
      </w:r>
      <w:r w:rsidR="006F14DD">
        <w:rPr>
          <w:rStyle w:val="normaltextrun"/>
          <w:rFonts w:cstheme="minorBidi"/>
          <w:lang w:val="en-US"/>
        </w:rPr>
        <w:t xml:space="preserve"> attributed to the </w:t>
      </w:r>
      <w:r w:rsidR="00A424DB" w:rsidRPr="75EB3A12">
        <w:rPr>
          <w:rStyle w:val="normaltextrun"/>
          <w:rFonts w:cstheme="minorBidi"/>
          <w:lang w:val="en-US"/>
        </w:rPr>
        <w:t>COVID-19</w:t>
      </w:r>
      <w:r w:rsidR="00381B2F" w:rsidRPr="75EB3A12">
        <w:rPr>
          <w:rStyle w:val="normaltextrun"/>
          <w:rFonts w:cstheme="minorBidi"/>
          <w:lang w:val="en-US"/>
        </w:rPr>
        <w:t xml:space="preserve"> </w:t>
      </w:r>
      <w:r w:rsidR="0031700E">
        <w:rPr>
          <w:rStyle w:val="normaltextrun"/>
          <w:rFonts w:cstheme="minorBidi"/>
          <w:lang w:val="en-US"/>
        </w:rPr>
        <w:t>pandemic</w:t>
      </w:r>
      <w:r w:rsidR="00381B2F" w:rsidRPr="75EB3A12">
        <w:rPr>
          <w:rStyle w:val="normaltextrun"/>
          <w:rFonts w:cstheme="minorBidi"/>
          <w:lang w:val="en-US"/>
        </w:rPr>
        <w:t xml:space="preserve">. </w:t>
      </w:r>
      <w:r w:rsidR="004B2719" w:rsidRPr="75EB3A12">
        <w:rPr>
          <w:rStyle w:val="normaltextrun"/>
          <w:rFonts w:cstheme="minorBidi"/>
          <w:lang w:val="en-US"/>
        </w:rPr>
        <w:t xml:space="preserve">The steep increase in </w:t>
      </w:r>
      <w:r w:rsidR="004B2719">
        <w:rPr>
          <w:rStyle w:val="normaltextrun"/>
          <w:rFonts w:cstheme="minorBidi"/>
          <w:lang w:val="en-US"/>
        </w:rPr>
        <w:t>enquiries</w:t>
      </w:r>
      <w:r w:rsidR="004B2719" w:rsidRPr="75EB3A12">
        <w:rPr>
          <w:rStyle w:val="normaltextrun"/>
          <w:rFonts w:cstheme="minorBidi"/>
          <w:lang w:val="en-US"/>
        </w:rPr>
        <w:t xml:space="preserve"> over th</w:t>
      </w:r>
      <w:r w:rsidR="004B2719">
        <w:rPr>
          <w:rStyle w:val="normaltextrun"/>
          <w:rFonts w:cstheme="minorBidi"/>
          <w:lang w:val="en-US"/>
        </w:rPr>
        <w:t>at</w:t>
      </w:r>
      <w:r w:rsidR="004B2719" w:rsidRPr="75EB3A12">
        <w:rPr>
          <w:rStyle w:val="normaltextrun"/>
          <w:rFonts w:cstheme="minorBidi"/>
          <w:lang w:val="en-US"/>
        </w:rPr>
        <w:t xml:space="preserve"> period may </w:t>
      </w:r>
      <w:r w:rsidR="004B2719">
        <w:rPr>
          <w:rStyle w:val="normaltextrun"/>
          <w:rFonts w:cstheme="minorBidi"/>
          <w:lang w:val="en-US"/>
        </w:rPr>
        <w:t xml:space="preserve">have </w:t>
      </w:r>
      <w:r w:rsidR="004B2719" w:rsidRPr="75EB3A12">
        <w:rPr>
          <w:rStyle w:val="normaltextrun"/>
          <w:rFonts w:cstheme="minorBidi"/>
          <w:lang w:val="en-US"/>
        </w:rPr>
        <w:t>demonstrate</w:t>
      </w:r>
      <w:r w:rsidR="004B2719">
        <w:rPr>
          <w:rStyle w:val="normaltextrun"/>
          <w:rFonts w:cstheme="minorBidi"/>
          <w:lang w:val="en-US"/>
        </w:rPr>
        <w:t>d</w:t>
      </w:r>
      <w:r w:rsidR="004B2719" w:rsidRPr="75EB3A12">
        <w:rPr>
          <w:rStyle w:val="normaltextrun"/>
          <w:rFonts w:cstheme="minorBidi"/>
          <w:lang w:val="en-US"/>
        </w:rPr>
        <w:t xml:space="preserve"> </w:t>
      </w:r>
      <w:r w:rsidR="004B2719">
        <w:rPr>
          <w:rStyle w:val="normaltextrun"/>
          <w:rFonts w:cstheme="minorBidi"/>
          <w:lang w:val="en-US"/>
        </w:rPr>
        <w:t xml:space="preserve">the heightened levels of stress and anxiety </w:t>
      </w:r>
      <w:r w:rsidR="004B2719" w:rsidRPr="00C94CD0">
        <w:rPr>
          <w:rStyle w:val="normaltextrun"/>
          <w:rFonts w:cstheme="minorBidi"/>
          <w:lang w:val="en-US"/>
        </w:rPr>
        <w:t>created by the pandemic</w:t>
      </w:r>
      <w:r w:rsidR="00DC3F06">
        <w:rPr>
          <w:rStyle w:val="normaltextrun"/>
          <w:rFonts w:cstheme="minorBidi"/>
          <w:lang w:val="en-US"/>
        </w:rPr>
        <w:t xml:space="preserve"> </w:t>
      </w:r>
      <w:r w:rsidR="00B4067E">
        <w:rPr>
          <w:rStyle w:val="normaltextrun"/>
          <w:rFonts w:cstheme="minorBidi"/>
          <w:lang w:val="en-US"/>
        </w:rPr>
        <w:t>in</w:t>
      </w:r>
      <w:r w:rsidR="00DC3F06">
        <w:rPr>
          <w:rStyle w:val="normaltextrun"/>
          <w:rFonts w:cstheme="minorBidi"/>
          <w:lang w:val="en-US"/>
        </w:rPr>
        <w:t xml:space="preserve"> the community.</w:t>
      </w:r>
    </w:p>
    <w:p w14:paraId="65ADB714" w14:textId="4F304857" w:rsidR="00D12298" w:rsidRPr="00403390" w:rsidRDefault="006F14DD" w:rsidP="00DC3F06">
      <w:pPr>
        <w:pStyle w:val="Bodyaftertable"/>
        <w:rPr>
          <w:rStyle w:val="normaltextrun"/>
          <w:rFonts w:cstheme="minorBidi"/>
          <w:lang w:val="en-US"/>
        </w:rPr>
      </w:pPr>
      <w:r w:rsidRPr="00403390">
        <w:rPr>
          <w:rStyle w:val="normaltextrun"/>
          <w:rFonts w:cstheme="minorBidi"/>
          <w:lang w:val="en-US"/>
        </w:rPr>
        <w:t xml:space="preserve">The </w:t>
      </w:r>
      <w:r w:rsidR="00166208" w:rsidRPr="00403390">
        <w:rPr>
          <w:rStyle w:val="normaltextrun"/>
          <w:rFonts w:cstheme="minorBidi"/>
          <w:lang w:val="en-US"/>
        </w:rPr>
        <w:t xml:space="preserve">number of enquiries to the OCP </w:t>
      </w:r>
      <w:r w:rsidR="008C1B23" w:rsidRPr="00403390">
        <w:rPr>
          <w:rStyle w:val="normaltextrun"/>
          <w:rFonts w:cstheme="minorBidi"/>
          <w:lang w:val="en-US"/>
        </w:rPr>
        <w:t xml:space="preserve">continued to </w:t>
      </w:r>
      <w:r w:rsidR="00986A49" w:rsidRPr="00403390">
        <w:rPr>
          <w:rStyle w:val="normaltextrun"/>
          <w:rFonts w:cstheme="minorBidi"/>
          <w:lang w:val="en-US"/>
        </w:rPr>
        <w:t>rise</w:t>
      </w:r>
      <w:r w:rsidR="008C1B23" w:rsidRPr="00403390">
        <w:rPr>
          <w:rStyle w:val="normaltextrun"/>
          <w:rFonts w:cstheme="minorBidi"/>
          <w:lang w:val="en-US"/>
        </w:rPr>
        <w:t xml:space="preserve"> </w:t>
      </w:r>
      <w:r w:rsidR="00A87F8F" w:rsidRPr="00403390">
        <w:rPr>
          <w:rStyle w:val="normaltextrun"/>
          <w:rFonts w:cstheme="minorBidi"/>
          <w:lang w:val="en-US"/>
        </w:rPr>
        <w:t>throughout 2021</w:t>
      </w:r>
      <w:r w:rsidR="00DF564B">
        <w:rPr>
          <w:rStyle w:val="normaltextrun"/>
          <w:rFonts w:cstheme="minorBidi"/>
          <w:lang w:val="en-US"/>
        </w:rPr>
        <w:t>–</w:t>
      </w:r>
      <w:r w:rsidR="00A87F8F" w:rsidRPr="00403390">
        <w:rPr>
          <w:rStyle w:val="normaltextrun"/>
          <w:rFonts w:cstheme="minorBidi"/>
          <w:lang w:val="en-US"/>
        </w:rPr>
        <w:t>22,</w:t>
      </w:r>
      <w:r w:rsidR="000645E1" w:rsidRPr="00403390">
        <w:rPr>
          <w:rStyle w:val="normaltextrun"/>
          <w:rFonts w:cstheme="minorBidi"/>
          <w:lang w:val="en-US"/>
        </w:rPr>
        <w:t xml:space="preserve"> with </w:t>
      </w:r>
      <w:r w:rsidR="00177E30" w:rsidRPr="00403390">
        <w:rPr>
          <w:rStyle w:val="normaltextrun"/>
          <w:rFonts w:cstheme="minorBidi"/>
          <w:lang w:val="en-US"/>
        </w:rPr>
        <w:t xml:space="preserve">32 per cent </w:t>
      </w:r>
      <w:r w:rsidR="002E5CEE" w:rsidRPr="00403390">
        <w:rPr>
          <w:rStyle w:val="normaltextrun"/>
          <w:rFonts w:cstheme="minorBidi"/>
          <w:lang w:val="en-US"/>
        </w:rPr>
        <w:t xml:space="preserve">more </w:t>
      </w:r>
      <w:r w:rsidR="004B2719" w:rsidRPr="00403390">
        <w:rPr>
          <w:rStyle w:val="normaltextrun"/>
          <w:rFonts w:cstheme="minorBidi"/>
          <w:lang w:val="en-US"/>
        </w:rPr>
        <w:t>enquiries</w:t>
      </w:r>
      <w:r w:rsidR="005F31E3" w:rsidRPr="00403390">
        <w:rPr>
          <w:rStyle w:val="normaltextrun"/>
          <w:rFonts w:cstheme="minorBidi"/>
          <w:lang w:val="en-US"/>
        </w:rPr>
        <w:t xml:space="preserve"> received </w:t>
      </w:r>
      <w:r w:rsidR="00986A49" w:rsidRPr="00403390">
        <w:rPr>
          <w:rStyle w:val="normaltextrun"/>
          <w:rFonts w:cstheme="minorBidi"/>
          <w:lang w:val="en-US"/>
        </w:rPr>
        <w:t xml:space="preserve">compared </w:t>
      </w:r>
      <w:r w:rsidR="00DF564B">
        <w:rPr>
          <w:rStyle w:val="normaltextrun"/>
          <w:rFonts w:cstheme="minorBidi"/>
          <w:lang w:val="en-US"/>
        </w:rPr>
        <w:t>with</w:t>
      </w:r>
      <w:r w:rsidR="00DF564B" w:rsidRPr="00403390">
        <w:rPr>
          <w:rStyle w:val="normaltextrun"/>
          <w:rFonts w:cstheme="minorBidi"/>
          <w:lang w:val="en-US"/>
        </w:rPr>
        <w:t xml:space="preserve"> </w:t>
      </w:r>
      <w:r w:rsidR="009F4BFD" w:rsidRPr="00403390">
        <w:rPr>
          <w:rStyle w:val="normaltextrun"/>
          <w:rFonts w:cstheme="minorBidi"/>
          <w:lang w:val="en-US"/>
        </w:rPr>
        <w:t>the previous</w:t>
      </w:r>
      <w:r w:rsidR="004B2719" w:rsidRPr="00403390">
        <w:rPr>
          <w:rStyle w:val="normaltextrun"/>
          <w:rFonts w:cstheme="minorBidi"/>
          <w:lang w:val="en-US"/>
        </w:rPr>
        <w:t xml:space="preserve"> year. </w:t>
      </w:r>
      <w:r w:rsidR="00794E54" w:rsidRPr="00403390">
        <w:rPr>
          <w:rStyle w:val="normaltextrun"/>
          <w:rFonts w:cstheme="minorBidi"/>
          <w:lang w:val="en-US"/>
        </w:rPr>
        <w:t xml:space="preserve">This trend </w:t>
      </w:r>
      <w:r w:rsidR="00F377BC">
        <w:rPr>
          <w:rStyle w:val="normaltextrun"/>
          <w:rFonts w:cstheme="minorBidi"/>
          <w:lang w:val="en-US"/>
        </w:rPr>
        <w:t>may</w:t>
      </w:r>
      <w:r w:rsidR="00F377BC" w:rsidRPr="00403390">
        <w:rPr>
          <w:rStyle w:val="normaltextrun"/>
          <w:rFonts w:cstheme="minorBidi"/>
          <w:lang w:val="en-US"/>
        </w:rPr>
        <w:t xml:space="preserve"> </w:t>
      </w:r>
      <w:r w:rsidR="00794E54" w:rsidRPr="00403390">
        <w:rPr>
          <w:rStyle w:val="normaltextrun"/>
          <w:rFonts w:cstheme="minorBidi"/>
          <w:lang w:val="en-US"/>
        </w:rPr>
        <w:t xml:space="preserve">be explained by </w:t>
      </w:r>
      <w:r w:rsidR="00057CDF" w:rsidRPr="00403390">
        <w:rPr>
          <w:rStyle w:val="normaltextrun"/>
          <w:rFonts w:cstheme="minorBidi"/>
          <w:lang w:val="en-US"/>
        </w:rPr>
        <w:t xml:space="preserve">the </w:t>
      </w:r>
      <w:r w:rsidR="00057CDF" w:rsidRPr="00403390">
        <w:rPr>
          <w:rStyle w:val="normaltextrun"/>
          <w:rFonts w:cstheme="minorBidi"/>
          <w:lang w:val="en-US"/>
        </w:rPr>
        <w:lastRenderedPageBreak/>
        <w:t>persisten</w:t>
      </w:r>
      <w:r w:rsidR="00BC4A20" w:rsidRPr="00403390">
        <w:rPr>
          <w:rStyle w:val="normaltextrun"/>
          <w:rFonts w:cstheme="minorBidi"/>
          <w:lang w:val="en-US"/>
        </w:rPr>
        <w:t>ce</w:t>
      </w:r>
      <w:r w:rsidR="00C73523" w:rsidRPr="00403390">
        <w:rPr>
          <w:rStyle w:val="normaltextrun"/>
          <w:rFonts w:cstheme="minorBidi"/>
          <w:lang w:val="en-US"/>
        </w:rPr>
        <w:t xml:space="preserve"> of</w:t>
      </w:r>
      <w:r w:rsidR="00057CDF" w:rsidRPr="00403390">
        <w:rPr>
          <w:rStyle w:val="normaltextrun"/>
          <w:rFonts w:cstheme="minorBidi"/>
          <w:lang w:val="en-US"/>
        </w:rPr>
        <w:t xml:space="preserve"> </w:t>
      </w:r>
      <w:r w:rsidR="00BC4A20" w:rsidRPr="00403390">
        <w:rPr>
          <w:rStyle w:val="normaltextrun"/>
          <w:rFonts w:cstheme="minorBidi"/>
          <w:lang w:val="en-US"/>
        </w:rPr>
        <w:t xml:space="preserve">stress and </w:t>
      </w:r>
      <w:r w:rsidR="00057CDF" w:rsidRPr="00403390">
        <w:rPr>
          <w:rStyle w:val="normaltextrun"/>
          <w:rFonts w:cstheme="minorBidi"/>
          <w:lang w:val="en-US"/>
        </w:rPr>
        <w:t xml:space="preserve">anxiety </w:t>
      </w:r>
      <w:r w:rsidR="007850D4">
        <w:rPr>
          <w:rStyle w:val="normaltextrun"/>
          <w:rFonts w:cstheme="minorBidi"/>
          <w:lang w:val="en-US"/>
        </w:rPr>
        <w:t xml:space="preserve">in the community </w:t>
      </w:r>
      <w:r w:rsidR="006C3D4D">
        <w:rPr>
          <w:rStyle w:val="normaltextrun"/>
          <w:rFonts w:cstheme="minorBidi"/>
          <w:lang w:val="en-US"/>
        </w:rPr>
        <w:t>caused by</w:t>
      </w:r>
      <w:r w:rsidR="000834A5" w:rsidRPr="00403390">
        <w:rPr>
          <w:rStyle w:val="normaltextrun"/>
          <w:rFonts w:cstheme="minorBidi"/>
          <w:lang w:val="en-US"/>
        </w:rPr>
        <w:t xml:space="preserve"> the pandemic</w:t>
      </w:r>
      <w:r w:rsidR="00D12298" w:rsidRPr="00403390">
        <w:rPr>
          <w:rStyle w:val="normaltextrun"/>
          <w:rFonts w:cstheme="minorBidi"/>
          <w:lang w:val="en-US"/>
        </w:rPr>
        <w:t xml:space="preserve"> and difficulties people have </w:t>
      </w:r>
      <w:r w:rsidR="00FE464D" w:rsidRPr="00403390">
        <w:rPr>
          <w:rStyle w:val="normaltextrun"/>
          <w:rFonts w:cstheme="minorBidi"/>
          <w:lang w:val="en-US"/>
        </w:rPr>
        <w:t>faced</w:t>
      </w:r>
      <w:r w:rsidR="00D12298" w:rsidRPr="00403390">
        <w:rPr>
          <w:rStyle w:val="normaltextrun"/>
          <w:rFonts w:cstheme="minorBidi"/>
          <w:lang w:val="en-US"/>
        </w:rPr>
        <w:t xml:space="preserve"> gaining access to treatment and care as mental health services have </w:t>
      </w:r>
      <w:r w:rsidR="00403390" w:rsidRPr="00403390">
        <w:rPr>
          <w:rStyle w:val="normaltextrun"/>
          <w:rFonts w:cstheme="minorBidi"/>
          <w:lang w:val="en-US"/>
        </w:rPr>
        <w:t>operated</w:t>
      </w:r>
      <w:r w:rsidR="00D12298" w:rsidRPr="00403390">
        <w:rPr>
          <w:rStyle w:val="normaltextrun"/>
          <w:rFonts w:cstheme="minorBidi"/>
          <w:lang w:val="en-US"/>
        </w:rPr>
        <w:t xml:space="preserve"> at the limit </w:t>
      </w:r>
      <w:r w:rsidR="00FE464D" w:rsidRPr="00403390">
        <w:rPr>
          <w:rStyle w:val="normaltextrun"/>
          <w:rFonts w:cstheme="minorBidi"/>
          <w:lang w:val="en-US"/>
        </w:rPr>
        <w:t xml:space="preserve">of their capacity. </w:t>
      </w:r>
    </w:p>
    <w:tbl>
      <w:tblPr>
        <w:tblStyle w:val="TableGrid"/>
        <w:tblW w:w="0" w:type="auto"/>
        <w:tblLook w:val="04A0" w:firstRow="1" w:lastRow="0" w:firstColumn="1" w:lastColumn="0" w:noHBand="0" w:noVBand="1"/>
      </w:tblPr>
      <w:tblGrid>
        <w:gridCol w:w="9180"/>
      </w:tblGrid>
      <w:tr w:rsidR="00795E31" w:rsidRPr="00654A59" w14:paraId="311E2BC9" w14:textId="77777777" w:rsidTr="00795E31">
        <w:tc>
          <w:tcPr>
            <w:tcW w:w="9288" w:type="dxa"/>
            <w:shd w:val="clear" w:color="auto" w:fill="DBE5F1" w:themeFill="accent1" w:themeFillTint="33"/>
          </w:tcPr>
          <w:p w14:paraId="5ED0F242" w14:textId="3070651C" w:rsidR="00795E31" w:rsidRPr="00654A59" w:rsidRDefault="00DF09F8" w:rsidP="002C5092">
            <w:pPr>
              <w:pStyle w:val="Boxtitle"/>
              <w:rPr>
                <w:rStyle w:val="normaltextrun"/>
                <w:rFonts w:cs="Arial"/>
                <w:color w:val="000000" w:themeColor="text1"/>
              </w:rPr>
            </w:pPr>
            <w:r>
              <w:rPr>
                <w:rStyle w:val="normaltextrun"/>
                <w:rFonts w:cs="Arial"/>
                <w:color w:val="000000" w:themeColor="text1"/>
              </w:rPr>
              <w:t xml:space="preserve">Approaches to oversight: </w:t>
            </w:r>
            <w:r w:rsidR="00274ED9">
              <w:rPr>
                <w:rStyle w:val="normaltextrun"/>
                <w:rFonts w:cs="Arial"/>
                <w:color w:val="000000" w:themeColor="text1"/>
              </w:rPr>
              <w:t>I</w:t>
            </w:r>
            <w:r w:rsidR="000402C8" w:rsidRPr="00654A59">
              <w:rPr>
                <w:rStyle w:val="normaltextrun"/>
                <w:rFonts w:cs="Arial"/>
                <w:color w:val="000000" w:themeColor="text1"/>
              </w:rPr>
              <w:t xml:space="preserve">nvestigations, </w:t>
            </w:r>
            <w:r w:rsidR="002F7C92" w:rsidRPr="00654A59">
              <w:rPr>
                <w:rStyle w:val="normaltextrun"/>
                <w:rFonts w:cs="Arial"/>
                <w:color w:val="000000" w:themeColor="text1"/>
              </w:rPr>
              <w:t>clinical reviews</w:t>
            </w:r>
            <w:r w:rsidR="007114F8">
              <w:rPr>
                <w:rStyle w:val="normaltextrun"/>
                <w:rFonts w:cs="Arial"/>
                <w:color w:val="000000" w:themeColor="text1"/>
              </w:rPr>
              <w:t>,</w:t>
            </w:r>
            <w:r w:rsidR="002F7C92" w:rsidRPr="00654A59">
              <w:rPr>
                <w:rStyle w:val="normaltextrun"/>
                <w:rFonts w:cs="Arial"/>
                <w:color w:val="000000" w:themeColor="text1"/>
              </w:rPr>
              <w:t xml:space="preserve"> clinical practice audits </w:t>
            </w:r>
            <w:r w:rsidR="00654A59" w:rsidRPr="00654A59">
              <w:rPr>
                <w:rStyle w:val="normaltextrun"/>
                <w:rFonts w:cs="Arial"/>
                <w:color w:val="000000" w:themeColor="text1"/>
              </w:rPr>
              <w:t>and site visits</w:t>
            </w:r>
          </w:p>
          <w:p w14:paraId="38366BE7" w14:textId="5175E033" w:rsidR="003B29DA" w:rsidRPr="00654A59" w:rsidRDefault="322FEE12" w:rsidP="003B29DA">
            <w:pPr>
              <w:pStyle w:val="Body"/>
              <w:rPr>
                <w:lang w:val="en-US"/>
              </w:rPr>
            </w:pPr>
            <w:r w:rsidRPr="00654A59">
              <w:rPr>
                <w:lang w:val="en-US"/>
              </w:rPr>
              <w:t xml:space="preserve">The Mental Health Act </w:t>
            </w:r>
            <w:r w:rsidR="007114F8">
              <w:rPr>
                <w:lang w:val="en-US"/>
              </w:rPr>
              <w:t>gives</w:t>
            </w:r>
            <w:r w:rsidRPr="00654A59">
              <w:rPr>
                <w:lang w:val="en-US"/>
              </w:rPr>
              <w:t xml:space="preserve"> the Chief Psychiatrist </w:t>
            </w:r>
            <w:r w:rsidR="00F02687">
              <w:rPr>
                <w:lang w:val="en-US"/>
              </w:rPr>
              <w:t>powers</w:t>
            </w:r>
            <w:r w:rsidR="007114F8">
              <w:rPr>
                <w:lang w:val="en-US"/>
              </w:rPr>
              <w:t xml:space="preserve"> </w:t>
            </w:r>
            <w:r w:rsidRPr="00654A59">
              <w:rPr>
                <w:lang w:val="en-US"/>
              </w:rPr>
              <w:t xml:space="preserve">to </w:t>
            </w:r>
            <w:r w:rsidR="000208E8">
              <w:rPr>
                <w:lang w:val="en-US"/>
              </w:rPr>
              <w:t xml:space="preserve">conduct </w:t>
            </w:r>
            <w:r w:rsidR="00291064" w:rsidRPr="00654A59">
              <w:rPr>
                <w:lang w:val="en-US"/>
              </w:rPr>
              <w:t>investigat</w:t>
            </w:r>
            <w:r w:rsidR="000208E8">
              <w:rPr>
                <w:lang w:val="en-US"/>
              </w:rPr>
              <w:t xml:space="preserve">ions, </w:t>
            </w:r>
            <w:r w:rsidR="000208E8" w:rsidRPr="00654A59">
              <w:rPr>
                <w:lang w:val="en-US"/>
              </w:rPr>
              <w:t>clinical reviews clinical practice audits</w:t>
            </w:r>
            <w:r w:rsidR="004F37F8">
              <w:rPr>
                <w:lang w:val="en-US"/>
              </w:rPr>
              <w:t>, and site visits</w:t>
            </w:r>
            <w:r w:rsidR="00724CD5">
              <w:rPr>
                <w:lang w:val="en-US"/>
              </w:rPr>
              <w:t xml:space="preserve"> of </w:t>
            </w:r>
            <w:r w:rsidR="0006032F">
              <w:rPr>
                <w:lang w:val="en-US"/>
              </w:rPr>
              <w:t>mental health service providers</w:t>
            </w:r>
            <w:r w:rsidR="00DA1453">
              <w:rPr>
                <w:lang w:val="en-US"/>
              </w:rPr>
              <w:t xml:space="preserve"> </w:t>
            </w:r>
            <w:r w:rsidR="000603DF">
              <w:rPr>
                <w:lang w:val="en-US"/>
              </w:rPr>
              <w:t xml:space="preserve">as part of </w:t>
            </w:r>
            <w:r w:rsidR="007614D8">
              <w:rPr>
                <w:lang w:val="en-US"/>
              </w:rPr>
              <w:t xml:space="preserve">their oversight role. </w:t>
            </w:r>
          </w:p>
          <w:p w14:paraId="7B84A890" w14:textId="54A81DA5" w:rsidR="00F02687" w:rsidRPr="003112BE" w:rsidRDefault="00F02687" w:rsidP="001F1788">
            <w:pPr>
              <w:pStyle w:val="Body"/>
              <w:rPr>
                <w:i/>
                <w:iCs/>
                <w:lang w:val="en-US"/>
              </w:rPr>
            </w:pPr>
            <w:r w:rsidRPr="003112BE">
              <w:rPr>
                <w:i/>
                <w:iCs/>
                <w:lang w:val="en-US"/>
              </w:rPr>
              <w:t>Investigations</w:t>
            </w:r>
          </w:p>
          <w:p w14:paraId="0BE2B87F" w14:textId="5927F7A0" w:rsidR="001A6EF9" w:rsidRPr="00654A59" w:rsidRDefault="00D552A9" w:rsidP="001F1788">
            <w:pPr>
              <w:pStyle w:val="Body"/>
              <w:rPr>
                <w:lang w:val="en-US"/>
              </w:rPr>
            </w:pPr>
            <w:r>
              <w:rPr>
                <w:lang w:val="en-US"/>
              </w:rPr>
              <w:t>I</w:t>
            </w:r>
            <w:r w:rsidR="322FEE12" w:rsidRPr="00654A59">
              <w:rPr>
                <w:lang w:val="en-US"/>
              </w:rPr>
              <w:t>nvestigation</w:t>
            </w:r>
            <w:r>
              <w:rPr>
                <w:lang w:val="en-US"/>
              </w:rPr>
              <w:t>s</w:t>
            </w:r>
            <w:r w:rsidR="322FEE12" w:rsidRPr="00654A59">
              <w:rPr>
                <w:lang w:val="en-US"/>
              </w:rPr>
              <w:t xml:space="preserve"> </w:t>
            </w:r>
            <w:r w:rsidR="001F1788">
              <w:rPr>
                <w:lang w:val="en-US"/>
              </w:rPr>
              <w:t>can</w:t>
            </w:r>
            <w:r w:rsidR="322FEE12" w:rsidRPr="00654A59">
              <w:rPr>
                <w:lang w:val="en-US"/>
              </w:rPr>
              <w:t xml:space="preserve"> originate</w:t>
            </w:r>
            <w:r w:rsidR="001F1788">
              <w:rPr>
                <w:lang w:val="en-US"/>
              </w:rPr>
              <w:t xml:space="preserve"> either </w:t>
            </w:r>
            <w:r w:rsidR="322FEE12" w:rsidRPr="00654A59">
              <w:rPr>
                <w:lang w:val="en-US"/>
              </w:rPr>
              <w:t>on the Chief Psychiatrist’s own initiative</w:t>
            </w:r>
            <w:r w:rsidR="001F1788">
              <w:rPr>
                <w:lang w:val="en-US"/>
              </w:rPr>
              <w:t xml:space="preserve"> or </w:t>
            </w:r>
            <w:r w:rsidR="322FEE12" w:rsidRPr="00654A59">
              <w:rPr>
                <w:lang w:val="en-US"/>
              </w:rPr>
              <w:t xml:space="preserve">at the request of the Secretary of the Department of Health. </w:t>
            </w:r>
          </w:p>
          <w:p w14:paraId="635490C2" w14:textId="258A8C24" w:rsidR="001A6EF9" w:rsidRPr="00654A59" w:rsidRDefault="005C1F4D" w:rsidP="00F50976">
            <w:pPr>
              <w:pStyle w:val="Body"/>
            </w:pPr>
            <w:r>
              <w:rPr>
                <w:lang w:val="en-US"/>
              </w:rPr>
              <w:t xml:space="preserve">They can </w:t>
            </w:r>
            <w:r w:rsidR="322FEE12" w:rsidRPr="00654A59">
              <w:rPr>
                <w:lang w:val="en-US"/>
              </w:rPr>
              <w:t xml:space="preserve">be conducted if the Chief Psychiatrist or the Secretary </w:t>
            </w:r>
            <w:r w:rsidR="009A188B">
              <w:rPr>
                <w:lang w:val="en-US"/>
              </w:rPr>
              <w:t>believes</w:t>
            </w:r>
            <w:r w:rsidR="322FEE12" w:rsidRPr="00654A59">
              <w:rPr>
                <w:lang w:val="en-US"/>
              </w:rPr>
              <w:t xml:space="preserve"> that the health, </w:t>
            </w:r>
            <w:proofErr w:type="gramStart"/>
            <w:r w:rsidR="322FEE12" w:rsidRPr="00654A59">
              <w:rPr>
                <w:lang w:val="en-US"/>
              </w:rPr>
              <w:t>safety</w:t>
            </w:r>
            <w:proofErr w:type="gramEnd"/>
            <w:r w:rsidR="322FEE12" w:rsidRPr="00654A59">
              <w:rPr>
                <w:lang w:val="en-US"/>
              </w:rPr>
              <w:t xml:space="preserve"> or wellbeing of a person is or was endangered as a result of </w:t>
            </w:r>
            <w:r w:rsidR="00F61DA9">
              <w:rPr>
                <w:lang w:val="en-US"/>
              </w:rPr>
              <w:t xml:space="preserve">receiving treatment and care in a designated mental health </w:t>
            </w:r>
            <w:r w:rsidR="322FEE12" w:rsidRPr="00654A59">
              <w:rPr>
                <w:lang w:val="en-US"/>
              </w:rPr>
              <w:t xml:space="preserve">service. </w:t>
            </w:r>
          </w:p>
          <w:p w14:paraId="31147089" w14:textId="4E25B93D" w:rsidR="002B5FB8" w:rsidRDefault="000A6E31" w:rsidP="005A49FE">
            <w:pPr>
              <w:pStyle w:val="Body"/>
              <w:rPr>
                <w:lang w:val="en-US"/>
              </w:rPr>
            </w:pPr>
            <w:r>
              <w:rPr>
                <w:lang w:val="en-US"/>
              </w:rPr>
              <w:t>I</w:t>
            </w:r>
            <w:r w:rsidR="322FEE12" w:rsidRPr="00654A59">
              <w:rPr>
                <w:lang w:val="en-US"/>
              </w:rPr>
              <w:t xml:space="preserve">nvestigations are the most formal intervention </w:t>
            </w:r>
            <w:r w:rsidR="00B76135">
              <w:rPr>
                <w:lang w:val="en-US"/>
              </w:rPr>
              <w:t xml:space="preserve">that </w:t>
            </w:r>
            <w:r w:rsidR="322FEE12" w:rsidRPr="00654A59">
              <w:rPr>
                <w:lang w:val="en-US"/>
              </w:rPr>
              <w:t xml:space="preserve">the Chief Psychiatrist can </w:t>
            </w:r>
            <w:r w:rsidR="003C3342">
              <w:rPr>
                <w:lang w:val="en-US"/>
              </w:rPr>
              <w:t>make</w:t>
            </w:r>
            <w:r w:rsidR="322FEE12" w:rsidRPr="00654A59">
              <w:rPr>
                <w:lang w:val="en-US"/>
              </w:rPr>
              <w:t xml:space="preserve"> </w:t>
            </w:r>
            <w:r w:rsidR="0056466A">
              <w:rPr>
                <w:lang w:val="en-US"/>
              </w:rPr>
              <w:t>in response to a</w:t>
            </w:r>
            <w:r w:rsidR="322FEE12" w:rsidRPr="00654A59">
              <w:rPr>
                <w:lang w:val="en-US"/>
              </w:rPr>
              <w:t xml:space="preserve"> quality and safety </w:t>
            </w:r>
            <w:r w:rsidR="0056466A">
              <w:rPr>
                <w:lang w:val="en-US"/>
              </w:rPr>
              <w:t>issue</w:t>
            </w:r>
            <w:r w:rsidR="0075102A">
              <w:rPr>
                <w:lang w:val="en-US"/>
              </w:rPr>
              <w:t xml:space="preserve">, </w:t>
            </w:r>
            <w:r w:rsidR="00B91685">
              <w:rPr>
                <w:lang w:val="en-US"/>
              </w:rPr>
              <w:t>consisting</w:t>
            </w:r>
            <w:r w:rsidR="00C302C5">
              <w:rPr>
                <w:lang w:val="en-US"/>
              </w:rPr>
              <w:t xml:space="preserve"> in</w:t>
            </w:r>
            <w:r w:rsidR="0075102A">
              <w:rPr>
                <w:lang w:val="en-US"/>
              </w:rPr>
              <w:t xml:space="preserve"> various </w:t>
            </w:r>
            <w:r w:rsidR="003C1D3F">
              <w:rPr>
                <w:lang w:val="en-US"/>
              </w:rPr>
              <w:t xml:space="preserve">legal procedures of </w:t>
            </w:r>
            <w:r w:rsidR="0075102A">
              <w:rPr>
                <w:lang w:val="en-US"/>
              </w:rPr>
              <w:t xml:space="preserve">approval </w:t>
            </w:r>
            <w:r w:rsidR="003C1D3F">
              <w:rPr>
                <w:lang w:val="en-US"/>
              </w:rPr>
              <w:t xml:space="preserve">and </w:t>
            </w:r>
            <w:r w:rsidR="00F047CE">
              <w:rPr>
                <w:lang w:val="en-US"/>
              </w:rPr>
              <w:t>administration</w:t>
            </w:r>
            <w:r w:rsidR="322FEE12" w:rsidRPr="00654A59">
              <w:rPr>
                <w:lang w:val="en-US"/>
              </w:rPr>
              <w:t xml:space="preserve">. In </w:t>
            </w:r>
            <w:r w:rsidR="00F16BB1">
              <w:rPr>
                <w:lang w:val="en-US"/>
              </w:rPr>
              <w:t>practice</w:t>
            </w:r>
            <w:r w:rsidR="322FEE12" w:rsidRPr="00654A59">
              <w:rPr>
                <w:lang w:val="en-US"/>
              </w:rPr>
              <w:t>, investigations are</w:t>
            </w:r>
            <w:r w:rsidR="00A621CC">
              <w:rPr>
                <w:lang w:val="en-US"/>
              </w:rPr>
              <w:t xml:space="preserve"> rare</w:t>
            </w:r>
            <w:r w:rsidR="00EA19DB">
              <w:rPr>
                <w:lang w:val="en-US"/>
              </w:rPr>
              <w:t>. T</w:t>
            </w:r>
            <w:r w:rsidR="00AA52CC">
              <w:rPr>
                <w:lang w:val="en-US"/>
              </w:rPr>
              <w:t xml:space="preserve">hey are </w:t>
            </w:r>
            <w:r w:rsidR="322FEE12" w:rsidRPr="00654A59">
              <w:rPr>
                <w:lang w:val="en-US"/>
              </w:rPr>
              <w:t xml:space="preserve">often </w:t>
            </w:r>
            <w:r w:rsidR="00AA52CC">
              <w:rPr>
                <w:lang w:val="en-US"/>
              </w:rPr>
              <w:t xml:space="preserve">a </w:t>
            </w:r>
            <w:r w:rsidR="322FEE12" w:rsidRPr="00654A59">
              <w:rPr>
                <w:lang w:val="en-US"/>
              </w:rPr>
              <w:t xml:space="preserve">last resort </w:t>
            </w:r>
            <w:r w:rsidR="00C302C5">
              <w:rPr>
                <w:lang w:val="en-US"/>
              </w:rPr>
              <w:t>after</w:t>
            </w:r>
            <w:r w:rsidR="322FEE12" w:rsidRPr="00654A59">
              <w:rPr>
                <w:lang w:val="en-US"/>
              </w:rPr>
              <w:t xml:space="preserve"> other less formal </w:t>
            </w:r>
            <w:r w:rsidR="007362FB">
              <w:rPr>
                <w:lang w:val="en-US"/>
              </w:rPr>
              <w:t>interventions</w:t>
            </w:r>
            <w:r w:rsidR="322FEE12" w:rsidRPr="00654A59">
              <w:rPr>
                <w:lang w:val="en-US"/>
              </w:rPr>
              <w:t xml:space="preserve"> do not result in required changes or</w:t>
            </w:r>
            <w:r w:rsidR="006F393F">
              <w:rPr>
                <w:lang w:val="en-US"/>
              </w:rPr>
              <w:t xml:space="preserve"> when</w:t>
            </w:r>
            <w:r w:rsidR="322FEE12" w:rsidRPr="00654A59">
              <w:rPr>
                <w:lang w:val="en-US"/>
              </w:rPr>
              <w:t xml:space="preserve"> the Chief </w:t>
            </w:r>
            <w:r w:rsidR="00B96022">
              <w:rPr>
                <w:lang w:val="en-US"/>
              </w:rPr>
              <w:t>P</w:t>
            </w:r>
            <w:r w:rsidR="5406E9E1" w:rsidRPr="00654A59">
              <w:rPr>
                <w:lang w:val="en-US"/>
              </w:rPr>
              <w:t>sychiatrist h</w:t>
            </w:r>
            <w:r w:rsidR="0001066D">
              <w:rPr>
                <w:lang w:val="en-US"/>
              </w:rPr>
              <w:t>as</w:t>
            </w:r>
            <w:r w:rsidR="322FEE12" w:rsidRPr="00654A59">
              <w:rPr>
                <w:lang w:val="en-US"/>
              </w:rPr>
              <w:t xml:space="preserve"> </w:t>
            </w:r>
            <w:r w:rsidR="007626B2">
              <w:rPr>
                <w:lang w:val="en-US"/>
              </w:rPr>
              <w:t>serious</w:t>
            </w:r>
            <w:r w:rsidR="322FEE12" w:rsidRPr="00654A59">
              <w:rPr>
                <w:lang w:val="en-US"/>
              </w:rPr>
              <w:t xml:space="preserve"> concerns about </w:t>
            </w:r>
            <w:r w:rsidR="00782FFD">
              <w:rPr>
                <w:lang w:val="en-US"/>
              </w:rPr>
              <w:t>hazardous</w:t>
            </w:r>
            <w:r w:rsidR="322FEE12" w:rsidRPr="00654A59">
              <w:rPr>
                <w:lang w:val="en-US"/>
              </w:rPr>
              <w:t xml:space="preserve"> practices </w:t>
            </w:r>
            <w:r w:rsidR="00782FFD">
              <w:rPr>
                <w:lang w:val="en-US"/>
              </w:rPr>
              <w:t>in</w:t>
            </w:r>
            <w:r w:rsidR="322FEE12" w:rsidRPr="00654A59">
              <w:rPr>
                <w:lang w:val="en-US"/>
              </w:rPr>
              <w:t xml:space="preserve"> a health service.</w:t>
            </w:r>
          </w:p>
          <w:p w14:paraId="5A262DDE" w14:textId="60912BA4" w:rsidR="001A6EF9" w:rsidRPr="00654A59" w:rsidRDefault="0082331A" w:rsidP="005A49FE">
            <w:pPr>
              <w:pStyle w:val="Body"/>
              <w:rPr>
                <w:lang w:val="en-US"/>
              </w:rPr>
            </w:pPr>
            <w:r>
              <w:rPr>
                <w:lang w:val="en-US"/>
              </w:rPr>
              <w:t xml:space="preserve">The more common approach taken by </w:t>
            </w:r>
            <w:r w:rsidR="322FEE12" w:rsidRPr="00654A59">
              <w:rPr>
                <w:lang w:val="en-US"/>
              </w:rPr>
              <w:t xml:space="preserve">the Chief Psychiatrist </w:t>
            </w:r>
            <w:r>
              <w:rPr>
                <w:lang w:val="en-US"/>
              </w:rPr>
              <w:t>is</w:t>
            </w:r>
            <w:r w:rsidR="00DA70D5">
              <w:rPr>
                <w:lang w:val="en-US"/>
              </w:rPr>
              <w:t xml:space="preserve"> informal and</w:t>
            </w:r>
            <w:r w:rsidR="322FEE12" w:rsidRPr="00654A59">
              <w:rPr>
                <w:lang w:val="en-US"/>
              </w:rPr>
              <w:t xml:space="preserve"> collaborative</w:t>
            </w:r>
            <w:r w:rsidR="003C76A3">
              <w:rPr>
                <w:lang w:val="en-US"/>
              </w:rPr>
              <w:t xml:space="preserve">. </w:t>
            </w:r>
            <w:r w:rsidR="007A115A">
              <w:rPr>
                <w:lang w:val="en-US"/>
              </w:rPr>
              <w:t>It is based on</w:t>
            </w:r>
            <w:r w:rsidR="00054008">
              <w:rPr>
                <w:lang w:val="en-US"/>
              </w:rPr>
              <w:t xml:space="preserve"> </w:t>
            </w:r>
            <w:r w:rsidR="00D51BC9">
              <w:rPr>
                <w:lang w:val="en-US"/>
              </w:rPr>
              <w:t xml:space="preserve">a process of </w:t>
            </w:r>
            <w:r w:rsidR="00A621CC">
              <w:rPr>
                <w:lang w:val="en-US"/>
              </w:rPr>
              <w:t>e</w:t>
            </w:r>
            <w:r w:rsidR="00D51BC9">
              <w:rPr>
                <w:lang w:val="en-US"/>
              </w:rPr>
              <w:t>nquiry with</w:t>
            </w:r>
            <w:r w:rsidR="00054008">
              <w:rPr>
                <w:lang w:val="en-US"/>
              </w:rPr>
              <w:t xml:space="preserve"> </w:t>
            </w:r>
            <w:r w:rsidR="00530B54">
              <w:rPr>
                <w:lang w:val="en-US"/>
              </w:rPr>
              <w:t>a</w:t>
            </w:r>
            <w:r w:rsidR="00054008">
              <w:rPr>
                <w:lang w:val="en-US"/>
              </w:rPr>
              <w:t xml:space="preserve"> </w:t>
            </w:r>
            <w:r w:rsidR="005D2592">
              <w:rPr>
                <w:lang w:val="en-US"/>
              </w:rPr>
              <w:t>service</w:t>
            </w:r>
            <w:r w:rsidR="00530B54">
              <w:rPr>
                <w:lang w:val="en-US"/>
              </w:rPr>
              <w:t xml:space="preserve"> </w:t>
            </w:r>
            <w:r w:rsidR="005D2592">
              <w:rPr>
                <w:lang w:val="en-US"/>
              </w:rPr>
              <w:t xml:space="preserve">to </w:t>
            </w:r>
            <w:r w:rsidR="008C13B9">
              <w:rPr>
                <w:lang w:val="en-US"/>
              </w:rPr>
              <w:t>understand the specific circumstances that are compromising quality and safety</w:t>
            </w:r>
            <w:r w:rsidR="00C13292">
              <w:rPr>
                <w:lang w:val="en-US"/>
              </w:rPr>
              <w:t xml:space="preserve"> and to </w:t>
            </w:r>
            <w:r w:rsidR="00FC2592">
              <w:rPr>
                <w:lang w:val="en-US"/>
              </w:rPr>
              <w:t xml:space="preserve">develop </w:t>
            </w:r>
            <w:r w:rsidR="00915F48">
              <w:rPr>
                <w:lang w:val="en-US"/>
              </w:rPr>
              <w:t xml:space="preserve">the </w:t>
            </w:r>
            <w:r w:rsidR="005D2592">
              <w:rPr>
                <w:lang w:val="en-US"/>
              </w:rPr>
              <w:t>remedial</w:t>
            </w:r>
            <w:r w:rsidR="006E12A5">
              <w:rPr>
                <w:lang w:val="en-US"/>
              </w:rPr>
              <w:t xml:space="preserve"> actions</w:t>
            </w:r>
            <w:r w:rsidR="00D40950">
              <w:rPr>
                <w:lang w:val="en-US"/>
              </w:rPr>
              <w:t xml:space="preserve"> </w:t>
            </w:r>
            <w:r w:rsidR="00B339D8">
              <w:rPr>
                <w:lang w:val="en-US"/>
              </w:rPr>
              <w:t xml:space="preserve">most </w:t>
            </w:r>
            <w:r w:rsidR="00C33BED">
              <w:rPr>
                <w:lang w:val="en-US"/>
              </w:rPr>
              <w:t>attuned to those circumstances</w:t>
            </w:r>
            <w:r w:rsidR="0077050D">
              <w:rPr>
                <w:lang w:val="en-US"/>
              </w:rPr>
              <w:t xml:space="preserve">. </w:t>
            </w:r>
            <w:r w:rsidR="00984042">
              <w:rPr>
                <w:lang w:val="en-US"/>
              </w:rPr>
              <w:t>Th</w:t>
            </w:r>
            <w:r w:rsidR="000B5932">
              <w:rPr>
                <w:lang w:val="en-US"/>
              </w:rPr>
              <w:t>ese</w:t>
            </w:r>
            <w:r w:rsidR="007A115A">
              <w:rPr>
                <w:lang w:val="en-US"/>
              </w:rPr>
              <w:t xml:space="preserve"> </w:t>
            </w:r>
            <w:r w:rsidR="0077050D">
              <w:rPr>
                <w:lang w:val="en-US"/>
              </w:rPr>
              <w:t xml:space="preserve">non-punitive </w:t>
            </w:r>
            <w:r w:rsidR="00C33BED">
              <w:rPr>
                <w:lang w:val="en-US"/>
              </w:rPr>
              <w:t xml:space="preserve">and </w:t>
            </w:r>
            <w:r w:rsidR="00250ADB">
              <w:rPr>
                <w:lang w:val="en-US"/>
              </w:rPr>
              <w:t>inquiry-based</w:t>
            </w:r>
            <w:r w:rsidR="00C33BED">
              <w:rPr>
                <w:lang w:val="en-US"/>
              </w:rPr>
              <w:t xml:space="preserve"> </w:t>
            </w:r>
            <w:r w:rsidR="000B5932">
              <w:rPr>
                <w:lang w:val="en-US"/>
              </w:rPr>
              <w:t>interactions</w:t>
            </w:r>
            <w:r w:rsidR="00B339D8">
              <w:rPr>
                <w:lang w:val="en-US"/>
              </w:rPr>
              <w:t xml:space="preserve"> are</w:t>
            </w:r>
            <w:r w:rsidR="0077050D">
              <w:rPr>
                <w:lang w:val="en-US"/>
              </w:rPr>
              <w:t xml:space="preserve"> </w:t>
            </w:r>
            <w:r w:rsidR="009A03EC">
              <w:rPr>
                <w:lang w:val="en-US"/>
              </w:rPr>
              <w:t>preferred</w:t>
            </w:r>
            <w:r w:rsidR="000A542B">
              <w:rPr>
                <w:lang w:val="en-US"/>
              </w:rPr>
              <w:t xml:space="preserve"> because </w:t>
            </w:r>
            <w:r w:rsidR="00352E3C">
              <w:rPr>
                <w:lang w:val="en-US"/>
              </w:rPr>
              <w:t>they</w:t>
            </w:r>
            <w:r w:rsidR="00AE6AA1">
              <w:rPr>
                <w:lang w:val="en-US"/>
              </w:rPr>
              <w:t xml:space="preserve"> </w:t>
            </w:r>
            <w:r w:rsidR="002276D0">
              <w:rPr>
                <w:lang w:val="en-US"/>
              </w:rPr>
              <w:t xml:space="preserve">are </w:t>
            </w:r>
            <w:r w:rsidR="00AE6AA1">
              <w:rPr>
                <w:lang w:val="en-US"/>
              </w:rPr>
              <w:t xml:space="preserve">more effective in </w:t>
            </w:r>
            <w:r w:rsidR="00B501FD">
              <w:rPr>
                <w:lang w:val="en-US"/>
              </w:rPr>
              <w:t xml:space="preserve">eliciting </w:t>
            </w:r>
            <w:r w:rsidR="00232B80">
              <w:rPr>
                <w:lang w:val="en-US"/>
              </w:rPr>
              <w:t xml:space="preserve">a </w:t>
            </w:r>
            <w:r w:rsidR="00B501FD">
              <w:rPr>
                <w:lang w:val="en-US"/>
              </w:rPr>
              <w:t xml:space="preserve">positive </w:t>
            </w:r>
            <w:r w:rsidR="00232B80">
              <w:rPr>
                <w:lang w:val="en-US"/>
              </w:rPr>
              <w:t xml:space="preserve">and </w:t>
            </w:r>
            <w:r w:rsidR="00E9566A">
              <w:rPr>
                <w:lang w:val="en-US"/>
              </w:rPr>
              <w:t>prompt</w:t>
            </w:r>
            <w:r w:rsidR="00232B80">
              <w:rPr>
                <w:lang w:val="en-US"/>
              </w:rPr>
              <w:t xml:space="preserve"> response</w:t>
            </w:r>
            <w:r w:rsidR="008150F8">
              <w:rPr>
                <w:lang w:val="en-US"/>
              </w:rPr>
              <w:t xml:space="preserve"> </w:t>
            </w:r>
            <w:r w:rsidR="00220113">
              <w:rPr>
                <w:lang w:val="en-US"/>
              </w:rPr>
              <w:t xml:space="preserve">from </w:t>
            </w:r>
            <w:r w:rsidR="009F2079">
              <w:rPr>
                <w:lang w:val="en-US"/>
              </w:rPr>
              <w:t>a service</w:t>
            </w:r>
            <w:r w:rsidR="00897DCE">
              <w:rPr>
                <w:lang w:val="en-US"/>
              </w:rPr>
              <w:t xml:space="preserve"> while </w:t>
            </w:r>
            <w:r w:rsidR="00B76D1B">
              <w:rPr>
                <w:lang w:val="en-US"/>
              </w:rPr>
              <w:t>avoiding the legally onerous</w:t>
            </w:r>
            <w:r w:rsidR="001B4E02">
              <w:rPr>
                <w:lang w:val="en-US"/>
              </w:rPr>
              <w:t xml:space="preserve"> and time-consuming</w:t>
            </w:r>
            <w:r w:rsidR="00B76D1B">
              <w:rPr>
                <w:lang w:val="en-US"/>
              </w:rPr>
              <w:t xml:space="preserve"> </w:t>
            </w:r>
            <w:r w:rsidR="009F2079">
              <w:rPr>
                <w:lang w:val="en-US"/>
              </w:rPr>
              <w:t xml:space="preserve">pathway </w:t>
            </w:r>
            <w:r w:rsidR="00724420">
              <w:rPr>
                <w:lang w:val="en-US"/>
              </w:rPr>
              <w:t>of a formal investigation</w:t>
            </w:r>
            <w:r w:rsidR="322FEE12" w:rsidRPr="00654A59">
              <w:rPr>
                <w:lang w:val="en-US"/>
              </w:rPr>
              <w:t xml:space="preserve">. </w:t>
            </w:r>
          </w:p>
          <w:p w14:paraId="7545BA6D" w14:textId="31A10CE6" w:rsidR="001A6EF9" w:rsidRPr="003112BE" w:rsidRDefault="322FEE12" w:rsidP="005A49FE">
            <w:pPr>
              <w:pStyle w:val="Body"/>
              <w:rPr>
                <w:i/>
                <w:iCs/>
              </w:rPr>
            </w:pPr>
            <w:r w:rsidRPr="003112BE">
              <w:rPr>
                <w:i/>
                <w:iCs/>
                <w:lang w:val="en-US"/>
              </w:rPr>
              <w:t xml:space="preserve">Clinical reviews </w:t>
            </w:r>
          </w:p>
          <w:p w14:paraId="4596BFAC" w14:textId="156A5909" w:rsidR="001A6EF9" w:rsidRPr="00654A59" w:rsidRDefault="00B52C96" w:rsidP="005A49FE">
            <w:pPr>
              <w:pStyle w:val="Body"/>
            </w:pPr>
            <w:r>
              <w:rPr>
                <w:lang w:val="en-US"/>
              </w:rPr>
              <w:t>T</w:t>
            </w:r>
            <w:r w:rsidR="322FEE12" w:rsidRPr="00654A59">
              <w:rPr>
                <w:lang w:val="en-US"/>
              </w:rPr>
              <w:t xml:space="preserve">he </w:t>
            </w:r>
            <w:r w:rsidR="00876A9E">
              <w:rPr>
                <w:lang w:val="en-US"/>
              </w:rPr>
              <w:t xml:space="preserve">Act </w:t>
            </w:r>
            <w:r>
              <w:rPr>
                <w:lang w:val="en-US"/>
              </w:rPr>
              <w:t>also</w:t>
            </w:r>
            <w:r w:rsidR="322FEE12" w:rsidRPr="00654A59">
              <w:rPr>
                <w:lang w:val="en-US"/>
              </w:rPr>
              <w:t xml:space="preserve"> </w:t>
            </w:r>
            <w:r>
              <w:rPr>
                <w:lang w:val="en-US"/>
              </w:rPr>
              <w:t>gives</w:t>
            </w:r>
            <w:r w:rsidR="322FEE12" w:rsidRPr="00654A59">
              <w:rPr>
                <w:lang w:val="en-US"/>
              </w:rPr>
              <w:t xml:space="preserve"> the Chief Psychiatrist</w:t>
            </w:r>
            <w:r>
              <w:rPr>
                <w:lang w:val="en-US"/>
              </w:rPr>
              <w:t xml:space="preserve"> authority</w:t>
            </w:r>
            <w:r w:rsidR="322FEE12" w:rsidRPr="00654A59">
              <w:rPr>
                <w:lang w:val="en-US"/>
              </w:rPr>
              <w:t xml:space="preserve"> to conduct clinical reviews. The purpose of a clinical review is to identify processes and procedures that </w:t>
            </w:r>
            <w:r w:rsidR="002622C1">
              <w:rPr>
                <w:lang w:val="en-US"/>
              </w:rPr>
              <w:t>must</w:t>
            </w:r>
            <w:r w:rsidR="322FEE12" w:rsidRPr="00654A59">
              <w:rPr>
                <w:lang w:val="en-US"/>
              </w:rPr>
              <w:t xml:space="preserve"> be changed to improve quality and safety </w:t>
            </w:r>
            <w:r w:rsidR="00186A27">
              <w:rPr>
                <w:lang w:val="en-US"/>
              </w:rPr>
              <w:t>in a service</w:t>
            </w:r>
            <w:r w:rsidR="322FEE12" w:rsidRPr="00654A59">
              <w:rPr>
                <w:lang w:val="en-US"/>
              </w:rPr>
              <w:t xml:space="preserve">. </w:t>
            </w:r>
            <w:r w:rsidR="00C07257">
              <w:rPr>
                <w:lang w:val="en-US"/>
              </w:rPr>
              <w:t>The</w:t>
            </w:r>
            <w:r w:rsidR="322FEE12" w:rsidRPr="00654A59">
              <w:rPr>
                <w:lang w:val="en-US"/>
              </w:rPr>
              <w:t xml:space="preserve"> Chief Psychiatrist </w:t>
            </w:r>
            <w:r w:rsidR="00C07257">
              <w:rPr>
                <w:lang w:val="en-US"/>
              </w:rPr>
              <w:t>has</w:t>
            </w:r>
            <w:r w:rsidR="00735FC5">
              <w:rPr>
                <w:lang w:val="en-US"/>
              </w:rPr>
              <w:t xml:space="preserve"> broad</w:t>
            </w:r>
            <w:r w:rsidR="00C07257">
              <w:rPr>
                <w:lang w:val="en-US"/>
              </w:rPr>
              <w:t xml:space="preserve"> </w:t>
            </w:r>
            <w:r w:rsidR="00735FC5">
              <w:rPr>
                <w:lang w:val="en-US"/>
              </w:rPr>
              <w:t>discretion to choose the</w:t>
            </w:r>
            <w:r w:rsidR="322FEE12" w:rsidRPr="00654A59">
              <w:rPr>
                <w:lang w:val="en-US"/>
              </w:rPr>
              <w:t xml:space="preserve"> parameters and process for conducting clinical reviews</w:t>
            </w:r>
            <w:r w:rsidR="00ED6D8D">
              <w:rPr>
                <w:lang w:val="en-US"/>
              </w:rPr>
              <w:t>, w</w:t>
            </w:r>
            <w:r w:rsidR="322FEE12" w:rsidRPr="00654A59">
              <w:rPr>
                <w:lang w:val="en-US"/>
              </w:rPr>
              <w:t xml:space="preserve">hich can </w:t>
            </w:r>
            <w:r w:rsidR="00E4679F">
              <w:rPr>
                <w:lang w:val="en-US"/>
              </w:rPr>
              <w:t>focus</w:t>
            </w:r>
            <w:r w:rsidR="322FEE12" w:rsidRPr="00654A59">
              <w:rPr>
                <w:lang w:val="en-US"/>
              </w:rPr>
              <w:t xml:space="preserve"> any aspect of mental health </w:t>
            </w:r>
            <w:r w:rsidR="001133D4">
              <w:rPr>
                <w:lang w:val="en-US"/>
              </w:rPr>
              <w:t xml:space="preserve">treatment and care </w:t>
            </w:r>
            <w:r w:rsidR="00186A27">
              <w:rPr>
                <w:lang w:val="en-US"/>
              </w:rPr>
              <w:t xml:space="preserve">that </w:t>
            </w:r>
            <w:r w:rsidR="00A621CC">
              <w:rPr>
                <w:lang w:val="en-US"/>
              </w:rPr>
              <w:t>a service provides.</w:t>
            </w:r>
            <w:r w:rsidR="322FEE12" w:rsidRPr="00654A59">
              <w:rPr>
                <w:lang w:val="en-US"/>
              </w:rPr>
              <w:t xml:space="preserve"> While an investigation is typically conducted reactively </w:t>
            </w:r>
            <w:r w:rsidR="005F3949">
              <w:rPr>
                <w:lang w:val="en-US"/>
              </w:rPr>
              <w:t xml:space="preserve">– that is, </w:t>
            </w:r>
            <w:r w:rsidR="322FEE12" w:rsidRPr="00654A59">
              <w:rPr>
                <w:lang w:val="en-US"/>
              </w:rPr>
              <w:t>in response to a particular incident</w:t>
            </w:r>
            <w:r w:rsidR="005F3949">
              <w:rPr>
                <w:lang w:val="en-US"/>
              </w:rPr>
              <w:t xml:space="preserve"> – a </w:t>
            </w:r>
            <w:r w:rsidR="322FEE12" w:rsidRPr="00654A59">
              <w:rPr>
                <w:lang w:val="en-US"/>
              </w:rPr>
              <w:t xml:space="preserve">clinical review is intended to </w:t>
            </w:r>
            <w:r w:rsidR="005F3949">
              <w:rPr>
                <w:lang w:val="en-US"/>
              </w:rPr>
              <w:t xml:space="preserve">be used </w:t>
            </w:r>
            <w:r w:rsidR="322FEE12" w:rsidRPr="00654A59">
              <w:rPr>
                <w:lang w:val="en-US"/>
              </w:rPr>
              <w:t xml:space="preserve">proactively to assist a service </w:t>
            </w:r>
            <w:r w:rsidR="001135B6">
              <w:rPr>
                <w:lang w:val="en-US"/>
              </w:rPr>
              <w:t>with</w:t>
            </w:r>
            <w:r w:rsidR="322FEE12" w:rsidRPr="00654A59">
              <w:rPr>
                <w:lang w:val="en-US"/>
              </w:rPr>
              <w:t xml:space="preserve"> identify</w:t>
            </w:r>
            <w:r w:rsidR="001135B6">
              <w:rPr>
                <w:lang w:val="en-US"/>
              </w:rPr>
              <w:t>ing</w:t>
            </w:r>
            <w:r w:rsidR="322FEE12" w:rsidRPr="00654A59">
              <w:rPr>
                <w:lang w:val="en-US"/>
              </w:rPr>
              <w:t xml:space="preserve"> processes and practices </w:t>
            </w:r>
            <w:r w:rsidR="001135B6">
              <w:rPr>
                <w:lang w:val="en-US"/>
              </w:rPr>
              <w:t xml:space="preserve">that </w:t>
            </w:r>
            <w:r w:rsidR="322FEE12" w:rsidRPr="00654A59">
              <w:rPr>
                <w:lang w:val="en-US"/>
              </w:rPr>
              <w:t>improv</w:t>
            </w:r>
            <w:r w:rsidR="001135B6">
              <w:rPr>
                <w:lang w:val="en-US"/>
              </w:rPr>
              <w:t>e</w:t>
            </w:r>
            <w:r w:rsidR="322FEE12" w:rsidRPr="00654A59">
              <w:rPr>
                <w:lang w:val="en-US"/>
              </w:rPr>
              <w:t xml:space="preserve"> quality and safety.</w:t>
            </w:r>
          </w:p>
          <w:p w14:paraId="0038CAC8" w14:textId="233B4BA8" w:rsidR="001A6EF9" w:rsidRPr="003112BE" w:rsidRDefault="322FEE12" w:rsidP="005A49FE">
            <w:pPr>
              <w:pStyle w:val="Body"/>
              <w:rPr>
                <w:i/>
                <w:iCs/>
              </w:rPr>
            </w:pPr>
            <w:r w:rsidRPr="003112BE">
              <w:rPr>
                <w:i/>
                <w:iCs/>
                <w:lang w:val="en-US"/>
              </w:rPr>
              <w:t xml:space="preserve">Clinical practice audits </w:t>
            </w:r>
          </w:p>
          <w:p w14:paraId="3C188A3D" w14:textId="3488197C" w:rsidR="001A6EF9" w:rsidRPr="00654A59" w:rsidRDefault="00833E35" w:rsidP="005A49FE">
            <w:pPr>
              <w:pStyle w:val="Body"/>
            </w:pPr>
            <w:r>
              <w:rPr>
                <w:lang w:val="en-US"/>
              </w:rPr>
              <w:t>T</w:t>
            </w:r>
            <w:r w:rsidR="322FEE12" w:rsidRPr="00654A59">
              <w:rPr>
                <w:lang w:val="en-US"/>
              </w:rPr>
              <w:t xml:space="preserve">he </w:t>
            </w:r>
            <w:r w:rsidR="00876A9E">
              <w:rPr>
                <w:lang w:val="en-US"/>
              </w:rPr>
              <w:t>Act</w:t>
            </w:r>
            <w:r w:rsidR="00876A9E" w:rsidRPr="00654A59">
              <w:rPr>
                <w:lang w:val="en-US"/>
              </w:rPr>
              <w:t xml:space="preserve"> </w:t>
            </w:r>
            <w:r>
              <w:rPr>
                <w:lang w:val="en-US"/>
              </w:rPr>
              <w:t xml:space="preserve">also </w:t>
            </w:r>
            <w:r w:rsidR="322FEE12" w:rsidRPr="00654A59">
              <w:rPr>
                <w:lang w:val="en-US"/>
              </w:rPr>
              <w:t>allows the Chief Psychiatrist</w:t>
            </w:r>
            <w:r w:rsidR="007F3071">
              <w:rPr>
                <w:lang w:val="en-US"/>
              </w:rPr>
              <w:t xml:space="preserve"> </w:t>
            </w:r>
            <w:r w:rsidR="322FEE12" w:rsidRPr="00654A59">
              <w:rPr>
                <w:lang w:val="en-US"/>
              </w:rPr>
              <w:t xml:space="preserve">to conduct a clinical practice audit. </w:t>
            </w:r>
            <w:r w:rsidR="007F3935">
              <w:rPr>
                <w:lang w:val="en-US"/>
              </w:rPr>
              <w:t>Such a</w:t>
            </w:r>
            <w:r w:rsidR="322FEE12" w:rsidRPr="00654A59">
              <w:rPr>
                <w:lang w:val="en-US"/>
              </w:rPr>
              <w:t>udit</w:t>
            </w:r>
            <w:r w:rsidR="007F3935">
              <w:rPr>
                <w:lang w:val="en-US"/>
              </w:rPr>
              <w:t>s</w:t>
            </w:r>
            <w:r w:rsidR="322FEE12" w:rsidRPr="00654A59">
              <w:rPr>
                <w:lang w:val="en-US"/>
              </w:rPr>
              <w:t xml:space="preserve"> </w:t>
            </w:r>
            <w:r w:rsidR="00FF239E">
              <w:rPr>
                <w:lang w:val="en-US"/>
              </w:rPr>
              <w:t xml:space="preserve">can be initiated either </w:t>
            </w:r>
            <w:r w:rsidR="00FF239E" w:rsidRPr="00654A59">
              <w:rPr>
                <w:lang w:val="en-US"/>
              </w:rPr>
              <w:t>at t</w:t>
            </w:r>
            <w:r w:rsidR="00FF239E">
              <w:rPr>
                <w:lang w:val="en-US"/>
              </w:rPr>
              <w:t>he Chief Psychiatrist’s</w:t>
            </w:r>
            <w:r w:rsidR="00FF239E" w:rsidRPr="00654A59">
              <w:rPr>
                <w:lang w:val="en-US"/>
              </w:rPr>
              <w:t xml:space="preserve"> own initiative or at the request of the Secretary</w:t>
            </w:r>
            <w:r w:rsidR="00A621CC">
              <w:rPr>
                <w:lang w:val="en-US"/>
              </w:rPr>
              <w:t>. They</w:t>
            </w:r>
            <w:r w:rsidR="00FF239E">
              <w:rPr>
                <w:lang w:val="en-US"/>
              </w:rPr>
              <w:t xml:space="preserve"> are </w:t>
            </w:r>
            <w:r w:rsidR="0056430A">
              <w:rPr>
                <w:lang w:val="en-US"/>
              </w:rPr>
              <w:t xml:space="preserve">carried </w:t>
            </w:r>
            <w:r w:rsidR="00F34A99">
              <w:rPr>
                <w:lang w:val="en-US"/>
              </w:rPr>
              <w:t>out</w:t>
            </w:r>
            <w:r w:rsidR="007F3935">
              <w:rPr>
                <w:lang w:val="en-US"/>
              </w:rPr>
              <w:t xml:space="preserve"> </w:t>
            </w:r>
            <w:r w:rsidR="00821CD3">
              <w:rPr>
                <w:lang w:val="en-US"/>
              </w:rPr>
              <w:t xml:space="preserve">to </w:t>
            </w:r>
            <w:r w:rsidR="322FEE12" w:rsidRPr="00654A59">
              <w:rPr>
                <w:lang w:val="en-US"/>
              </w:rPr>
              <w:t xml:space="preserve">identify systemic issues or trends that need to be addressed </w:t>
            </w:r>
            <w:proofErr w:type="gramStart"/>
            <w:r w:rsidR="00FF239E">
              <w:rPr>
                <w:lang w:val="en-US"/>
              </w:rPr>
              <w:t xml:space="preserve">in order </w:t>
            </w:r>
            <w:r w:rsidR="322FEE12" w:rsidRPr="00654A59">
              <w:rPr>
                <w:lang w:val="en-US"/>
              </w:rPr>
              <w:t>to</w:t>
            </w:r>
            <w:proofErr w:type="gramEnd"/>
            <w:r w:rsidR="322FEE12" w:rsidRPr="00654A59">
              <w:rPr>
                <w:lang w:val="en-US"/>
              </w:rPr>
              <w:t xml:space="preserve"> improve quality and safety</w:t>
            </w:r>
            <w:r w:rsidR="00F34A99">
              <w:rPr>
                <w:lang w:val="en-US"/>
              </w:rPr>
              <w:t xml:space="preserve"> in mental health services</w:t>
            </w:r>
            <w:r w:rsidR="322FEE12" w:rsidRPr="00654A59">
              <w:rPr>
                <w:lang w:val="en-US"/>
              </w:rPr>
              <w:t xml:space="preserve">. Clinical practice audits </w:t>
            </w:r>
            <w:r w:rsidR="00A621CC">
              <w:rPr>
                <w:lang w:val="en-US"/>
              </w:rPr>
              <w:t xml:space="preserve">mostly </w:t>
            </w:r>
            <w:r w:rsidR="322FEE12" w:rsidRPr="00654A59">
              <w:rPr>
                <w:lang w:val="en-US"/>
              </w:rPr>
              <w:t xml:space="preserve">involve </w:t>
            </w:r>
            <w:proofErr w:type="spellStart"/>
            <w:r w:rsidR="322FEE12" w:rsidRPr="00654A59">
              <w:rPr>
                <w:lang w:val="en-US"/>
              </w:rPr>
              <w:t>analysi</w:t>
            </w:r>
            <w:r w:rsidR="00A621CC">
              <w:rPr>
                <w:lang w:val="en-US"/>
              </w:rPr>
              <w:t>ng</w:t>
            </w:r>
            <w:proofErr w:type="spellEnd"/>
            <w:r w:rsidR="322FEE12" w:rsidRPr="00654A59">
              <w:rPr>
                <w:lang w:val="en-US"/>
              </w:rPr>
              <w:t xml:space="preserve"> data</w:t>
            </w:r>
            <w:r w:rsidR="007768CF">
              <w:rPr>
                <w:lang w:val="en-US"/>
              </w:rPr>
              <w:t xml:space="preserve"> </w:t>
            </w:r>
            <w:r w:rsidR="00A621CC">
              <w:rPr>
                <w:lang w:val="en-US"/>
              </w:rPr>
              <w:t xml:space="preserve">on </w:t>
            </w:r>
            <w:r w:rsidR="00B759A5">
              <w:rPr>
                <w:lang w:val="en-US"/>
              </w:rPr>
              <w:t xml:space="preserve">rates of specific </w:t>
            </w:r>
            <w:r w:rsidR="00DB3B14">
              <w:rPr>
                <w:lang w:val="en-US"/>
              </w:rPr>
              <w:t>treatments</w:t>
            </w:r>
            <w:r w:rsidR="002C643F">
              <w:rPr>
                <w:lang w:val="en-US"/>
              </w:rPr>
              <w:t xml:space="preserve"> and incidents across Victoria</w:t>
            </w:r>
            <w:r w:rsidR="322FEE12" w:rsidRPr="00654A59">
              <w:rPr>
                <w:lang w:val="en-US"/>
              </w:rPr>
              <w:t xml:space="preserve">. </w:t>
            </w:r>
            <w:r w:rsidR="00C4151D">
              <w:rPr>
                <w:lang w:val="en-US"/>
              </w:rPr>
              <w:t>Like clinical reviews, c</w:t>
            </w:r>
            <w:r w:rsidR="322FEE12" w:rsidRPr="00654A59">
              <w:rPr>
                <w:lang w:val="en-US"/>
              </w:rPr>
              <w:t xml:space="preserve">linical practice audits also </w:t>
            </w:r>
            <w:r w:rsidR="00A621CC">
              <w:rPr>
                <w:lang w:val="en-US"/>
              </w:rPr>
              <w:t xml:space="preserve">aim </w:t>
            </w:r>
            <w:r w:rsidR="00131C84">
              <w:rPr>
                <w:lang w:val="en-US"/>
              </w:rPr>
              <w:t xml:space="preserve">to be used </w:t>
            </w:r>
            <w:r w:rsidR="322FEE12" w:rsidRPr="00654A59">
              <w:rPr>
                <w:lang w:val="en-US"/>
              </w:rPr>
              <w:t xml:space="preserve">proactively </w:t>
            </w:r>
            <w:r w:rsidR="00131C84">
              <w:rPr>
                <w:lang w:val="en-US"/>
              </w:rPr>
              <w:t xml:space="preserve">to </w:t>
            </w:r>
            <w:r w:rsidR="322FEE12" w:rsidRPr="00654A59">
              <w:rPr>
                <w:lang w:val="en-US"/>
              </w:rPr>
              <w:t>improv</w:t>
            </w:r>
            <w:r w:rsidR="00046A4F">
              <w:rPr>
                <w:lang w:val="en-US"/>
              </w:rPr>
              <w:t>e</w:t>
            </w:r>
            <w:r w:rsidR="322FEE12" w:rsidRPr="00654A59">
              <w:rPr>
                <w:lang w:val="en-US"/>
              </w:rPr>
              <w:t xml:space="preserve"> quality and safety. </w:t>
            </w:r>
          </w:p>
          <w:p w14:paraId="63F650F4" w14:textId="77777777" w:rsidR="003112BE" w:rsidRDefault="003112BE" w:rsidP="005A49FE">
            <w:pPr>
              <w:pStyle w:val="Body"/>
              <w:rPr>
                <w:i/>
                <w:iCs/>
                <w:lang w:val="en-US"/>
              </w:rPr>
            </w:pPr>
          </w:p>
          <w:p w14:paraId="0DF4F144" w14:textId="297AB81F" w:rsidR="001A6EF9" w:rsidRPr="003112BE" w:rsidRDefault="322FEE12" w:rsidP="005A49FE">
            <w:pPr>
              <w:pStyle w:val="Body"/>
              <w:rPr>
                <w:i/>
                <w:iCs/>
              </w:rPr>
            </w:pPr>
            <w:r w:rsidRPr="003112BE">
              <w:rPr>
                <w:i/>
                <w:iCs/>
                <w:lang w:val="en-US"/>
              </w:rPr>
              <w:lastRenderedPageBreak/>
              <w:t xml:space="preserve">Site visits </w:t>
            </w:r>
          </w:p>
          <w:p w14:paraId="1DBE85C2" w14:textId="399F3642" w:rsidR="001A6EF9" w:rsidRPr="00F50976" w:rsidRDefault="322FEE12" w:rsidP="00F50976">
            <w:pPr>
              <w:pStyle w:val="Body"/>
              <w:rPr>
                <w:rStyle w:val="normaltextrun"/>
              </w:rPr>
            </w:pPr>
            <w:r w:rsidRPr="00654A59">
              <w:rPr>
                <w:lang w:val="en-US"/>
              </w:rPr>
              <w:t>Informal site visits are a</w:t>
            </w:r>
            <w:r w:rsidR="00131C84">
              <w:rPr>
                <w:lang w:val="en-US"/>
              </w:rPr>
              <w:t xml:space="preserve">nother effective way that </w:t>
            </w:r>
            <w:r w:rsidRPr="00654A59">
              <w:rPr>
                <w:lang w:val="en-US"/>
              </w:rPr>
              <w:t xml:space="preserve">the Chief Psychiatrist </w:t>
            </w:r>
            <w:r w:rsidR="008D7C46">
              <w:rPr>
                <w:lang w:val="en-US"/>
              </w:rPr>
              <w:t>proactively promote</w:t>
            </w:r>
            <w:r w:rsidR="0028093F">
              <w:rPr>
                <w:lang w:val="en-US"/>
              </w:rPr>
              <w:t>s</w:t>
            </w:r>
            <w:r w:rsidR="008D7C46">
              <w:rPr>
                <w:lang w:val="en-US"/>
              </w:rPr>
              <w:t xml:space="preserve"> quality and safety</w:t>
            </w:r>
            <w:r w:rsidR="00150813">
              <w:rPr>
                <w:lang w:val="en-US"/>
              </w:rPr>
              <w:t xml:space="preserve">. </w:t>
            </w:r>
            <w:r w:rsidR="007715D7">
              <w:rPr>
                <w:lang w:val="en-US"/>
              </w:rPr>
              <w:t xml:space="preserve">Through such visits, the Chief Psychiatrist </w:t>
            </w:r>
            <w:r w:rsidR="00B22C9E">
              <w:rPr>
                <w:lang w:val="en-US"/>
              </w:rPr>
              <w:t>helps</w:t>
            </w:r>
            <w:r w:rsidRPr="00654A59">
              <w:rPr>
                <w:lang w:val="en-US"/>
              </w:rPr>
              <w:t xml:space="preserve"> services</w:t>
            </w:r>
            <w:r w:rsidR="00AD3EFC">
              <w:rPr>
                <w:lang w:val="en-US"/>
              </w:rPr>
              <w:t xml:space="preserve"> detect</w:t>
            </w:r>
            <w:r w:rsidRPr="00654A59">
              <w:rPr>
                <w:lang w:val="en-US"/>
              </w:rPr>
              <w:t xml:space="preserve"> </w:t>
            </w:r>
            <w:r w:rsidR="00131C84">
              <w:rPr>
                <w:lang w:val="en-US"/>
              </w:rPr>
              <w:t xml:space="preserve">and </w:t>
            </w:r>
            <w:r w:rsidR="00AD3EFC">
              <w:rPr>
                <w:lang w:val="en-US"/>
              </w:rPr>
              <w:t>rectify</w:t>
            </w:r>
            <w:r w:rsidRPr="00654A59">
              <w:rPr>
                <w:lang w:val="en-US"/>
              </w:rPr>
              <w:t xml:space="preserve"> </w:t>
            </w:r>
            <w:r w:rsidR="002F2481">
              <w:rPr>
                <w:lang w:val="en-US"/>
              </w:rPr>
              <w:t>issues</w:t>
            </w:r>
            <w:r w:rsidR="007715D7">
              <w:rPr>
                <w:lang w:val="en-US"/>
              </w:rPr>
              <w:t xml:space="preserve"> </w:t>
            </w:r>
            <w:r w:rsidR="002B3889">
              <w:rPr>
                <w:lang w:val="en-US"/>
              </w:rPr>
              <w:t>at</w:t>
            </w:r>
            <w:r w:rsidR="007715D7">
              <w:rPr>
                <w:lang w:val="en-US"/>
              </w:rPr>
              <w:t xml:space="preserve"> their</w:t>
            </w:r>
            <w:r w:rsidR="0028093F">
              <w:rPr>
                <w:lang w:val="en-US"/>
              </w:rPr>
              <w:t xml:space="preserve"> early stages</w:t>
            </w:r>
            <w:r w:rsidR="00E76906">
              <w:rPr>
                <w:lang w:val="en-US"/>
              </w:rPr>
              <w:t xml:space="preserve">. </w:t>
            </w:r>
            <w:r w:rsidR="00CB2E6C">
              <w:rPr>
                <w:lang w:val="en-US"/>
              </w:rPr>
              <w:t>Site visits</w:t>
            </w:r>
            <w:r w:rsidR="00E76906">
              <w:rPr>
                <w:lang w:val="en-US"/>
              </w:rPr>
              <w:t xml:space="preserve"> are also a means for positive reinforcement</w:t>
            </w:r>
            <w:r w:rsidR="00CB2E6C">
              <w:rPr>
                <w:lang w:val="en-US"/>
              </w:rPr>
              <w:t xml:space="preserve">, whereby </w:t>
            </w:r>
            <w:r w:rsidR="00C0210B">
              <w:rPr>
                <w:lang w:val="en-US"/>
              </w:rPr>
              <w:t>exemplary practice by a service</w:t>
            </w:r>
            <w:r w:rsidR="00EA08C9">
              <w:rPr>
                <w:lang w:val="en-US"/>
              </w:rPr>
              <w:t xml:space="preserve"> is acknowledged and </w:t>
            </w:r>
            <w:r w:rsidR="00DA3605">
              <w:rPr>
                <w:lang w:val="en-US"/>
              </w:rPr>
              <w:t xml:space="preserve">further </w:t>
            </w:r>
            <w:r w:rsidR="00EA08C9">
              <w:rPr>
                <w:lang w:val="en-US"/>
              </w:rPr>
              <w:t>encouraged</w:t>
            </w:r>
            <w:r w:rsidRPr="00654A59">
              <w:rPr>
                <w:lang w:val="en-US"/>
              </w:rPr>
              <w:t>.</w:t>
            </w:r>
          </w:p>
        </w:tc>
      </w:tr>
    </w:tbl>
    <w:p w14:paraId="5A411D04" w14:textId="77777777" w:rsidR="00DF564B" w:rsidRDefault="00DF564B" w:rsidP="009A5423">
      <w:pPr>
        <w:pStyle w:val="Body"/>
        <w:rPr>
          <w:color w:val="004EA8"/>
          <w:sz w:val="44"/>
          <w:szCs w:val="44"/>
        </w:rPr>
      </w:pPr>
      <w:bookmarkStart w:id="26" w:name="_Toc52886239"/>
      <w:r>
        <w:lastRenderedPageBreak/>
        <w:br w:type="page"/>
      </w:r>
    </w:p>
    <w:p w14:paraId="4DAF748C" w14:textId="38381317" w:rsidR="00381B2F" w:rsidRPr="00371C0A" w:rsidRDefault="00381B2F" w:rsidP="00381B2F">
      <w:pPr>
        <w:pStyle w:val="Heading1"/>
        <w:rPr>
          <w:sz w:val="20"/>
          <w:szCs w:val="20"/>
        </w:rPr>
      </w:pPr>
      <w:bookmarkStart w:id="27" w:name="_Toc118293971"/>
      <w:r w:rsidRPr="00182DBC">
        <w:lastRenderedPageBreak/>
        <w:t>1</w:t>
      </w:r>
      <w:r w:rsidR="0049615B">
        <w:t>.</w:t>
      </w:r>
      <w:r w:rsidRPr="00182DBC">
        <w:t xml:space="preserve"> Statutory </w:t>
      </w:r>
      <w:r w:rsidR="00F06C75">
        <w:t>r</w:t>
      </w:r>
      <w:r w:rsidRPr="00182DBC">
        <w:t>eporting</w:t>
      </w:r>
      <w:bookmarkEnd w:id="26"/>
      <w:bookmarkEnd w:id="27"/>
    </w:p>
    <w:p w14:paraId="297B38E2" w14:textId="13D7DB4C" w:rsidR="00381B2F" w:rsidRPr="00EC49D8" w:rsidRDefault="00381B2F" w:rsidP="00563C62">
      <w:pPr>
        <w:pStyle w:val="Body"/>
        <w:rPr>
          <w:rFonts w:eastAsia="Arial" w:cs="Arial"/>
          <w:color w:val="000000" w:themeColor="text1"/>
        </w:rPr>
      </w:pPr>
      <w:r>
        <w:t xml:space="preserve">Under the </w:t>
      </w:r>
      <w:r w:rsidRPr="0003685A">
        <w:t>Mental Health Act</w:t>
      </w:r>
      <w:r>
        <w:t xml:space="preserve">, mental health services must report to the Chief Psychiatrist about their use of </w:t>
      </w:r>
      <w:r w:rsidR="00DB1CED">
        <w:t>E</w:t>
      </w:r>
      <w:r>
        <w:t>CT and restrictive interventions. They must also report the deaths of mental health consumers. The Chief Psychiatrist understands that the loss of a loved one or the use of restrictive practices</w:t>
      </w:r>
      <w:r w:rsidR="005A0956">
        <w:t xml:space="preserve"> has</w:t>
      </w:r>
      <w:r>
        <w:t xml:space="preserve"> impacts on people, their families and the workforce and is </w:t>
      </w:r>
      <w:r w:rsidR="374319EE" w:rsidRPr="00EC49D8">
        <w:rPr>
          <w:rFonts w:eastAsia="Arial" w:cs="Arial"/>
          <w:color w:val="000000" w:themeColor="text1"/>
        </w:rPr>
        <w:t>working with</w:t>
      </w:r>
      <w:r w:rsidR="0A7FB939" w:rsidRPr="00EC49D8">
        <w:rPr>
          <w:rFonts w:eastAsia="Arial" w:cs="Arial"/>
          <w:color w:val="000000" w:themeColor="text1"/>
        </w:rPr>
        <w:t xml:space="preserve"> services to improve consumers’ physical wellbeing and minimise the use of restrictive practices.</w:t>
      </w:r>
    </w:p>
    <w:p w14:paraId="7952D87B" w14:textId="372BA9AB" w:rsidR="3266B38D" w:rsidRDefault="3266B38D" w:rsidP="00563C62">
      <w:pPr>
        <w:pStyle w:val="Body"/>
      </w:pPr>
      <w:r w:rsidRPr="00EC49D8">
        <w:t xml:space="preserve">Data collected by the Chief Psychiatrist offer the opportunity to monitor trends, identify issues and support improvements to quality and safety within clinical services. This section of the report provides data and analysis </w:t>
      </w:r>
      <w:bookmarkStart w:id="28" w:name="_Hlk82767354"/>
      <w:r w:rsidR="00920F37">
        <w:t>for</w:t>
      </w:r>
      <w:r w:rsidR="00920F37" w:rsidRPr="00EC49D8">
        <w:t xml:space="preserve"> </w:t>
      </w:r>
      <w:r w:rsidRPr="00EC49D8">
        <w:t xml:space="preserve">ECT, restrictive interventions and consumers’ deaths </w:t>
      </w:r>
      <w:bookmarkEnd w:id="28"/>
      <w:r w:rsidR="00920F37">
        <w:t>in</w:t>
      </w:r>
      <w:r w:rsidRPr="00EC49D8">
        <w:t xml:space="preserve"> 20</w:t>
      </w:r>
      <w:r w:rsidR="00613598">
        <w:t>2</w:t>
      </w:r>
      <w:r w:rsidR="00933185">
        <w:t>1</w:t>
      </w:r>
      <w:r w:rsidRPr="00EC49D8">
        <w:t>–2</w:t>
      </w:r>
      <w:r w:rsidR="00933185">
        <w:t>2</w:t>
      </w:r>
      <w:r w:rsidRPr="00EC49D8">
        <w:t>.</w:t>
      </w:r>
    </w:p>
    <w:p w14:paraId="45235E71" w14:textId="1EF15B5B" w:rsidR="00033301" w:rsidRDefault="00617164" w:rsidP="00563C62">
      <w:pPr>
        <w:pStyle w:val="Body"/>
      </w:pPr>
      <w:r>
        <w:t xml:space="preserve">The </w:t>
      </w:r>
      <w:r w:rsidR="006013F0">
        <w:t xml:space="preserve">data </w:t>
      </w:r>
      <w:r w:rsidR="00B573E4">
        <w:t>in this section</w:t>
      </w:r>
      <w:r w:rsidR="00736250">
        <w:t xml:space="preserve"> </w:t>
      </w:r>
      <w:r w:rsidR="00042503">
        <w:t>is grouped</w:t>
      </w:r>
      <w:r w:rsidR="00E933FC">
        <w:t xml:space="preserve"> </w:t>
      </w:r>
      <w:r w:rsidR="00E933FC" w:rsidRPr="00EC2812">
        <w:rPr>
          <w:i/>
          <w:iCs/>
        </w:rPr>
        <w:t>female</w:t>
      </w:r>
      <w:r w:rsidR="00E933FC">
        <w:t xml:space="preserve"> and </w:t>
      </w:r>
      <w:r w:rsidR="00E933FC" w:rsidRPr="00EC2812">
        <w:rPr>
          <w:i/>
          <w:iCs/>
        </w:rPr>
        <w:t>male</w:t>
      </w:r>
      <w:r w:rsidR="00E933FC">
        <w:t xml:space="preserve">. </w:t>
      </w:r>
      <w:r w:rsidR="00E62729">
        <w:t>T</w:t>
      </w:r>
      <w:r w:rsidR="00272F9A">
        <w:t xml:space="preserve">he </w:t>
      </w:r>
      <w:r w:rsidR="00E62729">
        <w:t>OCP</w:t>
      </w:r>
      <w:r w:rsidR="001501ED">
        <w:t xml:space="preserve"> acknowledge</w:t>
      </w:r>
      <w:r w:rsidR="00AD4311">
        <w:t>s</w:t>
      </w:r>
      <w:r w:rsidR="001501ED">
        <w:t xml:space="preserve"> that</w:t>
      </w:r>
      <w:r w:rsidR="00272F9A">
        <w:t xml:space="preserve"> </w:t>
      </w:r>
      <w:r w:rsidR="00AD4311">
        <w:t>some</w:t>
      </w:r>
      <w:r w:rsidR="001E000C">
        <w:t xml:space="preserve"> </w:t>
      </w:r>
      <w:r w:rsidR="001501ED">
        <w:t>people</w:t>
      </w:r>
      <w:r w:rsidR="001E000C">
        <w:t xml:space="preserve"> </w:t>
      </w:r>
      <w:r w:rsidR="001501ED">
        <w:t xml:space="preserve">express their </w:t>
      </w:r>
      <w:r w:rsidR="005112BA">
        <w:t xml:space="preserve">gender in ways that do not correspond with </w:t>
      </w:r>
      <w:r w:rsidR="0075166E">
        <w:t>the</w:t>
      </w:r>
      <w:r w:rsidR="00503EA2">
        <w:t>se</w:t>
      </w:r>
      <w:r w:rsidR="004D4154">
        <w:t xml:space="preserve"> </w:t>
      </w:r>
      <w:r w:rsidR="002F0E43">
        <w:t xml:space="preserve">binary </w:t>
      </w:r>
      <w:r w:rsidR="004D4154">
        <w:t>differences</w:t>
      </w:r>
      <w:r w:rsidR="005112BA">
        <w:t xml:space="preserve">. </w:t>
      </w:r>
      <w:r w:rsidR="00F95BCD">
        <w:t xml:space="preserve">This includes people who </w:t>
      </w:r>
      <w:r w:rsidR="00FC0384">
        <w:t>are gender non-binary, gender queer, agender or gender fluid</w:t>
      </w:r>
      <w:r w:rsidR="001B0934">
        <w:t>/diverse</w:t>
      </w:r>
      <w:r w:rsidR="002E63ED">
        <w:t xml:space="preserve">. </w:t>
      </w:r>
      <w:r w:rsidR="007767A1">
        <w:t xml:space="preserve">The OCP data systems are </w:t>
      </w:r>
      <w:r w:rsidR="00033301">
        <w:t>operating under</w:t>
      </w:r>
      <w:r w:rsidR="00B6028D">
        <w:t xml:space="preserve"> historical and current data</w:t>
      </w:r>
      <w:r w:rsidR="002510D3">
        <w:t>-</w:t>
      </w:r>
      <w:r w:rsidR="00B6028D">
        <w:t>gathering methods, wh</w:t>
      </w:r>
      <w:r w:rsidR="001D3A39">
        <w:t xml:space="preserve">ich </w:t>
      </w:r>
      <w:r w:rsidR="0042798C">
        <w:t xml:space="preserve">typically </w:t>
      </w:r>
      <w:r w:rsidR="001D3A39">
        <w:t>group</w:t>
      </w:r>
      <w:r w:rsidR="00B6028D">
        <w:t xml:space="preserve"> </w:t>
      </w:r>
      <w:r w:rsidR="00CC0B35">
        <w:t xml:space="preserve">data </w:t>
      </w:r>
      <w:r w:rsidR="00872012">
        <w:t>according to</w:t>
      </w:r>
      <w:r w:rsidR="00F22CC3">
        <w:t xml:space="preserve"> categories</w:t>
      </w:r>
      <w:r w:rsidR="00BE6A70">
        <w:t xml:space="preserve"> of biological sex</w:t>
      </w:r>
      <w:r w:rsidR="00413593">
        <w:t xml:space="preserve">. The </w:t>
      </w:r>
      <w:r w:rsidR="00E62729">
        <w:t>OCP</w:t>
      </w:r>
      <w:r w:rsidR="00413593">
        <w:t xml:space="preserve"> acknowledges th</w:t>
      </w:r>
      <w:r w:rsidR="009F56E1">
        <w:t>at th</w:t>
      </w:r>
      <w:r w:rsidR="00CC7252">
        <w:t xml:space="preserve">is binary approach does not provide a full picture of </w:t>
      </w:r>
      <w:r w:rsidR="00C91B49">
        <w:t>the experiences of consumers</w:t>
      </w:r>
      <w:r w:rsidR="005911AB">
        <w:t xml:space="preserve"> and</w:t>
      </w:r>
      <w:r w:rsidR="00C91B49">
        <w:t xml:space="preserve"> </w:t>
      </w:r>
      <w:r w:rsidR="00D93E4E">
        <w:t xml:space="preserve">is currently working towards adopting a more </w:t>
      </w:r>
      <w:r w:rsidR="00E7277E">
        <w:t>inclusive</w:t>
      </w:r>
      <w:r w:rsidR="00D93E4E">
        <w:t xml:space="preserve"> approach that better captures </w:t>
      </w:r>
      <w:r w:rsidR="0007442C">
        <w:t xml:space="preserve">the </w:t>
      </w:r>
      <w:r w:rsidR="00E549B7">
        <w:t xml:space="preserve">diverse ways people </w:t>
      </w:r>
      <w:r w:rsidR="00E7277E">
        <w:t xml:space="preserve">express </w:t>
      </w:r>
      <w:r w:rsidR="00E549B7">
        <w:t>their gender</w:t>
      </w:r>
      <w:r w:rsidR="00D93E4E">
        <w:t>.</w:t>
      </w:r>
    </w:p>
    <w:p w14:paraId="12633735" w14:textId="7AF81093" w:rsidR="00381B2F" w:rsidRDefault="00381B2F" w:rsidP="00381B2F">
      <w:pPr>
        <w:pStyle w:val="Heading2"/>
        <w:rPr>
          <w:rFonts w:ascii="Calibri" w:eastAsia="Calibri" w:hAnsi="Calibri"/>
          <w:b w:val="0"/>
          <w:color w:val="auto"/>
          <w:sz w:val="22"/>
          <w:szCs w:val="22"/>
          <w:highlight w:val="magenta"/>
        </w:rPr>
      </w:pPr>
      <w:bookmarkStart w:id="29" w:name="_Toc52886240"/>
      <w:bookmarkStart w:id="30" w:name="_Toc118293972"/>
      <w:r>
        <w:t>Electroconvulsive treatment</w:t>
      </w:r>
      <w:bookmarkEnd w:id="29"/>
      <w:bookmarkEnd w:id="30"/>
    </w:p>
    <w:p w14:paraId="1E6C5A93" w14:textId="2118D05A" w:rsidR="00381B2F" w:rsidRDefault="00381B2F" w:rsidP="00563C62">
      <w:pPr>
        <w:pStyle w:val="Body"/>
      </w:pPr>
      <w:r w:rsidRPr="00A809FE">
        <w:t>The Chief Psychiatrist and the Mental Health Tribunal oversee ECT. Services must inform the Chief Psychiatrist of each treatment, stipulating the type of treatment and the reason for its use.</w:t>
      </w:r>
      <w:r w:rsidR="0057779F">
        <w:t xml:space="preserve"> </w:t>
      </w:r>
    </w:p>
    <w:p w14:paraId="3DDB76B2" w14:textId="4A932605" w:rsidR="00381B2F" w:rsidRPr="00D026E5" w:rsidRDefault="00381B2F" w:rsidP="00381B2F">
      <w:pPr>
        <w:pStyle w:val="Heading3"/>
        <w:rPr>
          <w:sz w:val="22"/>
          <w:szCs w:val="22"/>
        </w:rPr>
      </w:pPr>
      <w:bookmarkStart w:id="31" w:name="_Toc52886241"/>
      <w:r w:rsidRPr="33B77389">
        <w:t>Electroconvulsive treatment in public mental health services</w:t>
      </w:r>
      <w:bookmarkEnd w:id="31"/>
    </w:p>
    <w:p w14:paraId="62F03045" w14:textId="04934295" w:rsidR="006B3F7E" w:rsidRDefault="00381B2F" w:rsidP="00587D98">
      <w:pPr>
        <w:pStyle w:val="Body"/>
        <w:rPr>
          <w:rFonts w:eastAsia="Arial"/>
          <w:b/>
        </w:rPr>
      </w:pPr>
      <w:r w:rsidRPr="00A809FE">
        <w:t xml:space="preserve">In </w:t>
      </w:r>
      <w:r w:rsidR="002233A8" w:rsidRPr="00A809FE">
        <w:t>20</w:t>
      </w:r>
      <w:r w:rsidR="002233A8">
        <w:t>2</w:t>
      </w:r>
      <w:r w:rsidR="007C103E">
        <w:t>1</w:t>
      </w:r>
      <w:r w:rsidR="002233A8">
        <w:t>–2</w:t>
      </w:r>
      <w:r w:rsidR="007C103E">
        <w:t>2</w:t>
      </w:r>
      <w:r w:rsidR="00272AC2">
        <w:t>,</w:t>
      </w:r>
      <w:r w:rsidRPr="00A809FE">
        <w:t xml:space="preserve"> </w:t>
      </w:r>
      <w:r w:rsidR="007C103E">
        <w:t>881</w:t>
      </w:r>
      <w:r w:rsidRPr="00A809FE">
        <w:t xml:space="preserve"> people received ECT</w:t>
      </w:r>
      <w:r w:rsidR="00EB7F4C">
        <w:t xml:space="preserve"> (Table </w:t>
      </w:r>
      <w:r w:rsidR="00C85E9E">
        <w:t>4</w:t>
      </w:r>
      <w:r w:rsidR="00280C7F">
        <w:t>)</w:t>
      </w:r>
      <w:r w:rsidRPr="00A809FE">
        <w:t xml:space="preserve">. </w:t>
      </w:r>
      <w:r w:rsidR="00D37BD5" w:rsidRPr="00D37BD5">
        <w:t>With a total of 11,</w:t>
      </w:r>
      <w:r w:rsidR="00AE03CB">
        <w:t>751</w:t>
      </w:r>
      <w:r w:rsidR="00D37BD5" w:rsidRPr="00D37BD5">
        <w:t xml:space="preserve"> ECT treatments delivered that year, the rate of treatments delivered per person was 13.</w:t>
      </w:r>
      <w:r w:rsidR="0092120B">
        <w:t>3</w:t>
      </w:r>
      <w:r w:rsidR="00D37BD5" w:rsidRPr="00D37BD5">
        <w:t>.</w:t>
      </w:r>
    </w:p>
    <w:p w14:paraId="75665635" w14:textId="6DF93C74" w:rsidR="00381B2F" w:rsidRPr="00A809FE" w:rsidRDefault="00381B2F" w:rsidP="000D0B9B">
      <w:pPr>
        <w:pStyle w:val="Tablecaption"/>
      </w:pPr>
      <w:r w:rsidRPr="00E9A183">
        <w:rPr>
          <w:rFonts w:eastAsia="Arial"/>
        </w:rPr>
        <w:t xml:space="preserve">Table </w:t>
      </w:r>
      <w:r w:rsidR="00C85E9E">
        <w:rPr>
          <w:rFonts w:eastAsia="Arial"/>
        </w:rPr>
        <w:t>4</w:t>
      </w:r>
      <w:r w:rsidRPr="00E9A183">
        <w:rPr>
          <w:rFonts w:eastAsia="Arial"/>
          <w:iCs/>
        </w:rPr>
        <w:t>:</w:t>
      </w:r>
      <w:r w:rsidRPr="00E9A183">
        <w:rPr>
          <w:rFonts w:eastAsia="Arial"/>
        </w:rPr>
        <w:t xml:space="preserve"> Number of treatments and people treated by ECT</w:t>
      </w:r>
      <w:r w:rsidR="00D437C5">
        <w:rPr>
          <w:rFonts w:eastAsia="Arial"/>
        </w:rPr>
        <w:t xml:space="preserve"> in public hospitals</w:t>
      </w:r>
      <w:r w:rsidRPr="00E9A183">
        <w:rPr>
          <w:rFonts w:eastAsia="Arial"/>
        </w:rPr>
        <w:t>, 201</w:t>
      </w:r>
      <w:r w:rsidR="00877E62">
        <w:rPr>
          <w:rFonts w:eastAsia="Arial"/>
        </w:rPr>
        <w:t>7</w:t>
      </w:r>
      <w:r w:rsidR="0012686C">
        <w:rPr>
          <w:rFonts w:eastAsia="Arial"/>
        </w:rPr>
        <w:t>–1</w:t>
      </w:r>
      <w:r w:rsidR="00877E62">
        <w:rPr>
          <w:rFonts w:eastAsia="Arial"/>
        </w:rPr>
        <w:t>8</w:t>
      </w:r>
      <w:r w:rsidRPr="00E9A183">
        <w:rPr>
          <w:rFonts w:eastAsia="Arial"/>
        </w:rPr>
        <w:t xml:space="preserve"> to 20</w:t>
      </w:r>
      <w:r w:rsidR="00E8354D">
        <w:rPr>
          <w:rFonts w:eastAsia="Arial"/>
        </w:rPr>
        <w:t>2</w:t>
      </w:r>
      <w:r w:rsidR="009C046D">
        <w:rPr>
          <w:rFonts w:eastAsia="Arial"/>
        </w:rPr>
        <w:t>1</w:t>
      </w:r>
      <w:r w:rsidR="0012686C">
        <w:rPr>
          <w:rFonts w:eastAsia="Arial"/>
        </w:rPr>
        <w:t>–</w:t>
      </w:r>
      <w:r w:rsidRPr="002D796E">
        <w:rPr>
          <w:rFonts w:eastAsia="Arial"/>
        </w:rPr>
        <w:t>2</w:t>
      </w:r>
      <w:r w:rsidR="009C046D">
        <w:rPr>
          <w:rFonts w:eastAsia="Arial"/>
        </w:rPr>
        <w:t>2</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065"/>
        <w:gridCol w:w="1223"/>
        <w:gridCol w:w="1223"/>
        <w:gridCol w:w="1223"/>
        <w:gridCol w:w="1223"/>
        <w:gridCol w:w="1224"/>
      </w:tblGrid>
      <w:tr w:rsidR="00333B31" w:rsidRPr="00E60608" w14:paraId="54040192" w14:textId="102B08FB" w:rsidTr="00587D98">
        <w:trPr>
          <w:trHeight w:val="501"/>
          <w:tblHeader/>
        </w:trPr>
        <w:tc>
          <w:tcPr>
            <w:tcW w:w="3065" w:type="dxa"/>
            <w:shd w:val="clear" w:color="auto" w:fill="auto"/>
            <w:hideMark/>
          </w:tcPr>
          <w:p w14:paraId="73BA19FE" w14:textId="58E87F77" w:rsidR="00333B31" w:rsidRPr="00E60608" w:rsidRDefault="00333B31" w:rsidP="000D0B9B">
            <w:pPr>
              <w:pStyle w:val="Tablecolhead"/>
              <w:rPr>
                <w:lang w:eastAsia="en-AU"/>
              </w:rPr>
            </w:pPr>
            <w:r>
              <w:rPr>
                <w:lang w:eastAsia="en-AU"/>
              </w:rPr>
              <w:t>Measure</w:t>
            </w:r>
          </w:p>
        </w:tc>
        <w:tc>
          <w:tcPr>
            <w:tcW w:w="1223" w:type="dxa"/>
            <w:shd w:val="clear" w:color="auto" w:fill="auto"/>
            <w:vAlign w:val="center"/>
            <w:hideMark/>
          </w:tcPr>
          <w:p w14:paraId="77A4A1D3" w14:textId="016B2DC3" w:rsidR="00333B31" w:rsidRPr="00E60608" w:rsidRDefault="00983459" w:rsidP="00A44E02">
            <w:pPr>
              <w:pStyle w:val="Tablecolhead"/>
              <w:jc w:val="center"/>
              <w:rPr>
                <w:lang w:eastAsia="en-AU"/>
              </w:rPr>
            </w:pPr>
            <w:r w:rsidRPr="009C6AE2">
              <w:t>2017</w:t>
            </w:r>
            <w:r w:rsidR="00920F37">
              <w:t>–</w:t>
            </w:r>
            <w:r w:rsidRPr="009C6AE2">
              <w:t>18</w:t>
            </w:r>
          </w:p>
        </w:tc>
        <w:tc>
          <w:tcPr>
            <w:tcW w:w="1223" w:type="dxa"/>
            <w:shd w:val="clear" w:color="auto" w:fill="auto"/>
            <w:vAlign w:val="center"/>
            <w:hideMark/>
          </w:tcPr>
          <w:p w14:paraId="01E11EC8" w14:textId="07C74EC3" w:rsidR="00333B31" w:rsidRPr="00E60608" w:rsidRDefault="00983459" w:rsidP="00A44E02">
            <w:pPr>
              <w:pStyle w:val="Tablecolhead"/>
              <w:jc w:val="center"/>
              <w:rPr>
                <w:lang w:eastAsia="en-AU"/>
              </w:rPr>
            </w:pPr>
            <w:r w:rsidRPr="009C6AE2">
              <w:t>2018</w:t>
            </w:r>
            <w:r w:rsidR="00920F37">
              <w:t>–</w:t>
            </w:r>
            <w:r w:rsidRPr="009C6AE2">
              <w:t>19</w:t>
            </w:r>
          </w:p>
        </w:tc>
        <w:tc>
          <w:tcPr>
            <w:tcW w:w="1223" w:type="dxa"/>
            <w:shd w:val="clear" w:color="auto" w:fill="auto"/>
            <w:vAlign w:val="center"/>
            <w:hideMark/>
          </w:tcPr>
          <w:p w14:paraId="34668D56" w14:textId="042535CF" w:rsidR="00333B31" w:rsidRPr="00E60608" w:rsidRDefault="00983459" w:rsidP="00A44E02">
            <w:pPr>
              <w:pStyle w:val="Tablecolhead"/>
              <w:jc w:val="center"/>
              <w:rPr>
                <w:lang w:eastAsia="en-AU"/>
              </w:rPr>
            </w:pPr>
            <w:r w:rsidRPr="009C6AE2">
              <w:t>2019</w:t>
            </w:r>
            <w:r w:rsidR="00920F37">
              <w:t>–</w:t>
            </w:r>
            <w:r w:rsidRPr="009C6AE2">
              <w:t>20</w:t>
            </w:r>
          </w:p>
        </w:tc>
        <w:tc>
          <w:tcPr>
            <w:tcW w:w="1223" w:type="dxa"/>
            <w:shd w:val="clear" w:color="auto" w:fill="auto"/>
            <w:vAlign w:val="center"/>
            <w:hideMark/>
          </w:tcPr>
          <w:p w14:paraId="5D48FC4D" w14:textId="228DF033" w:rsidR="00333B31" w:rsidRPr="00E60608" w:rsidRDefault="00983459" w:rsidP="00A44E02">
            <w:pPr>
              <w:pStyle w:val="Tablecolhead"/>
              <w:jc w:val="center"/>
              <w:rPr>
                <w:lang w:eastAsia="en-AU"/>
              </w:rPr>
            </w:pPr>
            <w:r w:rsidRPr="009C6AE2">
              <w:t>2020</w:t>
            </w:r>
            <w:r w:rsidR="00920F37">
              <w:t>–</w:t>
            </w:r>
            <w:r w:rsidRPr="009C6AE2">
              <w:t>21</w:t>
            </w:r>
          </w:p>
        </w:tc>
        <w:tc>
          <w:tcPr>
            <w:tcW w:w="1224" w:type="dxa"/>
            <w:vAlign w:val="center"/>
          </w:tcPr>
          <w:p w14:paraId="5E0434E9" w14:textId="3A4493E1" w:rsidR="00333B31" w:rsidRPr="00E60608" w:rsidRDefault="00983459" w:rsidP="00A44E02">
            <w:pPr>
              <w:pStyle w:val="Tablecolhead"/>
              <w:jc w:val="center"/>
            </w:pPr>
            <w:r w:rsidRPr="009C6AE2">
              <w:t>2021</w:t>
            </w:r>
            <w:r w:rsidR="00920F37">
              <w:t>–</w:t>
            </w:r>
            <w:r w:rsidRPr="009C6AE2">
              <w:t>22</w:t>
            </w:r>
          </w:p>
        </w:tc>
      </w:tr>
      <w:tr w:rsidR="00FE564D" w:rsidRPr="00E60608" w14:paraId="479B749B" w14:textId="657E4598" w:rsidTr="00587D98">
        <w:trPr>
          <w:trHeight w:val="334"/>
        </w:trPr>
        <w:tc>
          <w:tcPr>
            <w:tcW w:w="3065" w:type="dxa"/>
            <w:shd w:val="clear" w:color="auto" w:fill="auto"/>
            <w:hideMark/>
          </w:tcPr>
          <w:p w14:paraId="5F29A964" w14:textId="2EF368C8" w:rsidR="00FE564D" w:rsidRPr="00892ED8" w:rsidRDefault="00FE564D" w:rsidP="000D0B9B">
            <w:pPr>
              <w:pStyle w:val="Tabletext"/>
              <w:rPr>
                <w:lang w:eastAsia="en-AU"/>
              </w:rPr>
            </w:pPr>
            <w:r w:rsidRPr="009C6AE2">
              <w:t>Number of ECT treatments</w:t>
            </w:r>
          </w:p>
        </w:tc>
        <w:tc>
          <w:tcPr>
            <w:tcW w:w="1223" w:type="dxa"/>
            <w:shd w:val="clear" w:color="auto" w:fill="auto"/>
            <w:vAlign w:val="center"/>
          </w:tcPr>
          <w:p w14:paraId="2AC7203F" w14:textId="7E84C0F6" w:rsidR="00FE564D" w:rsidRPr="00E60608" w:rsidRDefault="00983459" w:rsidP="00A44E02">
            <w:pPr>
              <w:pStyle w:val="Tabletext"/>
              <w:jc w:val="center"/>
              <w:rPr>
                <w:lang w:eastAsia="en-AU"/>
              </w:rPr>
            </w:pPr>
            <w:r w:rsidRPr="009C6AE2">
              <w:t>13,292</w:t>
            </w:r>
          </w:p>
        </w:tc>
        <w:tc>
          <w:tcPr>
            <w:tcW w:w="1223" w:type="dxa"/>
            <w:shd w:val="clear" w:color="auto" w:fill="auto"/>
            <w:vAlign w:val="center"/>
          </w:tcPr>
          <w:p w14:paraId="342CD453" w14:textId="7CAF48D9" w:rsidR="00FE564D" w:rsidRPr="00E60608" w:rsidRDefault="00983459" w:rsidP="00A44E02">
            <w:pPr>
              <w:pStyle w:val="Tabletext"/>
              <w:jc w:val="center"/>
              <w:rPr>
                <w:lang w:eastAsia="en-AU"/>
              </w:rPr>
            </w:pPr>
            <w:r w:rsidRPr="009C6AE2">
              <w:t>12,991</w:t>
            </w:r>
          </w:p>
        </w:tc>
        <w:tc>
          <w:tcPr>
            <w:tcW w:w="1223" w:type="dxa"/>
            <w:shd w:val="clear" w:color="auto" w:fill="auto"/>
            <w:vAlign w:val="center"/>
          </w:tcPr>
          <w:p w14:paraId="36DA39E9" w14:textId="3F964131" w:rsidR="00FE564D" w:rsidRPr="00E60608" w:rsidRDefault="00FE564D" w:rsidP="00A44E02">
            <w:pPr>
              <w:pStyle w:val="Tabletext"/>
              <w:jc w:val="center"/>
              <w:rPr>
                <w:lang w:eastAsia="en-AU"/>
              </w:rPr>
            </w:pPr>
            <w:r>
              <w:t>12,</w:t>
            </w:r>
            <w:r w:rsidR="00983459" w:rsidRPr="009C6AE2">
              <w:t>107</w:t>
            </w:r>
          </w:p>
        </w:tc>
        <w:tc>
          <w:tcPr>
            <w:tcW w:w="1223" w:type="dxa"/>
            <w:shd w:val="clear" w:color="auto" w:fill="auto"/>
            <w:vAlign w:val="center"/>
          </w:tcPr>
          <w:p w14:paraId="6CEC7D9A" w14:textId="47F9DACE" w:rsidR="00FE564D" w:rsidRPr="00E60608" w:rsidRDefault="00983459" w:rsidP="00A44E02">
            <w:pPr>
              <w:pStyle w:val="Tabletext"/>
              <w:jc w:val="center"/>
              <w:rPr>
                <w:lang w:eastAsia="en-AU"/>
              </w:rPr>
            </w:pPr>
            <w:r w:rsidRPr="009C6AE2">
              <w:t>11,982</w:t>
            </w:r>
          </w:p>
        </w:tc>
        <w:tc>
          <w:tcPr>
            <w:tcW w:w="1224" w:type="dxa"/>
            <w:vAlign w:val="center"/>
          </w:tcPr>
          <w:p w14:paraId="3840BF3F" w14:textId="179C0A56" w:rsidR="00FE564D" w:rsidRDefault="00FE564D" w:rsidP="00A44E02">
            <w:pPr>
              <w:pStyle w:val="Tabletext"/>
              <w:jc w:val="center"/>
            </w:pPr>
            <w:r>
              <w:t>11,</w:t>
            </w:r>
            <w:r w:rsidR="00983459" w:rsidRPr="009C6AE2">
              <w:t>751</w:t>
            </w:r>
          </w:p>
        </w:tc>
      </w:tr>
      <w:tr w:rsidR="00FE564D" w:rsidRPr="00E60608" w14:paraId="570CAB7A" w14:textId="35609195" w:rsidTr="00587D98">
        <w:trPr>
          <w:trHeight w:val="334"/>
        </w:trPr>
        <w:tc>
          <w:tcPr>
            <w:tcW w:w="3065" w:type="dxa"/>
            <w:shd w:val="clear" w:color="auto" w:fill="auto"/>
            <w:hideMark/>
          </w:tcPr>
          <w:p w14:paraId="5721C538" w14:textId="716FEA18" w:rsidR="00FE564D" w:rsidRPr="00892ED8" w:rsidRDefault="00FE564D" w:rsidP="000D0B9B">
            <w:pPr>
              <w:pStyle w:val="Tabletext"/>
              <w:rPr>
                <w:lang w:eastAsia="en-AU"/>
              </w:rPr>
            </w:pPr>
            <w:r w:rsidRPr="009C6AE2">
              <w:t>Number of people receiving ECT</w:t>
            </w:r>
          </w:p>
        </w:tc>
        <w:tc>
          <w:tcPr>
            <w:tcW w:w="1223" w:type="dxa"/>
            <w:shd w:val="clear" w:color="auto" w:fill="auto"/>
            <w:vAlign w:val="center"/>
          </w:tcPr>
          <w:p w14:paraId="6C6CCA50" w14:textId="7E3A060A" w:rsidR="00FE564D" w:rsidRPr="00E60608" w:rsidRDefault="00FE564D" w:rsidP="00A44E02">
            <w:pPr>
              <w:pStyle w:val="Tabletext"/>
              <w:jc w:val="center"/>
              <w:rPr>
                <w:lang w:eastAsia="en-AU"/>
              </w:rPr>
            </w:pPr>
            <w:r>
              <w:t>1,</w:t>
            </w:r>
            <w:r w:rsidR="00983459" w:rsidRPr="009C6AE2">
              <w:t>031</w:t>
            </w:r>
          </w:p>
        </w:tc>
        <w:tc>
          <w:tcPr>
            <w:tcW w:w="1223" w:type="dxa"/>
            <w:shd w:val="clear" w:color="auto" w:fill="auto"/>
            <w:vAlign w:val="center"/>
          </w:tcPr>
          <w:p w14:paraId="249A4B30" w14:textId="01FCFFDB" w:rsidR="00FE564D" w:rsidRPr="00E60608" w:rsidRDefault="00983459" w:rsidP="00A44E02">
            <w:pPr>
              <w:pStyle w:val="Tabletext"/>
              <w:jc w:val="center"/>
              <w:rPr>
                <w:lang w:eastAsia="en-AU"/>
              </w:rPr>
            </w:pPr>
            <w:r w:rsidRPr="009C6AE2">
              <w:t>974</w:t>
            </w:r>
          </w:p>
        </w:tc>
        <w:tc>
          <w:tcPr>
            <w:tcW w:w="1223" w:type="dxa"/>
            <w:shd w:val="clear" w:color="auto" w:fill="auto"/>
            <w:vAlign w:val="center"/>
          </w:tcPr>
          <w:p w14:paraId="4E43281C" w14:textId="55061566" w:rsidR="00FE564D" w:rsidRPr="00E60608" w:rsidRDefault="00983459" w:rsidP="00A44E02">
            <w:pPr>
              <w:pStyle w:val="Tabletext"/>
              <w:jc w:val="center"/>
              <w:rPr>
                <w:lang w:eastAsia="en-AU"/>
              </w:rPr>
            </w:pPr>
            <w:r w:rsidRPr="009C6AE2">
              <w:t>893</w:t>
            </w:r>
          </w:p>
        </w:tc>
        <w:tc>
          <w:tcPr>
            <w:tcW w:w="1223" w:type="dxa"/>
            <w:shd w:val="clear" w:color="auto" w:fill="auto"/>
            <w:vAlign w:val="center"/>
          </w:tcPr>
          <w:p w14:paraId="01669271" w14:textId="0F589039" w:rsidR="00FE564D" w:rsidRPr="00E60608" w:rsidRDefault="00983459" w:rsidP="00A44E02">
            <w:pPr>
              <w:pStyle w:val="Tabletext"/>
              <w:jc w:val="center"/>
              <w:rPr>
                <w:lang w:eastAsia="en-AU"/>
              </w:rPr>
            </w:pPr>
            <w:r w:rsidRPr="009C6AE2">
              <w:t>910</w:t>
            </w:r>
          </w:p>
        </w:tc>
        <w:tc>
          <w:tcPr>
            <w:tcW w:w="1224" w:type="dxa"/>
            <w:vAlign w:val="center"/>
          </w:tcPr>
          <w:p w14:paraId="54BDC6E3" w14:textId="7A22D85C" w:rsidR="00FE564D" w:rsidRDefault="00983459" w:rsidP="00A44E02">
            <w:pPr>
              <w:pStyle w:val="Tabletext"/>
              <w:jc w:val="center"/>
            </w:pPr>
            <w:r w:rsidRPr="009C6AE2">
              <w:t>881</w:t>
            </w:r>
          </w:p>
        </w:tc>
      </w:tr>
    </w:tbl>
    <w:p w14:paraId="4B067B9C" w14:textId="10A57054" w:rsidR="00381B2F" w:rsidRPr="00A809FE" w:rsidRDefault="00381B2F" w:rsidP="00643556">
      <w:pPr>
        <w:pStyle w:val="Bodyaftertable"/>
      </w:pPr>
      <w:r>
        <w:t xml:space="preserve">While the numbers of treatments administered vary from year to year, </w:t>
      </w:r>
      <w:r w:rsidR="005315DD">
        <w:t>some of the variation</w:t>
      </w:r>
      <w:r>
        <w:t xml:space="preserve"> </w:t>
      </w:r>
      <w:r w:rsidR="002F6358">
        <w:t>from 20</w:t>
      </w:r>
      <w:r w:rsidR="00E43980">
        <w:t>18–19 t</w:t>
      </w:r>
      <w:r w:rsidR="003A3954">
        <w:t xml:space="preserve">o </w:t>
      </w:r>
      <w:r w:rsidR="002F6358">
        <w:t>202</w:t>
      </w:r>
      <w:r w:rsidR="00812DDF">
        <w:t>1</w:t>
      </w:r>
      <w:r w:rsidR="002F6358">
        <w:t>–2</w:t>
      </w:r>
      <w:r w:rsidR="00812DDF">
        <w:t>2</w:t>
      </w:r>
      <w:r>
        <w:t xml:space="preserve"> m</w:t>
      </w:r>
      <w:r w:rsidR="76DF34D0">
        <w:t>ay</w:t>
      </w:r>
      <w:r>
        <w:t xml:space="preserve"> reflect changes in practice due to COVI</w:t>
      </w:r>
      <w:r w:rsidR="00892ED8">
        <w:t>D-19</w:t>
      </w:r>
      <w:r>
        <w:t xml:space="preserve">. To reduce the risk of infection, some outpatient treatments (which account for about half of the total) </w:t>
      </w:r>
      <w:r w:rsidR="4C21E09C">
        <w:t>were</w:t>
      </w:r>
      <w:r>
        <w:t xml:space="preserve"> postponed</w:t>
      </w:r>
      <w:r w:rsidR="005A0956">
        <w:t>,</w:t>
      </w:r>
      <w:r>
        <w:t xml:space="preserve"> and access to theatre was sometimes constrained. One consequence of this regrettable but necessary move to contain viral transmission </w:t>
      </w:r>
      <w:r w:rsidR="00606416">
        <w:t xml:space="preserve">during the COVID-19 pandemic </w:t>
      </w:r>
      <w:r>
        <w:t>might be a prolonged recovery for some mental health consumers or a greater vulnerability to relapse in others.</w:t>
      </w:r>
      <w:r w:rsidR="0057779F">
        <w:t xml:space="preserve"> </w:t>
      </w:r>
    </w:p>
    <w:p w14:paraId="52C0FC04" w14:textId="515E6D14" w:rsidR="00381B2F" w:rsidRDefault="00381B2F" w:rsidP="00563C62">
      <w:pPr>
        <w:pStyle w:val="Body"/>
      </w:pPr>
      <w:r w:rsidRPr="00A809FE">
        <w:t xml:space="preserve">Mood disorders accounted for </w:t>
      </w:r>
      <w:r w:rsidR="003C3A4C">
        <w:t>6</w:t>
      </w:r>
      <w:r w:rsidR="00C052FC">
        <w:t>0</w:t>
      </w:r>
      <w:r w:rsidR="003C3A4C">
        <w:t xml:space="preserve"> per cent </w:t>
      </w:r>
      <w:r w:rsidRPr="00A809FE">
        <w:t>of treatments in 20</w:t>
      </w:r>
      <w:r w:rsidR="00BB18EE">
        <w:t>2</w:t>
      </w:r>
      <w:r w:rsidR="00C052FC">
        <w:t>1</w:t>
      </w:r>
      <w:r w:rsidRPr="00A809FE">
        <w:t>–</w:t>
      </w:r>
      <w:r w:rsidR="00BB18EE">
        <w:t>2</w:t>
      </w:r>
      <w:r w:rsidR="00C052FC">
        <w:t>2</w:t>
      </w:r>
      <w:r w:rsidRPr="00A809FE">
        <w:t xml:space="preserve">, followed by schizophrenia and other psychoses </w:t>
      </w:r>
      <w:r w:rsidRPr="004074FA">
        <w:t xml:space="preserve">(Table </w:t>
      </w:r>
      <w:r w:rsidR="00C85E9E">
        <w:t>5</w:t>
      </w:r>
      <w:r w:rsidRPr="004074FA">
        <w:t>).</w:t>
      </w:r>
    </w:p>
    <w:p w14:paraId="50911851" w14:textId="05FA7543" w:rsidR="00381B2F" w:rsidRPr="00A809FE" w:rsidRDefault="00381B2F" w:rsidP="000D0B9B">
      <w:pPr>
        <w:pStyle w:val="Tablecaption"/>
      </w:pPr>
      <w:r w:rsidRPr="00E9A183">
        <w:rPr>
          <w:rFonts w:eastAsia="Arial"/>
        </w:rPr>
        <w:lastRenderedPageBreak/>
        <w:t xml:space="preserve">Table </w:t>
      </w:r>
      <w:r w:rsidR="00C85E9E">
        <w:rPr>
          <w:rFonts w:eastAsia="Arial"/>
        </w:rPr>
        <w:t>5</w:t>
      </w:r>
      <w:r w:rsidRPr="00E9A183">
        <w:rPr>
          <w:rFonts w:eastAsia="Arial"/>
          <w:iCs/>
        </w:rPr>
        <w:t>:</w:t>
      </w:r>
      <w:r w:rsidRPr="00E9A183">
        <w:rPr>
          <w:rFonts w:eastAsia="Arial"/>
        </w:rPr>
        <w:t xml:space="preserve"> Number of ECT treatments</w:t>
      </w:r>
      <w:r w:rsidR="00D437C5">
        <w:rPr>
          <w:rFonts w:eastAsia="Arial"/>
        </w:rPr>
        <w:t xml:space="preserve"> in a public hospital</w:t>
      </w:r>
      <w:r w:rsidR="005A0956">
        <w:rPr>
          <w:rFonts w:eastAsia="Arial"/>
        </w:rPr>
        <w:t>,</w:t>
      </w:r>
      <w:r w:rsidRPr="00E9A183">
        <w:rPr>
          <w:rFonts w:eastAsia="Arial"/>
        </w:rPr>
        <w:t xml:space="preserve"> by diagnosis, 201</w:t>
      </w:r>
      <w:r w:rsidR="00195489">
        <w:rPr>
          <w:rFonts w:eastAsia="Arial"/>
        </w:rPr>
        <w:t>7</w:t>
      </w:r>
      <w:r w:rsidR="0012686C">
        <w:rPr>
          <w:rFonts w:eastAsia="Arial"/>
        </w:rPr>
        <w:t>–1</w:t>
      </w:r>
      <w:r w:rsidR="00195489">
        <w:rPr>
          <w:rFonts w:eastAsia="Arial"/>
        </w:rPr>
        <w:t>8</w:t>
      </w:r>
      <w:r w:rsidRPr="00E9A183">
        <w:rPr>
          <w:rFonts w:eastAsia="Arial"/>
        </w:rPr>
        <w:t xml:space="preserve"> to 20</w:t>
      </w:r>
      <w:r w:rsidR="00EB58AA">
        <w:rPr>
          <w:rFonts w:eastAsia="Arial"/>
        </w:rPr>
        <w:t>2</w:t>
      </w:r>
      <w:r w:rsidR="009C046D">
        <w:rPr>
          <w:rFonts w:eastAsia="Arial"/>
        </w:rPr>
        <w:t>1</w:t>
      </w:r>
      <w:r w:rsidR="0012686C" w:rsidRPr="00A03C87">
        <w:rPr>
          <w:rFonts w:eastAsia="Arial"/>
        </w:rPr>
        <w:t>–</w:t>
      </w:r>
      <w:r w:rsidRPr="00A03C87">
        <w:rPr>
          <w:rFonts w:eastAsia="Arial"/>
        </w:rPr>
        <w:t>2</w:t>
      </w:r>
      <w:r w:rsidR="009C046D">
        <w:rPr>
          <w:rFonts w:eastAsia="Arial"/>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033"/>
        <w:gridCol w:w="1236"/>
        <w:gridCol w:w="1236"/>
        <w:gridCol w:w="1236"/>
        <w:gridCol w:w="1236"/>
        <w:gridCol w:w="1236"/>
      </w:tblGrid>
      <w:tr w:rsidR="00FE564D" w:rsidRPr="00476060" w14:paraId="4072CA1E" w14:textId="747459A0" w:rsidTr="00587D98">
        <w:trPr>
          <w:trHeight w:val="450"/>
          <w:tblHeader/>
        </w:trPr>
        <w:tc>
          <w:tcPr>
            <w:tcW w:w="3033" w:type="dxa"/>
            <w:shd w:val="clear" w:color="auto" w:fill="auto"/>
            <w:hideMark/>
          </w:tcPr>
          <w:p w14:paraId="695EC6B9" w14:textId="75B18FCE" w:rsidR="00FE564D" w:rsidRPr="00014318" w:rsidRDefault="00FE564D" w:rsidP="00010A54">
            <w:pPr>
              <w:pStyle w:val="Tablecolhead"/>
              <w:rPr>
                <w:lang w:eastAsia="en-AU"/>
              </w:rPr>
            </w:pPr>
            <w:r>
              <w:rPr>
                <w:lang w:eastAsia="en-AU"/>
              </w:rPr>
              <w:t xml:space="preserve">Health </w:t>
            </w:r>
            <w:r w:rsidR="00300128">
              <w:rPr>
                <w:lang w:eastAsia="en-AU"/>
              </w:rPr>
              <w:t>conditions</w:t>
            </w:r>
          </w:p>
        </w:tc>
        <w:tc>
          <w:tcPr>
            <w:tcW w:w="1236" w:type="dxa"/>
            <w:shd w:val="clear" w:color="auto" w:fill="FFFFFF" w:themeFill="background1"/>
            <w:vAlign w:val="center"/>
            <w:hideMark/>
          </w:tcPr>
          <w:p w14:paraId="6CD673C9" w14:textId="73E9FB89" w:rsidR="00FE564D" w:rsidRPr="00014318" w:rsidRDefault="00300128" w:rsidP="00312856">
            <w:pPr>
              <w:pStyle w:val="Tablecolhead"/>
              <w:jc w:val="center"/>
              <w:rPr>
                <w:lang w:eastAsia="en-AU"/>
              </w:rPr>
            </w:pPr>
            <w:r w:rsidRPr="0032356D">
              <w:t>2017</w:t>
            </w:r>
            <w:r w:rsidR="00920F37">
              <w:t>–</w:t>
            </w:r>
            <w:r w:rsidRPr="0032356D">
              <w:t>18</w:t>
            </w:r>
          </w:p>
        </w:tc>
        <w:tc>
          <w:tcPr>
            <w:tcW w:w="1236" w:type="dxa"/>
            <w:shd w:val="clear" w:color="auto" w:fill="FFFFFF" w:themeFill="background1"/>
            <w:vAlign w:val="center"/>
            <w:hideMark/>
          </w:tcPr>
          <w:p w14:paraId="7A24E552" w14:textId="7263A25D" w:rsidR="00FE564D" w:rsidRPr="00014318" w:rsidRDefault="00300128" w:rsidP="00312856">
            <w:pPr>
              <w:pStyle w:val="Tablecolhead"/>
              <w:jc w:val="center"/>
              <w:rPr>
                <w:lang w:eastAsia="en-AU"/>
              </w:rPr>
            </w:pPr>
            <w:r w:rsidRPr="0032356D">
              <w:t>2018</w:t>
            </w:r>
            <w:r w:rsidR="00920F37">
              <w:t>–</w:t>
            </w:r>
            <w:r w:rsidRPr="0032356D">
              <w:t>19</w:t>
            </w:r>
          </w:p>
        </w:tc>
        <w:tc>
          <w:tcPr>
            <w:tcW w:w="1236" w:type="dxa"/>
            <w:shd w:val="clear" w:color="auto" w:fill="FFFFFF" w:themeFill="background1"/>
            <w:vAlign w:val="center"/>
            <w:hideMark/>
          </w:tcPr>
          <w:p w14:paraId="747E6C01" w14:textId="7358C3B1" w:rsidR="00FE564D" w:rsidRPr="00014318" w:rsidRDefault="00300128" w:rsidP="00312856">
            <w:pPr>
              <w:pStyle w:val="Tablecolhead"/>
              <w:jc w:val="center"/>
              <w:rPr>
                <w:lang w:eastAsia="en-AU"/>
              </w:rPr>
            </w:pPr>
            <w:r w:rsidRPr="0032356D">
              <w:t>2019</w:t>
            </w:r>
            <w:r w:rsidR="00920F37">
              <w:t>–</w:t>
            </w:r>
            <w:r w:rsidRPr="0032356D">
              <w:t>20</w:t>
            </w:r>
          </w:p>
        </w:tc>
        <w:tc>
          <w:tcPr>
            <w:tcW w:w="1236" w:type="dxa"/>
            <w:shd w:val="clear" w:color="auto" w:fill="FFFFFF" w:themeFill="background1"/>
            <w:vAlign w:val="center"/>
            <w:hideMark/>
          </w:tcPr>
          <w:p w14:paraId="31024DE3" w14:textId="2F584B86" w:rsidR="00FE564D" w:rsidRPr="00014318" w:rsidRDefault="00300128" w:rsidP="00312856">
            <w:pPr>
              <w:pStyle w:val="Tablecolhead"/>
              <w:jc w:val="center"/>
              <w:rPr>
                <w:lang w:eastAsia="en-AU"/>
              </w:rPr>
            </w:pPr>
            <w:r w:rsidRPr="0032356D">
              <w:t>2020</w:t>
            </w:r>
            <w:r w:rsidR="00920F37">
              <w:t>–</w:t>
            </w:r>
            <w:r w:rsidRPr="0032356D">
              <w:t>21</w:t>
            </w:r>
          </w:p>
        </w:tc>
        <w:tc>
          <w:tcPr>
            <w:tcW w:w="1236" w:type="dxa"/>
            <w:shd w:val="clear" w:color="auto" w:fill="FFFFFF" w:themeFill="background1"/>
            <w:vAlign w:val="center"/>
          </w:tcPr>
          <w:p w14:paraId="2E9F4CC8" w14:textId="69560EA5" w:rsidR="00FE564D" w:rsidRPr="00476060" w:rsidRDefault="00300128" w:rsidP="00312856">
            <w:pPr>
              <w:pStyle w:val="Tablecolhead"/>
              <w:jc w:val="center"/>
            </w:pPr>
            <w:r w:rsidRPr="0032356D">
              <w:t>2021</w:t>
            </w:r>
            <w:r w:rsidR="00920F37">
              <w:t>–</w:t>
            </w:r>
            <w:r w:rsidRPr="0032356D">
              <w:t>22</w:t>
            </w:r>
          </w:p>
        </w:tc>
      </w:tr>
      <w:tr w:rsidR="00A03C87" w:rsidRPr="00476060" w14:paraId="682E000F" w14:textId="05A32B3E" w:rsidTr="00587D98">
        <w:trPr>
          <w:trHeight w:val="306"/>
        </w:trPr>
        <w:tc>
          <w:tcPr>
            <w:tcW w:w="3033" w:type="dxa"/>
            <w:shd w:val="clear" w:color="auto" w:fill="auto"/>
            <w:hideMark/>
          </w:tcPr>
          <w:p w14:paraId="11BD625D" w14:textId="58316850" w:rsidR="00A03C87" w:rsidRPr="00014318" w:rsidRDefault="00300128" w:rsidP="000D0B9B">
            <w:pPr>
              <w:pStyle w:val="Tabletext"/>
              <w:rPr>
                <w:lang w:eastAsia="en-AU"/>
              </w:rPr>
            </w:pPr>
            <w:r w:rsidRPr="0032356D">
              <w:t>Major affective and other mood disorders</w:t>
            </w:r>
          </w:p>
        </w:tc>
        <w:tc>
          <w:tcPr>
            <w:tcW w:w="1236" w:type="dxa"/>
            <w:shd w:val="clear" w:color="auto" w:fill="auto"/>
            <w:vAlign w:val="center"/>
            <w:hideMark/>
          </w:tcPr>
          <w:p w14:paraId="44E2666F" w14:textId="7931E2CB" w:rsidR="00A03C87" w:rsidRPr="00014318" w:rsidRDefault="00A03C87" w:rsidP="00312856">
            <w:pPr>
              <w:pStyle w:val="Tabletext"/>
              <w:jc w:val="center"/>
              <w:rPr>
                <w:lang w:eastAsia="en-AU"/>
              </w:rPr>
            </w:pPr>
            <w:r>
              <w:t>8,</w:t>
            </w:r>
            <w:r w:rsidR="00300128" w:rsidRPr="0032356D">
              <w:t>249</w:t>
            </w:r>
          </w:p>
        </w:tc>
        <w:tc>
          <w:tcPr>
            <w:tcW w:w="1236" w:type="dxa"/>
            <w:shd w:val="clear" w:color="auto" w:fill="auto"/>
            <w:vAlign w:val="center"/>
            <w:hideMark/>
          </w:tcPr>
          <w:p w14:paraId="3C8090AF" w14:textId="037F083E" w:rsidR="00A03C87" w:rsidRPr="00014318" w:rsidRDefault="00300128" w:rsidP="00312856">
            <w:pPr>
              <w:pStyle w:val="Tabletext"/>
              <w:jc w:val="center"/>
              <w:rPr>
                <w:lang w:eastAsia="en-AU"/>
              </w:rPr>
            </w:pPr>
            <w:r w:rsidRPr="0032356D">
              <w:t>7,868</w:t>
            </w:r>
          </w:p>
        </w:tc>
        <w:tc>
          <w:tcPr>
            <w:tcW w:w="1236" w:type="dxa"/>
            <w:shd w:val="clear" w:color="auto" w:fill="auto"/>
            <w:vAlign w:val="center"/>
            <w:hideMark/>
          </w:tcPr>
          <w:p w14:paraId="2B3B53AE" w14:textId="33669690" w:rsidR="00A03C87" w:rsidRPr="00014318" w:rsidRDefault="00A03C87" w:rsidP="00312856">
            <w:pPr>
              <w:pStyle w:val="Tabletext"/>
              <w:jc w:val="center"/>
              <w:rPr>
                <w:lang w:eastAsia="en-AU"/>
              </w:rPr>
            </w:pPr>
            <w:r>
              <w:t>7,</w:t>
            </w:r>
            <w:r w:rsidR="00300128" w:rsidRPr="0032356D">
              <w:t>442</w:t>
            </w:r>
          </w:p>
        </w:tc>
        <w:tc>
          <w:tcPr>
            <w:tcW w:w="1236" w:type="dxa"/>
            <w:shd w:val="clear" w:color="auto" w:fill="auto"/>
            <w:vAlign w:val="center"/>
            <w:hideMark/>
          </w:tcPr>
          <w:p w14:paraId="1E060657" w14:textId="153545B7" w:rsidR="00A03C87" w:rsidRPr="00014318" w:rsidRDefault="00A03C87" w:rsidP="00312856">
            <w:pPr>
              <w:pStyle w:val="Tabletext"/>
              <w:jc w:val="center"/>
              <w:rPr>
                <w:lang w:eastAsia="en-AU"/>
              </w:rPr>
            </w:pPr>
            <w:r>
              <w:t>7,</w:t>
            </w:r>
            <w:r w:rsidR="00300128" w:rsidRPr="0032356D">
              <w:t>255</w:t>
            </w:r>
          </w:p>
        </w:tc>
        <w:tc>
          <w:tcPr>
            <w:tcW w:w="1236" w:type="dxa"/>
            <w:vAlign w:val="center"/>
          </w:tcPr>
          <w:p w14:paraId="5FBE93EE" w14:textId="6273B791" w:rsidR="00A03C87" w:rsidRDefault="00300128" w:rsidP="00312856">
            <w:pPr>
              <w:pStyle w:val="Tabletext"/>
              <w:jc w:val="center"/>
            </w:pPr>
            <w:r w:rsidRPr="0032356D">
              <w:t>6,991</w:t>
            </w:r>
          </w:p>
        </w:tc>
      </w:tr>
      <w:tr w:rsidR="00A03C87" w:rsidRPr="00476060" w14:paraId="1C2DAC07" w14:textId="777C6410" w:rsidTr="00587D98">
        <w:trPr>
          <w:trHeight w:val="460"/>
        </w:trPr>
        <w:tc>
          <w:tcPr>
            <w:tcW w:w="3033" w:type="dxa"/>
            <w:shd w:val="clear" w:color="auto" w:fill="auto"/>
            <w:hideMark/>
          </w:tcPr>
          <w:p w14:paraId="731F72BF" w14:textId="5E5E7873" w:rsidR="00A03C87" w:rsidRPr="00892ED8" w:rsidRDefault="00A03C87" w:rsidP="000D0B9B">
            <w:pPr>
              <w:pStyle w:val="Tabletext"/>
              <w:rPr>
                <w:bCs/>
                <w:lang w:eastAsia="en-AU"/>
              </w:rPr>
            </w:pPr>
            <w:r w:rsidRPr="0032356D">
              <w:t>Schizophrenia</w:t>
            </w:r>
            <w:r w:rsidR="00300128" w:rsidRPr="0032356D">
              <w:t>, schizoaffective</w:t>
            </w:r>
            <w:r w:rsidRPr="0032356D">
              <w:t xml:space="preserve"> and other </w:t>
            </w:r>
            <w:r w:rsidR="00300128" w:rsidRPr="0032356D">
              <w:t>psychotic disorders</w:t>
            </w:r>
          </w:p>
        </w:tc>
        <w:tc>
          <w:tcPr>
            <w:tcW w:w="1236" w:type="dxa"/>
            <w:shd w:val="clear" w:color="auto" w:fill="auto"/>
            <w:vAlign w:val="center"/>
            <w:hideMark/>
          </w:tcPr>
          <w:p w14:paraId="4C723D29" w14:textId="2A76079D" w:rsidR="00A03C87" w:rsidRPr="00014318" w:rsidRDefault="00300128" w:rsidP="00312856">
            <w:pPr>
              <w:pStyle w:val="Tabletext"/>
              <w:jc w:val="center"/>
              <w:rPr>
                <w:lang w:eastAsia="en-AU"/>
              </w:rPr>
            </w:pPr>
            <w:r w:rsidRPr="0032356D">
              <w:t>4,468</w:t>
            </w:r>
          </w:p>
        </w:tc>
        <w:tc>
          <w:tcPr>
            <w:tcW w:w="1236" w:type="dxa"/>
            <w:shd w:val="clear" w:color="auto" w:fill="auto"/>
            <w:vAlign w:val="center"/>
            <w:hideMark/>
          </w:tcPr>
          <w:p w14:paraId="55A13140" w14:textId="0F5C4EFC" w:rsidR="00A03C87" w:rsidRPr="00014318" w:rsidRDefault="00A03C87" w:rsidP="00312856">
            <w:pPr>
              <w:pStyle w:val="Tabletext"/>
              <w:jc w:val="center"/>
              <w:rPr>
                <w:lang w:eastAsia="en-AU"/>
              </w:rPr>
            </w:pPr>
            <w:r>
              <w:t>4,</w:t>
            </w:r>
            <w:r w:rsidR="00300128" w:rsidRPr="0032356D">
              <w:t>424</w:t>
            </w:r>
          </w:p>
        </w:tc>
        <w:tc>
          <w:tcPr>
            <w:tcW w:w="1236" w:type="dxa"/>
            <w:shd w:val="clear" w:color="auto" w:fill="auto"/>
            <w:vAlign w:val="center"/>
            <w:hideMark/>
          </w:tcPr>
          <w:p w14:paraId="23EB388C" w14:textId="5F8F82B2" w:rsidR="00A03C87" w:rsidRPr="00014318" w:rsidRDefault="00300128" w:rsidP="00312856">
            <w:pPr>
              <w:pStyle w:val="Tabletext"/>
              <w:jc w:val="center"/>
              <w:rPr>
                <w:lang w:eastAsia="en-AU"/>
              </w:rPr>
            </w:pPr>
            <w:r w:rsidRPr="0032356D">
              <w:t>3,811</w:t>
            </w:r>
          </w:p>
        </w:tc>
        <w:tc>
          <w:tcPr>
            <w:tcW w:w="1236" w:type="dxa"/>
            <w:shd w:val="clear" w:color="auto" w:fill="auto"/>
            <w:vAlign w:val="center"/>
            <w:hideMark/>
          </w:tcPr>
          <w:p w14:paraId="11E5139A" w14:textId="53B2B0BC" w:rsidR="00A03C87" w:rsidRPr="00014318" w:rsidRDefault="00300128" w:rsidP="00312856">
            <w:pPr>
              <w:pStyle w:val="Tabletext"/>
              <w:jc w:val="center"/>
              <w:rPr>
                <w:lang w:eastAsia="en-AU"/>
              </w:rPr>
            </w:pPr>
            <w:r w:rsidRPr="0032356D">
              <w:t>4,104</w:t>
            </w:r>
          </w:p>
        </w:tc>
        <w:tc>
          <w:tcPr>
            <w:tcW w:w="1236" w:type="dxa"/>
            <w:vAlign w:val="center"/>
          </w:tcPr>
          <w:p w14:paraId="7A17B00C" w14:textId="04D41A79" w:rsidR="00A03C87" w:rsidRDefault="00A03C87" w:rsidP="00312856">
            <w:pPr>
              <w:pStyle w:val="Tabletext"/>
              <w:jc w:val="center"/>
            </w:pPr>
            <w:r>
              <w:t>4,</w:t>
            </w:r>
            <w:r w:rsidR="00300128" w:rsidRPr="0032356D">
              <w:t>202</w:t>
            </w:r>
          </w:p>
        </w:tc>
      </w:tr>
      <w:tr w:rsidR="00A03C87" w:rsidRPr="00476060" w14:paraId="6131ECC2" w14:textId="692D066F" w:rsidTr="00587D98">
        <w:trPr>
          <w:trHeight w:val="306"/>
        </w:trPr>
        <w:tc>
          <w:tcPr>
            <w:tcW w:w="3033" w:type="dxa"/>
            <w:shd w:val="clear" w:color="auto" w:fill="auto"/>
            <w:hideMark/>
          </w:tcPr>
          <w:p w14:paraId="253EFF2C" w14:textId="5338A182" w:rsidR="00A03C87" w:rsidRPr="00892ED8" w:rsidRDefault="00300128" w:rsidP="000D0B9B">
            <w:pPr>
              <w:pStyle w:val="Tabletext"/>
              <w:rPr>
                <w:bCs/>
                <w:lang w:eastAsia="en-AU"/>
              </w:rPr>
            </w:pPr>
            <w:r w:rsidRPr="0032356D">
              <w:t>Other mental health disorders</w:t>
            </w:r>
          </w:p>
        </w:tc>
        <w:tc>
          <w:tcPr>
            <w:tcW w:w="1236" w:type="dxa"/>
            <w:shd w:val="clear" w:color="auto" w:fill="auto"/>
            <w:vAlign w:val="center"/>
            <w:hideMark/>
          </w:tcPr>
          <w:p w14:paraId="52323D10" w14:textId="29013170" w:rsidR="00A03C87" w:rsidRPr="00014318" w:rsidRDefault="00300128" w:rsidP="00312856">
            <w:pPr>
              <w:pStyle w:val="Tabletext"/>
              <w:jc w:val="center"/>
              <w:rPr>
                <w:lang w:eastAsia="en-AU"/>
              </w:rPr>
            </w:pPr>
            <w:r w:rsidRPr="0032356D">
              <w:t>312</w:t>
            </w:r>
          </w:p>
        </w:tc>
        <w:tc>
          <w:tcPr>
            <w:tcW w:w="1236" w:type="dxa"/>
            <w:shd w:val="clear" w:color="auto" w:fill="auto"/>
            <w:vAlign w:val="center"/>
            <w:hideMark/>
          </w:tcPr>
          <w:p w14:paraId="6C5D620E" w14:textId="791F4CFA" w:rsidR="00A03C87" w:rsidRPr="00014318" w:rsidRDefault="00300128" w:rsidP="00312856">
            <w:pPr>
              <w:pStyle w:val="Tabletext"/>
              <w:jc w:val="center"/>
              <w:rPr>
                <w:lang w:eastAsia="en-AU"/>
              </w:rPr>
            </w:pPr>
            <w:r w:rsidRPr="0032356D">
              <w:t>226</w:t>
            </w:r>
          </w:p>
        </w:tc>
        <w:tc>
          <w:tcPr>
            <w:tcW w:w="1236" w:type="dxa"/>
            <w:shd w:val="clear" w:color="auto" w:fill="auto"/>
            <w:vAlign w:val="center"/>
            <w:hideMark/>
          </w:tcPr>
          <w:p w14:paraId="5587ABB8" w14:textId="605A3A58" w:rsidR="00A03C87" w:rsidRPr="00014318" w:rsidRDefault="00300128" w:rsidP="00312856">
            <w:pPr>
              <w:pStyle w:val="Tabletext"/>
              <w:jc w:val="center"/>
              <w:rPr>
                <w:lang w:eastAsia="en-AU"/>
              </w:rPr>
            </w:pPr>
            <w:r w:rsidRPr="0032356D">
              <w:t>233</w:t>
            </w:r>
          </w:p>
        </w:tc>
        <w:tc>
          <w:tcPr>
            <w:tcW w:w="1236" w:type="dxa"/>
            <w:shd w:val="clear" w:color="auto" w:fill="auto"/>
            <w:vAlign w:val="center"/>
            <w:hideMark/>
          </w:tcPr>
          <w:p w14:paraId="50D39CC4" w14:textId="5A4D499F" w:rsidR="00A03C87" w:rsidRPr="00014318" w:rsidRDefault="00300128" w:rsidP="00312856">
            <w:pPr>
              <w:pStyle w:val="Tabletext"/>
              <w:jc w:val="center"/>
              <w:rPr>
                <w:lang w:eastAsia="en-AU"/>
              </w:rPr>
            </w:pPr>
            <w:r w:rsidRPr="0032356D">
              <w:t>167</w:t>
            </w:r>
          </w:p>
        </w:tc>
        <w:tc>
          <w:tcPr>
            <w:tcW w:w="1236" w:type="dxa"/>
            <w:vAlign w:val="center"/>
          </w:tcPr>
          <w:p w14:paraId="7F5CCE0D" w14:textId="5650743A" w:rsidR="00A03C87" w:rsidRDefault="00300128" w:rsidP="00312856">
            <w:pPr>
              <w:pStyle w:val="Tabletext"/>
              <w:jc w:val="center"/>
            </w:pPr>
            <w:r w:rsidRPr="0032356D">
              <w:t>209</w:t>
            </w:r>
          </w:p>
        </w:tc>
      </w:tr>
      <w:tr w:rsidR="00A03C87" w:rsidRPr="00476060" w14:paraId="718164E3" w14:textId="1C584F6B" w:rsidTr="00587D98">
        <w:trPr>
          <w:trHeight w:val="306"/>
        </w:trPr>
        <w:tc>
          <w:tcPr>
            <w:tcW w:w="3033" w:type="dxa"/>
            <w:shd w:val="clear" w:color="auto" w:fill="auto"/>
            <w:hideMark/>
          </w:tcPr>
          <w:p w14:paraId="74A41C3F" w14:textId="5BCC6CA0" w:rsidR="00A03C87" w:rsidRPr="00892ED8" w:rsidRDefault="00300128" w:rsidP="000D0B9B">
            <w:pPr>
              <w:pStyle w:val="Tabletext"/>
              <w:rPr>
                <w:bCs/>
                <w:lang w:eastAsia="en-AU"/>
              </w:rPr>
            </w:pPr>
            <w:r w:rsidRPr="0032356D">
              <w:t>No mental health diagnosis recorded</w:t>
            </w:r>
          </w:p>
        </w:tc>
        <w:tc>
          <w:tcPr>
            <w:tcW w:w="1236" w:type="dxa"/>
            <w:shd w:val="clear" w:color="auto" w:fill="auto"/>
            <w:vAlign w:val="center"/>
            <w:hideMark/>
          </w:tcPr>
          <w:p w14:paraId="66CE60C2" w14:textId="575D7E98" w:rsidR="00A03C87" w:rsidRPr="00014318" w:rsidRDefault="00300128" w:rsidP="00312856">
            <w:pPr>
              <w:pStyle w:val="Tabletext"/>
              <w:jc w:val="center"/>
              <w:rPr>
                <w:lang w:eastAsia="en-AU"/>
              </w:rPr>
            </w:pPr>
            <w:r w:rsidRPr="0032356D">
              <w:t>263</w:t>
            </w:r>
          </w:p>
        </w:tc>
        <w:tc>
          <w:tcPr>
            <w:tcW w:w="1236" w:type="dxa"/>
            <w:shd w:val="clear" w:color="auto" w:fill="auto"/>
            <w:vAlign w:val="center"/>
            <w:hideMark/>
          </w:tcPr>
          <w:p w14:paraId="1662DF6D" w14:textId="633D2622" w:rsidR="00A03C87" w:rsidRPr="00014318" w:rsidRDefault="00300128" w:rsidP="00312856">
            <w:pPr>
              <w:pStyle w:val="Tabletext"/>
              <w:jc w:val="center"/>
              <w:rPr>
                <w:lang w:eastAsia="en-AU"/>
              </w:rPr>
            </w:pPr>
            <w:r w:rsidRPr="0032356D">
              <w:t>473</w:t>
            </w:r>
          </w:p>
        </w:tc>
        <w:tc>
          <w:tcPr>
            <w:tcW w:w="1236" w:type="dxa"/>
            <w:shd w:val="clear" w:color="auto" w:fill="auto"/>
            <w:vAlign w:val="center"/>
            <w:hideMark/>
          </w:tcPr>
          <w:p w14:paraId="6A22101E" w14:textId="08C3395E" w:rsidR="00A03C87" w:rsidRPr="00014318" w:rsidRDefault="00300128" w:rsidP="00312856">
            <w:pPr>
              <w:pStyle w:val="Tabletext"/>
              <w:jc w:val="center"/>
              <w:rPr>
                <w:lang w:eastAsia="en-AU"/>
              </w:rPr>
            </w:pPr>
            <w:r w:rsidRPr="0032356D">
              <w:t>621</w:t>
            </w:r>
          </w:p>
        </w:tc>
        <w:tc>
          <w:tcPr>
            <w:tcW w:w="1236" w:type="dxa"/>
            <w:shd w:val="clear" w:color="auto" w:fill="auto"/>
            <w:vAlign w:val="center"/>
            <w:hideMark/>
          </w:tcPr>
          <w:p w14:paraId="37D13F97" w14:textId="773ACFFC" w:rsidR="00A03C87" w:rsidRPr="00014318" w:rsidRDefault="00300128" w:rsidP="00312856">
            <w:pPr>
              <w:pStyle w:val="Tabletext"/>
              <w:jc w:val="center"/>
              <w:rPr>
                <w:lang w:eastAsia="en-AU"/>
              </w:rPr>
            </w:pPr>
            <w:r w:rsidRPr="0032356D">
              <w:t>456</w:t>
            </w:r>
          </w:p>
        </w:tc>
        <w:tc>
          <w:tcPr>
            <w:tcW w:w="1236" w:type="dxa"/>
            <w:vAlign w:val="center"/>
          </w:tcPr>
          <w:p w14:paraId="02EB84A1" w14:textId="7B9517A3" w:rsidR="00A03C87" w:rsidRDefault="00300128" w:rsidP="00312856">
            <w:pPr>
              <w:pStyle w:val="Tabletext"/>
              <w:jc w:val="center"/>
            </w:pPr>
            <w:r w:rsidRPr="0032356D">
              <w:t>349</w:t>
            </w:r>
          </w:p>
        </w:tc>
      </w:tr>
    </w:tbl>
    <w:p w14:paraId="6D40F348" w14:textId="29E65B3E" w:rsidR="00381B2F" w:rsidRDefault="00381B2F" w:rsidP="00643556">
      <w:pPr>
        <w:pStyle w:val="Bodyaftertable"/>
      </w:pPr>
      <w:r w:rsidRPr="004074FA">
        <w:t xml:space="preserve">Table </w:t>
      </w:r>
      <w:r w:rsidR="002D70FB">
        <w:t>6</w:t>
      </w:r>
      <w:r w:rsidRPr="00A809FE">
        <w:t xml:space="preserve"> shows that, overall, more women than men were treated with ECT across the life span.</w:t>
      </w:r>
    </w:p>
    <w:p w14:paraId="00DC224C" w14:textId="26066DFC" w:rsidR="00381B2F" w:rsidRDefault="00381B2F" w:rsidP="000D0B9B">
      <w:pPr>
        <w:pStyle w:val="Tablecaption"/>
      </w:pPr>
      <w:r w:rsidRPr="4117A3B1">
        <w:rPr>
          <w:rFonts w:eastAsia="Arial"/>
        </w:rPr>
        <w:t xml:space="preserve">Table </w:t>
      </w:r>
      <w:r w:rsidR="002D70FB">
        <w:rPr>
          <w:rFonts w:eastAsia="Arial"/>
        </w:rPr>
        <w:t>6</w:t>
      </w:r>
      <w:r w:rsidRPr="4117A3B1">
        <w:rPr>
          <w:rFonts w:eastAsia="Arial"/>
        </w:rPr>
        <w:t>: Number of ECT treatments</w:t>
      </w:r>
      <w:r w:rsidR="005A0956" w:rsidRPr="4117A3B1">
        <w:rPr>
          <w:rFonts w:eastAsia="Arial"/>
        </w:rPr>
        <w:t>,</w:t>
      </w:r>
      <w:r w:rsidRPr="4117A3B1">
        <w:rPr>
          <w:rFonts w:eastAsia="Arial"/>
        </w:rPr>
        <w:t xml:space="preserve"> by age group and </w:t>
      </w:r>
      <w:r w:rsidR="00505B12">
        <w:rPr>
          <w:rFonts w:eastAsia="Arial"/>
        </w:rPr>
        <w:t>sex</w:t>
      </w:r>
      <w:r w:rsidR="005A0956" w:rsidRPr="4117A3B1">
        <w:rPr>
          <w:rFonts w:eastAsia="Arial"/>
        </w:rPr>
        <w:t>,</w:t>
      </w:r>
      <w:r w:rsidRPr="4117A3B1">
        <w:rPr>
          <w:rFonts w:eastAsia="Arial"/>
        </w:rPr>
        <w:t xml:space="preserve"> </w:t>
      </w:r>
      <w:r w:rsidR="007B2175">
        <w:rPr>
          <w:rFonts w:eastAsia="Arial"/>
        </w:rPr>
        <w:t>202</w:t>
      </w:r>
      <w:r w:rsidR="00773BCE">
        <w:rPr>
          <w:rFonts w:eastAsia="Arial"/>
        </w:rPr>
        <w:t>1</w:t>
      </w:r>
      <w:r w:rsidR="007B2175">
        <w:rPr>
          <w:rFonts w:eastAsia="Arial"/>
        </w:rPr>
        <w:t>–</w:t>
      </w:r>
      <w:r w:rsidR="007B2175" w:rsidRPr="002D796E">
        <w:rPr>
          <w:rFonts w:eastAsia="Arial"/>
        </w:rPr>
        <w:t>2</w:t>
      </w:r>
      <w:r w:rsidR="00773BCE">
        <w:rPr>
          <w:rFonts w:eastAsia="Arial"/>
        </w:rPr>
        <w:t>2</w:t>
      </w:r>
    </w:p>
    <w:tbl>
      <w:tblPr>
        <w:tblStyle w:val="TableGrid"/>
        <w:tblW w:w="5000" w:type="pct"/>
        <w:tblInd w:w="0" w:type="dxa"/>
        <w:tblLayout w:type="fixed"/>
        <w:tblLook w:val="0620" w:firstRow="1" w:lastRow="0" w:firstColumn="0" w:lastColumn="0" w:noHBand="1" w:noVBand="1"/>
      </w:tblPr>
      <w:tblGrid>
        <w:gridCol w:w="1638"/>
        <w:gridCol w:w="957"/>
        <w:gridCol w:w="957"/>
        <w:gridCol w:w="957"/>
        <w:gridCol w:w="957"/>
        <w:gridCol w:w="957"/>
        <w:gridCol w:w="957"/>
        <w:gridCol w:w="957"/>
        <w:gridCol w:w="951"/>
      </w:tblGrid>
      <w:tr w:rsidR="00A01A75" w14:paraId="5BEEE49E" w14:textId="77777777" w:rsidTr="00FC5F9B">
        <w:trPr>
          <w:tblHeader/>
        </w:trPr>
        <w:tc>
          <w:tcPr>
            <w:tcW w:w="882" w:type="pct"/>
          </w:tcPr>
          <w:p w14:paraId="181C6C25" w14:textId="52BE2ADF" w:rsidR="00A01A75" w:rsidRDefault="00A01A75" w:rsidP="000D0B9B">
            <w:pPr>
              <w:pStyle w:val="Tablecolhead"/>
            </w:pPr>
            <w:r w:rsidRPr="10DC7BF4">
              <w:t>Measure</w:t>
            </w:r>
          </w:p>
        </w:tc>
        <w:tc>
          <w:tcPr>
            <w:tcW w:w="515" w:type="pct"/>
            <w:vAlign w:val="center"/>
          </w:tcPr>
          <w:p w14:paraId="03ACE0EF" w14:textId="79EFA39F" w:rsidR="00A01A75" w:rsidRPr="10DC7BF4" w:rsidRDefault="001C2845" w:rsidP="00312856">
            <w:pPr>
              <w:pStyle w:val="Tablecolhead"/>
              <w:jc w:val="center"/>
            </w:pPr>
            <w:r w:rsidRPr="009765C6">
              <w:t>13–17</w:t>
            </w:r>
          </w:p>
        </w:tc>
        <w:tc>
          <w:tcPr>
            <w:tcW w:w="515" w:type="pct"/>
            <w:vAlign w:val="center"/>
          </w:tcPr>
          <w:p w14:paraId="156D7334" w14:textId="308B63B5" w:rsidR="00A01A75" w:rsidRDefault="00A01A75" w:rsidP="00312856">
            <w:pPr>
              <w:pStyle w:val="Tablecolhead"/>
              <w:jc w:val="center"/>
            </w:pPr>
            <w:r w:rsidRPr="10DC7BF4">
              <w:t>18</w:t>
            </w:r>
            <w:r>
              <w:t>–2</w:t>
            </w:r>
            <w:r w:rsidRPr="10DC7BF4">
              <w:t>9</w:t>
            </w:r>
          </w:p>
        </w:tc>
        <w:tc>
          <w:tcPr>
            <w:tcW w:w="515" w:type="pct"/>
            <w:vAlign w:val="center"/>
          </w:tcPr>
          <w:p w14:paraId="22E953DE" w14:textId="49A28ED7" w:rsidR="00A01A75" w:rsidRDefault="00A01A75" w:rsidP="00312856">
            <w:pPr>
              <w:pStyle w:val="Tablecolhead"/>
              <w:jc w:val="center"/>
            </w:pPr>
            <w:r w:rsidRPr="10DC7BF4">
              <w:t>30</w:t>
            </w:r>
            <w:r>
              <w:t>–</w:t>
            </w:r>
            <w:r w:rsidRPr="10DC7BF4">
              <w:t>39</w:t>
            </w:r>
          </w:p>
        </w:tc>
        <w:tc>
          <w:tcPr>
            <w:tcW w:w="515" w:type="pct"/>
            <w:vAlign w:val="center"/>
          </w:tcPr>
          <w:p w14:paraId="6C432FCB" w14:textId="7026453D" w:rsidR="00A01A75" w:rsidRDefault="00A01A75" w:rsidP="00312856">
            <w:pPr>
              <w:pStyle w:val="Tablecolhead"/>
              <w:jc w:val="center"/>
            </w:pPr>
            <w:r w:rsidRPr="10DC7BF4">
              <w:t>40</w:t>
            </w:r>
            <w:r>
              <w:t>–</w:t>
            </w:r>
            <w:r w:rsidRPr="10DC7BF4">
              <w:t>49</w:t>
            </w:r>
          </w:p>
        </w:tc>
        <w:tc>
          <w:tcPr>
            <w:tcW w:w="515" w:type="pct"/>
            <w:vAlign w:val="center"/>
          </w:tcPr>
          <w:p w14:paraId="688D7385" w14:textId="04AC0BD9" w:rsidR="00A01A75" w:rsidRDefault="00A01A75" w:rsidP="00312856">
            <w:pPr>
              <w:pStyle w:val="Tablecolhead"/>
              <w:jc w:val="center"/>
            </w:pPr>
            <w:r w:rsidRPr="10DC7BF4">
              <w:t>50</w:t>
            </w:r>
            <w:r>
              <w:t>–</w:t>
            </w:r>
            <w:r w:rsidRPr="10DC7BF4">
              <w:t>59</w:t>
            </w:r>
          </w:p>
        </w:tc>
        <w:tc>
          <w:tcPr>
            <w:tcW w:w="515" w:type="pct"/>
            <w:vAlign w:val="center"/>
          </w:tcPr>
          <w:p w14:paraId="1595A5C9" w14:textId="147CC9B6" w:rsidR="00A01A75" w:rsidRDefault="00A01A75" w:rsidP="00312856">
            <w:pPr>
              <w:pStyle w:val="Tablecolhead"/>
              <w:jc w:val="center"/>
            </w:pPr>
            <w:r w:rsidRPr="10DC7BF4">
              <w:t>60</w:t>
            </w:r>
            <w:r>
              <w:t>–</w:t>
            </w:r>
            <w:r w:rsidRPr="10DC7BF4">
              <w:t>69</w:t>
            </w:r>
          </w:p>
        </w:tc>
        <w:tc>
          <w:tcPr>
            <w:tcW w:w="515" w:type="pct"/>
            <w:vAlign w:val="center"/>
          </w:tcPr>
          <w:p w14:paraId="2905DC26" w14:textId="1670AE36" w:rsidR="00A01A75" w:rsidRDefault="00A01A75" w:rsidP="00312856">
            <w:pPr>
              <w:pStyle w:val="Tablecolhead"/>
              <w:jc w:val="center"/>
            </w:pPr>
            <w:r w:rsidRPr="10DC7BF4">
              <w:t>70</w:t>
            </w:r>
            <w:r>
              <w:t>–</w:t>
            </w:r>
            <w:r w:rsidRPr="10DC7BF4">
              <w:t>79</w:t>
            </w:r>
          </w:p>
        </w:tc>
        <w:tc>
          <w:tcPr>
            <w:tcW w:w="512" w:type="pct"/>
            <w:vAlign w:val="center"/>
          </w:tcPr>
          <w:p w14:paraId="60DB6642" w14:textId="296F5EBA" w:rsidR="00A01A75" w:rsidRDefault="00A01A75" w:rsidP="00312856">
            <w:pPr>
              <w:pStyle w:val="Tablecolhead"/>
              <w:jc w:val="center"/>
            </w:pPr>
            <w:r w:rsidRPr="10DC7BF4">
              <w:t>80+</w:t>
            </w:r>
          </w:p>
        </w:tc>
      </w:tr>
      <w:tr w:rsidR="00A01A75" w14:paraId="5FA85316" w14:textId="77777777" w:rsidTr="00FC5F9B">
        <w:tc>
          <w:tcPr>
            <w:tcW w:w="882" w:type="pct"/>
          </w:tcPr>
          <w:p w14:paraId="76C557CA" w14:textId="6603DE86" w:rsidR="00A01A75" w:rsidRDefault="001C2845" w:rsidP="000D0B9B">
            <w:pPr>
              <w:pStyle w:val="Tabletext"/>
            </w:pPr>
            <w:r w:rsidRPr="009765C6">
              <w:t>Female</w:t>
            </w:r>
          </w:p>
        </w:tc>
        <w:tc>
          <w:tcPr>
            <w:tcW w:w="515" w:type="pct"/>
            <w:vAlign w:val="center"/>
          </w:tcPr>
          <w:p w14:paraId="0EFFBA53" w14:textId="71826B28" w:rsidR="00A01A75" w:rsidRDefault="001C2845" w:rsidP="00312856">
            <w:pPr>
              <w:pStyle w:val="Tabletext"/>
              <w:jc w:val="center"/>
            </w:pPr>
            <w:r w:rsidRPr="009765C6">
              <w:t>6</w:t>
            </w:r>
          </w:p>
        </w:tc>
        <w:tc>
          <w:tcPr>
            <w:tcW w:w="515" w:type="pct"/>
            <w:vAlign w:val="center"/>
          </w:tcPr>
          <w:p w14:paraId="0BC5CAC9" w14:textId="7C7F3133" w:rsidR="00A01A75" w:rsidRDefault="001C2845" w:rsidP="00312856">
            <w:pPr>
              <w:pStyle w:val="Tabletext"/>
              <w:jc w:val="center"/>
            </w:pPr>
            <w:r w:rsidRPr="009765C6">
              <w:t>907</w:t>
            </w:r>
          </w:p>
        </w:tc>
        <w:tc>
          <w:tcPr>
            <w:tcW w:w="515" w:type="pct"/>
            <w:vAlign w:val="center"/>
          </w:tcPr>
          <w:p w14:paraId="3E0131CC" w14:textId="3921B810" w:rsidR="00A01A75" w:rsidRDefault="001C2845" w:rsidP="00312856">
            <w:pPr>
              <w:pStyle w:val="Tabletext"/>
              <w:jc w:val="center"/>
            </w:pPr>
            <w:r w:rsidRPr="009765C6">
              <w:t>825</w:t>
            </w:r>
          </w:p>
        </w:tc>
        <w:tc>
          <w:tcPr>
            <w:tcW w:w="515" w:type="pct"/>
            <w:vAlign w:val="center"/>
          </w:tcPr>
          <w:p w14:paraId="4EE04277" w14:textId="38DFEFEC" w:rsidR="00A01A75" w:rsidRDefault="001C2845" w:rsidP="00312856">
            <w:pPr>
              <w:pStyle w:val="Tabletext"/>
              <w:jc w:val="center"/>
            </w:pPr>
            <w:r w:rsidRPr="009765C6">
              <w:t>857</w:t>
            </w:r>
          </w:p>
        </w:tc>
        <w:tc>
          <w:tcPr>
            <w:tcW w:w="515" w:type="pct"/>
            <w:vAlign w:val="center"/>
          </w:tcPr>
          <w:p w14:paraId="0C62A387" w14:textId="6E86ED0C" w:rsidR="00A01A75" w:rsidRDefault="001C2845" w:rsidP="00312856">
            <w:pPr>
              <w:pStyle w:val="Tabletext"/>
              <w:jc w:val="center"/>
            </w:pPr>
            <w:r w:rsidRPr="009765C6">
              <w:t>1,052</w:t>
            </w:r>
          </w:p>
        </w:tc>
        <w:tc>
          <w:tcPr>
            <w:tcW w:w="515" w:type="pct"/>
            <w:vAlign w:val="center"/>
          </w:tcPr>
          <w:p w14:paraId="3F2832C8" w14:textId="593DD35D" w:rsidR="00A01A75" w:rsidRDefault="001C2845" w:rsidP="00312856">
            <w:pPr>
              <w:pStyle w:val="Tabletext"/>
              <w:jc w:val="center"/>
            </w:pPr>
            <w:r w:rsidRPr="009765C6">
              <w:t>1,117</w:t>
            </w:r>
          </w:p>
        </w:tc>
        <w:tc>
          <w:tcPr>
            <w:tcW w:w="515" w:type="pct"/>
            <w:vAlign w:val="center"/>
          </w:tcPr>
          <w:p w14:paraId="0430FA1A" w14:textId="12F8C56D" w:rsidR="00A01A75" w:rsidRDefault="001C2845" w:rsidP="00312856">
            <w:pPr>
              <w:pStyle w:val="Tabletext"/>
              <w:jc w:val="center"/>
            </w:pPr>
            <w:r w:rsidRPr="009765C6">
              <w:t>1,106</w:t>
            </w:r>
          </w:p>
        </w:tc>
        <w:tc>
          <w:tcPr>
            <w:tcW w:w="512" w:type="pct"/>
            <w:vAlign w:val="center"/>
          </w:tcPr>
          <w:p w14:paraId="65F769F2" w14:textId="5008A1CE" w:rsidR="00A01A75" w:rsidRDefault="001C2845" w:rsidP="00312856">
            <w:pPr>
              <w:pStyle w:val="Tabletext"/>
              <w:jc w:val="center"/>
            </w:pPr>
            <w:r w:rsidRPr="009765C6">
              <w:t>635</w:t>
            </w:r>
          </w:p>
        </w:tc>
      </w:tr>
      <w:tr w:rsidR="00A01A75" w14:paraId="3C20A48E" w14:textId="77777777" w:rsidTr="00FC5F9B">
        <w:trPr>
          <w:trHeight w:val="458"/>
        </w:trPr>
        <w:tc>
          <w:tcPr>
            <w:tcW w:w="882" w:type="pct"/>
          </w:tcPr>
          <w:p w14:paraId="57885B97" w14:textId="4A91CFD0" w:rsidR="00A01A75" w:rsidRDefault="001C2845" w:rsidP="000D0B9B">
            <w:pPr>
              <w:pStyle w:val="Tabletext"/>
            </w:pPr>
            <w:r w:rsidRPr="009765C6">
              <w:t>Male</w:t>
            </w:r>
          </w:p>
        </w:tc>
        <w:tc>
          <w:tcPr>
            <w:tcW w:w="515" w:type="pct"/>
            <w:vAlign w:val="center"/>
          </w:tcPr>
          <w:p w14:paraId="5855B842" w14:textId="795A4709" w:rsidR="00A01A75" w:rsidRDefault="00093D89" w:rsidP="00312856">
            <w:pPr>
              <w:pStyle w:val="Tabletext"/>
              <w:jc w:val="center"/>
            </w:pPr>
            <w:r>
              <w:t>0</w:t>
            </w:r>
          </w:p>
        </w:tc>
        <w:tc>
          <w:tcPr>
            <w:tcW w:w="515" w:type="pct"/>
            <w:vAlign w:val="center"/>
          </w:tcPr>
          <w:p w14:paraId="252E9F93" w14:textId="695DC3F3" w:rsidR="00A01A75" w:rsidRDefault="001C2845" w:rsidP="00312856">
            <w:pPr>
              <w:pStyle w:val="Tabletext"/>
              <w:jc w:val="center"/>
            </w:pPr>
            <w:r w:rsidRPr="009765C6">
              <w:t>457</w:t>
            </w:r>
          </w:p>
        </w:tc>
        <w:tc>
          <w:tcPr>
            <w:tcW w:w="515" w:type="pct"/>
            <w:vAlign w:val="center"/>
          </w:tcPr>
          <w:p w14:paraId="08AC9D94" w14:textId="4291DB49" w:rsidR="00A01A75" w:rsidRDefault="001C2845" w:rsidP="00312856">
            <w:pPr>
              <w:pStyle w:val="Tabletext"/>
              <w:jc w:val="center"/>
            </w:pPr>
            <w:r w:rsidRPr="009765C6">
              <w:t>745</w:t>
            </w:r>
          </w:p>
        </w:tc>
        <w:tc>
          <w:tcPr>
            <w:tcW w:w="515" w:type="pct"/>
            <w:vAlign w:val="center"/>
          </w:tcPr>
          <w:p w14:paraId="6125DBB4" w14:textId="547B9E3F" w:rsidR="00A01A75" w:rsidRDefault="001C2845" w:rsidP="00312856">
            <w:pPr>
              <w:pStyle w:val="Tabletext"/>
              <w:jc w:val="center"/>
            </w:pPr>
            <w:r w:rsidRPr="009765C6">
              <w:t>979</w:t>
            </w:r>
          </w:p>
        </w:tc>
        <w:tc>
          <w:tcPr>
            <w:tcW w:w="515" w:type="pct"/>
            <w:vAlign w:val="center"/>
          </w:tcPr>
          <w:p w14:paraId="046A774A" w14:textId="3CE41661" w:rsidR="00A01A75" w:rsidRDefault="001C2845" w:rsidP="00312856">
            <w:pPr>
              <w:pStyle w:val="Tabletext"/>
              <w:jc w:val="center"/>
            </w:pPr>
            <w:r w:rsidRPr="009765C6">
              <w:t>1,171</w:t>
            </w:r>
          </w:p>
        </w:tc>
        <w:tc>
          <w:tcPr>
            <w:tcW w:w="515" w:type="pct"/>
            <w:vAlign w:val="center"/>
          </w:tcPr>
          <w:p w14:paraId="036EFEC5" w14:textId="21D45044" w:rsidR="00A01A75" w:rsidRDefault="001C2845" w:rsidP="00312856">
            <w:pPr>
              <w:pStyle w:val="Tabletext"/>
              <w:jc w:val="center"/>
            </w:pPr>
            <w:r w:rsidRPr="009765C6">
              <w:t>919</w:t>
            </w:r>
          </w:p>
        </w:tc>
        <w:tc>
          <w:tcPr>
            <w:tcW w:w="515" w:type="pct"/>
            <w:vAlign w:val="center"/>
          </w:tcPr>
          <w:p w14:paraId="54307779" w14:textId="5C4C1D57" w:rsidR="00A01A75" w:rsidRDefault="001C2845" w:rsidP="00312856">
            <w:pPr>
              <w:pStyle w:val="Tabletext"/>
              <w:jc w:val="center"/>
            </w:pPr>
            <w:r w:rsidRPr="009765C6">
              <w:t>718</w:t>
            </w:r>
          </w:p>
        </w:tc>
        <w:tc>
          <w:tcPr>
            <w:tcW w:w="512" w:type="pct"/>
            <w:vAlign w:val="center"/>
          </w:tcPr>
          <w:p w14:paraId="626447BA" w14:textId="1906D035" w:rsidR="00A01A75" w:rsidRDefault="001C2845" w:rsidP="00312856">
            <w:pPr>
              <w:pStyle w:val="Tabletext"/>
              <w:jc w:val="center"/>
            </w:pPr>
            <w:r w:rsidRPr="009765C6">
              <w:t>251</w:t>
            </w:r>
          </w:p>
        </w:tc>
      </w:tr>
      <w:tr w:rsidR="001C2845" w14:paraId="62112C97" w14:textId="77777777" w:rsidTr="00FC5F9B">
        <w:trPr>
          <w:trHeight w:val="458"/>
        </w:trPr>
        <w:tc>
          <w:tcPr>
            <w:tcW w:w="882" w:type="pct"/>
          </w:tcPr>
          <w:p w14:paraId="5D1C074F" w14:textId="40A55A86" w:rsidR="001C2845" w:rsidRDefault="009235C3" w:rsidP="001C2845">
            <w:pPr>
              <w:pStyle w:val="Tabletext"/>
            </w:pPr>
            <w:r>
              <w:t>Sex other than male or female</w:t>
            </w:r>
          </w:p>
        </w:tc>
        <w:tc>
          <w:tcPr>
            <w:tcW w:w="515" w:type="pct"/>
            <w:vAlign w:val="center"/>
          </w:tcPr>
          <w:p w14:paraId="17513A31" w14:textId="74A7AC6E" w:rsidR="001C2845" w:rsidRDefault="00093D89" w:rsidP="00312856">
            <w:pPr>
              <w:pStyle w:val="Tabletext"/>
              <w:jc w:val="center"/>
            </w:pPr>
            <w:r>
              <w:t>0</w:t>
            </w:r>
          </w:p>
        </w:tc>
        <w:tc>
          <w:tcPr>
            <w:tcW w:w="515" w:type="pct"/>
            <w:vAlign w:val="center"/>
          </w:tcPr>
          <w:p w14:paraId="22323122" w14:textId="08F8EA6C" w:rsidR="001C2845" w:rsidRDefault="00093D89" w:rsidP="00312856">
            <w:pPr>
              <w:pStyle w:val="Tabletext"/>
              <w:jc w:val="center"/>
            </w:pPr>
            <w:r>
              <w:t>0</w:t>
            </w:r>
          </w:p>
        </w:tc>
        <w:tc>
          <w:tcPr>
            <w:tcW w:w="515" w:type="pct"/>
            <w:vAlign w:val="center"/>
          </w:tcPr>
          <w:p w14:paraId="7A93BC31" w14:textId="24D406BF" w:rsidR="001C2845" w:rsidRDefault="00093D89" w:rsidP="00312856">
            <w:pPr>
              <w:pStyle w:val="Tabletext"/>
              <w:jc w:val="center"/>
            </w:pPr>
            <w:r>
              <w:t>0</w:t>
            </w:r>
          </w:p>
        </w:tc>
        <w:tc>
          <w:tcPr>
            <w:tcW w:w="515" w:type="pct"/>
            <w:vAlign w:val="center"/>
          </w:tcPr>
          <w:p w14:paraId="10A791A6" w14:textId="1D67D5EE" w:rsidR="001C2845" w:rsidRDefault="001C2845" w:rsidP="00312856">
            <w:pPr>
              <w:pStyle w:val="Tabletext"/>
              <w:jc w:val="center"/>
            </w:pPr>
            <w:r w:rsidRPr="009765C6">
              <w:t>6</w:t>
            </w:r>
          </w:p>
        </w:tc>
        <w:tc>
          <w:tcPr>
            <w:tcW w:w="515" w:type="pct"/>
            <w:vAlign w:val="center"/>
          </w:tcPr>
          <w:p w14:paraId="078B4BE0" w14:textId="0CDB1B11" w:rsidR="001C2845" w:rsidRDefault="00093D89" w:rsidP="00312856">
            <w:pPr>
              <w:pStyle w:val="Tabletext"/>
              <w:jc w:val="center"/>
            </w:pPr>
            <w:r>
              <w:t>0</w:t>
            </w:r>
          </w:p>
        </w:tc>
        <w:tc>
          <w:tcPr>
            <w:tcW w:w="515" w:type="pct"/>
            <w:vAlign w:val="center"/>
          </w:tcPr>
          <w:p w14:paraId="05EA7731" w14:textId="33516AB8" w:rsidR="001C2845" w:rsidRDefault="00093D89" w:rsidP="00312856">
            <w:pPr>
              <w:pStyle w:val="Tabletext"/>
              <w:jc w:val="center"/>
            </w:pPr>
            <w:r>
              <w:t>0</w:t>
            </w:r>
          </w:p>
        </w:tc>
        <w:tc>
          <w:tcPr>
            <w:tcW w:w="515" w:type="pct"/>
            <w:vAlign w:val="center"/>
          </w:tcPr>
          <w:p w14:paraId="0EEB49BA" w14:textId="74EFC289" w:rsidR="001C2845" w:rsidRDefault="00093D89" w:rsidP="00312856">
            <w:pPr>
              <w:pStyle w:val="Tabletext"/>
              <w:jc w:val="center"/>
            </w:pPr>
            <w:r>
              <w:t>0</w:t>
            </w:r>
          </w:p>
        </w:tc>
        <w:tc>
          <w:tcPr>
            <w:tcW w:w="512" w:type="pct"/>
            <w:vAlign w:val="center"/>
          </w:tcPr>
          <w:p w14:paraId="73781D83" w14:textId="013F7B12" w:rsidR="001C2845" w:rsidRDefault="00093D89" w:rsidP="00312856">
            <w:pPr>
              <w:pStyle w:val="Tabletext"/>
              <w:jc w:val="center"/>
            </w:pPr>
            <w:r>
              <w:t>0</w:t>
            </w:r>
          </w:p>
        </w:tc>
      </w:tr>
    </w:tbl>
    <w:p w14:paraId="5416CD82" w14:textId="77777777" w:rsidR="00451BEE" w:rsidRDefault="00451BEE" w:rsidP="00B47437">
      <w:pPr>
        <w:pStyle w:val="Body"/>
      </w:pPr>
      <w:bookmarkStart w:id="32" w:name="_Toc52886243"/>
    </w:p>
    <w:tbl>
      <w:tblPr>
        <w:tblStyle w:val="TableGrid"/>
        <w:tblW w:w="0" w:type="auto"/>
        <w:tblLook w:val="04A0" w:firstRow="1" w:lastRow="0" w:firstColumn="1" w:lastColumn="0" w:noHBand="0" w:noVBand="1"/>
      </w:tblPr>
      <w:tblGrid>
        <w:gridCol w:w="9180"/>
      </w:tblGrid>
      <w:tr w:rsidR="00F56603" w14:paraId="4D57970F" w14:textId="77777777" w:rsidTr="00470138">
        <w:tc>
          <w:tcPr>
            <w:tcW w:w="9288" w:type="dxa"/>
            <w:shd w:val="clear" w:color="auto" w:fill="DBE5F1" w:themeFill="accent1" w:themeFillTint="33"/>
          </w:tcPr>
          <w:p w14:paraId="670BAC73" w14:textId="0E19EA07" w:rsidR="00F56603" w:rsidRPr="00324A3D" w:rsidRDefault="005D7951" w:rsidP="002C5092">
            <w:pPr>
              <w:pStyle w:val="Boxtitle"/>
              <w:rPr>
                <w:rStyle w:val="normaltextrun"/>
                <w:rFonts w:cstheme="minorBidi"/>
                <w:b w:val="0"/>
                <w:bCs w:val="0"/>
                <w:color w:val="000000"/>
              </w:rPr>
            </w:pPr>
            <w:r>
              <w:rPr>
                <w:rStyle w:val="normaltextrun"/>
                <w:rFonts w:cstheme="minorBidi"/>
                <w:color w:val="000000"/>
              </w:rPr>
              <w:t xml:space="preserve">What is </w:t>
            </w:r>
            <w:r w:rsidRPr="00FC5F9B">
              <w:rPr>
                <w:rStyle w:val="normaltextrun"/>
              </w:rPr>
              <w:t>e</w:t>
            </w:r>
            <w:r w:rsidR="00F56603" w:rsidRPr="00FC5F9B">
              <w:rPr>
                <w:rStyle w:val="normaltextrun"/>
              </w:rPr>
              <w:t>le</w:t>
            </w:r>
            <w:r w:rsidR="00CD0E6D" w:rsidRPr="00FC5F9B">
              <w:rPr>
                <w:rStyle w:val="normaltextrun"/>
              </w:rPr>
              <w:t>ctroconvulsive</w:t>
            </w:r>
            <w:r w:rsidR="00CD0E6D">
              <w:rPr>
                <w:rStyle w:val="normaltextrun"/>
                <w:rFonts w:cstheme="minorBidi"/>
                <w:color w:val="000000"/>
              </w:rPr>
              <w:t xml:space="preserve"> t</w:t>
            </w:r>
            <w:r w:rsidR="00776F6D">
              <w:rPr>
                <w:rStyle w:val="normaltextrun"/>
                <w:rFonts w:cstheme="minorBidi"/>
                <w:color w:val="000000"/>
              </w:rPr>
              <w:t>reatment</w:t>
            </w:r>
            <w:r>
              <w:rPr>
                <w:rStyle w:val="normaltextrun"/>
                <w:rFonts w:cstheme="minorBidi"/>
                <w:color w:val="000000"/>
              </w:rPr>
              <w:t>?</w:t>
            </w:r>
          </w:p>
          <w:p w14:paraId="2EB8B047" w14:textId="1333B5F5" w:rsidR="000215FF" w:rsidRPr="000215FF" w:rsidRDefault="000215FF" w:rsidP="00FC5F9B">
            <w:pPr>
              <w:pStyle w:val="Body"/>
              <w:rPr>
                <w:rStyle w:val="normaltextrun"/>
                <w:rFonts w:cstheme="minorBidi"/>
              </w:rPr>
            </w:pPr>
            <w:r w:rsidRPr="000215FF">
              <w:rPr>
                <w:rStyle w:val="normaltextrun"/>
                <w:rFonts w:cstheme="minorBidi"/>
              </w:rPr>
              <w:t xml:space="preserve">ECT is a safe, effective, evidence-based treatment of mood disorders, </w:t>
            </w:r>
            <w:proofErr w:type="gramStart"/>
            <w:r w:rsidRPr="000215FF">
              <w:rPr>
                <w:rStyle w:val="normaltextrun"/>
                <w:rFonts w:cstheme="minorBidi"/>
              </w:rPr>
              <w:t>psychosis</w:t>
            </w:r>
            <w:proofErr w:type="gramEnd"/>
            <w:r w:rsidRPr="000215FF">
              <w:rPr>
                <w:rStyle w:val="normaltextrun"/>
                <w:rFonts w:cstheme="minorBidi"/>
              </w:rPr>
              <w:t xml:space="preserve"> and catatonia. It may be recommended when other medical treatments have not worked, take too long to work or cannot be undertaken safely. It might also be recommended to people for whom the treatment has worked well previously. </w:t>
            </w:r>
          </w:p>
          <w:p w14:paraId="54F4C5DD" w14:textId="41D8404F" w:rsidR="00CD0E6D" w:rsidRPr="000215FF" w:rsidRDefault="000215FF" w:rsidP="00FC5F9B">
            <w:pPr>
              <w:pStyle w:val="Body"/>
              <w:rPr>
                <w:rStyle w:val="normaltextrun"/>
                <w:rFonts w:cstheme="minorBidi"/>
              </w:rPr>
            </w:pPr>
            <w:r w:rsidRPr="000215FF">
              <w:rPr>
                <w:rStyle w:val="normaltextrun"/>
                <w:rFonts w:cstheme="minorBidi"/>
              </w:rPr>
              <w:t>ECT is now highly advanced and individually tailored to maximise its benefits and reduce side effects</w:t>
            </w:r>
            <w:r w:rsidR="002C19B8">
              <w:rPr>
                <w:rStyle w:val="normaltextrun"/>
                <w:rFonts w:cstheme="minorBidi"/>
              </w:rPr>
              <w:t>,</w:t>
            </w:r>
            <w:r w:rsidRPr="000215FF">
              <w:rPr>
                <w:rStyle w:val="normaltextrun"/>
                <w:rFonts w:cstheme="minorBidi"/>
              </w:rPr>
              <w:t xml:space="preserve"> including cognitive impairment. Adverse effects are minimised by preferentially applying stimulation to one side of the head (unilateral ECT) with the smallest possible dose of electrical stimulation. Bilateral ECT is used when clinically indicated. Treatments are typically administered on two or three occasions per week over a period of two or more weeks. A small proportion of people benefit from ongoing occasional treatments to prevent relapse.</w:t>
            </w:r>
          </w:p>
        </w:tc>
      </w:tr>
    </w:tbl>
    <w:p w14:paraId="51D40624" w14:textId="65C6521F" w:rsidR="00123C4A" w:rsidRPr="00A30D86" w:rsidRDefault="00381B2F" w:rsidP="00155658">
      <w:pPr>
        <w:pStyle w:val="Heading2"/>
        <w:rPr>
          <w:color w:val="FF0000"/>
        </w:rPr>
      </w:pPr>
      <w:bookmarkStart w:id="33" w:name="_Toc118293973"/>
      <w:r w:rsidRPr="56B42FB6">
        <w:rPr>
          <w:rFonts w:eastAsia="Arial"/>
        </w:rPr>
        <w:t>Deaths of people receiving mental health treatment</w:t>
      </w:r>
      <w:bookmarkEnd w:id="32"/>
      <w:bookmarkEnd w:id="33"/>
    </w:p>
    <w:p w14:paraId="431C85F1" w14:textId="0A67F94F" w:rsidR="00381B2F" w:rsidRPr="005269A4" w:rsidRDefault="00381B2F" w:rsidP="00563C62">
      <w:pPr>
        <w:pStyle w:val="Body"/>
      </w:pPr>
      <w:r w:rsidRPr="005269A4">
        <w:t>The death of a person receiving treatment or support for a mental illness is a tragic event. The Chief Psychiatrist collects data from mental health services to learn from each incident</w:t>
      </w:r>
      <w:r w:rsidR="00EB58AA">
        <w:t>,</w:t>
      </w:r>
      <w:r w:rsidRPr="005269A4">
        <w:t xml:space="preserve"> with a view to improving the quality and safety of clinical practices and reducing the number of preventable deaths.</w:t>
      </w:r>
    </w:p>
    <w:p w14:paraId="384B452B" w14:textId="1B7E7F47" w:rsidR="00381B2F" w:rsidRPr="005269A4" w:rsidRDefault="00701695" w:rsidP="00563C62">
      <w:pPr>
        <w:pStyle w:val="Body"/>
      </w:pPr>
      <w:r>
        <w:t>T</w:t>
      </w:r>
      <w:r w:rsidR="00381B2F" w:rsidRPr="005269A4">
        <w:t>he Chief Psychiatrist must be notified of the deaths of all mental health inpatients where an inpatient is defined as any person</w:t>
      </w:r>
      <w:r w:rsidR="0060110C">
        <w:t>,</w:t>
      </w:r>
      <w:r w:rsidR="00381B2F" w:rsidRPr="005269A4">
        <w:t xml:space="preserve"> regardless of legal status</w:t>
      </w:r>
      <w:r w:rsidR="0060110C">
        <w:t>,</w:t>
      </w:r>
      <w:r w:rsidR="00381B2F" w:rsidRPr="005269A4">
        <w:rPr>
          <w:i/>
          <w:iCs/>
        </w:rPr>
        <w:t xml:space="preserve"> </w:t>
      </w:r>
      <w:r w:rsidR="00381B2F" w:rsidRPr="005269A4">
        <w:t>who</w:t>
      </w:r>
      <w:r w:rsidR="00381B2F" w:rsidRPr="005269A4">
        <w:rPr>
          <w:i/>
          <w:iCs/>
        </w:rPr>
        <w:t>:</w:t>
      </w:r>
    </w:p>
    <w:p w14:paraId="3AA95B90" w14:textId="77777777" w:rsidR="00381B2F" w:rsidRPr="005269A4" w:rsidRDefault="00381B2F" w:rsidP="00563C62">
      <w:pPr>
        <w:pStyle w:val="Bullet1"/>
        <w:rPr>
          <w:rFonts w:eastAsiaTheme="minorEastAsia"/>
        </w:rPr>
      </w:pPr>
      <w:r w:rsidRPr="005269A4">
        <w:t>had been admitted to a mental health inpatient unit</w:t>
      </w:r>
    </w:p>
    <w:p w14:paraId="0E2A6E18" w14:textId="77777777" w:rsidR="00381B2F" w:rsidRPr="005269A4" w:rsidRDefault="00381B2F" w:rsidP="00563C62">
      <w:pPr>
        <w:pStyle w:val="Bullet1"/>
        <w:rPr>
          <w:rFonts w:eastAsiaTheme="minorEastAsia"/>
        </w:rPr>
      </w:pPr>
      <w:r w:rsidRPr="005269A4">
        <w:t>was on approved leave from an inpatient unit</w:t>
      </w:r>
    </w:p>
    <w:p w14:paraId="0CCE4CD6" w14:textId="77777777" w:rsidR="00381B2F" w:rsidRPr="005269A4" w:rsidRDefault="00381B2F" w:rsidP="00563C62">
      <w:pPr>
        <w:pStyle w:val="Bullet1"/>
        <w:rPr>
          <w:rFonts w:eastAsiaTheme="minorEastAsia"/>
        </w:rPr>
      </w:pPr>
      <w:r w:rsidRPr="005269A4">
        <w:lastRenderedPageBreak/>
        <w:t>had absconded from an inpatient unit</w:t>
      </w:r>
    </w:p>
    <w:p w14:paraId="61667778" w14:textId="77777777" w:rsidR="00381B2F" w:rsidRPr="005269A4" w:rsidRDefault="00381B2F" w:rsidP="00563C62">
      <w:pPr>
        <w:pStyle w:val="Bullet1"/>
        <w:rPr>
          <w:rFonts w:eastAsiaTheme="minorEastAsia"/>
        </w:rPr>
      </w:pPr>
      <w:r w:rsidRPr="005269A4">
        <w:t>had been transferred to a non-psychiatric ward during a mental health admission</w:t>
      </w:r>
    </w:p>
    <w:p w14:paraId="33022C9B" w14:textId="77777777" w:rsidR="00381B2F" w:rsidRPr="005269A4" w:rsidRDefault="00381B2F" w:rsidP="00563C62">
      <w:pPr>
        <w:pStyle w:val="Bullet1"/>
        <w:rPr>
          <w:rFonts w:eastAsiaTheme="minorEastAsia"/>
        </w:rPr>
      </w:pPr>
      <w:r w:rsidRPr="005269A4">
        <w:t>had been discharged from a mental health inpatient unit within the previous 24 hours</w:t>
      </w:r>
    </w:p>
    <w:p w14:paraId="7576135E" w14:textId="77777777" w:rsidR="00381B2F" w:rsidRPr="005269A4" w:rsidRDefault="00381B2F" w:rsidP="00563C62">
      <w:pPr>
        <w:pStyle w:val="Bullet1"/>
        <w:rPr>
          <w:rFonts w:eastAsiaTheme="minorEastAsia"/>
        </w:rPr>
      </w:pPr>
      <w:r w:rsidRPr="005269A4">
        <w:t>had been waiting in an emergency department for a mental health bed to become available.</w:t>
      </w:r>
    </w:p>
    <w:p w14:paraId="4DD1EDEA" w14:textId="77777777" w:rsidR="00381B2F" w:rsidRPr="005269A4" w:rsidRDefault="00381B2F" w:rsidP="00643556">
      <w:pPr>
        <w:pStyle w:val="Bodyafterbullets"/>
      </w:pPr>
      <w:r w:rsidRPr="005269A4">
        <w:t>In the case of deaths in the community, the Chief Psychiatrist must be notified of:</w:t>
      </w:r>
    </w:p>
    <w:p w14:paraId="09A11216" w14:textId="77777777" w:rsidR="00381B2F" w:rsidRPr="00EC49D8" w:rsidRDefault="00381B2F" w:rsidP="00563C62">
      <w:pPr>
        <w:pStyle w:val="Bullet1"/>
      </w:pPr>
      <w:r w:rsidRPr="005269A4">
        <w:t xml:space="preserve">all unexpected, </w:t>
      </w:r>
      <w:proofErr w:type="gramStart"/>
      <w:r w:rsidRPr="005269A4">
        <w:t>unnatural</w:t>
      </w:r>
      <w:proofErr w:type="gramEnd"/>
      <w:r w:rsidRPr="005269A4">
        <w:t xml:space="preserve"> or violent deaths (including suspected suicides) of people who had been registered as a mental health consumer within the previous three months or who had sought care from a mental health provider within that period and had not received treatment</w:t>
      </w:r>
    </w:p>
    <w:p w14:paraId="033F94F0" w14:textId="77777777" w:rsidR="00381B2F" w:rsidRPr="00EC49D8" w:rsidRDefault="00381B2F" w:rsidP="00563C62">
      <w:pPr>
        <w:pStyle w:val="Bullet1"/>
      </w:pPr>
      <w:r w:rsidRPr="005269A4">
        <w:t>all deaths of patients under community treatment orders or non-custodial supervision orders.</w:t>
      </w:r>
    </w:p>
    <w:p w14:paraId="39415E7B" w14:textId="77777777" w:rsidR="00381B2F" w:rsidRPr="005269A4" w:rsidRDefault="00381B2F" w:rsidP="00D55654">
      <w:pPr>
        <w:pStyle w:val="Bodyafterbullets"/>
      </w:pPr>
      <w:r w:rsidRPr="005269A4">
        <w:t xml:space="preserve">People </w:t>
      </w:r>
      <w:proofErr w:type="gramStart"/>
      <w:r w:rsidRPr="005269A4">
        <w:t>are considered to be</w:t>
      </w:r>
      <w:proofErr w:type="gramEnd"/>
      <w:r w:rsidRPr="005269A4">
        <w:t xml:space="preserve"> mental health consumers until their case is closed and they have been told of this change in status (or the service has made reasonable efforts to do so).</w:t>
      </w:r>
    </w:p>
    <w:p w14:paraId="1BD25D5E" w14:textId="77777777" w:rsidR="00381B2F" w:rsidRPr="005269A4" w:rsidRDefault="00381B2F" w:rsidP="00B5548B">
      <w:pPr>
        <w:pStyle w:val="Bodyafterbullets"/>
      </w:pPr>
      <w:r w:rsidRPr="005269A4">
        <w:t>The Chief Psychiatrist is accountable for the following functions with respect to consumers’ deaths:</w:t>
      </w:r>
    </w:p>
    <w:p w14:paraId="7054B0F8" w14:textId="77777777" w:rsidR="00381B2F" w:rsidRPr="00EC49D8" w:rsidRDefault="00381B2F" w:rsidP="00563C62">
      <w:pPr>
        <w:pStyle w:val="Bullet1"/>
      </w:pPr>
      <w:r w:rsidRPr="005269A4">
        <w:t>to maintain a database of reportable deaths</w:t>
      </w:r>
    </w:p>
    <w:p w14:paraId="7C16016B" w14:textId="430846F4" w:rsidR="00381B2F" w:rsidRPr="00EC49D8" w:rsidRDefault="00381B2F" w:rsidP="00563C62">
      <w:pPr>
        <w:pStyle w:val="Bullet1"/>
      </w:pPr>
      <w:r w:rsidRPr="005269A4">
        <w:t xml:space="preserve">to contribute to coronial </w:t>
      </w:r>
      <w:r w:rsidR="00EB58AA">
        <w:t>i</w:t>
      </w:r>
      <w:r w:rsidRPr="005269A4">
        <w:t>nquiries and recommendations when requested by the coroner</w:t>
      </w:r>
    </w:p>
    <w:p w14:paraId="7341524A" w14:textId="77777777" w:rsidR="00381B2F" w:rsidRPr="00EC49D8" w:rsidRDefault="00381B2F" w:rsidP="00563C62">
      <w:pPr>
        <w:pStyle w:val="Bullet1"/>
      </w:pPr>
      <w:r w:rsidRPr="005269A4">
        <w:t>to review clinical reports provided by services to identify systemic issues that may have contributed to a person’s death</w:t>
      </w:r>
    </w:p>
    <w:p w14:paraId="2BFEDACB" w14:textId="67EE9416" w:rsidR="00381B2F" w:rsidRDefault="00381B2F" w:rsidP="00563C62">
      <w:pPr>
        <w:pStyle w:val="Bullet1"/>
      </w:pPr>
      <w:r w:rsidRPr="005269A4">
        <w:t xml:space="preserve">to identify </w:t>
      </w:r>
      <w:proofErr w:type="spellStart"/>
      <w:r w:rsidR="5C8313BD">
        <w:t>statewide</w:t>
      </w:r>
      <w:proofErr w:type="spellEnd"/>
      <w:r w:rsidRPr="005269A4">
        <w:t xml:space="preserve"> issues and provide guidance to mental health services to help reduce and prevent deaths and </w:t>
      </w:r>
      <w:r w:rsidR="0060110C">
        <w:t xml:space="preserve">to </w:t>
      </w:r>
      <w:r w:rsidRPr="005269A4">
        <w:t>provide safe and effective care.</w:t>
      </w:r>
    </w:p>
    <w:p w14:paraId="113E4F7D" w14:textId="309E455F" w:rsidR="00155658" w:rsidRPr="00155658" w:rsidRDefault="00155658" w:rsidP="00FC5F9B">
      <w:pPr>
        <w:pStyle w:val="Bodyafterbullets"/>
      </w:pPr>
      <w:r w:rsidRPr="00155658">
        <w:t xml:space="preserve">The Chief </w:t>
      </w:r>
      <w:r>
        <w:t>P</w:t>
      </w:r>
      <w:r w:rsidRPr="00155658">
        <w:t>sychiatrist collaborate</w:t>
      </w:r>
      <w:r w:rsidR="00B33A3C">
        <w:t>s</w:t>
      </w:r>
      <w:r w:rsidRPr="00155658">
        <w:t xml:space="preserve"> with the </w:t>
      </w:r>
      <w:r>
        <w:t>C</w:t>
      </w:r>
      <w:r w:rsidRPr="00155658">
        <w:t>oroner</w:t>
      </w:r>
      <w:r w:rsidR="00B33A3C">
        <w:t>’</w:t>
      </w:r>
      <w:r w:rsidRPr="00155658">
        <w:t xml:space="preserve">s </w:t>
      </w:r>
      <w:r>
        <w:t>C</w:t>
      </w:r>
      <w:r w:rsidRPr="00155658">
        <w:t xml:space="preserve">ourt </w:t>
      </w:r>
      <w:r>
        <w:t>to match</w:t>
      </w:r>
      <w:r w:rsidRPr="00155658">
        <w:t xml:space="preserve"> data </w:t>
      </w:r>
      <w:r>
        <w:t>and</w:t>
      </w:r>
      <w:r w:rsidRPr="00155658">
        <w:t xml:space="preserve"> identify suicide</w:t>
      </w:r>
      <w:r>
        <w:t xml:space="preserve">s of </w:t>
      </w:r>
      <w:r w:rsidR="004C15F1">
        <w:t xml:space="preserve">people </w:t>
      </w:r>
      <w:r>
        <w:t xml:space="preserve">who were recently discharged from mental health services. This cross-checking of data is also used to detect </w:t>
      </w:r>
      <w:r w:rsidRPr="00155658">
        <w:t xml:space="preserve">increased episodes of suicide in </w:t>
      </w:r>
      <w:r>
        <w:t>specific</w:t>
      </w:r>
      <w:r w:rsidRPr="00155658">
        <w:t xml:space="preserve"> areas</w:t>
      </w:r>
      <w:r>
        <w:t>, enabling th</w:t>
      </w:r>
      <w:r w:rsidRPr="00155658">
        <w:t xml:space="preserve">e </w:t>
      </w:r>
      <w:r>
        <w:t>D</w:t>
      </w:r>
      <w:r w:rsidRPr="00155658">
        <w:t>epartment</w:t>
      </w:r>
      <w:r>
        <w:t xml:space="preserve"> of Health to take early action</w:t>
      </w:r>
      <w:r w:rsidRPr="00155658">
        <w:t xml:space="preserve"> </w:t>
      </w:r>
      <w:r>
        <w:t>in</w:t>
      </w:r>
      <w:r w:rsidRPr="00155658">
        <w:t xml:space="preserve"> </w:t>
      </w:r>
      <w:r>
        <w:t xml:space="preserve">support of services responding to suicide </w:t>
      </w:r>
      <w:r w:rsidRPr="00155658">
        <w:t>clusters.</w:t>
      </w:r>
    </w:p>
    <w:p w14:paraId="6B1C659A" w14:textId="2CAA260F" w:rsidR="00381B2F" w:rsidRDefault="1CC23CA0" w:rsidP="7F4CE870">
      <w:pPr>
        <w:pStyle w:val="Heading3"/>
        <w:rPr>
          <w:rFonts w:ascii="Calibri" w:eastAsia="Calibri" w:hAnsi="Calibri"/>
          <w:b/>
          <w:sz w:val="22"/>
          <w:szCs w:val="22"/>
          <w:highlight w:val="magenta"/>
        </w:rPr>
      </w:pPr>
      <w:bookmarkStart w:id="34" w:name="_Toc52886244"/>
      <w:r>
        <w:t xml:space="preserve">Reportable deaths in </w:t>
      </w:r>
      <w:r w:rsidR="7B0FCD3B">
        <w:t>20</w:t>
      </w:r>
      <w:r w:rsidR="75C585E2">
        <w:t>2</w:t>
      </w:r>
      <w:r w:rsidR="001F0C36">
        <w:t>1</w:t>
      </w:r>
      <w:r w:rsidR="7B0FCD3B">
        <w:t>–2</w:t>
      </w:r>
      <w:bookmarkEnd w:id="34"/>
      <w:r w:rsidR="001F0C36">
        <w:t>2</w:t>
      </w:r>
    </w:p>
    <w:p w14:paraId="3B72A634" w14:textId="13E6CC98" w:rsidR="00381B2F" w:rsidRPr="002F20AE" w:rsidRDefault="00381B2F" w:rsidP="00563C62">
      <w:pPr>
        <w:pStyle w:val="Body"/>
        <w:rPr>
          <w:color w:val="FF0000"/>
        </w:rPr>
      </w:pPr>
      <w:r>
        <w:t xml:space="preserve">In </w:t>
      </w:r>
      <w:r w:rsidR="571CD37D">
        <w:t>20</w:t>
      </w:r>
      <w:r w:rsidR="7C0666A0">
        <w:t>2</w:t>
      </w:r>
      <w:r w:rsidR="00882208">
        <w:t>1</w:t>
      </w:r>
      <w:r w:rsidR="571CD37D">
        <w:t>–2</w:t>
      </w:r>
      <w:r w:rsidR="00882208">
        <w:t>2</w:t>
      </w:r>
      <w:r>
        <w:t xml:space="preserve"> mental health services reported </w:t>
      </w:r>
      <w:r w:rsidR="00933FF7">
        <w:t>3</w:t>
      </w:r>
      <w:r w:rsidR="004242F5">
        <w:t>36</w:t>
      </w:r>
      <w:r w:rsidR="00933FF7">
        <w:t xml:space="preserve"> </w:t>
      </w:r>
      <w:r>
        <w:t>deaths</w:t>
      </w:r>
      <w:r w:rsidR="00F60B53">
        <w:t>,</w:t>
      </w:r>
      <w:r>
        <w:t xml:space="preserve"> of which </w:t>
      </w:r>
      <w:r w:rsidR="00A95BA9">
        <w:t>17</w:t>
      </w:r>
      <w:r w:rsidR="00A5671D">
        <w:t xml:space="preserve"> </w:t>
      </w:r>
      <w:r>
        <w:t xml:space="preserve">were defined as ‘inpatient deaths’ </w:t>
      </w:r>
      <w:r w:rsidR="00A12442">
        <w:t xml:space="preserve">(Table </w:t>
      </w:r>
      <w:r w:rsidR="00E317E6">
        <w:t>8</w:t>
      </w:r>
      <w:r w:rsidR="00A12442">
        <w:t>). Th</w:t>
      </w:r>
      <w:r w:rsidR="009E6ADE">
        <w:t>e overall number</w:t>
      </w:r>
      <w:r w:rsidR="00A12442">
        <w:t xml:space="preserve"> encompasses</w:t>
      </w:r>
      <w:r>
        <w:t xml:space="preserve"> the deaths of people while on leave, shortly after </w:t>
      </w:r>
      <w:r w:rsidR="000D1445">
        <w:t xml:space="preserve">their </w:t>
      </w:r>
      <w:r>
        <w:t>discharge or following</w:t>
      </w:r>
      <w:r w:rsidR="000D1445">
        <w:t xml:space="preserve"> their</w:t>
      </w:r>
      <w:r>
        <w:t xml:space="preserve"> transfer to other types of wards. When adjusted for population, rates of </w:t>
      </w:r>
      <w:r w:rsidR="00C71B9A">
        <w:t xml:space="preserve">inpatient </w:t>
      </w:r>
      <w:r>
        <w:t xml:space="preserve">deaths </w:t>
      </w:r>
      <w:r w:rsidR="00EA0166">
        <w:t>have been</w:t>
      </w:r>
      <w:r w:rsidR="00F24A0E">
        <w:t xml:space="preserve"> </w:t>
      </w:r>
      <w:r w:rsidR="00AD70CB">
        <w:t>on a downward trend</w:t>
      </w:r>
      <w:r w:rsidR="0068021D">
        <w:t>,</w:t>
      </w:r>
      <w:r>
        <w:t xml:space="preserve"> while those of </w:t>
      </w:r>
      <w:r w:rsidR="00C71B9A">
        <w:t xml:space="preserve">community </w:t>
      </w:r>
      <w:r>
        <w:t xml:space="preserve">deaths </w:t>
      </w:r>
      <w:r w:rsidR="00CB0976">
        <w:t xml:space="preserve">have </w:t>
      </w:r>
      <w:r w:rsidR="00F24A0E">
        <w:t xml:space="preserve">increased </w:t>
      </w:r>
      <w:r w:rsidR="00C71B9A">
        <w:t xml:space="preserve">slightly </w:t>
      </w:r>
      <w:r w:rsidR="00F24A0E">
        <w:t xml:space="preserve">on the previous year but </w:t>
      </w:r>
      <w:r w:rsidR="00C71B9A">
        <w:t xml:space="preserve">are also decreasing over the </w:t>
      </w:r>
      <w:r w:rsidR="004F2D80">
        <w:t>long term</w:t>
      </w:r>
      <w:r>
        <w:t xml:space="preserve"> (</w:t>
      </w:r>
      <w:r w:rsidR="00D8536C">
        <w:t xml:space="preserve">Figure </w:t>
      </w:r>
      <w:r w:rsidR="004C15F1">
        <w:t>2 and Table 7</w:t>
      </w:r>
      <w:r>
        <w:t xml:space="preserve">). None of these deaths were known at the time of writing to </w:t>
      </w:r>
      <w:r w:rsidR="199C95CD">
        <w:t xml:space="preserve">have been the </w:t>
      </w:r>
      <w:r>
        <w:t xml:space="preserve">result </w:t>
      </w:r>
      <w:r w:rsidR="0ECCF1A5">
        <w:t>of</w:t>
      </w:r>
      <w:r>
        <w:t xml:space="preserve"> COVI</w:t>
      </w:r>
      <w:r w:rsidR="00892ED8">
        <w:t>D-19</w:t>
      </w:r>
      <w:r>
        <w:t>.</w:t>
      </w:r>
      <w:r w:rsidR="00AE5510">
        <w:t xml:space="preserve"> </w:t>
      </w:r>
    </w:p>
    <w:p w14:paraId="2C45509C" w14:textId="2F98C834" w:rsidR="00381B2F" w:rsidRDefault="00315BD4" w:rsidP="009A5423">
      <w:pPr>
        <w:pStyle w:val="Figurecaption"/>
        <w:rPr>
          <w:bCs/>
          <w:highlight w:val="green"/>
        </w:rPr>
      </w:pPr>
      <w:r>
        <w:lastRenderedPageBreak/>
        <w:t>Figure</w:t>
      </w:r>
      <w:r w:rsidR="00381B2F">
        <w:t xml:space="preserve"> </w:t>
      </w:r>
      <w:r w:rsidR="004C15F1">
        <w:t>2</w:t>
      </w:r>
      <w:r w:rsidR="00381B2F">
        <w:t>: Reportable deaths</w:t>
      </w:r>
      <w:r w:rsidR="00F37D79">
        <w:t xml:space="preserve"> </w:t>
      </w:r>
      <w:r w:rsidR="00381B2F">
        <w:t xml:space="preserve">per 100,000 Victorian </w:t>
      </w:r>
      <w:r w:rsidR="66FE9466">
        <w:t>population</w:t>
      </w:r>
      <w:r w:rsidR="00381B2F">
        <w:t>, 201</w:t>
      </w:r>
      <w:r w:rsidR="00F83C59">
        <w:t>7</w:t>
      </w:r>
      <w:r w:rsidR="00381B2F">
        <w:t>–1</w:t>
      </w:r>
      <w:r w:rsidR="00F83C59">
        <w:t>8</w:t>
      </w:r>
      <w:r w:rsidR="00381B2F">
        <w:t xml:space="preserve"> to </w:t>
      </w:r>
      <w:r w:rsidR="007B2175">
        <w:t>202</w:t>
      </w:r>
      <w:r w:rsidR="00231547">
        <w:t>1</w:t>
      </w:r>
      <w:r w:rsidR="007B2175">
        <w:t>–</w:t>
      </w:r>
      <w:r w:rsidR="007B2175" w:rsidRPr="009A089D">
        <w:t>2</w:t>
      </w:r>
      <w:r w:rsidR="00231547">
        <w:t>2</w:t>
      </w:r>
    </w:p>
    <w:p w14:paraId="3764363A" w14:textId="7CE40F3F" w:rsidR="004A3160" w:rsidRPr="00310DA3" w:rsidRDefault="009B2A39" w:rsidP="009A5423">
      <w:pPr>
        <w:pStyle w:val="Body"/>
        <w:rPr>
          <w:highlight w:val="yellow"/>
        </w:rPr>
      </w:pPr>
      <w:r>
        <w:rPr>
          <w:noProof/>
        </w:rPr>
        <w:drawing>
          <wp:inline distT="0" distB="0" distL="0" distR="0" wp14:anchorId="3E472A5A" wp14:editId="15FA4116">
            <wp:extent cx="5943600" cy="2743200"/>
            <wp:effectExtent l="0" t="0" r="0" b="0"/>
            <wp:docPr id="8" name="Chart 8" descr="Data visualisation of reportable deaths in the community and inpatient settings from 2017-18 to 2021-22">
              <a:extLst xmlns:a="http://schemas.openxmlformats.org/drawingml/2006/main">
                <a:ext uri="{FF2B5EF4-FFF2-40B4-BE49-F238E27FC236}">
                  <a16:creationId xmlns:a16="http://schemas.microsoft.com/office/drawing/2014/main" id="{23E761DA-DF94-422F-A1AC-709AB453B7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78221C7" w14:textId="48FC2AB3" w:rsidR="006B3F7E" w:rsidRDefault="00E8354D" w:rsidP="00013293">
      <w:pPr>
        <w:pStyle w:val="Tablefigurenote"/>
        <w:rPr>
          <w:b/>
          <w:sz w:val="21"/>
          <w:szCs w:val="21"/>
        </w:rPr>
      </w:pPr>
      <w:r>
        <w:t>Note:</w:t>
      </w:r>
      <w:r w:rsidR="008B4B58">
        <w:t xml:space="preserve"> </w:t>
      </w:r>
      <w:r w:rsidR="009F4C23">
        <w:t>R</w:t>
      </w:r>
      <w:r w:rsidR="009F4C23" w:rsidRPr="00BB7DF1">
        <w:t xml:space="preserve">eportable deaths </w:t>
      </w:r>
      <w:r w:rsidR="009F4C23">
        <w:t>data is</w:t>
      </w:r>
      <w:r w:rsidR="009F4C23" w:rsidRPr="00BB7DF1">
        <w:t xml:space="preserve"> continuously revised following confirmation of cause of death by coroner. As such, </w:t>
      </w:r>
      <w:r w:rsidR="009F4C23">
        <w:t>figures</w:t>
      </w:r>
      <w:r w:rsidR="009F4C23" w:rsidRPr="00BB7DF1">
        <w:t xml:space="preserve"> may </w:t>
      </w:r>
      <w:r w:rsidR="009F4C23">
        <w:t>vary</w:t>
      </w:r>
      <w:r w:rsidR="009F4C23" w:rsidRPr="00BB7DF1">
        <w:t xml:space="preserve"> slightly </w:t>
      </w:r>
      <w:r w:rsidR="009F4C23">
        <w:t xml:space="preserve">between annual </w:t>
      </w:r>
      <w:r w:rsidR="009F4C23" w:rsidRPr="00BB7DF1">
        <w:t>reports</w:t>
      </w:r>
      <w:r w:rsidR="009F4C23">
        <w:t xml:space="preserve"> from previous years</w:t>
      </w:r>
      <w:r w:rsidR="009F4C23" w:rsidRPr="00BB7DF1">
        <w:t>.</w:t>
      </w:r>
    </w:p>
    <w:p w14:paraId="66F563AE" w14:textId="511EA5E5" w:rsidR="000C64A4" w:rsidRPr="000C64A4" w:rsidRDefault="000C64A4" w:rsidP="00993C80">
      <w:pPr>
        <w:pStyle w:val="Tablecaption"/>
        <w:rPr>
          <w:highlight w:val="yellow"/>
        </w:rPr>
      </w:pPr>
      <w:r>
        <w:t xml:space="preserve">Table </w:t>
      </w:r>
      <w:r w:rsidR="00E317E6">
        <w:t>7</w:t>
      </w:r>
      <w:r>
        <w:t>: Reportable deaths per 100,000 Victorian population, 201</w:t>
      </w:r>
      <w:r w:rsidR="00887EE7">
        <w:t>7</w:t>
      </w:r>
      <w:r>
        <w:t>–1</w:t>
      </w:r>
      <w:r w:rsidR="00887EE7">
        <w:t>8</w:t>
      </w:r>
      <w:r>
        <w:t xml:space="preserve"> to 202</w:t>
      </w:r>
      <w:r w:rsidR="002A0CF4">
        <w:t>1</w:t>
      </w:r>
      <w:r w:rsidR="008B4B58">
        <w:t>–</w:t>
      </w:r>
      <w:r w:rsidRPr="002A0CF4">
        <w:t>2</w:t>
      </w:r>
      <w:r w:rsidR="002A0CF4" w:rsidRPr="002A0CF4">
        <w:t>2</w:t>
      </w:r>
    </w:p>
    <w:tbl>
      <w:tblPr>
        <w:tblStyle w:val="TableGrid"/>
        <w:tblW w:w="4593" w:type="pct"/>
        <w:tblInd w:w="0" w:type="dxa"/>
        <w:shd w:val="clear" w:color="auto" w:fill="92CDDC" w:themeFill="accent5" w:themeFillTint="99"/>
        <w:tblLook w:val="0620" w:firstRow="1" w:lastRow="0" w:firstColumn="0" w:lastColumn="0" w:noHBand="1" w:noVBand="1"/>
      </w:tblPr>
      <w:tblGrid>
        <w:gridCol w:w="2277"/>
        <w:gridCol w:w="1042"/>
        <w:gridCol w:w="1043"/>
        <w:gridCol w:w="1043"/>
        <w:gridCol w:w="1043"/>
        <w:gridCol w:w="1043"/>
        <w:gridCol w:w="1041"/>
      </w:tblGrid>
      <w:tr w:rsidR="00C165F7" w:rsidRPr="00310DA3" w14:paraId="47254E75" w14:textId="77777777" w:rsidTr="00AD1A96">
        <w:trPr>
          <w:trHeight w:val="395"/>
          <w:tblHeader/>
        </w:trPr>
        <w:tc>
          <w:tcPr>
            <w:tcW w:w="1335" w:type="pct"/>
            <w:shd w:val="clear" w:color="auto" w:fill="FFFFFF" w:themeFill="background1"/>
          </w:tcPr>
          <w:p w14:paraId="1AD61B42" w14:textId="77777777" w:rsidR="00C165F7" w:rsidRPr="006B3F7E" w:rsidRDefault="00C165F7" w:rsidP="00C165F7">
            <w:pPr>
              <w:pStyle w:val="Tablecolhead"/>
              <w:rPr>
                <w:sz w:val="20"/>
                <w:szCs w:val="20"/>
              </w:rPr>
            </w:pPr>
            <w:bookmarkStart w:id="35" w:name="_Hlk83213603"/>
            <w:r w:rsidRPr="006B3F7E">
              <w:rPr>
                <w:sz w:val="20"/>
                <w:szCs w:val="20"/>
              </w:rPr>
              <w:t>Measure</w:t>
            </w:r>
          </w:p>
        </w:tc>
        <w:tc>
          <w:tcPr>
            <w:tcW w:w="611" w:type="pct"/>
            <w:shd w:val="clear" w:color="auto" w:fill="FFFFFF" w:themeFill="background1"/>
            <w:vAlign w:val="center"/>
          </w:tcPr>
          <w:p w14:paraId="154307C4" w14:textId="081CCEA3" w:rsidR="00C165F7" w:rsidRPr="006B3F7E" w:rsidRDefault="00C165F7" w:rsidP="00312856">
            <w:pPr>
              <w:pStyle w:val="Tablecolhead"/>
              <w:jc w:val="center"/>
              <w:rPr>
                <w:sz w:val="20"/>
                <w:szCs w:val="20"/>
              </w:rPr>
            </w:pPr>
            <w:r w:rsidRPr="006B3F7E">
              <w:rPr>
                <w:sz w:val="20"/>
                <w:szCs w:val="20"/>
              </w:rPr>
              <w:t>2017–18</w:t>
            </w:r>
          </w:p>
        </w:tc>
        <w:tc>
          <w:tcPr>
            <w:tcW w:w="611" w:type="pct"/>
            <w:shd w:val="clear" w:color="auto" w:fill="FFFFFF" w:themeFill="background1"/>
            <w:vAlign w:val="center"/>
          </w:tcPr>
          <w:p w14:paraId="478D9AFB" w14:textId="4CCD505B" w:rsidR="00C165F7" w:rsidRPr="006B3F7E" w:rsidRDefault="00C165F7" w:rsidP="00312856">
            <w:pPr>
              <w:pStyle w:val="Tablecolhead"/>
              <w:jc w:val="center"/>
              <w:rPr>
                <w:sz w:val="20"/>
                <w:szCs w:val="20"/>
              </w:rPr>
            </w:pPr>
            <w:r w:rsidRPr="006B3F7E">
              <w:rPr>
                <w:sz w:val="20"/>
                <w:szCs w:val="20"/>
              </w:rPr>
              <w:t>2018–19</w:t>
            </w:r>
          </w:p>
        </w:tc>
        <w:tc>
          <w:tcPr>
            <w:tcW w:w="611" w:type="pct"/>
            <w:shd w:val="clear" w:color="auto" w:fill="FFFFFF" w:themeFill="background1"/>
            <w:vAlign w:val="center"/>
          </w:tcPr>
          <w:p w14:paraId="1E7F728A" w14:textId="72EA6BB1" w:rsidR="00C165F7" w:rsidRPr="006B3F7E" w:rsidRDefault="00C165F7" w:rsidP="00312856">
            <w:pPr>
              <w:pStyle w:val="Tablecolhead"/>
              <w:jc w:val="center"/>
              <w:rPr>
                <w:sz w:val="20"/>
                <w:szCs w:val="20"/>
              </w:rPr>
            </w:pPr>
            <w:r w:rsidRPr="006B3F7E">
              <w:rPr>
                <w:sz w:val="20"/>
                <w:szCs w:val="20"/>
              </w:rPr>
              <w:t>2019–20</w:t>
            </w:r>
          </w:p>
        </w:tc>
        <w:tc>
          <w:tcPr>
            <w:tcW w:w="611" w:type="pct"/>
            <w:shd w:val="clear" w:color="auto" w:fill="auto"/>
            <w:vAlign w:val="center"/>
          </w:tcPr>
          <w:p w14:paraId="1A59EC6E" w14:textId="72BE0207" w:rsidR="00C165F7" w:rsidRPr="006B3F7E" w:rsidRDefault="00C165F7" w:rsidP="00312856">
            <w:pPr>
              <w:pStyle w:val="Tablecolhead"/>
              <w:jc w:val="center"/>
              <w:rPr>
                <w:sz w:val="20"/>
                <w:szCs w:val="20"/>
              </w:rPr>
            </w:pPr>
            <w:r w:rsidRPr="006B3F7E">
              <w:rPr>
                <w:sz w:val="20"/>
                <w:szCs w:val="20"/>
              </w:rPr>
              <w:t>2020–21</w:t>
            </w:r>
          </w:p>
        </w:tc>
        <w:tc>
          <w:tcPr>
            <w:tcW w:w="611" w:type="pct"/>
            <w:vAlign w:val="center"/>
          </w:tcPr>
          <w:p w14:paraId="06CFF8B4" w14:textId="0175A1CE" w:rsidR="00C165F7" w:rsidRPr="006B3F7E" w:rsidRDefault="00C165F7" w:rsidP="00312856">
            <w:pPr>
              <w:pStyle w:val="Tablecolhead"/>
              <w:jc w:val="center"/>
              <w:rPr>
                <w:sz w:val="20"/>
                <w:szCs w:val="20"/>
              </w:rPr>
            </w:pPr>
            <w:r w:rsidRPr="006B3F7E">
              <w:rPr>
                <w:sz w:val="20"/>
                <w:szCs w:val="20"/>
              </w:rPr>
              <w:t>202</w:t>
            </w:r>
            <w:r>
              <w:rPr>
                <w:sz w:val="20"/>
                <w:szCs w:val="20"/>
              </w:rPr>
              <w:t>1</w:t>
            </w:r>
            <w:r w:rsidRPr="006B3F7E">
              <w:rPr>
                <w:sz w:val="20"/>
                <w:szCs w:val="20"/>
              </w:rPr>
              <w:t>–2</w:t>
            </w:r>
            <w:r>
              <w:rPr>
                <w:sz w:val="20"/>
                <w:szCs w:val="20"/>
              </w:rPr>
              <w:t>2</w:t>
            </w:r>
          </w:p>
        </w:tc>
        <w:tc>
          <w:tcPr>
            <w:tcW w:w="611" w:type="pct"/>
            <w:vAlign w:val="center"/>
          </w:tcPr>
          <w:p w14:paraId="7384C277" w14:textId="77777777" w:rsidR="00C165F7" w:rsidRPr="006B3F7E" w:rsidRDefault="00C165F7" w:rsidP="00312856">
            <w:pPr>
              <w:pStyle w:val="Tablecolhead"/>
              <w:jc w:val="center"/>
              <w:rPr>
                <w:sz w:val="20"/>
                <w:szCs w:val="20"/>
              </w:rPr>
            </w:pPr>
            <w:r w:rsidRPr="006B3F7E">
              <w:rPr>
                <w:sz w:val="20"/>
                <w:szCs w:val="20"/>
              </w:rPr>
              <w:t>Average</w:t>
            </w:r>
          </w:p>
        </w:tc>
      </w:tr>
      <w:tr w:rsidR="00C165F7" w:rsidRPr="00310DA3" w14:paraId="1E8B3FCE" w14:textId="77777777" w:rsidTr="00AD1A96">
        <w:trPr>
          <w:trHeight w:val="458"/>
        </w:trPr>
        <w:tc>
          <w:tcPr>
            <w:tcW w:w="1335" w:type="pct"/>
            <w:shd w:val="clear" w:color="auto" w:fill="FFFFFF" w:themeFill="background1"/>
          </w:tcPr>
          <w:p w14:paraId="7D3FC8D3" w14:textId="77777777" w:rsidR="00C165F7" w:rsidRPr="00310DA3" w:rsidRDefault="00C165F7" w:rsidP="00C165F7">
            <w:pPr>
              <w:pStyle w:val="Tabletext"/>
            </w:pPr>
            <w:r w:rsidRPr="408B5DD1">
              <w:t>Community deaths</w:t>
            </w:r>
          </w:p>
        </w:tc>
        <w:tc>
          <w:tcPr>
            <w:tcW w:w="611" w:type="pct"/>
            <w:shd w:val="clear" w:color="auto" w:fill="FFFFFF" w:themeFill="background1"/>
            <w:vAlign w:val="center"/>
          </w:tcPr>
          <w:p w14:paraId="3E204210" w14:textId="6DB0C0E1" w:rsidR="00C165F7" w:rsidRPr="004C15F1" w:rsidRDefault="00C165F7" w:rsidP="00312856">
            <w:pPr>
              <w:pStyle w:val="Tabletext"/>
              <w:jc w:val="center"/>
              <w:rPr>
                <w:rFonts w:cs="Arial"/>
              </w:rPr>
            </w:pPr>
            <w:r w:rsidRPr="00AD1A96">
              <w:rPr>
                <w:rFonts w:cs="Arial"/>
                <w:color w:val="000000"/>
              </w:rPr>
              <w:t>6.32</w:t>
            </w:r>
          </w:p>
        </w:tc>
        <w:tc>
          <w:tcPr>
            <w:tcW w:w="611" w:type="pct"/>
            <w:shd w:val="clear" w:color="auto" w:fill="FFFFFF" w:themeFill="background1"/>
            <w:vAlign w:val="center"/>
          </w:tcPr>
          <w:p w14:paraId="769341AA" w14:textId="488C6247" w:rsidR="00C165F7" w:rsidRPr="004C15F1" w:rsidRDefault="00C165F7" w:rsidP="00312856">
            <w:pPr>
              <w:pStyle w:val="Tabletext"/>
              <w:jc w:val="center"/>
              <w:rPr>
                <w:rFonts w:cs="Arial"/>
              </w:rPr>
            </w:pPr>
            <w:r w:rsidRPr="00AD1A96">
              <w:rPr>
                <w:rFonts w:cs="Arial"/>
                <w:color w:val="000000"/>
              </w:rPr>
              <w:t>6.50</w:t>
            </w:r>
          </w:p>
        </w:tc>
        <w:tc>
          <w:tcPr>
            <w:tcW w:w="611" w:type="pct"/>
            <w:shd w:val="clear" w:color="auto" w:fill="FFFFFF" w:themeFill="background1"/>
            <w:vAlign w:val="center"/>
          </w:tcPr>
          <w:p w14:paraId="0A4B1F81" w14:textId="2ABCB1C5" w:rsidR="00C165F7" w:rsidRPr="004C15F1" w:rsidRDefault="00C165F7" w:rsidP="00312856">
            <w:pPr>
              <w:pStyle w:val="Tabletext"/>
              <w:jc w:val="center"/>
              <w:rPr>
                <w:rFonts w:cs="Arial"/>
              </w:rPr>
            </w:pPr>
            <w:r w:rsidRPr="00AD1A96">
              <w:rPr>
                <w:rFonts w:cs="Arial"/>
                <w:color w:val="000000"/>
              </w:rPr>
              <w:t>5.42</w:t>
            </w:r>
          </w:p>
        </w:tc>
        <w:tc>
          <w:tcPr>
            <w:tcW w:w="611" w:type="pct"/>
            <w:shd w:val="clear" w:color="auto" w:fill="auto"/>
            <w:vAlign w:val="center"/>
          </w:tcPr>
          <w:p w14:paraId="7F045E5E" w14:textId="2F2706B0" w:rsidR="00C165F7" w:rsidRPr="004C15F1" w:rsidRDefault="00C165F7" w:rsidP="00312856">
            <w:pPr>
              <w:pStyle w:val="Tabletext"/>
              <w:jc w:val="center"/>
              <w:rPr>
                <w:rFonts w:cs="Arial"/>
              </w:rPr>
            </w:pPr>
            <w:r w:rsidRPr="00AD1A96">
              <w:rPr>
                <w:rFonts w:cs="Arial"/>
                <w:color w:val="000000"/>
              </w:rPr>
              <w:t>4.42</w:t>
            </w:r>
          </w:p>
        </w:tc>
        <w:tc>
          <w:tcPr>
            <w:tcW w:w="611" w:type="pct"/>
            <w:vAlign w:val="center"/>
          </w:tcPr>
          <w:p w14:paraId="65A5396D" w14:textId="1E97F2A7" w:rsidR="00C165F7" w:rsidRPr="00AD1A96" w:rsidRDefault="00844E66" w:rsidP="00312856">
            <w:pPr>
              <w:pStyle w:val="Tabletext"/>
              <w:jc w:val="center"/>
              <w:rPr>
                <w:rFonts w:cs="Arial"/>
                <w:color w:val="000000"/>
              </w:rPr>
            </w:pPr>
            <w:r w:rsidRPr="00AD1A96">
              <w:rPr>
                <w:rFonts w:cs="Arial"/>
                <w:color w:val="000000"/>
              </w:rPr>
              <w:t>4.56</w:t>
            </w:r>
          </w:p>
        </w:tc>
        <w:tc>
          <w:tcPr>
            <w:tcW w:w="611" w:type="pct"/>
            <w:vAlign w:val="center"/>
          </w:tcPr>
          <w:p w14:paraId="0E98FF6A" w14:textId="3E730AC7" w:rsidR="00C165F7" w:rsidRPr="00AD1A96" w:rsidRDefault="00C165F7" w:rsidP="00312856">
            <w:pPr>
              <w:pStyle w:val="Tabletext"/>
              <w:jc w:val="center"/>
              <w:rPr>
                <w:rFonts w:cs="Arial"/>
                <w:color w:val="000000"/>
              </w:rPr>
            </w:pPr>
            <w:r w:rsidRPr="00AD1A96">
              <w:rPr>
                <w:rFonts w:cs="Arial"/>
                <w:color w:val="000000"/>
              </w:rPr>
              <w:t>5.</w:t>
            </w:r>
            <w:r w:rsidR="00C51D03" w:rsidRPr="00AD1A96">
              <w:rPr>
                <w:rFonts w:cs="Arial"/>
                <w:color w:val="000000"/>
              </w:rPr>
              <w:t>44</w:t>
            </w:r>
          </w:p>
        </w:tc>
      </w:tr>
      <w:tr w:rsidR="00C165F7" w:rsidRPr="00310DA3" w14:paraId="4CE756DB" w14:textId="77777777" w:rsidTr="00AD1A96">
        <w:trPr>
          <w:trHeight w:val="438"/>
        </w:trPr>
        <w:tc>
          <w:tcPr>
            <w:tcW w:w="1335" w:type="pct"/>
            <w:shd w:val="clear" w:color="auto" w:fill="FFFFFF" w:themeFill="background1"/>
          </w:tcPr>
          <w:p w14:paraId="5F1B8173" w14:textId="77777777" w:rsidR="00C165F7" w:rsidRPr="00310DA3" w:rsidRDefault="00C165F7" w:rsidP="00C165F7">
            <w:pPr>
              <w:pStyle w:val="Tabletext"/>
            </w:pPr>
            <w:r w:rsidRPr="408B5DD1">
              <w:t>Inpatient deaths</w:t>
            </w:r>
          </w:p>
        </w:tc>
        <w:tc>
          <w:tcPr>
            <w:tcW w:w="611" w:type="pct"/>
            <w:shd w:val="clear" w:color="auto" w:fill="FFFFFF" w:themeFill="background1"/>
            <w:vAlign w:val="center"/>
          </w:tcPr>
          <w:p w14:paraId="273EBAFA" w14:textId="24DD4B93" w:rsidR="00C165F7" w:rsidRPr="004C15F1" w:rsidRDefault="00C165F7" w:rsidP="00312856">
            <w:pPr>
              <w:pStyle w:val="Tabletext"/>
              <w:jc w:val="center"/>
              <w:rPr>
                <w:rFonts w:cs="Arial"/>
              </w:rPr>
            </w:pPr>
            <w:r w:rsidRPr="00AD1A96">
              <w:rPr>
                <w:rFonts w:cs="Arial"/>
                <w:color w:val="000000"/>
              </w:rPr>
              <w:t>0.59</w:t>
            </w:r>
          </w:p>
        </w:tc>
        <w:tc>
          <w:tcPr>
            <w:tcW w:w="611" w:type="pct"/>
            <w:shd w:val="clear" w:color="auto" w:fill="FFFFFF" w:themeFill="background1"/>
            <w:vAlign w:val="center"/>
          </w:tcPr>
          <w:p w14:paraId="2C97C703" w14:textId="67B1C573" w:rsidR="00C165F7" w:rsidRPr="004C15F1" w:rsidRDefault="00C165F7" w:rsidP="00312856">
            <w:pPr>
              <w:pStyle w:val="Tabletext"/>
              <w:jc w:val="center"/>
              <w:rPr>
                <w:rFonts w:cs="Arial"/>
              </w:rPr>
            </w:pPr>
            <w:r w:rsidRPr="00AD1A96">
              <w:rPr>
                <w:rFonts w:cs="Arial"/>
                <w:color w:val="000000"/>
              </w:rPr>
              <w:t>0.36</w:t>
            </w:r>
          </w:p>
        </w:tc>
        <w:tc>
          <w:tcPr>
            <w:tcW w:w="611" w:type="pct"/>
            <w:shd w:val="clear" w:color="auto" w:fill="FFFFFF" w:themeFill="background1"/>
            <w:vAlign w:val="center"/>
          </w:tcPr>
          <w:p w14:paraId="55BA8EC9" w14:textId="11AD5C22" w:rsidR="00C165F7" w:rsidRPr="004C15F1" w:rsidRDefault="00C165F7" w:rsidP="00312856">
            <w:pPr>
              <w:pStyle w:val="Tabletext"/>
              <w:jc w:val="center"/>
              <w:rPr>
                <w:rFonts w:cs="Arial"/>
              </w:rPr>
            </w:pPr>
            <w:r w:rsidRPr="00AD1A96">
              <w:rPr>
                <w:rFonts w:cs="Arial"/>
                <w:color w:val="000000"/>
              </w:rPr>
              <w:t>0.62</w:t>
            </w:r>
          </w:p>
        </w:tc>
        <w:tc>
          <w:tcPr>
            <w:tcW w:w="611" w:type="pct"/>
            <w:shd w:val="clear" w:color="auto" w:fill="auto"/>
            <w:vAlign w:val="center"/>
          </w:tcPr>
          <w:p w14:paraId="7104A6E8" w14:textId="1652F740" w:rsidR="00C165F7" w:rsidRPr="004C15F1" w:rsidRDefault="00C165F7" w:rsidP="00312856">
            <w:pPr>
              <w:pStyle w:val="Tabletext"/>
              <w:jc w:val="center"/>
              <w:rPr>
                <w:rFonts w:cs="Arial"/>
              </w:rPr>
            </w:pPr>
            <w:r w:rsidRPr="00AD1A96">
              <w:rPr>
                <w:rFonts w:cs="Arial"/>
                <w:color w:val="000000"/>
              </w:rPr>
              <w:t>0.25</w:t>
            </w:r>
          </w:p>
        </w:tc>
        <w:tc>
          <w:tcPr>
            <w:tcW w:w="611" w:type="pct"/>
            <w:vAlign w:val="center"/>
          </w:tcPr>
          <w:p w14:paraId="5A841614" w14:textId="4B0A83E7" w:rsidR="00C165F7" w:rsidRPr="00AD1A96" w:rsidRDefault="003A3C07" w:rsidP="00312856">
            <w:pPr>
              <w:pStyle w:val="Tabletext"/>
              <w:jc w:val="center"/>
              <w:rPr>
                <w:rFonts w:cs="Arial"/>
                <w:color w:val="000000"/>
              </w:rPr>
            </w:pPr>
            <w:r w:rsidRPr="00AD1A96">
              <w:rPr>
                <w:rFonts w:cs="Arial"/>
                <w:color w:val="000000"/>
              </w:rPr>
              <w:t>0.24</w:t>
            </w:r>
          </w:p>
        </w:tc>
        <w:tc>
          <w:tcPr>
            <w:tcW w:w="611" w:type="pct"/>
            <w:vAlign w:val="center"/>
          </w:tcPr>
          <w:p w14:paraId="184FEA97" w14:textId="108F028A" w:rsidR="00C165F7" w:rsidRPr="00AD1A96" w:rsidRDefault="00C165F7" w:rsidP="00312856">
            <w:pPr>
              <w:pStyle w:val="Tabletext"/>
              <w:jc w:val="center"/>
              <w:rPr>
                <w:rFonts w:cs="Arial"/>
                <w:color w:val="000000"/>
              </w:rPr>
            </w:pPr>
            <w:r w:rsidRPr="00AD1A96">
              <w:rPr>
                <w:rFonts w:cs="Arial"/>
                <w:color w:val="000000"/>
              </w:rPr>
              <w:t>0.</w:t>
            </w:r>
            <w:r w:rsidR="00C51D03" w:rsidRPr="00AD1A96">
              <w:rPr>
                <w:rFonts w:cs="Arial"/>
                <w:color w:val="000000"/>
              </w:rPr>
              <w:t>41</w:t>
            </w:r>
          </w:p>
        </w:tc>
      </w:tr>
      <w:tr w:rsidR="00C165F7" w:rsidRPr="00310DA3" w14:paraId="73BF8B81" w14:textId="77777777" w:rsidTr="00AD1A96">
        <w:trPr>
          <w:trHeight w:val="438"/>
        </w:trPr>
        <w:tc>
          <w:tcPr>
            <w:tcW w:w="1335" w:type="pct"/>
            <w:shd w:val="clear" w:color="auto" w:fill="FFFFFF" w:themeFill="background1"/>
          </w:tcPr>
          <w:p w14:paraId="61FBEBA5" w14:textId="77777777" w:rsidR="00C165F7" w:rsidRPr="006359F9" w:rsidRDefault="00C165F7" w:rsidP="00C165F7">
            <w:pPr>
              <w:pStyle w:val="Tabletext"/>
              <w:rPr>
                <w:b/>
                <w:bCs/>
              </w:rPr>
            </w:pPr>
            <w:r w:rsidRPr="006359F9">
              <w:rPr>
                <w:b/>
                <w:bCs/>
              </w:rPr>
              <w:t>All deaths</w:t>
            </w:r>
          </w:p>
        </w:tc>
        <w:tc>
          <w:tcPr>
            <w:tcW w:w="611" w:type="pct"/>
            <w:shd w:val="clear" w:color="auto" w:fill="FFFFFF" w:themeFill="background1"/>
            <w:vAlign w:val="center"/>
          </w:tcPr>
          <w:p w14:paraId="4D4984AE" w14:textId="34741EC0" w:rsidR="00C165F7" w:rsidRPr="004C15F1" w:rsidRDefault="00C165F7" w:rsidP="00312856">
            <w:pPr>
              <w:pStyle w:val="Tabletext"/>
              <w:jc w:val="center"/>
              <w:rPr>
                <w:rFonts w:cs="Arial"/>
                <w:b/>
                <w:bCs/>
              </w:rPr>
            </w:pPr>
            <w:r w:rsidRPr="00AD1A96">
              <w:rPr>
                <w:rFonts w:cs="Arial"/>
                <w:b/>
                <w:bCs/>
                <w:color w:val="000000"/>
              </w:rPr>
              <w:t>6.90</w:t>
            </w:r>
          </w:p>
        </w:tc>
        <w:tc>
          <w:tcPr>
            <w:tcW w:w="611" w:type="pct"/>
            <w:shd w:val="clear" w:color="auto" w:fill="FFFFFF" w:themeFill="background1"/>
            <w:vAlign w:val="center"/>
          </w:tcPr>
          <w:p w14:paraId="1873E0AE" w14:textId="7061D838" w:rsidR="00C165F7" w:rsidRPr="004C15F1" w:rsidRDefault="00C165F7" w:rsidP="00312856">
            <w:pPr>
              <w:pStyle w:val="Tabletext"/>
              <w:jc w:val="center"/>
              <w:rPr>
                <w:rFonts w:cs="Arial"/>
                <w:b/>
                <w:bCs/>
              </w:rPr>
            </w:pPr>
            <w:r w:rsidRPr="00AD1A96">
              <w:rPr>
                <w:rFonts w:cs="Arial"/>
                <w:b/>
                <w:bCs/>
                <w:color w:val="000000"/>
              </w:rPr>
              <w:t>6.87</w:t>
            </w:r>
          </w:p>
        </w:tc>
        <w:tc>
          <w:tcPr>
            <w:tcW w:w="611" w:type="pct"/>
            <w:shd w:val="clear" w:color="auto" w:fill="FFFFFF" w:themeFill="background1"/>
            <w:vAlign w:val="center"/>
          </w:tcPr>
          <w:p w14:paraId="307F220B" w14:textId="3B4CAF2F" w:rsidR="00C165F7" w:rsidRPr="004C15F1" w:rsidRDefault="00C165F7" w:rsidP="00312856">
            <w:pPr>
              <w:pStyle w:val="Tabletext"/>
              <w:jc w:val="center"/>
              <w:rPr>
                <w:rFonts w:cs="Arial"/>
                <w:b/>
                <w:bCs/>
              </w:rPr>
            </w:pPr>
            <w:r w:rsidRPr="00AD1A96">
              <w:rPr>
                <w:rFonts w:cs="Arial"/>
                <w:b/>
                <w:bCs/>
                <w:color w:val="000000"/>
              </w:rPr>
              <w:t>6.05</w:t>
            </w:r>
          </w:p>
        </w:tc>
        <w:tc>
          <w:tcPr>
            <w:tcW w:w="611" w:type="pct"/>
            <w:shd w:val="clear" w:color="auto" w:fill="auto"/>
            <w:vAlign w:val="center"/>
          </w:tcPr>
          <w:p w14:paraId="1849C7A1" w14:textId="1FCFFE88" w:rsidR="00C165F7" w:rsidRPr="004C15F1" w:rsidRDefault="00C165F7" w:rsidP="00312856">
            <w:pPr>
              <w:pStyle w:val="Tabletext"/>
              <w:jc w:val="center"/>
              <w:rPr>
                <w:rFonts w:cs="Arial"/>
                <w:b/>
                <w:bCs/>
              </w:rPr>
            </w:pPr>
            <w:r w:rsidRPr="00AD1A96">
              <w:rPr>
                <w:rFonts w:cs="Arial"/>
                <w:b/>
                <w:bCs/>
                <w:color w:val="000000"/>
              </w:rPr>
              <w:t>4.66</w:t>
            </w:r>
          </w:p>
        </w:tc>
        <w:tc>
          <w:tcPr>
            <w:tcW w:w="611" w:type="pct"/>
            <w:vAlign w:val="center"/>
          </w:tcPr>
          <w:p w14:paraId="617C37D7" w14:textId="6007C8D1" w:rsidR="00C165F7" w:rsidRPr="004C15F1" w:rsidRDefault="00C165F7" w:rsidP="00312856">
            <w:pPr>
              <w:pStyle w:val="Tabletext"/>
              <w:jc w:val="center"/>
              <w:rPr>
                <w:rFonts w:cs="Arial"/>
                <w:b/>
                <w:bCs/>
              </w:rPr>
            </w:pPr>
            <w:r w:rsidRPr="00AD1A96">
              <w:rPr>
                <w:rFonts w:cs="Arial"/>
                <w:b/>
                <w:bCs/>
                <w:color w:val="000000"/>
              </w:rPr>
              <w:t>4.</w:t>
            </w:r>
            <w:r w:rsidR="003A3C07" w:rsidRPr="00AD1A96">
              <w:rPr>
                <w:rFonts w:cs="Arial"/>
                <w:b/>
                <w:bCs/>
                <w:color w:val="000000"/>
              </w:rPr>
              <w:t>81</w:t>
            </w:r>
          </w:p>
        </w:tc>
        <w:tc>
          <w:tcPr>
            <w:tcW w:w="611" w:type="pct"/>
            <w:vAlign w:val="center"/>
          </w:tcPr>
          <w:p w14:paraId="75771077" w14:textId="607FC4D2" w:rsidR="00C165F7" w:rsidRPr="004C15F1" w:rsidRDefault="00C165F7" w:rsidP="00312856">
            <w:pPr>
              <w:pStyle w:val="Tabletext"/>
              <w:jc w:val="center"/>
              <w:rPr>
                <w:rFonts w:cs="Arial"/>
                <w:b/>
                <w:bCs/>
              </w:rPr>
            </w:pPr>
            <w:r w:rsidRPr="00AD1A96">
              <w:rPr>
                <w:rFonts w:cs="Arial"/>
                <w:b/>
                <w:bCs/>
                <w:color w:val="000000"/>
              </w:rPr>
              <w:t>5.</w:t>
            </w:r>
            <w:r w:rsidR="00F97A68" w:rsidRPr="00AD1A96">
              <w:rPr>
                <w:rFonts w:cs="Arial"/>
                <w:b/>
                <w:bCs/>
                <w:color w:val="000000"/>
              </w:rPr>
              <w:t>8</w:t>
            </w:r>
            <w:r w:rsidR="00987E3C" w:rsidRPr="00AD1A96">
              <w:rPr>
                <w:rFonts w:cs="Arial"/>
                <w:b/>
                <w:bCs/>
                <w:color w:val="000000"/>
              </w:rPr>
              <w:t>6</w:t>
            </w:r>
          </w:p>
        </w:tc>
      </w:tr>
    </w:tbl>
    <w:p w14:paraId="7F5AF2F7" w14:textId="0CFEEE92" w:rsidR="00C7551A" w:rsidRPr="00BB7DF1" w:rsidRDefault="0099684E" w:rsidP="0099684E">
      <w:pPr>
        <w:pStyle w:val="Tablefigurenote"/>
      </w:pPr>
      <w:r>
        <w:t>Note:</w:t>
      </w:r>
      <w:bookmarkStart w:id="36" w:name="_Hlk83213080"/>
      <w:bookmarkEnd w:id="35"/>
      <w:r w:rsidR="008B4B58">
        <w:t xml:space="preserve"> </w:t>
      </w:r>
      <w:r w:rsidR="00BB7DF1">
        <w:t>T</w:t>
      </w:r>
      <w:r w:rsidR="00C7551A" w:rsidRPr="00BB7DF1">
        <w:t xml:space="preserve">his table </w:t>
      </w:r>
      <w:r w:rsidR="00B13E4B">
        <w:t>corresponds with</w:t>
      </w:r>
      <w:r w:rsidR="00C7551A" w:rsidRPr="00BB7DF1">
        <w:t xml:space="preserve"> the graph </w:t>
      </w:r>
      <w:r w:rsidR="00EB58AA">
        <w:t xml:space="preserve">in Figure </w:t>
      </w:r>
      <w:r w:rsidR="004C15F1">
        <w:t>2</w:t>
      </w:r>
      <w:r w:rsidR="00C7551A" w:rsidRPr="00BB7DF1">
        <w:t>. It is included for purposes of accessibility.</w:t>
      </w:r>
      <w:bookmarkEnd w:id="36"/>
    </w:p>
    <w:p w14:paraId="714AAEA6" w14:textId="2B130CD7" w:rsidR="005509E0" w:rsidRDefault="0050235F" w:rsidP="00643556">
      <w:pPr>
        <w:pStyle w:val="Bodyaftertable"/>
      </w:pPr>
      <w:r w:rsidRPr="00E9A183">
        <w:t xml:space="preserve">Of the </w:t>
      </w:r>
      <w:r w:rsidR="00677E77" w:rsidRPr="00773107">
        <w:t>3</w:t>
      </w:r>
      <w:r w:rsidR="00773107" w:rsidRPr="00773107">
        <w:t>36</w:t>
      </w:r>
      <w:r w:rsidR="00677E77" w:rsidRPr="00E9A183">
        <w:t xml:space="preserve"> </w:t>
      </w:r>
      <w:r w:rsidRPr="00E9A183">
        <w:t xml:space="preserve">notified deaths in </w:t>
      </w:r>
      <w:r w:rsidR="37A84D1D" w:rsidRPr="009F708E">
        <w:t>20</w:t>
      </w:r>
      <w:r w:rsidR="3A3A94BA" w:rsidRPr="009F708E">
        <w:t>2</w:t>
      </w:r>
      <w:r w:rsidR="00677E77" w:rsidRPr="009F708E">
        <w:t>1</w:t>
      </w:r>
      <w:r w:rsidR="37A84D1D" w:rsidRPr="009F708E">
        <w:t>–2</w:t>
      </w:r>
      <w:r w:rsidR="00677E77" w:rsidRPr="009F708E">
        <w:t>2</w:t>
      </w:r>
      <w:r w:rsidR="0072413B">
        <w:t xml:space="preserve"> (Table </w:t>
      </w:r>
      <w:r w:rsidR="00450119">
        <w:t>8</w:t>
      </w:r>
      <w:r w:rsidR="009F46C1">
        <w:t>)</w:t>
      </w:r>
      <w:r w:rsidR="37A84D1D">
        <w:t xml:space="preserve">, </w:t>
      </w:r>
      <w:r w:rsidR="6728C706">
        <w:t xml:space="preserve">the cause of death has yet to be </w:t>
      </w:r>
      <w:r w:rsidR="00BD519D">
        <w:t xml:space="preserve">determined </w:t>
      </w:r>
      <w:r w:rsidR="6728C706" w:rsidRPr="00773107">
        <w:t xml:space="preserve">in </w:t>
      </w:r>
      <w:r w:rsidR="00677E77" w:rsidRPr="00773107">
        <w:t>3</w:t>
      </w:r>
      <w:r w:rsidR="00773107" w:rsidRPr="00773107">
        <w:t>4</w:t>
      </w:r>
      <w:r w:rsidR="00677E77">
        <w:t xml:space="preserve"> </w:t>
      </w:r>
      <w:r w:rsidR="70C84BF9">
        <w:t>per</w:t>
      </w:r>
      <w:r w:rsidR="00EB58AA">
        <w:t xml:space="preserve"> </w:t>
      </w:r>
      <w:r w:rsidR="70C84BF9">
        <w:t>cent</w:t>
      </w:r>
      <w:r w:rsidR="6728C706">
        <w:t xml:space="preserve"> of instances. Of the remainder, suicide and medical causes accounted for nearly equ</w:t>
      </w:r>
      <w:r w:rsidR="2083A1F4">
        <w:t>al proportions (</w:t>
      </w:r>
      <w:r w:rsidR="0059269B">
        <w:t>33</w:t>
      </w:r>
      <w:r w:rsidR="70C84BF9">
        <w:t xml:space="preserve"> per</w:t>
      </w:r>
      <w:r w:rsidR="00EB58AA">
        <w:t xml:space="preserve"> </w:t>
      </w:r>
      <w:r w:rsidR="70C84BF9">
        <w:t>cent</w:t>
      </w:r>
      <w:r w:rsidR="45FF2314">
        <w:t xml:space="preserve"> and </w:t>
      </w:r>
      <w:r w:rsidR="00491EF1">
        <w:t>28</w:t>
      </w:r>
      <w:r w:rsidR="70C84BF9">
        <w:t xml:space="preserve"> per</w:t>
      </w:r>
      <w:r w:rsidR="00EB58AA">
        <w:t xml:space="preserve"> </w:t>
      </w:r>
      <w:r w:rsidR="70C84BF9">
        <w:t>cent</w:t>
      </w:r>
      <w:r w:rsidR="2083A1F4">
        <w:t xml:space="preserve"> respectively</w:t>
      </w:r>
      <w:r w:rsidR="497604DB">
        <w:t>)</w:t>
      </w:r>
      <w:r w:rsidR="2083A1F4">
        <w:t xml:space="preserve">. </w:t>
      </w:r>
      <w:r w:rsidR="00766429">
        <w:t xml:space="preserve">Suicide data </w:t>
      </w:r>
      <w:r w:rsidR="004045B3">
        <w:t xml:space="preserve">is </w:t>
      </w:r>
      <w:proofErr w:type="gramStart"/>
      <w:r w:rsidR="004045B3">
        <w:t>cross</w:t>
      </w:r>
      <w:r w:rsidR="00EB58AA">
        <w:t>-</w:t>
      </w:r>
      <w:r w:rsidR="004045B3">
        <w:t>validated</w:t>
      </w:r>
      <w:proofErr w:type="gramEnd"/>
      <w:r w:rsidR="004045B3">
        <w:t xml:space="preserve"> </w:t>
      </w:r>
      <w:r w:rsidR="00655ABE">
        <w:t xml:space="preserve">with data received from the </w:t>
      </w:r>
      <w:r w:rsidR="00D6491A">
        <w:t>C</w:t>
      </w:r>
      <w:r w:rsidR="00655ABE">
        <w:t xml:space="preserve">oroner’s </w:t>
      </w:r>
      <w:r w:rsidR="00D6491A">
        <w:t>C</w:t>
      </w:r>
      <w:r w:rsidR="00655ABE">
        <w:t>ourt.</w:t>
      </w:r>
      <w:r w:rsidR="00BB3267">
        <w:t xml:space="preserve"> </w:t>
      </w:r>
      <w:r w:rsidR="003750F6">
        <w:t>T</w:t>
      </w:r>
      <w:r w:rsidR="003750F6" w:rsidRPr="003750F6">
        <w:t xml:space="preserve">he </w:t>
      </w:r>
      <w:r w:rsidR="003750F6">
        <w:t>OCP</w:t>
      </w:r>
      <w:r w:rsidR="003750F6" w:rsidRPr="003750F6">
        <w:t xml:space="preserve"> maintains an active interest in ongoing coronial investigations</w:t>
      </w:r>
      <w:r w:rsidR="00BB3267">
        <w:t xml:space="preserve"> relating to reportable deaths</w:t>
      </w:r>
      <w:r w:rsidR="00AF5F17">
        <w:t xml:space="preserve">. It </w:t>
      </w:r>
      <w:r w:rsidR="003750F6" w:rsidRPr="003750F6">
        <w:t xml:space="preserve">receives and reviews the outcome of these as they arise, which may be several years after </w:t>
      </w:r>
      <w:r w:rsidR="00AF5F17">
        <w:t xml:space="preserve">a </w:t>
      </w:r>
      <w:r w:rsidR="003750F6" w:rsidRPr="003750F6">
        <w:t>death</w:t>
      </w:r>
      <w:r w:rsidR="00A72BA1">
        <w:t>.</w:t>
      </w:r>
      <w:r w:rsidR="00D37737">
        <w:t xml:space="preserve"> </w:t>
      </w:r>
    </w:p>
    <w:p w14:paraId="61C933C6" w14:textId="26F9B8EB" w:rsidR="00450119" w:rsidRDefault="00450119" w:rsidP="009A5423">
      <w:pPr>
        <w:pStyle w:val="Body"/>
      </w:pPr>
    </w:p>
    <w:p w14:paraId="65655B5D" w14:textId="14E0579E" w:rsidR="00381B2F" w:rsidRDefault="068C1BAB" w:rsidP="000D0B9B">
      <w:pPr>
        <w:pStyle w:val="Tablecaption"/>
      </w:pPr>
      <w:r>
        <w:t>Table</w:t>
      </w:r>
      <w:r w:rsidR="74DD142C">
        <w:t xml:space="preserve"> </w:t>
      </w:r>
      <w:r w:rsidR="00450119">
        <w:t>8</w:t>
      </w:r>
      <w:r w:rsidR="00381B2F">
        <w:t xml:space="preserve">: Reportable deaths by category, </w:t>
      </w:r>
      <w:r w:rsidR="007B2175">
        <w:t>202</w:t>
      </w:r>
      <w:r w:rsidR="00773BCE">
        <w:t>1</w:t>
      </w:r>
      <w:r w:rsidR="007B2175">
        <w:t>–2</w:t>
      </w:r>
      <w:r w:rsidR="00773BCE">
        <w:t>2</w:t>
      </w: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595"/>
        <w:gridCol w:w="1465"/>
        <w:gridCol w:w="1465"/>
        <w:gridCol w:w="1465"/>
        <w:gridCol w:w="1465"/>
      </w:tblGrid>
      <w:tr w:rsidR="002F45A7" w:rsidRPr="00934BBD" w14:paraId="6C3A0FBF" w14:textId="77777777" w:rsidTr="00036AD0">
        <w:trPr>
          <w:trHeight w:val="510"/>
          <w:tblHeader/>
        </w:trPr>
        <w:tc>
          <w:tcPr>
            <w:tcW w:w="2595" w:type="dxa"/>
            <w:shd w:val="clear" w:color="auto" w:fill="auto"/>
            <w:hideMark/>
          </w:tcPr>
          <w:p w14:paraId="512CC337" w14:textId="1B0082EF" w:rsidR="00934BBD" w:rsidRPr="00B43935" w:rsidRDefault="00934BBD" w:rsidP="006B3F7E">
            <w:pPr>
              <w:pStyle w:val="Tablecolhead"/>
              <w:rPr>
                <w:lang w:eastAsia="en-AU"/>
              </w:rPr>
            </w:pPr>
            <w:r w:rsidRPr="00BC67FA">
              <w:t>Category</w:t>
            </w:r>
          </w:p>
        </w:tc>
        <w:tc>
          <w:tcPr>
            <w:tcW w:w="1465" w:type="dxa"/>
            <w:shd w:val="clear" w:color="auto" w:fill="auto"/>
            <w:vAlign w:val="center"/>
            <w:hideMark/>
          </w:tcPr>
          <w:p w14:paraId="3D49F63D" w14:textId="1CA83A05" w:rsidR="00934BBD" w:rsidRPr="00B43935" w:rsidRDefault="00C94050" w:rsidP="00312856">
            <w:pPr>
              <w:pStyle w:val="Tablecolhead"/>
              <w:jc w:val="center"/>
              <w:rPr>
                <w:lang w:eastAsia="en-AU"/>
              </w:rPr>
            </w:pPr>
            <w:r w:rsidRPr="00BC67FA">
              <w:t xml:space="preserve">Community </w:t>
            </w:r>
            <w:r w:rsidR="004C15F1">
              <w:t>p</w:t>
            </w:r>
            <w:r w:rsidRPr="00BC67FA">
              <w:t>atient</w:t>
            </w:r>
          </w:p>
        </w:tc>
        <w:tc>
          <w:tcPr>
            <w:tcW w:w="1465" w:type="dxa"/>
            <w:shd w:val="clear" w:color="auto" w:fill="auto"/>
            <w:vAlign w:val="center"/>
            <w:hideMark/>
          </w:tcPr>
          <w:p w14:paraId="59785328" w14:textId="4B12A10A" w:rsidR="00934BBD" w:rsidRPr="00B43935" w:rsidRDefault="00C94050" w:rsidP="00312856">
            <w:pPr>
              <w:pStyle w:val="Tablecolhead"/>
              <w:jc w:val="center"/>
              <w:rPr>
                <w:lang w:eastAsia="en-AU"/>
              </w:rPr>
            </w:pPr>
            <w:r w:rsidRPr="00BC67FA">
              <w:t>Inpatient</w:t>
            </w:r>
          </w:p>
        </w:tc>
        <w:tc>
          <w:tcPr>
            <w:tcW w:w="1465" w:type="dxa"/>
            <w:shd w:val="clear" w:color="auto" w:fill="auto"/>
            <w:vAlign w:val="center"/>
            <w:hideMark/>
          </w:tcPr>
          <w:p w14:paraId="781B0CEE" w14:textId="622B3013" w:rsidR="00934BBD" w:rsidRPr="00B43935" w:rsidRDefault="00934BBD" w:rsidP="00312856">
            <w:pPr>
              <w:pStyle w:val="Tablecolhead"/>
              <w:jc w:val="center"/>
              <w:rPr>
                <w:lang w:eastAsia="en-AU"/>
              </w:rPr>
            </w:pPr>
            <w:r w:rsidRPr="00BC67FA">
              <w:t>Total</w:t>
            </w:r>
          </w:p>
        </w:tc>
        <w:tc>
          <w:tcPr>
            <w:tcW w:w="1465" w:type="dxa"/>
            <w:shd w:val="clear" w:color="auto" w:fill="auto"/>
            <w:vAlign w:val="center"/>
            <w:hideMark/>
          </w:tcPr>
          <w:p w14:paraId="40CBF9C7" w14:textId="0EA6B666" w:rsidR="00934BBD" w:rsidRPr="00B43935" w:rsidRDefault="002171FB" w:rsidP="00312856">
            <w:pPr>
              <w:pStyle w:val="Tablecolhead"/>
              <w:jc w:val="center"/>
              <w:rPr>
                <w:lang w:eastAsia="en-AU"/>
              </w:rPr>
            </w:pPr>
            <w:r w:rsidRPr="00BC67FA">
              <w:t>Proportion</w:t>
            </w:r>
          </w:p>
        </w:tc>
      </w:tr>
      <w:tr w:rsidR="002F45A7" w:rsidRPr="00934BBD" w14:paraId="49896F78" w14:textId="77777777" w:rsidTr="00036AD0">
        <w:trPr>
          <w:trHeight w:val="300"/>
        </w:trPr>
        <w:tc>
          <w:tcPr>
            <w:tcW w:w="2595" w:type="dxa"/>
            <w:shd w:val="clear" w:color="auto" w:fill="auto"/>
            <w:vAlign w:val="bottom"/>
            <w:hideMark/>
          </w:tcPr>
          <w:p w14:paraId="0A7B0508" w14:textId="7E0481E6" w:rsidR="00934BBD" w:rsidRPr="004C15F1" w:rsidRDefault="00C94050" w:rsidP="008B4B58">
            <w:pPr>
              <w:pStyle w:val="Tabletext"/>
              <w:rPr>
                <w:rFonts w:cs="Arial"/>
                <w:lang w:eastAsia="en-AU"/>
              </w:rPr>
            </w:pPr>
            <w:r w:rsidRPr="00036AD0">
              <w:rPr>
                <w:rFonts w:cs="Arial"/>
                <w:color w:val="000000"/>
              </w:rPr>
              <w:t>Accident/misadventure</w:t>
            </w:r>
          </w:p>
        </w:tc>
        <w:tc>
          <w:tcPr>
            <w:tcW w:w="1465" w:type="dxa"/>
            <w:shd w:val="clear" w:color="auto" w:fill="auto"/>
            <w:vAlign w:val="bottom"/>
            <w:hideMark/>
          </w:tcPr>
          <w:p w14:paraId="2C7CB416" w14:textId="0985377D" w:rsidR="00934BBD" w:rsidRPr="004C15F1" w:rsidRDefault="00C94050" w:rsidP="00312856">
            <w:pPr>
              <w:pStyle w:val="Tabletext"/>
              <w:jc w:val="center"/>
              <w:rPr>
                <w:rFonts w:cs="Arial"/>
                <w:lang w:eastAsia="en-AU"/>
              </w:rPr>
            </w:pPr>
            <w:r w:rsidRPr="00036AD0">
              <w:rPr>
                <w:rFonts w:cs="Arial"/>
                <w:color w:val="000000"/>
              </w:rPr>
              <w:t>16</w:t>
            </w:r>
          </w:p>
        </w:tc>
        <w:tc>
          <w:tcPr>
            <w:tcW w:w="1465" w:type="dxa"/>
            <w:shd w:val="clear" w:color="auto" w:fill="auto"/>
            <w:vAlign w:val="bottom"/>
            <w:hideMark/>
          </w:tcPr>
          <w:p w14:paraId="471581F7" w14:textId="2D9CDCE2" w:rsidR="00934BBD" w:rsidRPr="004C15F1" w:rsidRDefault="003C3DA0" w:rsidP="00312856">
            <w:pPr>
              <w:pStyle w:val="Tabletext"/>
              <w:jc w:val="center"/>
              <w:rPr>
                <w:rFonts w:cs="Arial"/>
                <w:lang w:eastAsia="en-AU"/>
              </w:rPr>
            </w:pPr>
            <w:r w:rsidRPr="004C15F1">
              <w:rPr>
                <w:rFonts w:cs="Arial"/>
                <w:lang w:eastAsia="en-AU"/>
              </w:rPr>
              <w:t>0</w:t>
            </w:r>
          </w:p>
        </w:tc>
        <w:tc>
          <w:tcPr>
            <w:tcW w:w="1465" w:type="dxa"/>
            <w:shd w:val="clear" w:color="auto" w:fill="auto"/>
            <w:noWrap/>
            <w:vAlign w:val="bottom"/>
            <w:hideMark/>
          </w:tcPr>
          <w:p w14:paraId="1F27AFA2" w14:textId="2FDAE52B" w:rsidR="00934BBD" w:rsidRPr="004C15F1" w:rsidRDefault="00C94050" w:rsidP="00312856">
            <w:pPr>
              <w:pStyle w:val="Tabletext"/>
              <w:jc w:val="center"/>
              <w:rPr>
                <w:rFonts w:cs="Arial"/>
                <w:lang w:eastAsia="en-AU"/>
              </w:rPr>
            </w:pPr>
            <w:r w:rsidRPr="00036AD0">
              <w:rPr>
                <w:rFonts w:cs="Arial"/>
                <w:color w:val="000000"/>
              </w:rPr>
              <w:t>16</w:t>
            </w:r>
          </w:p>
        </w:tc>
        <w:tc>
          <w:tcPr>
            <w:tcW w:w="1465" w:type="dxa"/>
            <w:shd w:val="clear" w:color="auto" w:fill="auto"/>
            <w:vAlign w:val="bottom"/>
            <w:hideMark/>
          </w:tcPr>
          <w:p w14:paraId="50899797" w14:textId="52DEDE54" w:rsidR="00934BBD" w:rsidRPr="004C15F1" w:rsidRDefault="00C94050" w:rsidP="00312856">
            <w:pPr>
              <w:pStyle w:val="Tabletext"/>
              <w:jc w:val="center"/>
              <w:rPr>
                <w:rFonts w:cs="Arial"/>
                <w:lang w:eastAsia="en-AU"/>
              </w:rPr>
            </w:pPr>
            <w:r w:rsidRPr="00036AD0">
              <w:rPr>
                <w:rFonts w:cs="Arial"/>
                <w:color w:val="000000"/>
              </w:rPr>
              <w:t>5</w:t>
            </w:r>
            <w:r w:rsidR="00667BCD" w:rsidRPr="00036AD0">
              <w:rPr>
                <w:rFonts w:cs="Arial"/>
                <w:color w:val="000000"/>
              </w:rPr>
              <w:t>%</w:t>
            </w:r>
          </w:p>
        </w:tc>
      </w:tr>
      <w:tr w:rsidR="002F45A7" w:rsidRPr="00934BBD" w14:paraId="313C1BA2" w14:textId="77777777" w:rsidTr="00036AD0">
        <w:trPr>
          <w:trHeight w:val="300"/>
        </w:trPr>
        <w:tc>
          <w:tcPr>
            <w:tcW w:w="2595" w:type="dxa"/>
            <w:shd w:val="clear" w:color="auto" w:fill="auto"/>
            <w:vAlign w:val="bottom"/>
            <w:hideMark/>
          </w:tcPr>
          <w:p w14:paraId="388632D9" w14:textId="78DA1BB5" w:rsidR="00934BBD" w:rsidRPr="004C15F1" w:rsidRDefault="00C94050" w:rsidP="008B4B58">
            <w:pPr>
              <w:pStyle w:val="Tabletext"/>
              <w:rPr>
                <w:rFonts w:cs="Arial"/>
                <w:lang w:eastAsia="en-AU"/>
              </w:rPr>
            </w:pPr>
            <w:r w:rsidRPr="00036AD0">
              <w:rPr>
                <w:rFonts w:cs="Arial"/>
                <w:color w:val="000000"/>
              </w:rPr>
              <w:t>Homicide</w:t>
            </w:r>
          </w:p>
        </w:tc>
        <w:tc>
          <w:tcPr>
            <w:tcW w:w="1465" w:type="dxa"/>
            <w:shd w:val="clear" w:color="auto" w:fill="auto"/>
            <w:vAlign w:val="bottom"/>
            <w:hideMark/>
          </w:tcPr>
          <w:p w14:paraId="0F598A06" w14:textId="7AC9878B" w:rsidR="00934BBD" w:rsidRPr="004C15F1" w:rsidRDefault="00C94050" w:rsidP="00312856">
            <w:pPr>
              <w:pStyle w:val="Tabletext"/>
              <w:jc w:val="center"/>
              <w:rPr>
                <w:rFonts w:cs="Arial"/>
                <w:lang w:eastAsia="en-AU"/>
              </w:rPr>
            </w:pPr>
            <w:r w:rsidRPr="00036AD0">
              <w:rPr>
                <w:rFonts w:cs="Arial"/>
                <w:color w:val="000000"/>
              </w:rPr>
              <w:t>2</w:t>
            </w:r>
          </w:p>
        </w:tc>
        <w:tc>
          <w:tcPr>
            <w:tcW w:w="1465" w:type="dxa"/>
            <w:shd w:val="clear" w:color="auto" w:fill="auto"/>
            <w:vAlign w:val="bottom"/>
            <w:hideMark/>
          </w:tcPr>
          <w:p w14:paraId="7910BDD3" w14:textId="75D28C56" w:rsidR="00934BBD" w:rsidRPr="004C15F1" w:rsidRDefault="003C3DA0" w:rsidP="00312856">
            <w:pPr>
              <w:pStyle w:val="Tabletext"/>
              <w:jc w:val="center"/>
              <w:rPr>
                <w:rFonts w:cs="Arial"/>
                <w:lang w:eastAsia="en-AU"/>
              </w:rPr>
            </w:pPr>
            <w:r w:rsidRPr="004C15F1">
              <w:rPr>
                <w:rFonts w:cs="Arial"/>
                <w:lang w:eastAsia="en-AU"/>
              </w:rPr>
              <w:t>0</w:t>
            </w:r>
          </w:p>
        </w:tc>
        <w:tc>
          <w:tcPr>
            <w:tcW w:w="1465" w:type="dxa"/>
            <w:shd w:val="clear" w:color="auto" w:fill="auto"/>
            <w:noWrap/>
            <w:vAlign w:val="bottom"/>
            <w:hideMark/>
          </w:tcPr>
          <w:p w14:paraId="124F49F5" w14:textId="18BFFF56" w:rsidR="00934BBD" w:rsidRPr="004C15F1" w:rsidRDefault="00C94050" w:rsidP="00312856">
            <w:pPr>
              <w:pStyle w:val="Tabletext"/>
              <w:jc w:val="center"/>
              <w:rPr>
                <w:rFonts w:cs="Arial"/>
                <w:lang w:eastAsia="en-AU"/>
              </w:rPr>
            </w:pPr>
            <w:r w:rsidRPr="00036AD0">
              <w:rPr>
                <w:rFonts w:cs="Arial"/>
                <w:color w:val="000000"/>
              </w:rPr>
              <w:t>2</w:t>
            </w:r>
          </w:p>
        </w:tc>
        <w:tc>
          <w:tcPr>
            <w:tcW w:w="1465" w:type="dxa"/>
            <w:shd w:val="clear" w:color="auto" w:fill="auto"/>
            <w:vAlign w:val="bottom"/>
            <w:hideMark/>
          </w:tcPr>
          <w:p w14:paraId="06D4EAB0" w14:textId="30B6E2A0" w:rsidR="00934BBD" w:rsidRPr="004C15F1" w:rsidRDefault="00C94050" w:rsidP="00312856">
            <w:pPr>
              <w:pStyle w:val="Tabletext"/>
              <w:jc w:val="center"/>
              <w:rPr>
                <w:rFonts w:cs="Arial"/>
                <w:lang w:eastAsia="en-AU"/>
              </w:rPr>
            </w:pPr>
            <w:r w:rsidRPr="00036AD0">
              <w:rPr>
                <w:rFonts w:cs="Arial"/>
                <w:color w:val="000000"/>
              </w:rPr>
              <w:t>1</w:t>
            </w:r>
            <w:r w:rsidR="00667BCD" w:rsidRPr="00036AD0">
              <w:rPr>
                <w:rFonts w:cs="Arial"/>
                <w:color w:val="000000"/>
              </w:rPr>
              <w:t>%</w:t>
            </w:r>
          </w:p>
        </w:tc>
      </w:tr>
      <w:tr w:rsidR="002F45A7" w:rsidRPr="00934BBD" w14:paraId="4BE94C3C" w14:textId="77777777" w:rsidTr="00036AD0">
        <w:trPr>
          <w:trHeight w:val="300"/>
        </w:trPr>
        <w:tc>
          <w:tcPr>
            <w:tcW w:w="2595" w:type="dxa"/>
            <w:shd w:val="clear" w:color="auto" w:fill="auto"/>
            <w:vAlign w:val="bottom"/>
            <w:hideMark/>
          </w:tcPr>
          <w:p w14:paraId="69FCEA72" w14:textId="7CC6983F" w:rsidR="00934BBD" w:rsidRPr="004C15F1" w:rsidRDefault="00C94050" w:rsidP="008B4B58">
            <w:pPr>
              <w:pStyle w:val="Tabletext"/>
              <w:rPr>
                <w:rFonts w:cs="Arial"/>
                <w:lang w:eastAsia="en-AU"/>
              </w:rPr>
            </w:pPr>
            <w:r w:rsidRPr="00036AD0">
              <w:rPr>
                <w:rFonts w:cs="Arial"/>
                <w:color w:val="000000"/>
              </w:rPr>
              <w:t xml:space="preserve">Medical </w:t>
            </w:r>
            <w:r w:rsidR="004C15F1">
              <w:rPr>
                <w:rFonts w:cs="Arial"/>
                <w:color w:val="000000"/>
              </w:rPr>
              <w:t>c</w:t>
            </w:r>
            <w:r w:rsidRPr="00036AD0">
              <w:rPr>
                <w:rFonts w:cs="Arial"/>
                <w:color w:val="000000"/>
              </w:rPr>
              <w:t>ondition</w:t>
            </w:r>
          </w:p>
        </w:tc>
        <w:tc>
          <w:tcPr>
            <w:tcW w:w="1465" w:type="dxa"/>
            <w:shd w:val="clear" w:color="auto" w:fill="auto"/>
            <w:vAlign w:val="bottom"/>
            <w:hideMark/>
          </w:tcPr>
          <w:p w14:paraId="26BAF407" w14:textId="5A847403" w:rsidR="00934BBD" w:rsidRPr="004C15F1" w:rsidRDefault="00F97A68" w:rsidP="00312856">
            <w:pPr>
              <w:pStyle w:val="Tabletext"/>
              <w:jc w:val="center"/>
              <w:rPr>
                <w:rFonts w:cs="Arial"/>
                <w:lang w:eastAsia="en-AU"/>
              </w:rPr>
            </w:pPr>
            <w:r w:rsidRPr="00036AD0">
              <w:rPr>
                <w:rFonts w:cs="Arial"/>
                <w:color w:val="000000"/>
              </w:rPr>
              <w:t>88</w:t>
            </w:r>
          </w:p>
        </w:tc>
        <w:tc>
          <w:tcPr>
            <w:tcW w:w="1465" w:type="dxa"/>
            <w:shd w:val="clear" w:color="auto" w:fill="auto"/>
            <w:vAlign w:val="bottom"/>
            <w:hideMark/>
          </w:tcPr>
          <w:p w14:paraId="6D30777F" w14:textId="50ED20C0" w:rsidR="00934BBD" w:rsidRPr="004C15F1" w:rsidRDefault="00F97A68" w:rsidP="00312856">
            <w:pPr>
              <w:pStyle w:val="Tabletext"/>
              <w:jc w:val="center"/>
              <w:rPr>
                <w:rFonts w:cs="Arial"/>
                <w:lang w:eastAsia="en-AU"/>
              </w:rPr>
            </w:pPr>
            <w:r w:rsidRPr="00036AD0">
              <w:rPr>
                <w:rFonts w:cs="Arial"/>
                <w:color w:val="000000"/>
              </w:rPr>
              <w:t>7</w:t>
            </w:r>
          </w:p>
        </w:tc>
        <w:tc>
          <w:tcPr>
            <w:tcW w:w="1465" w:type="dxa"/>
            <w:shd w:val="clear" w:color="auto" w:fill="auto"/>
            <w:noWrap/>
            <w:vAlign w:val="bottom"/>
            <w:hideMark/>
          </w:tcPr>
          <w:p w14:paraId="776543DC" w14:textId="24BDF218" w:rsidR="00934BBD" w:rsidRPr="004C15F1" w:rsidRDefault="00F97A68" w:rsidP="00312856">
            <w:pPr>
              <w:pStyle w:val="Tabletext"/>
              <w:jc w:val="center"/>
              <w:rPr>
                <w:rFonts w:cs="Arial"/>
                <w:lang w:eastAsia="en-AU"/>
              </w:rPr>
            </w:pPr>
            <w:r w:rsidRPr="00036AD0">
              <w:rPr>
                <w:rFonts w:cs="Arial"/>
                <w:color w:val="000000"/>
              </w:rPr>
              <w:t>95</w:t>
            </w:r>
          </w:p>
        </w:tc>
        <w:tc>
          <w:tcPr>
            <w:tcW w:w="1465" w:type="dxa"/>
            <w:shd w:val="clear" w:color="auto" w:fill="auto"/>
            <w:vAlign w:val="bottom"/>
            <w:hideMark/>
          </w:tcPr>
          <w:p w14:paraId="02E95187" w14:textId="0B86E2EB" w:rsidR="00934BBD" w:rsidRPr="004C15F1" w:rsidRDefault="00C94050" w:rsidP="00312856">
            <w:pPr>
              <w:pStyle w:val="Tabletext"/>
              <w:jc w:val="center"/>
              <w:rPr>
                <w:rFonts w:cs="Arial"/>
                <w:lang w:eastAsia="en-AU"/>
              </w:rPr>
            </w:pPr>
            <w:r w:rsidRPr="00036AD0">
              <w:rPr>
                <w:rFonts w:cs="Arial"/>
                <w:color w:val="000000"/>
              </w:rPr>
              <w:t>28</w:t>
            </w:r>
            <w:r w:rsidR="00667BCD" w:rsidRPr="00036AD0">
              <w:rPr>
                <w:rFonts w:cs="Arial"/>
                <w:color w:val="000000"/>
              </w:rPr>
              <w:t>%</w:t>
            </w:r>
          </w:p>
        </w:tc>
      </w:tr>
      <w:tr w:rsidR="002F45A7" w:rsidRPr="00934BBD" w14:paraId="166B2F02" w14:textId="77777777" w:rsidTr="00036AD0">
        <w:trPr>
          <w:trHeight w:val="300"/>
        </w:trPr>
        <w:tc>
          <w:tcPr>
            <w:tcW w:w="2595" w:type="dxa"/>
            <w:shd w:val="clear" w:color="auto" w:fill="auto"/>
            <w:vAlign w:val="bottom"/>
            <w:hideMark/>
          </w:tcPr>
          <w:p w14:paraId="501E695F" w14:textId="43A73A2C" w:rsidR="00934BBD" w:rsidRPr="004C15F1" w:rsidRDefault="00C94050" w:rsidP="008B4B58">
            <w:pPr>
              <w:pStyle w:val="Tabletext"/>
              <w:rPr>
                <w:rFonts w:cs="Arial"/>
                <w:lang w:eastAsia="en-AU"/>
              </w:rPr>
            </w:pPr>
            <w:r w:rsidRPr="00036AD0">
              <w:rPr>
                <w:rFonts w:cs="Arial"/>
                <w:color w:val="000000"/>
              </w:rPr>
              <w:t xml:space="preserve">Not </w:t>
            </w:r>
            <w:r w:rsidR="004C15F1">
              <w:rPr>
                <w:rFonts w:cs="Arial"/>
                <w:color w:val="000000"/>
              </w:rPr>
              <w:t>y</w:t>
            </w:r>
            <w:r w:rsidRPr="00036AD0">
              <w:rPr>
                <w:rFonts w:cs="Arial"/>
                <w:color w:val="000000"/>
              </w:rPr>
              <w:t xml:space="preserve">et </w:t>
            </w:r>
            <w:r w:rsidR="004C15F1">
              <w:rPr>
                <w:rFonts w:cs="Arial"/>
                <w:color w:val="000000"/>
              </w:rPr>
              <w:t>k</w:t>
            </w:r>
            <w:r w:rsidRPr="00036AD0">
              <w:rPr>
                <w:rFonts w:cs="Arial"/>
                <w:color w:val="000000"/>
              </w:rPr>
              <w:t>nown</w:t>
            </w:r>
          </w:p>
        </w:tc>
        <w:tc>
          <w:tcPr>
            <w:tcW w:w="1465" w:type="dxa"/>
            <w:shd w:val="clear" w:color="auto" w:fill="auto"/>
            <w:vAlign w:val="bottom"/>
            <w:hideMark/>
          </w:tcPr>
          <w:p w14:paraId="39BD4E9C" w14:textId="57B9DEEF" w:rsidR="00934BBD" w:rsidRPr="004C15F1" w:rsidRDefault="00F97A68" w:rsidP="00312856">
            <w:pPr>
              <w:pStyle w:val="Tabletext"/>
              <w:jc w:val="center"/>
              <w:rPr>
                <w:rFonts w:cs="Arial"/>
                <w:lang w:eastAsia="en-AU"/>
              </w:rPr>
            </w:pPr>
            <w:r w:rsidRPr="00036AD0">
              <w:rPr>
                <w:rFonts w:cs="Arial"/>
                <w:color w:val="000000"/>
              </w:rPr>
              <w:t>111</w:t>
            </w:r>
          </w:p>
        </w:tc>
        <w:tc>
          <w:tcPr>
            <w:tcW w:w="1465" w:type="dxa"/>
            <w:shd w:val="clear" w:color="auto" w:fill="auto"/>
            <w:vAlign w:val="bottom"/>
            <w:hideMark/>
          </w:tcPr>
          <w:p w14:paraId="2E7D7C22" w14:textId="7471B28F" w:rsidR="00934BBD" w:rsidRPr="004C15F1" w:rsidRDefault="00F97A68" w:rsidP="00312856">
            <w:pPr>
              <w:pStyle w:val="Tabletext"/>
              <w:jc w:val="center"/>
              <w:rPr>
                <w:rFonts w:cs="Arial"/>
                <w:lang w:eastAsia="en-AU"/>
              </w:rPr>
            </w:pPr>
            <w:r w:rsidRPr="00036AD0">
              <w:rPr>
                <w:rFonts w:cs="Arial"/>
                <w:color w:val="000000"/>
              </w:rPr>
              <w:t>2</w:t>
            </w:r>
          </w:p>
        </w:tc>
        <w:tc>
          <w:tcPr>
            <w:tcW w:w="1465" w:type="dxa"/>
            <w:shd w:val="clear" w:color="auto" w:fill="auto"/>
            <w:noWrap/>
            <w:vAlign w:val="bottom"/>
            <w:hideMark/>
          </w:tcPr>
          <w:p w14:paraId="1F0FE671" w14:textId="3ED69F12" w:rsidR="00934BBD" w:rsidRPr="004C15F1" w:rsidRDefault="00F97A68" w:rsidP="00312856">
            <w:pPr>
              <w:pStyle w:val="Tabletext"/>
              <w:jc w:val="center"/>
              <w:rPr>
                <w:rFonts w:cs="Arial"/>
                <w:lang w:eastAsia="en-AU"/>
              </w:rPr>
            </w:pPr>
            <w:r w:rsidRPr="00036AD0">
              <w:rPr>
                <w:rFonts w:cs="Arial"/>
                <w:color w:val="000000"/>
              </w:rPr>
              <w:t>113</w:t>
            </w:r>
          </w:p>
        </w:tc>
        <w:tc>
          <w:tcPr>
            <w:tcW w:w="1465" w:type="dxa"/>
            <w:shd w:val="clear" w:color="auto" w:fill="auto"/>
            <w:vAlign w:val="bottom"/>
            <w:hideMark/>
          </w:tcPr>
          <w:p w14:paraId="40083878" w14:textId="28527AB7" w:rsidR="00934BBD" w:rsidRPr="004C15F1" w:rsidRDefault="00F97A68" w:rsidP="00312856">
            <w:pPr>
              <w:pStyle w:val="Tabletext"/>
              <w:jc w:val="center"/>
              <w:rPr>
                <w:rFonts w:cs="Arial"/>
                <w:lang w:eastAsia="en-AU"/>
              </w:rPr>
            </w:pPr>
            <w:r w:rsidRPr="00036AD0">
              <w:rPr>
                <w:rFonts w:cs="Arial"/>
                <w:color w:val="000000"/>
              </w:rPr>
              <w:t>34</w:t>
            </w:r>
            <w:r w:rsidR="00667BCD" w:rsidRPr="00036AD0">
              <w:rPr>
                <w:rFonts w:cs="Arial"/>
                <w:color w:val="000000"/>
              </w:rPr>
              <w:t>%</w:t>
            </w:r>
          </w:p>
        </w:tc>
      </w:tr>
      <w:tr w:rsidR="002F45A7" w:rsidRPr="00934BBD" w14:paraId="18936B55" w14:textId="77777777" w:rsidTr="00036AD0">
        <w:trPr>
          <w:trHeight w:val="300"/>
        </w:trPr>
        <w:tc>
          <w:tcPr>
            <w:tcW w:w="2595" w:type="dxa"/>
            <w:shd w:val="clear" w:color="auto" w:fill="auto"/>
            <w:vAlign w:val="bottom"/>
            <w:hideMark/>
          </w:tcPr>
          <w:p w14:paraId="28F72A48" w14:textId="7F32C781" w:rsidR="00934BBD" w:rsidRPr="004C15F1" w:rsidRDefault="00C94050" w:rsidP="008B4B58">
            <w:pPr>
              <w:pStyle w:val="Tabletext"/>
              <w:rPr>
                <w:rFonts w:cs="Arial"/>
                <w:lang w:eastAsia="en-AU"/>
              </w:rPr>
            </w:pPr>
            <w:r w:rsidRPr="00036AD0">
              <w:rPr>
                <w:rFonts w:cs="Arial"/>
                <w:color w:val="000000"/>
              </w:rPr>
              <w:t>Suicide</w:t>
            </w:r>
          </w:p>
        </w:tc>
        <w:tc>
          <w:tcPr>
            <w:tcW w:w="1465" w:type="dxa"/>
            <w:shd w:val="clear" w:color="auto" w:fill="auto"/>
            <w:vAlign w:val="bottom"/>
            <w:hideMark/>
          </w:tcPr>
          <w:p w14:paraId="2D1DDBBB" w14:textId="0062ADF1" w:rsidR="00934BBD" w:rsidRPr="004C15F1" w:rsidRDefault="00F97A68" w:rsidP="00312856">
            <w:pPr>
              <w:pStyle w:val="Tabletext"/>
              <w:jc w:val="center"/>
              <w:rPr>
                <w:rFonts w:cs="Arial"/>
                <w:lang w:eastAsia="en-AU"/>
              </w:rPr>
            </w:pPr>
            <w:r w:rsidRPr="00036AD0">
              <w:rPr>
                <w:rFonts w:cs="Arial"/>
                <w:color w:val="000000"/>
              </w:rPr>
              <w:t>102</w:t>
            </w:r>
          </w:p>
        </w:tc>
        <w:tc>
          <w:tcPr>
            <w:tcW w:w="1465" w:type="dxa"/>
            <w:shd w:val="clear" w:color="auto" w:fill="auto"/>
            <w:vAlign w:val="bottom"/>
            <w:hideMark/>
          </w:tcPr>
          <w:p w14:paraId="6D836B06" w14:textId="7667102D" w:rsidR="00934BBD" w:rsidRPr="004C15F1" w:rsidRDefault="00F97A68" w:rsidP="00312856">
            <w:pPr>
              <w:pStyle w:val="Tabletext"/>
              <w:jc w:val="center"/>
              <w:rPr>
                <w:rFonts w:cs="Arial"/>
                <w:lang w:eastAsia="en-AU"/>
              </w:rPr>
            </w:pPr>
            <w:r w:rsidRPr="00036AD0">
              <w:rPr>
                <w:rFonts w:cs="Arial"/>
                <w:color w:val="000000"/>
              </w:rPr>
              <w:t>8</w:t>
            </w:r>
          </w:p>
        </w:tc>
        <w:tc>
          <w:tcPr>
            <w:tcW w:w="1465" w:type="dxa"/>
            <w:shd w:val="clear" w:color="auto" w:fill="auto"/>
            <w:noWrap/>
            <w:vAlign w:val="bottom"/>
            <w:hideMark/>
          </w:tcPr>
          <w:p w14:paraId="65ADBA11" w14:textId="5D7CC61F" w:rsidR="00934BBD" w:rsidRPr="004C15F1" w:rsidRDefault="00F97A68" w:rsidP="00312856">
            <w:pPr>
              <w:pStyle w:val="Tabletext"/>
              <w:jc w:val="center"/>
              <w:rPr>
                <w:rFonts w:cs="Arial"/>
                <w:lang w:eastAsia="en-AU"/>
              </w:rPr>
            </w:pPr>
            <w:r w:rsidRPr="00036AD0">
              <w:rPr>
                <w:rFonts w:cs="Arial"/>
                <w:color w:val="000000"/>
              </w:rPr>
              <w:t>110</w:t>
            </w:r>
          </w:p>
        </w:tc>
        <w:tc>
          <w:tcPr>
            <w:tcW w:w="1465" w:type="dxa"/>
            <w:shd w:val="clear" w:color="auto" w:fill="auto"/>
            <w:vAlign w:val="bottom"/>
            <w:hideMark/>
          </w:tcPr>
          <w:p w14:paraId="54C805CD" w14:textId="23F2E7AE" w:rsidR="00934BBD" w:rsidRPr="004C15F1" w:rsidRDefault="00C94050" w:rsidP="00312856">
            <w:pPr>
              <w:pStyle w:val="Tabletext"/>
              <w:jc w:val="center"/>
              <w:rPr>
                <w:rFonts w:cs="Arial"/>
                <w:lang w:eastAsia="en-AU"/>
              </w:rPr>
            </w:pPr>
            <w:r w:rsidRPr="00036AD0">
              <w:rPr>
                <w:rFonts w:cs="Arial"/>
                <w:color w:val="000000"/>
              </w:rPr>
              <w:t>33</w:t>
            </w:r>
            <w:r w:rsidR="00667BCD" w:rsidRPr="00036AD0">
              <w:rPr>
                <w:rFonts w:cs="Arial"/>
                <w:color w:val="000000"/>
              </w:rPr>
              <w:t>%</w:t>
            </w:r>
          </w:p>
        </w:tc>
      </w:tr>
      <w:tr w:rsidR="002F45A7" w:rsidRPr="00934BBD" w14:paraId="1D2ACB54" w14:textId="77777777" w:rsidTr="00036AD0">
        <w:trPr>
          <w:trHeight w:val="315"/>
        </w:trPr>
        <w:tc>
          <w:tcPr>
            <w:tcW w:w="2595" w:type="dxa"/>
            <w:shd w:val="clear" w:color="auto" w:fill="auto"/>
            <w:vAlign w:val="bottom"/>
            <w:hideMark/>
          </w:tcPr>
          <w:p w14:paraId="6A8957E5" w14:textId="016F913D" w:rsidR="00934BBD" w:rsidRPr="004C15F1" w:rsidRDefault="00F97A68" w:rsidP="008B4B58">
            <w:pPr>
              <w:pStyle w:val="Tabletext"/>
              <w:rPr>
                <w:rFonts w:cs="Arial"/>
                <w:b/>
                <w:bCs/>
                <w:lang w:eastAsia="en-AU"/>
              </w:rPr>
            </w:pPr>
            <w:r w:rsidRPr="00036AD0">
              <w:rPr>
                <w:rFonts w:cs="Arial"/>
                <w:b/>
                <w:bCs/>
                <w:color w:val="000000"/>
              </w:rPr>
              <w:t>Total</w:t>
            </w:r>
          </w:p>
        </w:tc>
        <w:tc>
          <w:tcPr>
            <w:tcW w:w="1465" w:type="dxa"/>
            <w:shd w:val="clear" w:color="auto" w:fill="auto"/>
            <w:noWrap/>
            <w:vAlign w:val="bottom"/>
            <w:hideMark/>
          </w:tcPr>
          <w:p w14:paraId="31FDD8FD" w14:textId="39014158" w:rsidR="00934BBD" w:rsidRPr="004C15F1" w:rsidRDefault="00F97A68" w:rsidP="00312856">
            <w:pPr>
              <w:pStyle w:val="Tabletext"/>
              <w:jc w:val="center"/>
              <w:rPr>
                <w:rFonts w:cs="Arial"/>
                <w:b/>
                <w:bCs/>
                <w:lang w:eastAsia="en-AU"/>
              </w:rPr>
            </w:pPr>
            <w:r w:rsidRPr="00036AD0">
              <w:rPr>
                <w:rFonts w:cs="Arial"/>
                <w:b/>
                <w:bCs/>
                <w:color w:val="000000"/>
              </w:rPr>
              <w:t>319</w:t>
            </w:r>
          </w:p>
        </w:tc>
        <w:tc>
          <w:tcPr>
            <w:tcW w:w="1465" w:type="dxa"/>
            <w:shd w:val="clear" w:color="auto" w:fill="auto"/>
            <w:noWrap/>
            <w:vAlign w:val="bottom"/>
            <w:hideMark/>
          </w:tcPr>
          <w:p w14:paraId="727A31DB" w14:textId="7B7ACCB3" w:rsidR="00934BBD" w:rsidRPr="004C15F1" w:rsidRDefault="00F97A68" w:rsidP="00312856">
            <w:pPr>
              <w:pStyle w:val="Tabletext"/>
              <w:jc w:val="center"/>
              <w:rPr>
                <w:rFonts w:cs="Arial"/>
                <w:b/>
                <w:bCs/>
                <w:lang w:eastAsia="en-AU"/>
              </w:rPr>
            </w:pPr>
            <w:r w:rsidRPr="00036AD0">
              <w:rPr>
                <w:rFonts w:cs="Arial"/>
                <w:b/>
                <w:bCs/>
                <w:color w:val="000000"/>
              </w:rPr>
              <w:t>17</w:t>
            </w:r>
          </w:p>
        </w:tc>
        <w:tc>
          <w:tcPr>
            <w:tcW w:w="1465" w:type="dxa"/>
            <w:shd w:val="clear" w:color="auto" w:fill="auto"/>
            <w:noWrap/>
            <w:vAlign w:val="bottom"/>
            <w:hideMark/>
          </w:tcPr>
          <w:p w14:paraId="54D7977E" w14:textId="3252C5A7" w:rsidR="00934BBD" w:rsidRPr="004C15F1" w:rsidRDefault="00F97A68" w:rsidP="00312856">
            <w:pPr>
              <w:pStyle w:val="Tabletext"/>
              <w:jc w:val="center"/>
              <w:rPr>
                <w:rFonts w:cs="Arial"/>
                <w:b/>
                <w:bCs/>
                <w:lang w:eastAsia="en-AU"/>
              </w:rPr>
            </w:pPr>
            <w:r w:rsidRPr="00036AD0">
              <w:rPr>
                <w:rFonts w:cs="Arial"/>
                <w:b/>
                <w:bCs/>
                <w:color w:val="000000"/>
              </w:rPr>
              <w:t>336</w:t>
            </w:r>
          </w:p>
        </w:tc>
        <w:tc>
          <w:tcPr>
            <w:tcW w:w="1465" w:type="dxa"/>
            <w:shd w:val="clear" w:color="auto" w:fill="auto"/>
            <w:vAlign w:val="bottom"/>
            <w:hideMark/>
          </w:tcPr>
          <w:p w14:paraId="6DDB9D34" w14:textId="3059BC5B" w:rsidR="00934BBD" w:rsidRPr="004C15F1" w:rsidRDefault="00F97A68" w:rsidP="00312856">
            <w:pPr>
              <w:pStyle w:val="Tabletext"/>
              <w:jc w:val="center"/>
              <w:rPr>
                <w:rFonts w:cs="Arial"/>
                <w:b/>
                <w:bCs/>
                <w:lang w:eastAsia="en-AU"/>
              </w:rPr>
            </w:pPr>
            <w:r w:rsidRPr="00036AD0">
              <w:rPr>
                <w:rFonts w:cs="Arial"/>
                <w:b/>
                <w:bCs/>
                <w:color w:val="000000"/>
              </w:rPr>
              <w:t>100</w:t>
            </w:r>
            <w:r w:rsidR="00667BCD" w:rsidRPr="00036AD0">
              <w:rPr>
                <w:rFonts w:cs="Arial"/>
                <w:b/>
                <w:color w:val="000000"/>
              </w:rPr>
              <w:t>%</w:t>
            </w:r>
          </w:p>
        </w:tc>
      </w:tr>
    </w:tbl>
    <w:p w14:paraId="1BB0FCF8" w14:textId="77777777" w:rsidR="00E8354D" w:rsidRDefault="00E8354D" w:rsidP="00643556">
      <w:pPr>
        <w:pStyle w:val="Tablefigurenote"/>
      </w:pPr>
      <w:r>
        <w:lastRenderedPageBreak/>
        <w:t>Notes:</w:t>
      </w:r>
    </w:p>
    <w:p w14:paraId="3B928FEB" w14:textId="64C18864" w:rsidR="002022A1" w:rsidRDefault="004D4154" w:rsidP="00F66DA9">
      <w:pPr>
        <w:pStyle w:val="Tablefigurenote"/>
      </w:pPr>
      <w:r>
        <w:t>‘</w:t>
      </w:r>
      <w:r w:rsidR="39073E04" w:rsidRPr="00643556">
        <w:t>Not yet known</w:t>
      </w:r>
      <w:r>
        <w:t>’</w:t>
      </w:r>
      <w:r w:rsidR="39073E04" w:rsidRPr="00643556">
        <w:t xml:space="preserve"> figures relate to deaths </w:t>
      </w:r>
      <w:r w:rsidR="00EB58AA">
        <w:t>that</w:t>
      </w:r>
      <w:r w:rsidR="00EB58AA" w:rsidRPr="00643556">
        <w:t xml:space="preserve"> </w:t>
      </w:r>
      <w:r w:rsidR="39073E04" w:rsidRPr="00643556">
        <w:t xml:space="preserve">are under investigation by the </w:t>
      </w:r>
      <w:proofErr w:type="gramStart"/>
      <w:r w:rsidR="39073E04" w:rsidRPr="00643556">
        <w:t>Coroner</w:t>
      </w:r>
      <w:proofErr w:type="gramEnd"/>
      <w:r w:rsidR="39073E04" w:rsidRPr="00643556">
        <w:t xml:space="preserve"> and not yet determined. Some of these investigations may result in a finding of </w:t>
      </w:r>
      <w:r w:rsidR="009E6ADE">
        <w:t>‘</w:t>
      </w:r>
      <w:r w:rsidR="39073E04" w:rsidRPr="00643556">
        <w:t>undetermined</w:t>
      </w:r>
      <w:r w:rsidR="009E6ADE">
        <w:t>’</w:t>
      </w:r>
      <w:r w:rsidR="39073E04" w:rsidRPr="00643556">
        <w:t>.</w:t>
      </w:r>
    </w:p>
    <w:p w14:paraId="6521B5EF" w14:textId="387AF6A2" w:rsidR="00A36039" w:rsidRPr="00643556" w:rsidRDefault="00A36039" w:rsidP="00643556">
      <w:pPr>
        <w:pStyle w:val="Tablefigurenote"/>
      </w:pPr>
      <w:r>
        <w:t xml:space="preserve">Out of </w:t>
      </w:r>
      <w:r w:rsidR="00BD57A4" w:rsidRPr="00773107">
        <w:t>3</w:t>
      </w:r>
      <w:r w:rsidR="00773107" w:rsidRPr="00773107">
        <w:t>36</w:t>
      </w:r>
      <w:r w:rsidR="00127CAF">
        <w:t xml:space="preserve"> notified </w:t>
      </w:r>
      <w:r w:rsidR="00444EF4">
        <w:t>deaths</w:t>
      </w:r>
      <w:r w:rsidR="004D3E5B">
        <w:t xml:space="preserve">, </w:t>
      </w:r>
      <w:r w:rsidR="00450119">
        <w:t>four</w:t>
      </w:r>
      <w:r w:rsidR="004D3E5B">
        <w:t xml:space="preserve"> are out of scope </w:t>
      </w:r>
      <w:r w:rsidR="004D3E5B" w:rsidRPr="136A51EB">
        <w:rPr>
          <w:rFonts w:cs="Arial"/>
          <w:color w:val="000000" w:themeColor="text1"/>
        </w:rPr>
        <w:t xml:space="preserve">(not reportable to </w:t>
      </w:r>
      <w:r w:rsidR="00EB58AA" w:rsidRPr="136A51EB">
        <w:rPr>
          <w:rFonts w:cs="Arial"/>
          <w:color w:val="000000" w:themeColor="text1"/>
        </w:rPr>
        <w:t xml:space="preserve">the </w:t>
      </w:r>
      <w:r w:rsidR="004D3E5B" w:rsidRPr="136A51EB">
        <w:rPr>
          <w:rFonts w:cs="Arial"/>
          <w:color w:val="000000" w:themeColor="text1"/>
        </w:rPr>
        <w:t>OCP)</w:t>
      </w:r>
      <w:r w:rsidR="7436F16D">
        <w:t>.</w:t>
      </w:r>
      <w:r w:rsidR="004D3E5B">
        <w:t xml:space="preserve"> </w:t>
      </w:r>
      <w:r w:rsidR="62C6CC51">
        <w:t>The</w:t>
      </w:r>
      <w:r w:rsidR="00735992">
        <w:t>se</w:t>
      </w:r>
      <w:r w:rsidR="00A56803">
        <w:t xml:space="preserve"> encompass deaths in private hospitals and community s</w:t>
      </w:r>
      <w:r w:rsidR="005E5F59">
        <w:t xml:space="preserve">upport </w:t>
      </w:r>
      <w:proofErr w:type="gramStart"/>
      <w:r w:rsidR="005E5F59">
        <w:t>services</w:t>
      </w:r>
      <w:r w:rsidR="00717D29">
        <w:t>, and</w:t>
      </w:r>
      <w:proofErr w:type="gramEnd"/>
      <w:r w:rsidR="62C6CC51">
        <w:t xml:space="preserve"> are reviewed by other relevant authorities.</w:t>
      </w:r>
    </w:p>
    <w:p w14:paraId="1527A0AE" w14:textId="60546CEE" w:rsidR="003F8BE4" w:rsidRPr="00643556" w:rsidRDefault="00E8354D" w:rsidP="00643556">
      <w:pPr>
        <w:pStyle w:val="Tablefigurenote"/>
      </w:pPr>
      <w:r>
        <w:t>The ‘</w:t>
      </w:r>
      <w:r w:rsidR="00264390">
        <w:t>m</w:t>
      </w:r>
      <w:r>
        <w:t xml:space="preserve">edical condition’ figures </w:t>
      </w:r>
      <w:r w:rsidR="49C582D4" w:rsidRPr="00643556">
        <w:t xml:space="preserve">include </w:t>
      </w:r>
      <w:r w:rsidR="00450119" w:rsidRPr="00643556">
        <w:t>several</w:t>
      </w:r>
      <w:r w:rsidR="003F8BE4" w:rsidRPr="00643556">
        <w:t xml:space="preserve"> </w:t>
      </w:r>
      <w:r w:rsidR="00316B56" w:rsidRPr="00643556">
        <w:t>i</w:t>
      </w:r>
      <w:r w:rsidR="003F8BE4" w:rsidRPr="00643556">
        <w:t>npatient death</w:t>
      </w:r>
      <w:r w:rsidR="00316B56" w:rsidRPr="00643556">
        <w:t>s</w:t>
      </w:r>
      <w:r w:rsidR="003F8BE4" w:rsidRPr="00643556">
        <w:t xml:space="preserve"> due to medical events unrelated to acute </w:t>
      </w:r>
      <w:r w:rsidR="0E7DD4B3" w:rsidRPr="00643556">
        <w:t xml:space="preserve">mental health </w:t>
      </w:r>
      <w:r w:rsidR="003F8BE4" w:rsidRPr="00643556">
        <w:t>care</w:t>
      </w:r>
      <w:r w:rsidR="7AAD7E10" w:rsidRPr="00643556">
        <w:t xml:space="preserve"> and a small number of death</w:t>
      </w:r>
      <w:r w:rsidR="00243AA9" w:rsidRPr="00643556">
        <w:t>s</w:t>
      </w:r>
      <w:r w:rsidR="7AAD7E10" w:rsidRPr="00643556">
        <w:t xml:space="preserve"> </w:t>
      </w:r>
      <w:r w:rsidR="00264390">
        <w:t>that</w:t>
      </w:r>
      <w:r w:rsidR="00264390" w:rsidRPr="00643556">
        <w:t xml:space="preserve"> </w:t>
      </w:r>
      <w:r w:rsidR="7AAD7E10" w:rsidRPr="00643556">
        <w:t>took place as part of</w:t>
      </w:r>
      <w:r w:rsidR="00264390">
        <w:t xml:space="preserve"> an</w:t>
      </w:r>
      <w:r w:rsidR="7AAD7E10" w:rsidRPr="00643556">
        <w:t xml:space="preserve"> </w:t>
      </w:r>
      <w:r w:rsidR="6CCFDBB1" w:rsidRPr="00643556">
        <w:t>end-of-life</w:t>
      </w:r>
      <w:r w:rsidR="7AAD7E10" w:rsidRPr="00643556">
        <w:t xml:space="preserve"> pathway</w:t>
      </w:r>
      <w:r w:rsidR="633FA4B5" w:rsidRPr="00643556">
        <w:t xml:space="preserve"> for terminal illness.</w:t>
      </w:r>
    </w:p>
    <w:p w14:paraId="4FC3CFED" w14:textId="5216EFFD" w:rsidR="002022A1" w:rsidRPr="00643556" w:rsidRDefault="005509E0" w:rsidP="00643556">
      <w:pPr>
        <w:pStyle w:val="Tablefigurenote"/>
      </w:pPr>
      <w:r w:rsidRPr="00643556">
        <w:t xml:space="preserve">The </w:t>
      </w:r>
      <w:r w:rsidR="002022A1" w:rsidRPr="00643556">
        <w:t xml:space="preserve">percentages may </w:t>
      </w:r>
      <w:r w:rsidRPr="00643556">
        <w:t xml:space="preserve">not add </w:t>
      </w:r>
      <w:r w:rsidR="002022A1" w:rsidRPr="00643556">
        <w:t>to exactly 100</w:t>
      </w:r>
      <w:r w:rsidR="008F74B0" w:rsidRPr="00643556">
        <w:t xml:space="preserve"> per cent</w:t>
      </w:r>
      <w:r w:rsidR="002022A1" w:rsidRPr="00643556">
        <w:t xml:space="preserve"> because of rounding</w:t>
      </w:r>
      <w:r w:rsidRPr="00643556">
        <w:t>.</w:t>
      </w:r>
      <w:r w:rsidR="002022A1" w:rsidRPr="00643556">
        <w:rPr>
          <w:bCs/>
        </w:rPr>
        <w:t xml:space="preserve"> </w:t>
      </w:r>
    </w:p>
    <w:p w14:paraId="5BE35AE4" w14:textId="21E3DCA0" w:rsidR="00450119" w:rsidRDefault="00D275D3" w:rsidP="00643556">
      <w:pPr>
        <w:pStyle w:val="Bodyaftertable"/>
        <w:rPr>
          <w:lang w:val="en-US"/>
        </w:rPr>
      </w:pPr>
      <w:r w:rsidRPr="136A51EB">
        <w:rPr>
          <w:lang w:val="en-US"/>
        </w:rPr>
        <w:t xml:space="preserve">Tables 7 and 8 include </w:t>
      </w:r>
      <w:r w:rsidR="00450119">
        <w:rPr>
          <w:lang w:val="en-US"/>
        </w:rPr>
        <w:t>four</w:t>
      </w:r>
      <w:r w:rsidRPr="136A51EB">
        <w:rPr>
          <w:lang w:val="en-US"/>
        </w:rPr>
        <w:t xml:space="preserve"> notified deaths </w:t>
      </w:r>
      <w:r w:rsidR="00264390" w:rsidRPr="136A51EB">
        <w:rPr>
          <w:lang w:val="en-US"/>
        </w:rPr>
        <w:t xml:space="preserve">that </w:t>
      </w:r>
      <w:r w:rsidRPr="136A51EB">
        <w:rPr>
          <w:lang w:val="en-US"/>
        </w:rPr>
        <w:t>were out of scope for the OCP reportable deaths criteria. These include</w:t>
      </w:r>
      <w:r w:rsidR="00450119">
        <w:rPr>
          <w:lang w:val="en-US"/>
        </w:rPr>
        <w:t>:</w:t>
      </w:r>
      <w:r w:rsidRPr="136A51EB">
        <w:rPr>
          <w:lang w:val="en-US"/>
        </w:rPr>
        <w:t xml:space="preserve"> </w:t>
      </w:r>
    </w:p>
    <w:p w14:paraId="53F004F4" w14:textId="3D93AAC3" w:rsidR="00450119" w:rsidRDefault="00D275D3" w:rsidP="00450119">
      <w:pPr>
        <w:pStyle w:val="Bullet1"/>
        <w:rPr>
          <w:lang w:val="en-US"/>
        </w:rPr>
      </w:pPr>
      <w:r w:rsidRPr="136A51EB">
        <w:rPr>
          <w:lang w:val="en-US"/>
        </w:rPr>
        <w:t>deaths occurring in private hospitals</w:t>
      </w:r>
    </w:p>
    <w:p w14:paraId="5D00A7C9" w14:textId="62E05A2B" w:rsidR="00450119" w:rsidRDefault="00D275D3" w:rsidP="00A243AE">
      <w:pPr>
        <w:pStyle w:val="Bullet1"/>
        <w:rPr>
          <w:lang w:val="en-US"/>
        </w:rPr>
      </w:pPr>
      <w:r w:rsidRPr="136A51EB">
        <w:rPr>
          <w:lang w:val="en-US"/>
        </w:rPr>
        <w:t>deaths due to natural causes</w:t>
      </w:r>
      <w:r w:rsidR="00091F0E" w:rsidRPr="136A51EB">
        <w:rPr>
          <w:lang w:val="en-US"/>
        </w:rPr>
        <w:t xml:space="preserve"> </w:t>
      </w:r>
      <w:r w:rsidRPr="136A51EB">
        <w:rPr>
          <w:lang w:val="en-US"/>
        </w:rPr>
        <w:t>not receiving mental health</w:t>
      </w:r>
    </w:p>
    <w:p w14:paraId="6124F702" w14:textId="650ABD00" w:rsidR="00D275D3" w:rsidRDefault="00D275D3" w:rsidP="00A243AE">
      <w:pPr>
        <w:pStyle w:val="Bullet1"/>
        <w:rPr>
          <w:lang w:val="en-US"/>
        </w:rPr>
      </w:pPr>
      <w:r w:rsidRPr="136A51EB">
        <w:rPr>
          <w:lang w:val="en-US"/>
        </w:rPr>
        <w:t>treatment or</w:t>
      </w:r>
      <w:r w:rsidR="00C97CB0" w:rsidRPr="136A51EB">
        <w:rPr>
          <w:lang w:val="en-US"/>
        </w:rPr>
        <w:t xml:space="preserve"> deaths of </w:t>
      </w:r>
      <w:r w:rsidRPr="136A51EB">
        <w:rPr>
          <w:lang w:val="en-US"/>
        </w:rPr>
        <w:t xml:space="preserve">discharged </w:t>
      </w:r>
      <w:r w:rsidR="00264390" w:rsidRPr="136A51EB">
        <w:rPr>
          <w:lang w:val="en-US"/>
        </w:rPr>
        <w:t xml:space="preserve">patients </w:t>
      </w:r>
      <w:r w:rsidR="00C2721F" w:rsidRPr="136A51EB">
        <w:rPr>
          <w:lang w:val="en-US"/>
        </w:rPr>
        <w:t xml:space="preserve">who had </w:t>
      </w:r>
      <w:r w:rsidRPr="136A51EB">
        <w:rPr>
          <w:lang w:val="en-US"/>
        </w:rPr>
        <w:t xml:space="preserve">little to no contact with mental health services </w:t>
      </w:r>
      <w:r w:rsidR="00264390" w:rsidRPr="136A51EB">
        <w:rPr>
          <w:lang w:val="en-US"/>
        </w:rPr>
        <w:t>before their death</w:t>
      </w:r>
      <w:r w:rsidR="001364DE" w:rsidRPr="136A51EB">
        <w:rPr>
          <w:lang w:val="en-US"/>
        </w:rPr>
        <w:t>.</w:t>
      </w:r>
    </w:p>
    <w:p w14:paraId="09436961" w14:textId="44609A80" w:rsidR="00B5103B" w:rsidRDefault="00381B2F" w:rsidP="00A243AE">
      <w:pPr>
        <w:pStyle w:val="Bodyafterbullets"/>
        <w:rPr>
          <w:lang w:val="en-US"/>
        </w:rPr>
      </w:pPr>
      <w:r w:rsidRPr="10DC7BF4">
        <w:rPr>
          <w:lang w:val="en-US"/>
        </w:rPr>
        <w:t xml:space="preserve">The OCP views every suicide in care as potentially preventable. Each number represents a person who has suffered and left behind family and loved ones. </w:t>
      </w:r>
      <w:r w:rsidR="00450119" w:rsidRPr="10DC7BF4">
        <w:rPr>
          <w:lang w:val="en-US"/>
        </w:rPr>
        <w:t xml:space="preserve">Safer Care Victoria </w:t>
      </w:r>
      <w:r w:rsidR="00450119">
        <w:rPr>
          <w:lang w:val="en-US"/>
        </w:rPr>
        <w:t>classifies a</w:t>
      </w:r>
      <w:r w:rsidRPr="10DC7BF4">
        <w:rPr>
          <w:lang w:val="en-US"/>
        </w:rPr>
        <w:t>ll inpatient suicides as sentinel events</w:t>
      </w:r>
      <w:r w:rsidR="00450119">
        <w:rPr>
          <w:lang w:val="en-US"/>
        </w:rPr>
        <w:t>;</w:t>
      </w:r>
      <w:r w:rsidRPr="10DC7BF4">
        <w:rPr>
          <w:lang w:val="en-US"/>
        </w:rPr>
        <w:t xml:space="preserve"> </w:t>
      </w:r>
      <w:r w:rsidR="00450119">
        <w:rPr>
          <w:lang w:val="en-US"/>
        </w:rPr>
        <w:t>they</w:t>
      </w:r>
      <w:r w:rsidRPr="10DC7BF4">
        <w:rPr>
          <w:lang w:val="en-US"/>
        </w:rPr>
        <w:t xml:space="preserve"> </w:t>
      </w:r>
      <w:r w:rsidR="00450119">
        <w:rPr>
          <w:lang w:val="en-US"/>
        </w:rPr>
        <w:t>trigger</w:t>
      </w:r>
      <w:r w:rsidRPr="10DC7BF4">
        <w:rPr>
          <w:lang w:val="en-US"/>
        </w:rPr>
        <w:t xml:space="preserve"> detailed reports </w:t>
      </w:r>
      <w:r w:rsidR="00450119">
        <w:rPr>
          <w:lang w:val="en-US"/>
        </w:rPr>
        <w:t xml:space="preserve">from </w:t>
      </w:r>
      <w:r w:rsidRPr="10DC7BF4">
        <w:rPr>
          <w:lang w:val="en-US"/>
        </w:rPr>
        <w:t xml:space="preserve">health services. These reports are reviewed within the </w:t>
      </w:r>
      <w:r w:rsidR="001F7590">
        <w:rPr>
          <w:lang w:val="en-US"/>
        </w:rPr>
        <w:t>OCP</w:t>
      </w:r>
      <w:r w:rsidRPr="75EB3A12">
        <w:rPr>
          <w:lang w:val="en-US"/>
        </w:rPr>
        <w:t xml:space="preserve"> </w:t>
      </w:r>
      <w:r w:rsidRPr="10DC7BF4">
        <w:rPr>
          <w:lang w:val="en-US"/>
        </w:rPr>
        <w:t xml:space="preserve">by a panel of senior clinicians and consumer and </w:t>
      </w:r>
      <w:proofErr w:type="spellStart"/>
      <w:r w:rsidRPr="10DC7BF4">
        <w:rPr>
          <w:lang w:val="en-US"/>
        </w:rPr>
        <w:t>carer</w:t>
      </w:r>
      <w:proofErr w:type="spellEnd"/>
      <w:r w:rsidRPr="10DC7BF4">
        <w:rPr>
          <w:lang w:val="en-US"/>
        </w:rPr>
        <w:t xml:space="preserve"> representatives. The panel makes recommendations to services </w:t>
      </w:r>
      <w:proofErr w:type="gramStart"/>
      <w:r w:rsidRPr="10DC7BF4">
        <w:rPr>
          <w:lang w:val="en-US"/>
        </w:rPr>
        <w:t>where</w:t>
      </w:r>
      <w:proofErr w:type="gramEnd"/>
      <w:r w:rsidRPr="10DC7BF4">
        <w:rPr>
          <w:lang w:val="en-US"/>
        </w:rPr>
        <w:t xml:space="preserve"> indicated about actions to reduce the possibility of a recurrence.</w:t>
      </w:r>
      <w:r w:rsidR="08C663C8" w:rsidRPr="75EB3A12">
        <w:rPr>
          <w:lang w:val="en-US"/>
        </w:rPr>
        <w:t xml:space="preserve"> The panel may also make recommendations to </w:t>
      </w:r>
      <w:r w:rsidR="00FE0C28">
        <w:rPr>
          <w:lang w:val="en-US"/>
        </w:rPr>
        <w:t xml:space="preserve">enhance </w:t>
      </w:r>
      <w:r w:rsidR="08C663C8" w:rsidRPr="75EB3A12">
        <w:rPr>
          <w:lang w:val="en-US"/>
        </w:rPr>
        <w:t xml:space="preserve">the </w:t>
      </w:r>
      <w:proofErr w:type="spellStart"/>
      <w:r w:rsidR="08C663C8" w:rsidRPr="75EB3A12">
        <w:rPr>
          <w:lang w:val="en-US"/>
        </w:rPr>
        <w:t>rigo</w:t>
      </w:r>
      <w:r w:rsidR="00264390">
        <w:rPr>
          <w:lang w:val="en-US"/>
        </w:rPr>
        <w:t>u</w:t>
      </w:r>
      <w:r w:rsidR="08C663C8" w:rsidRPr="75EB3A12">
        <w:rPr>
          <w:lang w:val="en-US"/>
        </w:rPr>
        <w:t>r</w:t>
      </w:r>
      <w:proofErr w:type="spellEnd"/>
      <w:r w:rsidR="08C663C8" w:rsidRPr="75EB3A12">
        <w:rPr>
          <w:lang w:val="en-US"/>
        </w:rPr>
        <w:t xml:space="preserve"> of review processes.</w:t>
      </w:r>
      <w:r w:rsidR="00B5548B">
        <w:rPr>
          <w:lang w:val="en-US"/>
        </w:rPr>
        <w:t xml:space="preserve"> </w:t>
      </w:r>
      <w:r w:rsidRPr="10DC7BF4">
        <w:rPr>
          <w:lang w:val="en-US"/>
        </w:rPr>
        <w:t xml:space="preserve">Important </w:t>
      </w:r>
      <w:r w:rsidR="00450119">
        <w:rPr>
          <w:lang w:val="en-US"/>
        </w:rPr>
        <w:t>lessons</w:t>
      </w:r>
      <w:r w:rsidR="00450119" w:rsidRPr="10DC7BF4">
        <w:rPr>
          <w:lang w:val="en-US"/>
        </w:rPr>
        <w:t xml:space="preserve"> </w:t>
      </w:r>
      <w:r w:rsidRPr="10DC7BF4">
        <w:rPr>
          <w:lang w:val="en-US"/>
        </w:rPr>
        <w:t>are</w:t>
      </w:r>
      <w:r w:rsidR="00B5548B">
        <w:rPr>
          <w:lang w:val="en-US"/>
        </w:rPr>
        <w:t xml:space="preserve"> </w:t>
      </w:r>
      <w:r w:rsidRPr="10DC7BF4">
        <w:rPr>
          <w:lang w:val="en-US"/>
        </w:rPr>
        <w:t xml:space="preserve">communicated to services through the Chief Psychiatrist’s </w:t>
      </w:r>
      <w:r w:rsidRPr="005221E6">
        <w:rPr>
          <w:i/>
          <w:iCs/>
          <w:lang w:val="en-US"/>
        </w:rPr>
        <w:t xml:space="preserve">Quality and </w:t>
      </w:r>
      <w:r w:rsidR="00264390">
        <w:rPr>
          <w:i/>
          <w:iCs/>
          <w:lang w:val="en-US"/>
        </w:rPr>
        <w:t>s</w:t>
      </w:r>
      <w:r w:rsidRPr="005221E6">
        <w:rPr>
          <w:i/>
          <w:iCs/>
          <w:lang w:val="en-US"/>
        </w:rPr>
        <w:t xml:space="preserve">afety </w:t>
      </w:r>
      <w:r w:rsidR="00264390">
        <w:rPr>
          <w:i/>
          <w:iCs/>
          <w:lang w:val="en-US"/>
        </w:rPr>
        <w:t>b</w:t>
      </w:r>
      <w:r w:rsidRPr="005221E6">
        <w:rPr>
          <w:i/>
          <w:iCs/>
          <w:lang w:val="en-US"/>
        </w:rPr>
        <w:t>ulletin</w:t>
      </w:r>
      <w:r w:rsidR="18F6A04C" w:rsidRPr="6413A842">
        <w:rPr>
          <w:i/>
          <w:iCs/>
          <w:lang w:val="en-US"/>
        </w:rPr>
        <w:t>.</w:t>
      </w:r>
      <w:r w:rsidR="0057779F" w:rsidRPr="6413A842">
        <w:rPr>
          <w:lang w:val="en-US"/>
        </w:rPr>
        <w:t xml:space="preserve"> </w:t>
      </w:r>
    </w:p>
    <w:p w14:paraId="463A00EA" w14:textId="32A13897" w:rsidR="00381B2F" w:rsidRPr="00D5401E" w:rsidRDefault="00381B2F" w:rsidP="003A735B">
      <w:pPr>
        <w:pStyle w:val="Heading2"/>
      </w:pPr>
      <w:bookmarkStart w:id="37" w:name="_Toc118293974"/>
      <w:r w:rsidRPr="00D5401E">
        <w:t>Restrictive interventions</w:t>
      </w:r>
      <w:bookmarkEnd w:id="37"/>
    </w:p>
    <w:p w14:paraId="3A41F5A3" w14:textId="0AA0D59E" w:rsidR="00381B2F" w:rsidRDefault="004D4154" w:rsidP="00563C62">
      <w:pPr>
        <w:pStyle w:val="Body"/>
      </w:pPr>
      <w:r w:rsidRPr="004D4154">
        <w:t xml:space="preserve">The Chief Psychiatrist </w:t>
      </w:r>
      <w:r w:rsidR="007418F0">
        <w:t xml:space="preserve">is committed </w:t>
      </w:r>
      <w:r w:rsidRPr="004D4154">
        <w:t xml:space="preserve">to reducing and eventually eliminating restrictive interventions in </w:t>
      </w:r>
      <w:r w:rsidR="003D1043">
        <w:t>line</w:t>
      </w:r>
      <w:r w:rsidR="003D1043" w:rsidRPr="004D4154">
        <w:t xml:space="preserve"> </w:t>
      </w:r>
      <w:r w:rsidRPr="004D4154">
        <w:t xml:space="preserve">with the </w:t>
      </w:r>
      <w:r w:rsidR="003D1043" w:rsidRPr="004D4154">
        <w:t>Royal Commission</w:t>
      </w:r>
      <w:r w:rsidR="003D1043">
        <w:t>’s</w:t>
      </w:r>
      <w:r w:rsidR="003D1043" w:rsidRPr="004D4154">
        <w:t xml:space="preserve"> </w:t>
      </w:r>
      <w:r w:rsidRPr="004D4154">
        <w:t xml:space="preserve">recommendations and the </w:t>
      </w:r>
      <w:r w:rsidR="003D1043" w:rsidRPr="004D4154">
        <w:t>National Mental Health Commission</w:t>
      </w:r>
      <w:r w:rsidR="003D1043">
        <w:t>'s</w:t>
      </w:r>
      <w:r w:rsidR="003D1043" w:rsidRPr="004D4154">
        <w:rPr>
          <w:i/>
          <w:iCs/>
        </w:rPr>
        <w:t xml:space="preserve"> </w:t>
      </w:r>
      <w:r w:rsidRPr="004D4154">
        <w:rPr>
          <w:i/>
          <w:iCs/>
        </w:rPr>
        <w:t>Seclusion and restraint declaration</w:t>
      </w:r>
      <w:r>
        <w:t>.</w:t>
      </w:r>
      <w:r w:rsidR="00381B2F" w:rsidRPr="005221E6">
        <w:rPr>
          <w:i/>
          <w:iCs/>
        </w:rPr>
        <w:t xml:space="preserve"> </w:t>
      </w:r>
      <w:r w:rsidR="00381B2F">
        <w:t>Several local initiatives</w:t>
      </w:r>
      <w:r w:rsidR="00D94F96">
        <w:t xml:space="preserve"> </w:t>
      </w:r>
      <w:r w:rsidR="00D556FB">
        <w:t>led by</w:t>
      </w:r>
      <w:r w:rsidR="006C518A">
        <w:t xml:space="preserve"> </w:t>
      </w:r>
      <w:r w:rsidR="00767104">
        <w:t xml:space="preserve">the </w:t>
      </w:r>
      <w:r w:rsidR="006C518A">
        <w:t>OCP</w:t>
      </w:r>
      <w:r w:rsidR="00D556FB">
        <w:t xml:space="preserve"> and </w:t>
      </w:r>
      <w:r w:rsidR="00190540">
        <w:t xml:space="preserve">the </w:t>
      </w:r>
      <w:r w:rsidR="00D556FB">
        <w:t>O</w:t>
      </w:r>
      <w:r w:rsidR="003174C6">
        <w:t xml:space="preserve">ffice of the </w:t>
      </w:r>
      <w:r w:rsidR="00D556FB">
        <w:t>C</w:t>
      </w:r>
      <w:r w:rsidR="003174C6">
        <w:t xml:space="preserve">hief </w:t>
      </w:r>
      <w:r w:rsidR="00D556FB">
        <w:t>M</w:t>
      </w:r>
      <w:r w:rsidR="003174C6">
        <w:t xml:space="preserve">ental </w:t>
      </w:r>
      <w:r w:rsidR="00D556FB">
        <w:t>H</w:t>
      </w:r>
      <w:r w:rsidR="003174C6">
        <w:t xml:space="preserve">ealth </w:t>
      </w:r>
      <w:r w:rsidR="00D556FB">
        <w:t>N</w:t>
      </w:r>
      <w:r w:rsidR="003174C6">
        <w:t>urse</w:t>
      </w:r>
      <w:r w:rsidR="00381B2F">
        <w:t xml:space="preserve">, such as </w:t>
      </w:r>
      <w:proofErr w:type="spellStart"/>
      <w:r w:rsidR="00381B2F">
        <w:t>Safewards</w:t>
      </w:r>
      <w:proofErr w:type="spellEnd"/>
      <w:r w:rsidR="00381B2F">
        <w:t xml:space="preserve">, </w:t>
      </w:r>
      <w:r w:rsidR="00AD346B">
        <w:t xml:space="preserve">have </w:t>
      </w:r>
      <w:r w:rsidR="00381B2F">
        <w:t>encourage</w:t>
      </w:r>
      <w:r w:rsidR="00AD346B">
        <w:t>d</w:t>
      </w:r>
      <w:r w:rsidR="00381B2F">
        <w:t xml:space="preserve"> alternative clinical practices</w:t>
      </w:r>
      <w:r w:rsidR="009B6154">
        <w:t xml:space="preserve"> that</w:t>
      </w:r>
      <w:r w:rsidR="00DD7BD3">
        <w:t xml:space="preserve"> </w:t>
      </w:r>
      <w:r w:rsidR="00B143DE">
        <w:t xml:space="preserve">aim to </w:t>
      </w:r>
      <w:r w:rsidR="00DD7BD3">
        <w:t>avoid</w:t>
      </w:r>
      <w:r w:rsidR="009B6154">
        <w:t xml:space="preserve"> restrictive interventions</w:t>
      </w:r>
      <w:r w:rsidR="00381B2F">
        <w:t>.</w:t>
      </w:r>
    </w:p>
    <w:p w14:paraId="0F7945E2" w14:textId="4660DCEA" w:rsidR="00381B2F" w:rsidRPr="009672D1" w:rsidRDefault="00381B2F" w:rsidP="00563C62">
      <w:pPr>
        <w:pStyle w:val="Body"/>
      </w:pPr>
      <w:r w:rsidRPr="009672D1">
        <w:t xml:space="preserve">Restrictive interventions are defined in the </w:t>
      </w:r>
      <w:r w:rsidRPr="006D2770">
        <w:rPr>
          <w:iCs/>
        </w:rPr>
        <w:t>M</w:t>
      </w:r>
      <w:r w:rsidR="00BB30E4">
        <w:rPr>
          <w:iCs/>
        </w:rPr>
        <w:t xml:space="preserve">ental </w:t>
      </w:r>
      <w:r w:rsidR="001C3762">
        <w:rPr>
          <w:iCs/>
        </w:rPr>
        <w:t>H</w:t>
      </w:r>
      <w:r w:rsidR="00BB30E4">
        <w:rPr>
          <w:iCs/>
        </w:rPr>
        <w:t xml:space="preserve">ealth </w:t>
      </w:r>
      <w:r w:rsidR="001C3762">
        <w:rPr>
          <w:iCs/>
        </w:rPr>
        <w:t>A</w:t>
      </w:r>
      <w:r w:rsidR="00BB30E4">
        <w:rPr>
          <w:iCs/>
        </w:rPr>
        <w:t>ct</w:t>
      </w:r>
      <w:r w:rsidR="001C3762">
        <w:rPr>
          <w:iCs/>
        </w:rPr>
        <w:t xml:space="preserve"> </w:t>
      </w:r>
      <w:r w:rsidRPr="009672D1">
        <w:t>as the use of seclusion or bodily restraint. Seclusion is ‘the sole confinement of a person to a room or any other enclosed space from which it is not within the control of the person confined to leave’</w:t>
      </w:r>
      <w:r w:rsidR="00D23AF5">
        <w:t xml:space="preserve"> (s 3)</w:t>
      </w:r>
      <w:r w:rsidRPr="009672D1">
        <w:t>. Bodily restraint is ‘a form of physical or mechanical restraint that prevents a person having free movement of his or her limbs’</w:t>
      </w:r>
      <w:r w:rsidR="00D23AF5">
        <w:t xml:space="preserve"> (s 3)</w:t>
      </w:r>
      <w:r w:rsidRPr="009672D1">
        <w:t>.</w:t>
      </w:r>
    </w:p>
    <w:p w14:paraId="3A7AB682" w14:textId="30EFAEE3" w:rsidR="00381B2F" w:rsidRPr="009672D1" w:rsidRDefault="00381B2F" w:rsidP="00563C62">
      <w:pPr>
        <w:pStyle w:val="Body"/>
      </w:pPr>
      <w:r w:rsidRPr="009672D1">
        <w:t xml:space="preserve">The </w:t>
      </w:r>
      <w:r w:rsidR="00BB30E4">
        <w:t xml:space="preserve">Mental Health </w:t>
      </w:r>
      <w:r w:rsidRPr="009672D1">
        <w:t xml:space="preserve">Act provides that a person may only be placed in seclusion or restraint to prevent imminent and serious harm to the person or another person or, in the case of restraint, to administer treatment. The principles outlined in the </w:t>
      </w:r>
      <w:r w:rsidR="00BB30E4">
        <w:t xml:space="preserve">Mental Health </w:t>
      </w:r>
      <w:r w:rsidRPr="009672D1">
        <w:t xml:space="preserve">Act specify that people receiving mental health services should be treated in the least restrictive way possible, meaning that seclusion and restraints can be applied only after all reasonable and less restrictive options have been tried or considered and found unsuitable. </w:t>
      </w:r>
    </w:p>
    <w:p w14:paraId="67F4E04D" w14:textId="71890347" w:rsidR="000D0FE8" w:rsidRPr="009672D1" w:rsidRDefault="00461B61" w:rsidP="00563C62">
      <w:pPr>
        <w:pStyle w:val="Body"/>
      </w:pPr>
      <w:r>
        <w:t>The</w:t>
      </w:r>
      <w:r w:rsidR="000D0FE8">
        <w:t xml:space="preserve"> </w:t>
      </w:r>
      <w:r w:rsidR="0062703F">
        <w:t xml:space="preserve">new </w:t>
      </w:r>
      <w:r w:rsidR="000D0FE8">
        <w:t xml:space="preserve">Mental Health </w:t>
      </w:r>
      <w:r w:rsidR="00BF4D88">
        <w:t xml:space="preserve">and </w:t>
      </w:r>
      <w:r w:rsidR="008815B5">
        <w:t xml:space="preserve">Wellbeing </w:t>
      </w:r>
      <w:r w:rsidR="0062703F">
        <w:t>Act</w:t>
      </w:r>
      <w:r w:rsidR="00181E7D">
        <w:t xml:space="preserve"> </w:t>
      </w:r>
      <w:r w:rsidR="000176C1">
        <w:t xml:space="preserve">will </w:t>
      </w:r>
      <w:r w:rsidR="000D0FE8">
        <w:t>provide</w:t>
      </w:r>
      <w:r w:rsidR="000176C1">
        <w:t xml:space="preserve"> a</w:t>
      </w:r>
      <w:r w:rsidR="00221428">
        <w:t xml:space="preserve"> legal framework</w:t>
      </w:r>
      <w:r w:rsidR="000D0FE8">
        <w:t xml:space="preserve"> to reduce and eliminate restrictive interventions in our mental health services over the next 10 years in </w:t>
      </w:r>
      <w:r w:rsidR="00190540">
        <w:t xml:space="preserve">line </w:t>
      </w:r>
      <w:r w:rsidR="000D0FE8">
        <w:t xml:space="preserve">with </w:t>
      </w:r>
      <w:r w:rsidR="00190540" w:rsidRPr="004D4154">
        <w:t xml:space="preserve">Royal Commission </w:t>
      </w:r>
      <w:r w:rsidR="000F785B">
        <w:t>recommendations</w:t>
      </w:r>
      <w:r w:rsidR="000D0FE8">
        <w:t xml:space="preserve">. The new </w:t>
      </w:r>
      <w:r w:rsidR="00190540">
        <w:t>A</w:t>
      </w:r>
      <w:r w:rsidR="000D0FE8">
        <w:t xml:space="preserve">ct </w:t>
      </w:r>
      <w:r w:rsidR="000176C1">
        <w:t xml:space="preserve">will </w:t>
      </w:r>
      <w:r w:rsidR="000D0FE8">
        <w:t xml:space="preserve">also </w:t>
      </w:r>
      <w:r w:rsidR="00E31B4B">
        <w:t>define</w:t>
      </w:r>
      <w:r w:rsidR="000D0FE8">
        <w:t xml:space="preserve"> the use of chemical restraint as a restrictive intervention</w:t>
      </w:r>
      <w:r w:rsidR="00190540">
        <w:t>.</w:t>
      </w:r>
      <w:r w:rsidR="000D0FE8">
        <w:t xml:space="preserve"> </w:t>
      </w:r>
      <w:proofErr w:type="gramStart"/>
      <w:r w:rsidR="00190540">
        <w:t>H</w:t>
      </w:r>
      <w:r w:rsidR="000F735E">
        <w:t>ow</w:t>
      </w:r>
      <w:proofErr w:type="gramEnd"/>
      <w:r w:rsidR="000F735E">
        <w:t xml:space="preserve"> chemical restraint and its regulation will be </w:t>
      </w:r>
      <w:r w:rsidR="000D0FE8">
        <w:t>operationalise</w:t>
      </w:r>
      <w:r w:rsidR="00F2048F">
        <w:t>d</w:t>
      </w:r>
      <w:r w:rsidR="000D0FE8">
        <w:t xml:space="preserve"> in the sector</w:t>
      </w:r>
      <w:r w:rsidR="00190540">
        <w:t xml:space="preserve"> is currently under review.</w:t>
      </w:r>
      <w:r w:rsidR="000D0FE8">
        <w:t xml:space="preserve"> </w:t>
      </w:r>
      <w:r w:rsidR="00B53479">
        <w:t xml:space="preserve">While the principles of the new </w:t>
      </w:r>
      <w:r w:rsidR="00DF6158">
        <w:t>A</w:t>
      </w:r>
      <w:r w:rsidR="00B53479">
        <w:t xml:space="preserve">ct </w:t>
      </w:r>
      <w:r w:rsidR="000176C1">
        <w:t>will be</w:t>
      </w:r>
      <w:r w:rsidR="00F2048F">
        <w:t xml:space="preserve"> laid out</w:t>
      </w:r>
      <w:r w:rsidR="00CE6171">
        <w:t xml:space="preserve"> in legislation</w:t>
      </w:r>
      <w:r w:rsidR="00F2048F">
        <w:t>,</w:t>
      </w:r>
      <w:r w:rsidR="000879D5">
        <w:t xml:space="preserve"> work </w:t>
      </w:r>
      <w:r w:rsidR="00DD600B">
        <w:t>will</w:t>
      </w:r>
      <w:r w:rsidR="000176C1">
        <w:t xml:space="preserve"> </w:t>
      </w:r>
      <w:r w:rsidR="000879D5">
        <w:lastRenderedPageBreak/>
        <w:t xml:space="preserve">continue to </w:t>
      </w:r>
      <w:r w:rsidR="00097112">
        <w:t>determine the best p</w:t>
      </w:r>
      <w:r w:rsidR="00555C32">
        <w:t xml:space="preserve">athways of implementation so </w:t>
      </w:r>
      <w:r w:rsidR="00A2564B">
        <w:t xml:space="preserve">there is meaningful </w:t>
      </w:r>
      <w:r w:rsidR="005C1D7C">
        <w:t xml:space="preserve">and enduring </w:t>
      </w:r>
      <w:r w:rsidR="00A2564B">
        <w:t>change</w:t>
      </w:r>
      <w:r w:rsidR="003B08F1">
        <w:t xml:space="preserve"> </w:t>
      </w:r>
      <w:r w:rsidR="00133079">
        <w:t>in practice.</w:t>
      </w:r>
      <w:r w:rsidR="000D7830">
        <w:rPr>
          <w:rStyle w:val="FootnoteReference"/>
        </w:rPr>
        <w:footnoteReference w:id="2"/>
      </w:r>
    </w:p>
    <w:p w14:paraId="0FBB7DFF" w14:textId="39A7D5A8" w:rsidR="00381B2F" w:rsidRPr="00C64972" w:rsidRDefault="00381B2F" w:rsidP="00563C62">
      <w:pPr>
        <w:pStyle w:val="Body"/>
        <w:rPr>
          <w:color w:val="FF0000"/>
        </w:rPr>
      </w:pPr>
      <w:r>
        <w:t>S</w:t>
      </w:r>
      <w:r w:rsidRPr="00D5401E">
        <w:t xml:space="preserve">taff from the </w:t>
      </w:r>
      <w:r w:rsidR="00D664E5">
        <w:t xml:space="preserve">OCP </w:t>
      </w:r>
      <w:r w:rsidR="00B6590C">
        <w:t>continue</w:t>
      </w:r>
      <w:r w:rsidR="0051690C">
        <w:t xml:space="preserve"> to </w:t>
      </w:r>
      <w:r w:rsidRPr="00D5401E">
        <w:t>le</w:t>
      </w:r>
      <w:r w:rsidR="00E478E3">
        <w:t>a</w:t>
      </w:r>
      <w:r w:rsidRPr="00D5401E">
        <w:t xml:space="preserve">d </w:t>
      </w:r>
      <w:r w:rsidR="003D2A1F">
        <w:t>the</w:t>
      </w:r>
      <w:r w:rsidRPr="000B43EC">
        <w:t xml:space="preserve"> </w:t>
      </w:r>
      <w:proofErr w:type="spellStart"/>
      <w:r w:rsidRPr="000B43EC">
        <w:t>Statewide</w:t>
      </w:r>
      <w:proofErr w:type="spellEnd"/>
      <w:r w:rsidRPr="000B43EC">
        <w:t xml:space="preserve"> Chief Psychiatrist</w:t>
      </w:r>
      <w:r w:rsidR="008B3F27" w:rsidRPr="000B43EC">
        <w:t>’s R</w:t>
      </w:r>
      <w:r w:rsidR="0019255A" w:rsidRPr="000B43EC">
        <w:t>estrictive Intervention C</w:t>
      </w:r>
      <w:r w:rsidRPr="000B43EC">
        <w:t>ommittee to</w:t>
      </w:r>
      <w:r w:rsidR="00DF6158">
        <w:t>wards</w:t>
      </w:r>
      <w:r w:rsidRPr="000B43EC">
        <w:t xml:space="preserve"> eliminati</w:t>
      </w:r>
      <w:r w:rsidR="00DF6158">
        <w:t>ng</w:t>
      </w:r>
      <w:r w:rsidRPr="000B43EC">
        <w:t xml:space="preserve"> restrictive interventions.</w:t>
      </w:r>
    </w:p>
    <w:p w14:paraId="5E3FD8F3" w14:textId="4C55EBC8" w:rsidR="00F7091B" w:rsidRDefault="61DCC1FC" w:rsidP="00563C62">
      <w:pPr>
        <w:pStyle w:val="Body"/>
      </w:pPr>
      <w:r>
        <w:t xml:space="preserve">The OCP </w:t>
      </w:r>
      <w:r w:rsidR="0F5915BC">
        <w:t>has</w:t>
      </w:r>
      <w:r w:rsidR="3BDC46FA">
        <w:t xml:space="preserve"> develop</w:t>
      </w:r>
      <w:r w:rsidR="0F5915BC">
        <w:t>ed</w:t>
      </w:r>
      <w:r>
        <w:t xml:space="preserve"> </w:t>
      </w:r>
      <w:r w:rsidR="2CCA1556">
        <w:t xml:space="preserve">a </w:t>
      </w:r>
      <w:r w:rsidR="2BDE31F4">
        <w:t xml:space="preserve">secure </w:t>
      </w:r>
      <w:r w:rsidR="00D84B92">
        <w:t>SharePoint site</w:t>
      </w:r>
      <w:r>
        <w:t xml:space="preserve"> to </w:t>
      </w:r>
      <w:r w:rsidR="00712C7B">
        <w:t>facilitate</w:t>
      </w:r>
      <w:r>
        <w:t xml:space="preserve"> </w:t>
      </w:r>
      <w:r w:rsidR="00412BB3">
        <w:t xml:space="preserve">information sharing </w:t>
      </w:r>
      <w:r w:rsidR="00712C7B">
        <w:t>of</w:t>
      </w:r>
      <w:r>
        <w:t xml:space="preserve"> data from health services</w:t>
      </w:r>
      <w:r w:rsidR="5F4C151F">
        <w:t>. T</w:t>
      </w:r>
      <w:r w:rsidR="798D055F">
        <w:t>his</w:t>
      </w:r>
      <w:r w:rsidR="006B56E0">
        <w:t xml:space="preserve"> </w:t>
      </w:r>
      <w:r w:rsidR="3BDC46FA">
        <w:t>allow</w:t>
      </w:r>
      <w:r w:rsidR="009E6ADE">
        <w:t>s</w:t>
      </w:r>
      <w:r w:rsidR="006B56E0">
        <w:t xml:space="preserve"> </w:t>
      </w:r>
      <w:r>
        <w:t>the OCP to respond and provide feedback</w:t>
      </w:r>
      <w:r w:rsidR="102EBABB">
        <w:t xml:space="preserve"> more </w:t>
      </w:r>
      <w:r w:rsidR="2FE50D55">
        <w:t>efficiently</w:t>
      </w:r>
      <w:r>
        <w:t xml:space="preserve"> </w:t>
      </w:r>
      <w:r w:rsidR="2FE50D55">
        <w:t>in response to</w:t>
      </w:r>
      <w:r>
        <w:t xml:space="preserve"> significant variances in practice.</w:t>
      </w:r>
    </w:p>
    <w:p w14:paraId="20BD903C" w14:textId="5ABB9595" w:rsidR="00381B2F" w:rsidRDefault="00381B2F" w:rsidP="00381B2F">
      <w:pPr>
        <w:pStyle w:val="Heading2"/>
        <w:rPr>
          <w:highlight w:val="yellow"/>
        </w:rPr>
      </w:pPr>
      <w:bookmarkStart w:id="38" w:name="_Toc118293975"/>
      <w:r>
        <w:t>A</w:t>
      </w:r>
      <w:r w:rsidR="00FD7427">
        <w:t>cute</w:t>
      </w:r>
      <w:r>
        <w:t xml:space="preserve"> inpatient units</w:t>
      </w:r>
      <w:bookmarkEnd w:id="38"/>
    </w:p>
    <w:p w14:paraId="2352FEBA" w14:textId="75450758" w:rsidR="00381B2F" w:rsidRDefault="00381B2F" w:rsidP="00381B2F">
      <w:pPr>
        <w:pStyle w:val="Heading3"/>
        <w:rPr>
          <w:sz w:val="22"/>
          <w:szCs w:val="22"/>
        </w:rPr>
      </w:pPr>
      <w:r>
        <w:t>Seclusion</w:t>
      </w:r>
      <w:r w:rsidR="0099684E">
        <w:t xml:space="preserve"> – acute inpatient units</w:t>
      </w:r>
    </w:p>
    <w:p w14:paraId="6F0C2D0C" w14:textId="347F4C78" w:rsidR="675D2E0E" w:rsidRPr="00EC49D8" w:rsidRDefault="675D2E0E" w:rsidP="00563C62">
      <w:pPr>
        <w:pStyle w:val="Body"/>
      </w:pPr>
      <w:r w:rsidRPr="00EC49D8">
        <w:t xml:space="preserve">Table </w:t>
      </w:r>
      <w:r w:rsidR="00792533">
        <w:t>9</w:t>
      </w:r>
      <w:r w:rsidRPr="00EC49D8">
        <w:t xml:space="preserve"> shows the number of episodes of bodily restraint and seclusion in acute inpatient units over the </w:t>
      </w:r>
      <w:r w:rsidR="0048002F">
        <w:t>p</w:t>
      </w:r>
      <w:r w:rsidRPr="00EC49D8">
        <w:t xml:space="preserve">ast </w:t>
      </w:r>
      <w:r w:rsidR="0048002F">
        <w:t xml:space="preserve">six </w:t>
      </w:r>
      <w:r w:rsidRPr="00EC49D8">
        <w:t>years. The use of bodily restraint</w:t>
      </w:r>
      <w:r w:rsidR="00EF3961">
        <w:t xml:space="preserve"> and seclusion decreased </w:t>
      </w:r>
      <w:r w:rsidR="000E7FE7">
        <w:t>in 2021</w:t>
      </w:r>
      <w:r w:rsidR="00920F37">
        <w:t>–</w:t>
      </w:r>
      <w:r w:rsidR="000E7FE7">
        <w:t xml:space="preserve">22 </w:t>
      </w:r>
      <w:r w:rsidR="00DF6158">
        <w:t>compared with</w:t>
      </w:r>
      <w:r w:rsidR="000E7FE7">
        <w:t xml:space="preserve"> the previous year</w:t>
      </w:r>
      <w:r w:rsidRPr="00EC49D8">
        <w:t>.</w:t>
      </w:r>
    </w:p>
    <w:p w14:paraId="5DC75155" w14:textId="2B5353CD" w:rsidR="702ED0C5" w:rsidRDefault="702ED0C5" w:rsidP="000D0B9B">
      <w:pPr>
        <w:pStyle w:val="Tablecaption"/>
        <w:rPr>
          <w:rFonts w:eastAsia="Arial"/>
        </w:rPr>
      </w:pPr>
      <w:r w:rsidRPr="1E6D535A">
        <w:rPr>
          <w:rFonts w:eastAsia="Arial"/>
        </w:rPr>
        <w:t xml:space="preserve">Table </w:t>
      </w:r>
      <w:r w:rsidR="00792533">
        <w:rPr>
          <w:rFonts w:eastAsia="Arial"/>
        </w:rPr>
        <w:t>9</w:t>
      </w:r>
      <w:r w:rsidRPr="1E6D535A">
        <w:rPr>
          <w:rFonts w:eastAsia="Arial"/>
        </w:rPr>
        <w:t xml:space="preserve">: Number of episodes of bodily restraint and seclusion in acute inpatient units, </w:t>
      </w:r>
      <w:r w:rsidR="0048002F">
        <w:rPr>
          <w:rFonts w:eastAsia="Arial"/>
        </w:rPr>
        <w:br/>
      </w:r>
      <w:r w:rsidRPr="1E6D535A">
        <w:rPr>
          <w:rFonts w:eastAsia="Arial"/>
        </w:rPr>
        <w:t>201</w:t>
      </w:r>
      <w:r w:rsidR="009E10EA">
        <w:rPr>
          <w:rFonts w:eastAsia="Arial"/>
        </w:rPr>
        <w:t>7</w:t>
      </w:r>
      <w:r w:rsidRPr="1E6D535A">
        <w:rPr>
          <w:rFonts w:eastAsia="Arial"/>
        </w:rPr>
        <w:t>–1</w:t>
      </w:r>
      <w:r w:rsidR="009E10EA">
        <w:rPr>
          <w:rFonts w:eastAsia="Arial"/>
        </w:rPr>
        <w:t>8</w:t>
      </w:r>
      <w:r w:rsidRPr="1E6D535A">
        <w:rPr>
          <w:rFonts w:eastAsia="Arial"/>
        </w:rPr>
        <w:t xml:space="preserve"> to 20</w:t>
      </w:r>
      <w:r w:rsidR="0048002F">
        <w:rPr>
          <w:rFonts w:eastAsia="Arial"/>
        </w:rPr>
        <w:t>2</w:t>
      </w:r>
      <w:r w:rsidR="00817E24">
        <w:rPr>
          <w:rFonts w:eastAsia="Arial"/>
        </w:rPr>
        <w:t>1</w:t>
      </w:r>
      <w:r w:rsidRPr="1E6D535A">
        <w:rPr>
          <w:rFonts w:eastAsia="Arial"/>
        </w:rPr>
        <w:t>–</w:t>
      </w:r>
      <w:r w:rsidRPr="001945E9">
        <w:rPr>
          <w:rFonts w:eastAsia="Arial"/>
        </w:rPr>
        <w:t>2</w:t>
      </w:r>
      <w:r w:rsidR="00817E24">
        <w:rPr>
          <w:rFonts w:eastAsia="Arial"/>
        </w:rPr>
        <w:t>2</w:t>
      </w:r>
    </w:p>
    <w:tbl>
      <w:tblPr>
        <w:tblStyle w:val="TableGrid"/>
        <w:tblW w:w="9330" w:type="dxa"/>
        <w:tblInd w:w="-5" w:type="dxa"/>
        <w:tblLook w:val="0620" w:firstRow="1" w:lastRow="0" w:firstColumn="0" w:lastColumn="0" w:noHBand="1" w:noVBand="1"/>
      </w:tblPr>
      <w:tblGrid>
        <w:gridCol w:w="2033"/>
        <w:gridCol w:w="1496"/>
        <w:gridCol w:w="1495"/>
        <w:gridCol w:w="1496"/>
        <w:gridCol w:w="1496"/>
        <w:gridCol w:w="1314"/>
      </w:tblGrid>
      <w:tr w:rsidR="007F10A3" w14:paraId="20F8CB54" w14:textId="5947A0E0" w:rsidTr="00BF6CFE">
        <w:trPr>
          <w:trHeight w:val="385"/>
          <w:tblHeader/>
        </w:trPr>
        <w:tc>
          <w:tcPr>
            <w:tcW w:w="2033" w:type="dxa"/>
          </w:tcPr>
          <w:p w14:paraId="57000816" w14:textId="52E465E1" w:rsidR="00F4734E" w:rsidRDefault="00F4734E" w:rsidP="000D0B9B">
            <w:pPr>
              <w:pStyle w:val="Tablecolhead"/>
            </w:pPr>
            <w:r>
              <w:t>Intervention</w:t>
            </w:r>
          </w:p>
        </w:tc>
        <w:tc>
          <w:tcPr>
            <w:tcW w:w="1496" w:type="dxa"/>
            <w:vAlign w:val="center"/>
          </w:tcPr>
          <w:p w14:paraId="2687073D" w14:textId="12A57016" w:rsidR="00F4734E" w:rsidRDefault="001945E9" w:rsidP="00312856">
            <w:pPr>
              <w:pStyle w:val="Tablecolhead"/>
              <w:jc w:val="center"/>
            </w:pPr>
            <w:r w:rsidRPr="00F27AA5">
              <w:t>2017</w:t>
            </w:r>
            <w:r w:rsidR="00920F37">
              <w:t>–</w:t>
            </w:r>
            <w:r w:rsidRPr="00F27AA5">
              <w:t>18</w:t>
            </w:r>
          </w:p>
        </w:tc>
        <w:tc>
          <w:tcPr>
            <w:tcW w:w="1495" w:type="dxa"/>
            <w:vAlign w:val="center"/>
          </w:tcPr>
          <w:p w14:paraId="252D6689" w14:textId="6FC9C352" w:rsidR="00F4734E" w:rsidRDefault="001945E9" w:rsidP="00312856">
            <w:pPr>
              <w:pStyle w:val="Tablecolhead"/>
              <w:jc w:val="center"/>
            </w:pPr>
            <w:r w:rsidRPr="00F27AA5">
              <w:t>2018</w:t>
            </w:r>
            <w:r w:rsidR="00920F37">
              <w:t>–</w:t>
            </w:r>
            <w:r w:rsidRPr="00F27AA5">
              <w:t>19</w:t>
            </w:r>
          </w:p>
        </w:tc>
        <w:tc>
          <w:tcPr>
            <w:tcW w:w="1496" w:type="dxa"/>
            <w:vAlign w:val="center"/>
          </w:tcPr>
          <w:p w14:paraId="59C35229" w14:textId="2A571DFF" w:rsidR="00F4734E" w:rsidRDefault="001945E9" w:rsidP="00312856">
            <w:pPr>
              <w:pStyle w:val="Tablecolhead"/>
              <w:jc w:val="center"/>
            </w:pPr>
            <w:r w:rsidRPr="00F27AA5">
              <w:t>2019</w:t>
            </w:r>
            <w:r w:rsidR="00920F37">
              <w:t>–</w:t>
            </w:r>
            <w:r w:rsidRPr="00F27AA5">
              <w:t>20</w:t>
            </w:r>
          </w:p>
        </w:tc>
        <w:tc>
          <w:tcPr>
            <w:tcW w:w="1496" w:type="dxa"/>
            <w:vAlign w:val="center"/>
          </w:tcPr>
          <w:p w14:paraId="3533D82B" w14:textId="6B268731" w:rsidR="00F4734E" w:rsidRDefault="001945E9" w:rsidP="00312856">
            <w:pPr>
              <w:pStyle w:val="Tablecolhead"/>
              <w:jc w:val="center"/>
            </w:pPr>
            <w:r w:rsidRPr="00F27AA5">
              <w:t>2020</w:t>
            </w:r>
            <w:r w:rsidR="00920F37">
              <w:t>–</w:t>
            </w:r>
            <w:r w:rsidRPr="00F27AA5">
              <w:t>21</w:t>
            </w:r>
          </w:p>
        </w:tc>
        <w:tc>
          <w:tcPr>
            <w:tcW w:w="1314" w:type="dxa"/>
            <w:vAlign w:val="center"/>
          </w:tcPr>
          <w:p w14:paraId="2BF38DC3" w14:textId="401D4E8C" w:rsidR="00F4734E" w:rsidRPr="004F6583" w:rsidRDefault="001945E9" w:rsidP="00312856">
            <w:pPr>
              <w:pStyle w:val="Tablecolhead"/>
              <w:jc w:val="center"/>
            </w:pPr>
            <w:r w:rsidRPr="00F27AA5">
              <w:t>2021</w:t>
            </w:r>
            <w:r w:rsidR="00920F37">
              <w:t>–</w:t>
            </w:r>
            <w:r w:rsidRPr="00F27AA5">
              <w:t>22</w:t>
            </w:r>
          </w:p>
        </w:tc>
      </w:tr>
      <w:tr w:rsidR="00320443" w14:paraId="3D178D03" w14:textId="39299292" w:rsidTr="00BF6CFE">
        <w:trPr>
          <w:trHeight w:val="385"/>
        </w:trPr>
        <w:tc>
          <w:tcPr>
            <w:tcW w:w="2033" w:type="dxa"/>
          </w:tcPr>
          <w:p w14:paraId="039D29F7" w14:textId="36D7D860" w:rsidR="00084238" w:rsidRDefault="00084238" w:rsidP="000D0B9B">
            <w:pPr>
              <w:pStyle w:val="Tabletext"/>
            </w:pPr>
            <w:r>
              <w:t>Bodily restraint</w:t>
            </w:r>
          </w:p>
        </w:tc>
        <w:tc>
          <w:tcPr>
            <w:tcW w:w="1496" w:type="dxa"/>
            <w:vAlign w:val="center"/>
          </w:tcPr>
          <w:p w14:paraId="504C2232" w14:textId="6A92034D" w:rsidR="00084238" w:rsidRDefault="001945E9" w:rsidP="00312856">
            <w:pPr>
              <w:pStyle w:val="Tabletext"/>
              <w:jc w:val="center"/>
            </w:pPr>
            <w:r w:rsidRPr="00F27AA5">
              <w:t>8,822</w:t>
            </w:r>
          </w:p>
        </w:tc>
        <w:tc>
          <w:tcPr>
            <w:tcW w:w="1495" w:type="dxa"/>
            <w:vAlign w:val="center"/>
          </w:tcPr>
          <w:p w14:paraId="13C8B1C8" w14:textId="4BA8C04A" w:rsidR="00084238" w:rsidRDefault="001945E9" w:rsidP="00312856">
            <w:pPr>
              <w:pStyle w:val="Tabletext"/>
              <w:jc w:val="center"/>
            </w:pPr>
            <w:r w:rsidRPr="00F27AA5">
              <w:t>10,359</w:t>
            </w:r>
          </w:p>
        </w:tc>
        <w:tc>
          <w:tcPr>
            <w:tcW w:w="1496" w:type="dxa"/>
            <w:vAlign w:val="center"/>
          </w:tcPr>
          <w:p w14:paraId="1559026D" w14:textId="3DB3BB23" w:rsidR="00084238" w:rsidRDefault="001945E9" w:rsidP="00312856">
            <w:pPr>
              <w:pStyle w:val="Tabletext"/>
              <w:jc w:val="center"/>
            </w:pPr>
            <w:r w:rsidRPr="00F27AA5">
              <w:t>8,269</w:t>
            </w:r>
          </w:p>
        </w:tc>
        <w:tc>
          <w:tcPr>
            <w:tcW w:w="1496" w:type="dxa"/>
            <w:vAlign w:val="center"/>
          </w:tcPr>
          <w:p w14:paraId="12BECEFD" w14:textId="499C96CF" w:rsidR="00084238" w:rsidRDefault="001945E9" w:rsidP="00312856">
            <w:pPr>
              <w:pStyle w:val="Tabletext"/>
              <w:jc w:val="center"/>
            </w:pPr>
            <w:r w:rsidRPr="00F27AA5">
              <w:t>8,328</w:t>
            </w:r>
          </w:p>
        </w:tc>
        <w:tc>
          <w:tcPr>
            <w:tcW w:w="1314" w:type="dxa"/>
            <w:vAlign w:val="center"/>
          </w:tcPr>
          <w:p w14:paraId="0AE8B226" w14:textId="4CB9E676" w:rsidR="00084238" w:rsidRDefault="001945E9" w:rsidP="00312856">
            <w:pPr>
              <w:pStyle w:val="Tabletext"/>
              <w:jc w:val="center"/>
            </w:pPr>
            <w:r w:rsidRPr="00F27AA5">
              <w:t>7,550</w:t>
            </w:r>
          </w:p>
        </w:tc>
      </w:tr>
      <w:tr w:rsidR="00320443" w14:paraId="75A9BCE0" w14:textId="7F75894D" w:rsidTr="00BF6CFE">
        <w:trPr>
          <w:trHeight w:val="366"/>
        </w:trPr>
        <w:tc>
          <w:tcPr>
            <w:tcW w:w="2033" w:type="dxa"/>
          </w:tcPr>
          <w:p w14:paraId="4B898268" w14:textId="14B169BD" w:rsidR="00D53A12" w:rsidRDefault="00D53A12" w:rsidP="000D0B9B">
            <w:pPr>
              <w:pStyle w:val="Tabletext"/>
            </w:pPr>
            <w:r>
              <w:t>Seclusion</w:t>
            </w:r>
          </w:p>
        </w:tc>
        <w:tc>
          <w:tcPr>
            <w:tcW w:w="1496" w:type="dxa"/>
            <w:vAlign w:val="center"/>
          </w:tcPr>
          <w:p w14:paraId="0053F9E2" w14:textId="3DA66674" w:rsidR="00D53A12" w:rsidRDefault="001945E9" w:rsidP="00312856">
            <w:pPr>
              <w:pStyle w:val="Tabletext"/>
              <w:jc w:val="center"/>
            </w:pPr>
            <w:r w:rsidRPr="00F27AA5">
              <w:t>3,478</w:t>
            </w:r>
          </w:p>
        </w:tc>
        <w:tc>
          <w:tcPr>
            <w:tcW w:w="1495" w:type="dxa"/>
            <w:vAlign w:val="center"/>
          </w:tcPr>
          <w:p w14:paraId="30A60FDF" w14:textId="4ED25D9C" w:rsidR="00D53A12" w:rsidRDefault="001945E9" w:rsidP="00312856">
            <w:pPr>
              <w:pStyle w:val="Tabletext"/>
              <w:jc w:val="center"/>
            </w:pPr>
            <w:r w:rsidRPr="00F27AA5">
              <w:t>3,182</w:t>
            </w:r>
          </w:p>
        </w:tc>
        <w:tc>
          <w:tcPr>
            <w:tcW w:w="1496" w:type="dxa"/>
            <w:vAlign w:val="center"/>
          </w:tcPr>
          <w:p w14:paraId="6DBB9D66" w14:textId="6FAAA860" w:rsidR="00D53A12" w:rsidRDefault="001945E9" w:rsidP="00312856">
            <w:pPr>
              <w:pStyle w:val="Tabletext"/>
              <w:jc w:val="center"/>
            </w:pPr>
            <w:r w:rsidRPr="00F27AA5">
              <w:t>3,574</w:t>
            </w:r>
          </w:p>
        </w:tc>
        <w:tc>
          <w:tcPr>
            <w:tcW w:w="1496" w:type="dxa"/>
            <w:vAlign w:val="center"/>
          </w:tcPr>
          <w:p w14:paraId="519253E8" w14:textId="06D4BA5D" w:rsidR="00D53A12" w:rsidRDefault="001945E9" w:rsidP="00312856">
            <w:pPr>
              <w:pStyle w:val="Tabletext"/>
              <w:jc w:val="center"/>
            </w:pPr>
            <w:r w:rsidRPr="00F27AA5">
              <w:t>3,660</w:t>
            </w:r>
          </w:p>
        </w:tc>
        <w:tc>
          <w:tcPr>
            <w:tcW w:w="1314" w:type="dxa"/>
            <w:vAlign w:val="center"/>
          </w:tcPr>
          <w:p w14:paraId="5B213F24" w14:textId="16F2582A" w:rsidR="00D53A12" w:rsidRDefault="001945E9" w:rsidP="00312856">
            <w:pPr>
              <w:pStyle w:val="Tabletext"/>
              <w:jc w:val="center"/>
            </w:pPr>
            <w:r w:rsidRPr="00F27AA5">
              <w:t>3,313</w:t>
            </w:r>
          </w:p>
        </w:tc>
      </w:tr>
    </w:tbl>
    <w:p w14:paraId="2D2BD63C" w14:textId="28ACD940" w:rsidR="00705381" w:rsidRPr="00FB49EF" w:rsidRDefault="00FB49EF" w:rsidP="00F66DA9">
      <w:pPr>
        <w:pStyle w:val="Bodyaftertable"/>
        <w:spacing w:before="60" w:after="60" w:line="240" w:lineRule="exact"/>
        <w:rPr>
          <w:sz w:val="18"/>
          <w:szCs w:val="18"/>
        </w:rPr>
      </w:pPr>
      <w:r>
        <w:rPr>
          <w:sz w:val="18"/>
          <w:szCs w:val="18"/>
        </w:rPr>
        <w:t>Note</w:t>
      </w:r>
      <w:r w:rsidR="00847520">
        <w:rPr>
          <w:sz w:val="18"/>
          <w:szCs w:val="18"/>
        </w:rPr>
        <w:t xml:space="preserve">: </w:t>
      </w:r>
      <w:r w:rsidR="007675FD">
        <w:rPr>
          <w:sz w:val="18"/>
          <w:szCs w:val="18"/>
        </w:rPr>
        <w:t xml:space="preserve">The table </w:t>
      </w:r>
      <w:r w:rsidR="001E78AF">
        <w:rPr>
          <w:sz w:val="18"/>
          <w:szCs w:val="18"/>
        </w:rPr>
        <w:t xml:space="preserve">in last year’s </w:t>
      </w:r>
      <w:r w:rsidR="00DF6158">
        <w:rPr>
          <w:sz w:val="18"/>
          <w:szCs w:val="18"/>
        </w:rPr>
        <w:t>a</w:t>
      </w:r>
      <w:r w:rsidR="001E78AF">
        <w:rPr>
          <w:sz w:val="18"/>
          <w:szCs w:val="18"/>
        </w:rPr>
        <w:t xml:space="preserve">nnual </w:t>
      </w:r>
      <w:r w:rsidR="00DF6158">
        <w:rPr>
          <w:sz w:val="18"/>
          <w:szCs w:val="18"/>
        </w:rPr>
        <w:t>r</w:t>
      </w:r>
      <w:r w:rsidR="001E78AF">
        <w:rPr>
          <w:sz w:val="18"/>
          <w:szCs w:val="18"/>
        </w:rPr>
        <w:t xml:space="preserve">eport </w:t>
      </w:r>
      <w:r w:rsidR="00A42B9B">
        <w:rPr>
          <w:sz w:val="18"/>
          <w:szCs w:val="18"/>
        </w:rPr>
        <w:t>with</w:t>
      </w:r>
      <w:r w:rsidR="007675FD">
        <w:rPr>
          <w:sz w:val="18"/>
          <w:szCs w:val="18"/>
        </w:rPr>
        <w:t xml:space="preserve"> th</w:t>
      </w:r>
      <w:r w:rsidR="00174645">
        <w:rPr>
          <w:sz w:val="18"/>
          <w:szCs w:val="18"/>
        </w:rPr>
        <w:t>e</w:t>
      </w:r>
      <w:r w:rsidR="007675FD">
        <w:rPr>
          <w:sz w:val="18"/>
          <w:szCs w:val="18"/>
        </w:rPr>
        <w:t>s</w:t>
      </w:r>
      <w:r w:rsidR="00174645">
        <w:rPr>
          <w:sz w:val="18"/>
          <w:szCs w:val="18"/>
        </w:rPr>
        <w:t>e</w:t>
      </w:r>
      <w:r w:rsidR="007675FD">
        <w:rPr>
          <w:sz w:val="18"/>
          <w:szCs w:val="18"/>
        </w:rPr>
        <w:t xml:space="preserve"> data contained an error</w:t>
      </w:r>
      <w:r w:rsidR="00A74A47">
        <w:rPr>
          <w:sz w:val="18"/>
          <w:szCs w:val="18"/>
        </w:rPr>
        <w:t xml:space="preserve">; </w:t>
      </w:r>
      <w:r w:rsidR="00B10548">
        <w:rPr>
          <w:sz w:val="18"/>
          <w:szCs w:val="18"/>
        </w:rPr>
        <w:t xml:space="preserve">the data </w:t>
      </w:r>
      <w:r w:rsidR="00A33220">
        <w:rPr>
          <w:sz w:val="18"/>
          <w:szCs w:val="18"/>
        </w:rPr>
        <w:t>represented</w:t>
      </w:r>
      <w:r w:rsidR="00AA534D">
        <w:rPr>
          <w:sz w:val="18"/>
          <w:szCs w:val="18"/>
        </w:rPr>
        <w:t xml:space="preserve"> </w:t>
      </w:r>
      <w:r w:rsidR="00267B18">
        <w:rPr>
          <w:sz w:val="18"/>
          <w:szCs w:val="18"/>
        </w:rPr>
        <w:t xml:space="preserve">bodily restraint and seclusion </w:t>
      </w:r>
      <w:r w:rsidR="003324FE">
        <w:rPr>
          <w:sz w:val="18"/>
          <w:szCs w:val="18"/>
        </w:rPr>
        <w:t>by</w:t>
      </w:r>
      <w:r w:rsidR="00267B18">
        <w:rPr>
          <w:sz w:val="18"/>
          <w:szCs w:val="18"/>
        </w:rPr>
        <w:t xml:space="preserve"> </w:t>
      </w:r>
      <w:r w:rsidR="00267B18" w:rsidRPr="00CB6402">
        <w:rPr>
          <w:i/>
          <w:iCs/>
          <w:sz w:val="18"/>
          <w:szCs w:val="18"/>
        </w:rPr>
        <w:t>number of people</w:t>
      </w:r>
      <w:r w:rsidR="00267B18">
        <w:rPr>
          <w:sz w:val="18"/>
          <w:szCs w:val="18"/>
        </w:rPr>
        <w:t xml:space="preserve"> instead of </w:t>
      </w:r>
      <w:r w:rsidR="00267B18" w:rsidRPr="00CB6402">
        <w:rPr>
          <w:i/>
          <w:iCs/>
          <w:sz w:val="18"/>
          <w:szCs w:val="18"/>
        </w:rPr>
        <w:t>number of episodes</w:t>
      </w:r>
      <w:r w:rsidR="00267B18">
        <w:rPr>
          <w:sz w:val="18"/>
          <w:szCs w:val="18"/>
        </w:rPr>
        <w:t>.</w:t>
      </w:r>
      <w:r w:rsidR="00F66DA9">
        <w:rPr>
          <w:sz w:val="18"/>
          <w:szCs w:val="18"/>
        </w:rPr>
        <w:t xml:space="preserve"> The error has been corrected in this table</w:t>
      </w:r>
      <w:r w:rsidR="00EA34D3">
        <w:rPr>
          <w:sz w:val="18"/>
          <w:szCs w:val="18"/>
        </w:rPr>
        <w:t>.</w:t>
      </w:r>
    </w:p>
    <w:p w14:paraId="2876AAC8" w14:textId="032EB7A9" w:rsidR="004F58D3" w:rsidRDefault="004F58D3" w:rsidP="00643556">
      <w:pPr>
        <w:pStyle w:val="Bodyaftertable"/>
      </w:pPr>
      <w:r w:rsidRPr="00B46B00">
        <w:t>In 20</w:t>
      </w:r>
      <w:r w:rsidR="00FC2373" w:rsidRPr="00B46B00">
        <w:t>2</w:t>
      </w:r>
      <w:r w:rsidR="0045280C" w:rsidRPr="00B46B00">
        <w:t>1</w:t>
      </w:r>
      <w:r w:rsidRPr="00B46B00">
        <w:t>–2</w:t>
      </w:r>
      <w:r w:rsidR="0045280C" w:rsidRPr="00B46B00">
        <w:t>2</w:t>
      </w:r>
      <w:r>
        <w:t xml:space="preserve"> most </w:t>
      </w:r>
      <w:r w:rsidR="00FC2373">
        <w:t>episodes</w:t>
      </w:r>
      <w:r>
        <w:t xml:space="preserve"> of seclusion in admitted settings were among 18</w:t>
      </w:r>
      <w:r w:rsidR="00DF6158">
        <w:t>-</w:t>
      </w:r>
      <w:r>
        <w:t xml:space="preserve"> to 49</w:t>
      </w:r>
      <w:r w:rsidR="000031DC">
        <w:t>-</w:t>
      </w:r>
      <w:r>
        <w:t>year</w:t>
      </w:r>
      <w:r w:rsidR="000031DC">
        <w:t>-</w:t>
      </w:r>
      <w:r>
        <w:t>olds (</w:t>
      </w:r>
      <w:r w:rsidR="6236A531">
        <w:t>Table 1</w:t>
      </w:r>
      <w:r w:rsidR="0086212F">
        <w:t>0</w:t>
      </w:r>
      <w:r>
        <w:t>).</w:t>
      </w:r>
    </w:p>
    <w:p w14:paraId="0B9BBF63" w14:textId="77777777" w:rsidR="00DF6158" w:rsidRDefault="00DF6158" w:rsidP="009A5423">
      <w:pPr>
        <w:pStyle w:val="Body"/>
      </w:pPr>
      <w:r>
        <w:br w:type="page"/>
      </w:r>
    </w:p>
    <w:p w14:paraId="3E663F81" w14:textId="2E1C9F63" w:rsidR="2FF7EF75" w:rsidRDefault="2FF7EF75" w:rsidP="000D0B9B">
      <w:pPr>
        <w:pStyle w:val="Tablecaption"/>
        <w:rPr>
          <w:rFonts w:eastAsia="Arial"/>
        </w:rPr>
      </w:pPr>
      <w:r w:rsidRPr="6413A842">
        <w:rPr>
          <w:rFonts w:eastAsia="Arial"/>
        </w:rPr>
        <w:lastRenderedPageBreak/>
        <w:t>Table 1</w:t>
      </w:r>
      <w:r w:rsidR="0086212F">
        <w:rPr>
          <w:rFonts w:eastAsia="Arial"/>
        </w:rPr>
        <w:t>0</w:t>
      </w:r>
      <w:r w:rsidRPr="6413A842">
        <w:rPr>
          <w:rFonts w:eastAsia="Arial"/>
        </w:rPr>
        <w:t>: Number of seclusion episodes in acute inpatient units</w:t>
      </w:r>
      <w:r w:rsidR="0048002F">
        <w:rPr>
          <w:rFonts w:eastAsia="Arial"/>
        </w:rPr>
        <w:t>,</w:t>
      </w:r>
      <w:r w:rsidRPr="6413A842">
        <w:rPr>
          <w:rFonts w:eastAsia="Arial"/>
        </w:rPr>
        <w:t xml:space="preserve"> by age and </w:t>
      </w:r>
      <w:r w:rsidR="00505B12">
        <w:rPr>
          <w:rFonts w:eastAsia="Arial"/>
        </w:rPr>
        <w:t>sex</w:t>
      </w:r>
      <w:r w:rsidRPr="6413A842">
        <w:rPr>
          <w:rFonts w:eastAsia="Arial"/>
        </w:rPr>
        <w:t>, 20</w:t>
      </w:r>
      <w:r w:rsidR="00304F73">
        <w:rPr>
          <w:rFonts w:eastAsia="Arial"/>
        </w:rPr>
        <w:t>2</w:t>
      </w:r>
      <w:r w:rsidR="00817E24">
        <w:rPr>
          <w:rFonts w:eastAsia="Arial"/>
        </w:rPr>
        <w:t>1</w:t>
      </w:r>
      <w:r w:rsidRPr="6413A842">
        <w:rPr>
          <w:rFonts w:eastAsia="Arial"/>
        </w:rPr>
        <w:t>–2</w:t>
      </w:r>
      <w:r w:rsidR="00817E24">
        <w:rPr>
          <w:rFonts w:eastAsia="Arial"/>
        </w:rPr>
        <w:t>2</w:t>
      </w:r>
    </w:p>
    <w:tbl>
      <w:tblPr>
        <w:tblStyle w:val="TableGrid"/>
        <w:tblW w:w="5000" w:type="pct"/>
        <w:tblInd w:w="0" w:type="dxa"/>
        <w:tblLook w:val="0620" w:firstRow="1" w:lastRow="0" w:firstColumn="0" w:lastColumn="0" w:noHBand="1" w:noVBand="1"/>
      </w:tblPr>
      <w:tblGrid>
        <w:gridCol w:w="1219"/>
        <w:gridCol w:w="1008"/>
        <w:gridCol w:w="1009"/>
        <w:gridCol w:w="1009"/>
        <w:gridCol w:w="1009"/>
        <w:gridCol w:w="1009"/>
        <w:gridCol w:w="1009"/>
        <w:gridCol w:w="1009"/>
        <w:gridCol w:w="1007"/>
      </w:tblGrid>
      <w:tr w:rsidR="00431D47" w14:paraId="194A723F" w14:textId="73D320F9" w:rsidTr="00013293">
        <w:trPr>
          <w:trHeight w:val="624"/>
          <w:tblHeader/>
        </w:trPr>
        <w:tc>
          <w:tcPr>
            <w:tcW w:w="657" w:type="pct"/>
          </w:tcPr>
          <w:p w14:paraId="17A8969E" w14:textId="7DEBE754" w:rsidR="00431D47" w:rsidRDefault="006B0A88" w:rsidP="000D0B9B">
            <w:pPr>
              <w:pStyle w:val="Tablecolhead"/>
            </w:pPr>
            <w:r>
              <w:t>Sex</w:t>
            </w:r>
          </w:p>
        </w:tc>
        <w:tc>
          <w:tcPr>
            <w:tcW w:w="543" w:type="pct"/>
            <w:vAlign w:val="center"/>
          </w:tcPr>
          <w:p w14:paraId="39A6F401" w14:textId="1556867A" w:rsidR="00431D47" w:rsidRPr="00AA2789" w:rsidRDefault="00431D47" w:rsidP="00312856">
            <w:pPr>
              <w:pStyle w:val="Tablecolhead"/>
              <w:jc w:val="center"/>
            </w:pPr>
            <w:r w:rsidRPr="00AA2789">
              <w:t>0–17</w:t>
            </w:r>
          </w:p>
        </w:tc>
        <w:tc>
          <w:tcPr>
            <w:tcW w:w="543" w:type="pct"/>
            <w:vAlign w:val="center"/>
          </w:tcPr>
          <w:p w14:paraId="54EBA493" w14:textId="2BE1D965" w:rsidR="00431D47" w:rsidRDefault="00431D47" w:rsidP="00312856">
            <w:pPr>
              <w:pStyle w:val="Tablecolhead"/>
              <w:jc w:val="center"/>
            </w:pPr>
            <w:r>
              <w:t>18–29</w:t>
            </w:r>
          </w:p>
        </w:tc>
        <w:tc>
          <w:tcPr>
            <w:tcW w:w="543" w:type="pct"/>
            <w:vAlign w:val="center"/>
          </w:tcPr>
          <w:p w14:paraId="6F158FEA" w14:textId="2FAA34B7" w:rsidR="00431D47" w:rsidRDefault="00431D47" w:rsidP="00312856">
            <w:pPr>
              <w:pStyle w:val="Tablecolhead"/>
              <w:jc w:val="center"/>
            </w:pPr>
            <w:r>
              <w:t>30–39</w:t>
            </w:r>
          </w:p>
        </w:tc>
        <w:tc>
          <w:tcPr>
            <w:tcW w:w="543" w:type="pct"/>
            <w:vAlign w:val="center"/>
          </w:tcPr>
          <w:p w14:paraId="293EEF28" w14:textId="527910BB" w:rsidR="00431D47" w:rsidRDefault="00431D47" w:rsidP="00312856">
            <w:pPr>
              <w:pStyle w:val="Tablecolhead"/>
              <w:jc w:val="center"/>
            </w:pPr>
            <w:r>
              <w:t>40–49</w:t>
            </w:r>
          </w:p>
        </w:tc>
        <w:tc>
          <w:tcPr>
            <w:tcW w:w="543" w:type="pct"/>
            <w:vAlign w:val="center"/>
          </w:tcPr>
          <w:p w14:paraId="6E69A1C7" w14:textId="1BF270FE" w:rsidR="00431D47" w:rsidRDefault="00431D47" w:rsidP="00312856">
            <w:pPr>
              <w:pStyle w:val="Tablecolhead"/>
              <w:jc w:val="center"/>
            </w:pPr>
            <w:r>
              <w:t>50–59</w:t>
            </w:r>
          </w:p>
        </w:tc>
        <w:tc>
          <w:tcPr>
            <w:tcW w:w="543" w:type="pct"/>
            <w:vAlign w:val="center"/>
          </w:tcPr>
          <w:p w14:paraId="65703DBC" w14:textId="055F69DD" w:rsidR="00431D47" w:rsidRDefault="00431D47" w:rsidP="00312856">
            <w:pPr>
              <w:pStyle w:val="Tablecolhead"/>
              <w:jc w:val="center"/>
            </w:pPr>
            <w:r>
              <w:t>60–69</w:t>
            </w:r>
          </w:p>
        </w:tc>
        <w:tc>
          <w:tcPr>
            <w:tcW w:w="543" w:type="pct"/>
            <w:vAlign w:val="center"/>
          </w:tcPr>
          <w:p w14:paraId="1DFD4B9C" w14:textId="46BC4E97" w:rsidR="00431D47" w:rsidRDefault="00431D47" w:rsidP="00312856">
            <w:pPr>
              <w:pStyle w:val="Tablecolhead"/>
              <w:jc w:val="center"/>
            </w:pPr>
            <w:r>
              <w:t>70–79</w:t>
            </w:r>
          </w:p>
        </w:tc>
        <w:tc>
          <w:tcPr>
            <w:tcW w:w="542" w:type="pct"/>
            <w:vAlign w:val="center"/>
          </w:tcPr>
          <w:p w14:paraId="05A4EF9D" w14:textId="7CCCABE0" w:rsidR="00431D47" w:rsidRDefault="00431D47" w:rsidP="00312856">
            <w:pPr>
              <w:pStyle w:val="Tablecolhead"/>
              <w:jc w:val="center"/>
            </w:pPr>
            <w:r>
              <w:t>80+</w:t>
            </w:r>
          </w:p>
        </w:tc>
      </w:tr>
      <w:tr w:rsidR="00F867CF" w14:paraId="328647BB" w14:textId="55CEFDF4" w:rsidTr="00013293">
        <w:trPr>
          <w:trHeight w:val="374"/>
        </w:trPr>
        <w:tc>
          <w:tcPr>
            <w:tcW w:w="657" w:type="pct"/>
          </w:tcPr>
          <w:p w14:paraId="580D94CE" w14:textId="103752EF" w:rsidR="00F867CF" w:rsidRDefault="00F867CF" w:rsidP="000D0B9B">
            <w:pPr>
              <w:pStyle w:val="Tabletext"/>
            </w:pPr>
            <w:r>
              <w:t>Female</w:t>
            </w:r>
          </w:p>
        </w:tc>
        <w:tc>
          <w:tcPr>
            <w:tcW w:w="543" w:type="pct"/>
            <w:vAlign w:val="center"/>
          </w:tcPr>
          <w:p w14:paraId="1C128C56" w14:textId="6FA5D903" w:rsidR="00F867CF" w:rsidRPr="00AA2789" w:rsidRDefault="00A53375" w:rsidP="00312856">
            <w:pPr>
              <w:pStyle w:val="Tabletext"/>
              <w:jc w:val="center"/>
            </w:pPr>
            <w:r w:rsidRPr="009D5344">
              <w:t>90</w:t>
            </w:r>
          </w:p>
        </w:tc>
        <w:tc>
          <w:tcPr>
            <w:tcW w:w="543" w:type="pct"/>
            <w:vAlign w:val="center"/>
          </w:tcPr>
          <w:p w14:paraId="0E9E8F7E" w14:textId="701D0F8B" w:rsidR="00F867CF" w:rsidRDefault="00A53375" w:rsidP="00312856">
            <w:pPr>
              <w:pStyle w:val="Tabletext"/>
              <w:jc w:val="center"/>
            </w:pPr>
            <w:r w:rsidRPr="009D5344">
              <w:t>232</w:t>
            </w:r>
          </w:p>
        </w:tc>
        <w:tc>
          <w:tcPr>
            <w:tcW w:w="543" w:type="pct"/>
            <w:vAlign w:val="center"/>
          </w:tcPr>
          <w:p w14:paraId="73F39CDA" w14:textId="270718C6" w:rsidR="00F867CF" w:rsidRDefault="00A53375" w:rsidP="00312856">
            <w:pPr>
              <w:pStyle w:val="Tabletext"/>
              <w:jc w:val="center"/>
            </w:pPr>
            <w:r w:rsidRPr="009D5344">
              <w:t>347</w:t>
            </w:r>
          </w:p>
        </w:tc>
        <w:tc>
          <w:tcPr>
            <w:tcW w:w="543" w:type="pct"/>
            <w:vAlign w:val="center"/>
          </w:tcPr>
          <w:p w14:paraId="63D54D5B" w14:textId="1148AFE4" w:rsidR="00F867CF" w:rsidRDefault="00A53375" w:rsidP="00312856">
            <w:pPr>
              <w:pStyle w:val="Tabletext"/>
              <w:jc w:val="center"/>
            </w:pPr>
            <w:r w:rsidRPr="009D5344">
              <w:t>147</w:t>
            </w:r>
          </w:p>
        </w:tc>
        <w:tc>
          <w:tcPr>
            <w:tcW w:w="543" w:type="pct"/>
            <w:vAlign w:val="center"/>
          </w:tcPr>
          <w:p w14:paraId="09058723" w14:textId="3C436FEA" w:rsidR="00F867CF" w:rsidRDefault="00A53375" w:rsidP="00312856">
            <w:pPr>
              <w:pStyle w:val="Tabletext"/>
              <w:jc w:val="center"/>
            </w:pPr>
            <w:r w:rsidRPr="009D5344">
              <w:t>65</w:t>
            </w:r>
          </w:p>
        </w:tc>
        <w:tc>
          <w:tcPr>
            <w:tcW w:w="543" w:type="pct"/>
            <w:vAlign w:val="center"/>
          </w:tcPr>
          <w:p w14:paraId="341DEC7C" w14:textId="01B830B5" w:rsidR="00F867CF" w:rsidRDefault="00A53375" w:rsidP="00312856">
            <w:pPr>
              <w:pStyle w:val="Tabletext"/>
              <w:jc w:val="center"/>
            </w:pPr>
            <w:r w:rsidRPr="009D5344">
              <w:t>13</w:t>
            </w:r>
          </w:p>
        </w:tc>
        <w:tc>
          <w:tcPr>
            <w:tcW w:w="543" w:type="pct"/>
            <w:vAlign w:val="center"/>
          </w:tcPr>
          <w:p w14:paraId="7B060F4F" w14:textId="088264DF" w:rsidR="00F867CF" w:rsidRDefault="00A53375" w:rsidP="00312856">
            <w:pPr>
              <w:pStyle w:val="Tabletext"/>
              <w:jc w:val="center"/>
            </w:pPr>
            <w:r w:rsidRPr="009D5344">
              <w:t>9</w:t>
            </w:r>
          </w:p>
        </w:tc>
        <w:tc>
          <w:tcPr>
            <w:tcW w:w="542" w:type="pct"/>
            <w:vAlign w:val="center"/>
          </w:tcPr>
          <w:p w14:paraId="00F150B6" w14:textId="0378CE7A" w:rsidR="00F867CF" w:rsidRDefault="00E71242" w:rsidP="00312856">
            <w:pPr>
              <w:pStyle w:val="Tabletext"/>
              <w:jc w:val="center"/>
            </w:pPr>
            <w:r>
              <w:t>0</w:t>
            </w:r>
          </w:p>
        </w:tc>
      </w:tr>
      <w:tr w:rsidR="00F867CF" w14:paraId="1C1F0810" w14:textId="7C7568F6" w:rsidTr="00013293">
        <w:trPr>
          <w:trHeight w:val="374"/>
        </w:trPr>
        <w:tc>
          <w:tcPr>
            <w:tcW w:w="657" w:type="pct"/>
          </w:tcPr>
          <w:p w14:paraId="647A987D" w14:textId="1A705E40" w:rsidR="00F867CF" w:rsidRDefault="00F867CF" w:rsidP="000D0B9B">
            <w:pPr>
              <w:pStyle w:val="Tabletext"/>
            </w:pPr>
            <w:r>
              <w:t>Male</w:t>
            </w:r>
          </w:p>
        </w:tc>
        <w:tc>
          <w:tcPr>
            <w:tcW w:w="543" w:type="pct"/>
            <w:vAlign w:val="center"/>
          </w:tcPr>
          <w:p w14:paraId="4E38DF28" w14:textId="1F021186" w:rsidR="00F867CF" w:rsidRPr="00AA2789" w:rsidRDefault="00A53375" w:rsidP="00312856">
            <w:pPr>
              <w:pStyle w:val="Tabletext"/>
              <w:jc w:val="center"/>
            </w:pPr>
            <w:r w:rsidRPr="009D5344">
              <w:t>39</w:t>
            </w:r>
          </w:p>
        </w:tc>
        <w:tc>
          <w:tcPr>
            <w:tcW w:w="543" w:type="pct"/>
            <w:vAlign w:val="center"/>
          </w:tcPr>
          <w:p w14:paraId="76D5E303" w14:textId="63DA5A0D" w:rsidR="00F867CF" w:rsidRDefault="00A53375" w:rsidP="00312856">
            <w:pPr>
              <w:pStyle w:val="Tabletext"/>
              <w:jc w:val="center"/>
            </w:pPr>
            <w:r w:rsidRPr="009D5344">
              <w:t>840</w:t>
            </w:r>
          </w:p>
        </w:tc>
        <w:tc>
          <w:tcPr>
            <w:tcW w:w="543" w:type="pct"/>
            <w:vAlign w:val="center"/>
          </w:tcPr>
          <w:p w14:paraId="0672CFFF" w14:textId="670B59AD" w:rsidR="00F867CF" w:rsidRDefault="00A53375" w:rsidP="00312856">
            <w:pPr>
              <w:pStyle w:val="Tabletext"/>
              <w:jc w:val="center"/>
            </w:pPr>
            <w:r w:rsidRPr="009D5344">
              <w:t>828</w:t>
            </w:r>
          </w:p>
        </w:tc>
        <w:tc>
          <w:tcPr>
            <w:tcW w:w="543" w:type="pct"/>
            <w:vAlign w:val="center"/>
          </w:tcPr>
          <w:p w14:paraId="7DA21E4F" w14:textId="6A671349" w:rsidR="00F867CF" w:rsidRDefault="00A53375" w:rsidP="00312856">
            <w:pPr>
              <w:pStyle w:val="Tabletext"/>
              <w:jc w:val="center"/>
            </w:pPr>
            <w:r w:rsidRPr="009D5344">
              <w:t>439</w:t>
            </w:r>
          </w:p>
        </w:tc>
        <w:tc>
          <w:tcPr>
            <w:tcW w:w="543" w:type="pct"/>
            <w:vAlign w:val="center"/>
          </w:tcPr>
          <w:p w14:paraId="4F71B123" w14:textId="50FF8AEC" w:rsidR="00F867CF" w:rsidRDefault="00A53375" w:rsidP="00312856">
            <w:pPr>
              <w:pStyle w:val="Tabletext"/>
              <w:jc w:val="center"/>
            </w:pPr>
            <w:r w:rsidRPr="009D5344">
              <w:t>243</w:t>
            </w:r>
          </w:p>
        </w:tc>
        <w:tc>
          <w:tcPr>
            <w:tcW w:w="543" w:type="pct"/>
            <w:vAlign w:val="center"/>
          </w:tcPr>
          <w:p w14:paraId="57A5700B" w14:textId="5C5BC24E" w:rsidR="00F867CF" w:rsidRDefault="00A53375" w:rsidP="00312856">
            <w:pPr>
              <w:pStyle w:val="Tabletext"/>
              <w:jc w:val="center"/>
            </w:pPr>
            <w:r w:rsidRPr="009D5344">
              <w:t>14</w:t>
            </w:r>
          </w:p>
        </w:tc>
        <w:tc>
          <w:tcPr>
            <w:tcW w:w="543" w:type="pct"/>
            <w:vAlign w:val="center"/>
          </w:tcPr>
          <w:p w14:paraId="00C83828" w14:textId="3DBF9536" w:rsidR="00F867CF" w:rsidRDefault="1A1B10CA" w:rsidP="00312856">
            <w:pPr>
              <w:pStyle w:val="Tabletext"/>
              <w:jc w:val="center"/>
            </w:pPr>
            <w:proofErr w:type="spellStart"/>
            <w:r>
              <w:t>n.p.</w:t>
            </w:r>
            <w:proofErr w:type="spellEnd"/>
          </w:p>
        </w:tc>
        <w:tc>
          <w:tcPr>
            <w:tcW w:w="542" w:type="pct"/>
            <w:vAlign w:val="center"/>
          </w:tcPr>
          <w:p w14:paraId="3F489EAD" w14:textId="29E09952" w:rsidR="00F867CF" w:rsidRDefault="00E71242" w:rsidP="00312856">
            <w:pPr>
              <w:pStyle w:val="Tabletext"/>
              <w:jc w:val="center"/>
            </w:pPr>
            <w:r>
              <w:t>0</w:t>
            </w:r>
          </w:p>
        </w:tc>
      </w:tr>
    </w:tbl>
    <w:p w14:paraId="70CD377A" w14:textId="75BDDEC6" w:rsidR="00685954" w:rsidRDefault="00381B2F" w:rsidP="00643556">
      <w:pPr>
        <w:pStyle w:val="Tablefigurenote"/>
      </w:pPr>
      <w:r w:rsidRPr="006837F3">
        <w:t>Note</w:t>
      </w:r>
      <w:r w:rsidR="009653F0">
        <w:t>s</w:t>
      </w:r>
      <w:r w:rsidRPr="006837F3">
        <w:t xml:space="preserve">: </w:t>
      </w:r>
    </w:p>
    <w:p w14:paraId="0C22A7FE" w14:textId="2505F679" w:rsidR="00381B2F" w:rsidRDefault="00381B2F" w:rsidP="00643556">
      <w:pPr>
        <w:pStyle w:val="Tablefigurenote"/>
      </w:pPr>
      <w:r w:rsidRPr="006837F3">
        <w:t>Some age groups have been further aggregated to protect the confidentiality of individuals</w:t>
      </w:r>
      <w:r w:rsidR="004F58D3">
        <w:t>.</w:t>
      </w:r>
    </w:p>
    <w:p w14:paraId="33963820" w14:textId="32AAAACF" w:rsidR="00685954" w:rsidRDefault="00847ED0" w:rsidP="00643556">
      <w:pPr>
        <w:pStyle w:val="Tablefigurenote"/>
      </w:pPr>
      <w:proofErr w:type="spellStart"/>
      <w:r>
        <w:t>n.p.</w:t>
      </w:r>
      <w:proofErr w:type="spellEnd"/>
      <w:r>
        <w:t xml:space="preserve"> </w:t>
      </w:r>
      <w:r w:rsidR="00E633CA">
        <w:t xml:space="preserve">refers to </w:t>
      </w:r>
      <w:r w:rsidR="00C35519">
        <w:t>data that is n</w:t>
      </w:r>
      <w:r w:rsidR="005E42BE">
        <w:t>ot published</w:t>
      </w:r>
      <w:r w:rsidR="00F64AE9">
        <w:t xml:space="preserve">. </w:t>
      </w:r>
      <w:r w:rsidR="006D4BF7">
        <w:t xml:space="preserve">This is done to protect the </w:t>
      </w:r>
      <w:r w:rsidR="000C5D9C">
        <w:t>confidentiality of individuals.</w:t>
      </w:r>
    </w:p>
    <w:p w14:paraId="28905485" w14:textId="0A107254" w:rsidR="004F58D3" w:rsidRDefault="004F58D3" w:rsidP="00643556">
      <w:pPr>
        <w:pStyle w:val="Bodyaftertable"/>
      </w:pPr>
      <w:r>
        <w:t xml:space="preserve">For bodily restraint, most </w:t>
      </w:r>
      <w:r w:rsidR="00E40750">
        <w:t xml:space="preserve">episodes were </w:t>
      </w:r>
      <w:r>
        <w:t>among the 30</w:t>
      </w:r>
      <w:r w:rsidR="00DF6158">
        <w:t>-</w:t>
      </w:r>
      <w:r>
        <w:t xml:space="preserve"> to 39-year-old age group (</w:t>
      </w:r>
      <w:r w:rsidR="5E3D19CA">
        <w:t>Table 1</w:t>
      </w:r>
      <w:r w:rsidR="00CC7406">
        <w:t>1</w:t>
      </w:r>
      <w:r>
        <w:t>).</w:t>
      </w:r>
    </w:p>
    <w:p w14:paraId="321985EB" w14:textId="699E9CF0" w:rsidR="001179A7" w:rsidRPr="00230A4F" w:rsidRDefault="000C330C" w:rsidP="001179A7">
      <w:pPr>
        <w:pStyle w:val="Body"/>
        <w:rPr>
          <w:highlight w:val="yellow"/>
        </w:rPr>
      </w:pPr>
      <w:r w:rsidRPr="00D05AB4">
        <w:t>T</w:t>
      </w:r>
      <w:r w:rsidR="00A136B2" w:rsidRPr="00D05AB4">
        <w:t xml:space="preserve">here is </w:t>
      </w:r>
      <w:r w:rsidR="00D05AB4">
        <w:t>a</w:t>
      </w:r>
      <w:r w:rsidR="00A136B2" w:rsidRPr="00D05AB4">
        <w:t xml:space="preserve"> difference </w:t>
      </w:r>
      <w:r w:rsidR="00D05AB4">
        <w:t xml:space="preserve">in </w:t>
      </w:r>
      <w:r w:rsidR="00A136B2" w:rsidRPr="00D05AB4">
        <w:t xml:space="preserve">seclusion and bodily restraint </w:t>
      </w:r>
      <w:r w:rsidR="00B859AF">
        <w:t>episodes</w:t>
      </w:r>
      <w:r w:rsidR="00A136B2" w:rsidRPr="00D05AB4">
        <w:t xml:space="preserve"> </w:t>
      </w:r>
      <w:r w:rsidR="0093553B">
        <w:t xml:space="preserve">between </w:t>
      </w:r>
      <w:r w:rsidR="00585EA2">
        <w:t>s</w:t>
      </w:r>
      <w:r w:rsidR="003C6687">
        <w:t>exes</w:t>
      </w:r>
      <w:r w:rsidR="00814758">
        <w:t xml:space="preserve">, with each </w:t>
      </w:r>
      <w:r w:rsidR="00A1337F">
        <w:t>being more frequent in males</w:t>
      </w:r>
      <w:r w:rsidR="0033372F">
        <w:t xml:space="preserve">, except in the </w:t>
      </w:r>
      <w:r w:rsidR="006034E0">
        <w:t>0</w:t>
      </w:r>
      <w:r w:rsidR="00DF6158">
        <w:t>-</w:t>
      </w:r>
      <w:r w:rsidR="006034E0">
        <w:t xml:space="preserve"> to 17-year-old age group, where it was </w:t>
      </w:r>
      <w:r w:rsidR="006C46D3">
        <w:t>more frequent in females</w:t>
      </w:r>
      <w:r w:rsidR="00A136B2" w:rsidRPr="00D05AB4">
        <w:t xml:space="preserve">. </w:t>
      </w:r>
    </w:p>
    <w:p w14:paraId="5B6F6712" w14:textId="3DB40533" w:rsidR="7991450A" w:rsidRDefault="7991450A" w:rsidP="000D0B9B">
      <w:pPr>
        <w:pStyle w:val="Tablecaption"/>
        <w:rPr>
          <w:rFonts w:eastAsia="Arial"/>
        </w:rPr>
      </w:pPr>
      <w:r w:rsidRPr="6413A842">
        <w:rPr>
          <w:rFonts w:eastAsia="Arial"/>
        </w:rPr>
        <w:t>Table 1</w:t>
      </w:r>
      <w:r w:rsidR="00CC7406">
        <w:rPr>
          <w:rFonts w:eastAsia="Arial"/>
        </w:rPr>
        <w:t>1</w:t>
      </w:r>
      <w:r w:rsidRPr="6413A842">
        <w:rPr>
          <w:rFonts w:eastAsia="Arial"/>
        </w:rPr>
        <w:t>: Number of bodily restraints in acute inpatient units</w:t>
      </w:r>
      <w:r w:rsidR="0048002F">
        <w:rPr>
          <w:rFonts w:eastAsia="Arial"/>
        </w:rPr>
        <w:t>,</w:t>
      </w:r>
      <w:r w:rsidRPr="6413A842">
        <w:rPr>
          <w:rFonts w:eastAsia="Arial"/>
        </w:rPr>
        <w:t xml:space="preserve"> by age and </w:t>
      </w:r>
      <w:r w:rsidR="003C6687">
        <w:rPr>
          <w:rFonts w:eastAsia="Arial"/>
        </w:rPr>
        <w:t>sex</w:t>
      </w:r>
      <w:r w:rsidRPr="6413A842">
        <w:rPr>
          <w:rFonts w:eastAsia="Arial"/>
        </w:rPr>
        <w:t xml:space="preserve">, </w:t>
      </w:r>
      <w:r w:rsidR="007B2175">
        <w:rPr>
          <w:rFonts w:eastAsia="Arial"/>
        </w:rPr>
        <w:t>202</w:t>
      </w:r>
      <w:r w:rsidR="0074722F">
        <w:rPr>
          <w:rFonts w:eastAsia="Arial"/>
        </w:rPr>
        <w:t>1</w:t>
      </w:r>
      <w:r w:rsidR="007B2175">
        <w:rPr>
          <w:rFonts w:eastAsia="Arial"/>
        </w:rPr>
        <w:t>–2</w:t>
      </w:r>
      <w:r w:rsidR="0074722F">
        <w:rPr>
          <w:rFonts w:eastAsia="Arial"/>
        </w:rPr>
        <w:t>2</w:t>
      </w:r>
    </w:p>
    <w:tbl>
      <w:tblPr>
        <w:tblStyle w:val="TableGrid"/>
        <w:tblW w:w="9540" w:type="dxa"/>
        <w:tblInd w:w="-5" w:type="dxa"/>
        <w:tblLook w:val="0620" w:firstRow="1" w:lastRow="0" w:firstColumn="0" w:lastColumn="0" w:noHBand="1" w:noVBand="1"/>
      </w:tblPr>
      <w:tblGrid>
        <w:gridCol w:w="1154"/>
        <w:gridCol w:w="931"/>
        <w:gridCol w:w="932"/>
        <w:gridCol w:w="932"/>
        <w:gridCol w:w="932"/>
        <w:gridCol w:w="931"/>
        <w:gridCol w:w="932"/>
        <w:gridCol w:w="932"/>
        <w:gridCol w:w="932"/>
        <w:gridCol w:w="932"/>
      </w:tblGrid>
      <w:tr w:rsidR="007F10A3" w14:paraId="1A6D021F" w14:textId="10ABA104" w:rsidTr="00954FDF">
        <w:trPr>
          <w:tblHeader/>
        </w:trPr>
        <w:tc>
          <w:tcPr>
            <w:tcW w:w="1154" w:type="dxa"/>
          </w:tcPr>
          <w:p w14:paraId="009B8984" w14:textId="7782018C" w:rsidR="008549DA" w:rsidRDefault="006B0A88" w:rsidP="000D0B9B">
            <w:pPr>
              <w:pStyle w:val="Tablecolhead"/>
            </w:pPr>
            <w:r>
              <w:t>Sex</w:t>
            </w:r>
          </w:p>
        </w:tc>
        <w:tc>
          <w:tcPr>
            <w:tcW w:w="931" w:type="dxa"/>
            <w:vAlign w:val="center"/>
          </w:tcPr>
          <w:p w14:paraId="69F74E23" w14:textId="4D63B390" w:rsidR="008549DA" w:rsidRDefault="008549DA" w:rsidP="00312856">
            <w:pPr>
              <w:pStyle w:val="Tablecolhead"/>
              <w:jc w:val="center"/>
            </w:pPr>
            <w:r>
              <w:t>0</w:t>
            </w:r>
            <w:r w:rsidR="00DC5193">
              <w:t>–</w:t>
            </w:r>
            <w:r>
              <w:t>12</w:t>
            </w:r>
          </w:p>
        </w:tc>
        <w:tc>
          <w:tcPr>
            <w:tcW w:w="932" w:type="dxa"/>
            <w:vAlign w:val="center"/>
          </w:tcPr>
          <w:p w14:paraId="4F7D95F7" w14:textId="04EC8989" w:rsidR="008549DA" w:rsidRDefault="008549DA" w:rsidP="00312856">
            <w:pPr>
              <w:pStyle w:val="Tablecolhead"/>
              <w:jc w:val="center"/>
            </w:pPr>
            <w:r>
              <w:t>13</w:t>
            </w:r>
            <w:r w:rsidR="00DC5193">
              <w:t>–</w:t>
            </w:r>
            <w:r>
              <w:t>17</w:t>
            </w:r>
          </w:p>
        </w:tc>
        <w:tc>
          <w:tcPr>
            <w:tcW w:w="932" w:type="dxa"/>
            <w:vAlign w:val="center"/>
          </w:tcPr>
          <w:p w14:paraId="1FEF16B3" w14:textId="4149118F" w:rsidR="008549DA" w:rsidRDefault="008549DA" w:rsidP="00312856">
            <w:pPr>
              <w:pStyle w:val="Tablecolhead"/>
              <w:jc w:val="center"/>
            </w:pPr>
            <w:r>
              <w:t>18–29</w:t>
            </w:r>
          </w:p>
        </w:tc>
        <w:tc>
          <w:tcPr>
            <w:tcW w:w="932" w:type="dxa"/>
            <w:vAlign w:val="center"/>
          </w:tcPr>
          <w:p w14:paraId="32468F12" w14:textId="709E34D8" w:rsidR="008549DA" w:rsidRDefault="008549DA" w:rsidP="00312856">
            <w:pPr>
              <w:pStyle w:val="Tablecolhead"/>
              <w:jc w:val="center"/>
            </w:pPr>
            <w:r>
              <w:t>30–39</w:t>
            </w:r>
          </w:p>
        </w:tc>
        <w:tc>
          <w:tcPr>
            <w:tcW w:w="931" w:type="dxa"/>
            <w:vAlign w:val="center"/>
          </w:tcPr>
          <w:p w14:paraId="57EB684D" w14:textId="3A395D5B" w:rsidR="008549DA" w:rsidRDefault="008549DA" w:rsidP="00312856">
            <w:pPr>
              <w:pStyle w:val="Tablecolhead"/>
              <w:jc w:val="center"/>
            </w:pPr>
            <w:r>
              <w:t>40–49</w:t>
            </w:r>
          </w:p>
        </w:tc>
        <w:tc>
          <w:tcPr>
            <w:tcW w:w="932" w:type="dxa"/>
            <w:vAlign w:val="center"/>
          </w:tcPr>
          <w:p w14:paraId="7D0D25BD" w14:textId="52826FCC" w:rsidR="008549DA" w:rsidRDefault="008549DA" w:rsidP="00312856">
            <w:pPr>
              <w:pStyle w:val="Tablecolhead"/>
              <w:jc w:val="center"/>
            </w:pPr>
            <w:r>
              <w:t>50–59</w:t>
            </w:r>
          </w:p>
        </w:tc>
        <w:tc>
          <w:tcPr>
            <w:tcW w:w="932" w:type="dxa"/>
            <w:vAlign w:val="center"/>
          </w:tcPr>
          <w:p w14:paraId="7C6DC6B5" w14:textId="5393C6A9" w:rsidR="008549DA" w:rsidRDefault="008549DA" w:rsidP="00312856">
            <w:pPr>
              <w:pStyle w:val="Tablecolhead"/>
              <w:jc w:val="center"/>
            </w:pPr>
            <w:r>
              <w:t>60–69</w:t>
            </w:r>
          </w:p>
        </w:tc>
        <w:tc>
          <w:tcPr>
            <w:tcW w:w="932" w:type="dxa"/>
            <w:vAlign w:val="center"/>
          </w:tcPr>
          <w:p w14:paraId="585B432C" w14:textId="16B3C901" w:rsidR="008549DA" w:rsidRDefault="008549DA" w:rsidP="00312856">
            <w:pPr>
              <w:pStyle w:val="Tablecolhead"/>
              <w:jc w:val="center"/>
            </w:pPr>
            <w:r>
              <w:t>70–79</w:t>
            </w:r>
          </w:p>
        </w:tc>
        <w:tc>
          <w:tcPr>
            <w:tcW w:w="932" w:type="dxa"/>
            <w:vAlign w:val="center"/>
          </w:tcPr>
          <w:p w14:paraId="234CDB2A" w14:textId="5D81A56E" w:rsidR="008549DA" w:rsidRDefault="008549DA" w:rsidP="00312856">
            <w:pPr>
              <w:pStyle w:val="Tablecolhead"/>
              <w:jc w:val="center"/>
            </w:pPr>
            <w:r>
              <w:t>80</w:t>
            </w:r>
            <w:r w:rsidR="00182C31">
              <w:t>+</w:t>
            </w:r>
          </w:p>
        </w:tc>
      </w:tr>
      <w:tr w:rsidR="00320443" w14:paraId="5471D282" w14:textId="5680A363" w:rsidTr="00954FDF">
        <w:tc>
          <w:tcPr>
            <w:tcW w:w="1154" w:type="dxa"/>
          </w:tcPr>
          <w:p w14:paraId="62F7162F" w14:textId="0E519E06" w:rsidR="00182C31" w:rsidRDefault="00182C31" w:rsidP="000D0B9B">
            <w:pPr>
              <w:pStyle w:val="Tabletext"/>
            </w:pPr>
            <w:r>
              <w:t>Female</w:t>
            </w:r>
          </w:p>
        </w:tc>
        <w:tc>
          <w:tcPr>
            <w:tcW w:w="931" w:type="dxa"/>
            <w:vAlign w:val="center"/>
          </w:tcPr>
          <w:p w14:paraId="3C1AE862" w14:textId="57310E90" w:rsidR="00182C31" w:rsidRDefault="0074722F" w:rsidP="00312856">
            <w:pPr>
              <w:pStyle w:val="Tabletext"/>
              <w:jc w:val="center"/>
            </w:pPr>
            <w:r w:rsidRPr="00E50195">
              <w:t>247</w:t>
            </w:r>
          </w:p>
        </w:tc>
        <w:tc>
          <w:tcPr>
            <w:tcW w:w="932" w:type="dxa"/>
            <w:vAlign w:val="center"/>
          </w:tcPr>
          <w:p w14:paraId="6F51D33C" w14:textId="324C97A2" w:rsidR="00182C31" w:rsidRDefault="0074722F" w:rsidP="00312856">
            <w:pPr>
              <w:pStyle w:val="Tabletext"/>
              <w:jc w:val="center"/>
            </w:pPr>
            <w:r w:rsidRPr="00E50195">
              <w:t>743</w:t>
            </w:r>
          </w:p>
        </w:tc>
        <w:tc>
          <w:tcPr>
            <w:tcW w:w="932" w:type="dxa"/>
            <w:vAlign w:val="center"/>
          </w:tcPr>
          <w:p w14:paraId="3121AA9F" w14:textId="2C0A5219" w:rsidR="00182C31" w:rsidRDefault="0074722F" w:rsidP="00312856">
            <w:pPr>
              <w:pStyle w:val="Tabletext"/>
              <w:jc w:val="center"/>
            </w:pPr>
            <w:r w:rsidRPr="00E50195">
              <w:t>810</w:t>
            </w:r>
          </w:p>
        </w:tc>
        <w:tc>
          <w:tcPr>
            <w:tcW w:w="932" w:type="dxa"/>
            <w:vAlign w:val="center"/>
          </w:tcPr>
          <w:p w14:paraId="739B591F" w14:textId="42F97C9F" w:rsidR="00182C31" w:rsidRDefault="0074722F" w:rsidP="00312856">
            <w:pPr>
              <w:pStyle w:val="Tabletext"/>
              <w:jc w:val="center"/>
            </w:pPr>
            <w:r w:rsidRPr="00E50195">
              <w:t>450</w:t>
            </w:r>
          </w:p>
        </w:tc>
        <w:tc>
          <w:tcPr>
            <w:tcW w:w="931" w:type="dxa"/>
            <w:vAlign w:val="center"/>
          </w:tcPr>
          <w:p w14:paraId="29B6DF6B" w14:textId="30DB79EA" w:rsidR="00182C31" w:rsidRDefault="0074722F" w:rsidP="00312856">
            <w:pPr>
              <w:pStyle w:val="Tabletext"/>
              <w:jc w:val="center"/>
            </w:pPr>
            <w:r w:rsidRPr="00E50195">
              <w:t>292</w:t>
            </w:r>
          </w:p>
        </w:tc>
        <w:tc>
          <w:tcPr>
            <w:tcW w:w="932" w:type="dxa"/>
            <w:vAlign w:val="center"/>
          </w:tcPr>
          <w:p w14:paraId="67A5C7BD" w14:textId="43E15A8A" w:rsidR="00182C31" w:rsidRDefault="0074722F" w:rsidP="00312856">
            <w:pPr>
              <w:pStyle w:val="Tabletext"/>
              <w:jc w:val="center"/>
            </w:pPr>
            <w:r w:rsidRPr="00E50195">
              <w:t>281</w:t>
            </w:r>
          </w:p>
        </w:tc>
        <w:tc>
          <w:tcPr>
            <w:tcW w:w="932" w:type="dxa"/>
            <w:vAlign w:val="center"/>
          </w:tcPr>
          <w:p w14:paraId="5DEC7C85" w14:textId="40F160F5" w:rsidR="00182C31" w:rsidRDefault="0074722F" w:rsidP="00312856">
            <w:pPr>
              <w:pStyle w:val="Tabletext"/>
              <w:jc w:val="center"/>
            </w:pPr>
            <w:r w:rsidRPr="00E50195">
              <w:t>97</w:t>
            </w:r>
          </w:p>
        </w:tc>
        <w:tc>
          <w:tcPr>
            <w:tcW w:w="932" w:type="dxa"/>
            <w:vAlign w:val="center"/>
          </w:tcPr>
          <w:p w14:paraId="14CD0E0A" w14:textId="29D3160E" w:rsidR="00182C31" w:rsidRDefault="0074722F" w:rsidP="00312856">
            <w:pPr>
              <w:pStyle w:val="Tabletext"/>
              <w:jc w:val="center"/>
            </w:pPr>
            <w:r w:rsidRPr="00E50195">
              <w:t>80</w:t>
            </w:r>
          </w:p>
        </w:tc>
        <w:tc>
          <w:tcPr>
            <w:tcW w:w="932" w:type="dxa"/>
            <w:vAlign w:val="center"/>
          </w:tcPr>
          <w:p w14:paraId="2008F199" w14:textId="3D459FA3" w:rsidR="00182C31" w:rsidRDefault="0074722F" w:rsidP="00312856">
            <w:pPr>
              <w:pStyle w:val="Tabletext"/>
              <w:jc w:val="center"/>
            </w:pPr>
            <w:r w:rsidRPr="00E50195">
              <w:t>73</w:t>
            </w:r>
          </w:p>
        </w:tc>
      </w:tr>
      <w:tr w:rsidR="00320443" w14:paraId="0E84D991" w14:textId="12292BE3" w:rsidTr="00954FDF">
        <w:tc>
          <w:tcPr>
            <w:tcW w:w="1154" w:type="dxa"/>
          </w:tcPr>
          <w:p w14:paraId="2DA5970D" w14:textId="20286FAE" w:rsidR="00182C31" w:rsidRDefault="00182C31" w:rsidP="000D0B9B">
            <w:pPr>
              <w:pStyle w:val="Tabletext"/>
            </w:pPr>
            <w:r>
              <w:t>Male</w:t>
            </w:r>
          </w:p>
        </w:tc>
        <w:tc>
          <w:tcPr>
            <w:tcW w:w="931" w:type="dxa"/>
            <w:vAlign w:val="center"/>
          </w:tcPr>
          <w:p w14:paraId="44A08EAF" w14:textId="2447C721" w:rsidR="00182C31" w:rsidRDefault="0074722F" w:rsidP="00312856">
            <w:pPr>
              <w:pStyle w:val="Tabletext"/>
              <w:jc w:val="center"/>
            </w:pPr>
            <w:r w:rsidRPr="00E50195">
              <w:t>22</w:t>
            </w:r>
          </w:p>
        </w:tc>
        <w:tc>
          <w:tcPr>
            <w:tcW w:w="932" w:type="dxa"/>
            <w:vAlign w:val="center"/>
          </w:tcPr>
          <w:p w14:paraId="5E8EBBEB" w14:textId="04B2FB3B" w:rsidR="00182C31" w:rsidRDefault="0074722F" w:rsidP="00312856">
            <w:pPr>
              <w:pStyle w:val="Tabletext"/>
              <w:jc w:val="center"/>
            </w:pPr>
            <w:r w:rsidRPr="00E50195">
              <w:t>59</w:t>
            </w:r>
          </w:p>
        </w:tc>
        <w:tc>
          <w:tcPr>
            <w:tcW w:w="932" w:type="dxa"/>
            <w:vAlign w:val="center"/>
          </w:tcPr>
          <w:p w14:paraId="24CC193D" w14:textId="3D54F151" w:rsidR="00182C31" w:rsidRDefault="00182C31" w:rsidP="00312856">
            <w:pPr>
              <w:pStyle w:val="Tabletext"/>
              <w:jc w:val="center"/>
            </w:pPr>
            <w:r>
              <w:t>1,</w:t>
            </w:r>
            <w:r w:rsidR="0074722F" w:rsidRPr="00E50195">
              <w:t>068</w:t>
            </w:r>
          </w:p>
        </w:tc>
        <w:tc>
          <w:tcPr>
            <w:tcW w:w="932" w:type="dxa"/>
            <w:vAlign w:val="center"/>
          </w:tcPr>
          <w:p w14:paraId="44F0FE18" w14:textId="5545E526" w:rsidR="00182C31" w:rsidRDefault="00182C31" w:rsidP="00312856">
            <w:pPr>
              <w:pStyle w:val="Tabletext"/>
              <w:jc w:val="center"/>
            </w:pPr>
            <w:r>
              <w:t>1,</w:t>
            </w:r>
            <w:r w:rsidR="0074722F" w:rsidRPr="00E50195">
              <w:t>842</w:t>
            </w:r>
          </w:p>
        </w:tc>
        <w:tc>
          <w:tcPr>
            <w:tcW w:w="931" w:type="dxa"/>
            <w:vAlign w:val="center"/>
          </w:tcPr>
          <w:p w14:paraId="6C50BCC0" w14:textId="1E192DB7" w:rsidR="00182C31" w:rsidRDefault="0074722F" w:rsidP="00312856">
            <w:pPr>
              <w:pStyle w:val="Tabletext"/>
              <w:jc w:val="center"/>
            </w:pPr>
            <w:r w:rsidRPr="00E50195">
              <w:t>629</w:t>
            </w:r>
          </w:p>
        </w:tc>
        <w:tc>
          <w:tcPr>
            <w:tcW w:w="932" w:type="dxa"/>
            <w:vAlign w:val="center"/>
          </w:tcPr>
          <w:p w14:paraId="70661060" w14:textId="39701443" w:rsidR="00182C31" w:rsidRDefault="0074722F" w:rsidP="00312856">
            <w:pPr>
              <w:pStyle w:val="Tabletext"/>
              <w:jc w:val="center"/>
            </w:pPr>
            <w:r w:rsidRPr="00E50195">
              <w:t>589</w:t>
            </w:r>
          </w:p>
        </w:tc>
        <w:tc>
          <w:tcPr>
            <w:tcW w:w="932" w:type="dxa"/>
            <w:vAlign w:val="center"/>
          </w:tcPr>
          <w:p w14:paraId="168F322E" w14:textId="1A2313DA" w:rsidR="00182C31" w:rsidRDefault="0074722F" w:rsidP="00312856">
            <w:pPr>
              <w:pStyle w:val="Tabletext"/>
              <w:jc w:val="center"/>
            </w:pPr>
            <w:r w:rsidRPr="00E50195">
              <w:t>99</w:t>
            </w:r>
          </w:p>
        </w:tc>
        <w:tc>
          <w:tcPr>
            <w:tcW w:w="932" w:type="dxa"/>
            <w:vAlign w:val="center"/>
          </w:tcPr>
          <w:p w14:paraId="34557207" w14:textId="52DDF2D7" w:rsidR="00182C31" w:rsidRDefault="0074722F" w:rsidP="00312856">
            <w:pPr>
              <w:pStyle w:val="Tabletext"/>
              <w:jc w:val="center"/>
            </w:pPr>
            <w:r w:rsidRPr="00E50195">
              <w:t>90</w:t>
            </w:r>
          </w:p>
        </w:tc>
        <w:tc>
          <w:tcPr>
            <w:tcW w:w="932" w:type="dxa"/>
            <w:vAlign w:val="center"/>
          </w:tcPr>
          <w:p w14:paraId="50856ADF" w14:textId="24458D20" w:rsidR="00182C31" w:rsidRDefault="0074722F" w:rsidP="00312856">
            <w:pPr>
              <w:pStyle w:val="Tabletext"/>
              <w:jc w:val="center"/>
            </w:pPr>
            <w:r w:rsidRPr="00E50195">
              <w:t>71</w:t>
            </w:r>
          </w:p>
        </w:tc>
      </w:tr>
    </w:tbl>
    <w:p w14:paraId="1A35FCFF" w14:textId="38930F17" w:rsidR="00381B2F" w:rsidRPr="006837F3" w:rsidRDefault="00381B2F" w:rsidP="00643556">
      <w:pPr>
        <w:pStyle w:val="Tablefigurenote"/>
      </w:pPr>
      <w:r w:rsidRPr="006837F3">
        <w:t>Note: Some age groups have been further aggregated to protect the confidentiality of individuals</w:t>
      </w:r>
      <w:r w:rsidR="002B3FE7">
        <w:t>.</w:t>
      </w:r>
    </w:p>
    <w:p w14:paraId="7EFD253B" w14:textId="5F484997" w:rsidR="00381B2F" w:rsidRDefault="00381B2F" w:rsidP="00643556">
      <w:pPr>
        <w:pStyle w:val="Bodyaftertable"/>
      </w:pPr>
      <w:bookmarkStart w:id="39" w:name="_Hlk53059398"/>
      <w:r>
        <w:t xml:space="preserve">Table </w:t>
      </w:r>
      <w:r w:rsidR="52C27A1E">
        <w:t>1</w:t>
      </w:r>
      <w:r w:rsidR="00CC7406">
        <w:t>2</w:t>
      </w:r>
      <w:r>
        <w:t xml:space="preserve"> lists the numbers of episodes of seclusion </w:t>
      </w:r>
      <w:r w:rsidR="11A93D36">
        <w:t>per</w:t>
      </w:r>
      <w:r>
        <w:t xml:space="preserve"> 1,000 occupied bed days. Rates have fallen in adult </w:t>
      </w:r>
      <w:r w:rsidR="6B350A8C">
        <w:t>wards</w:t>
      </w:r>
      <w:r>
        <w:t xml:space="preserve"> over the past </w:t>
      </w:r>
      <w:r w:rsidR="0048002F">
        <w:t xml:space="preserve">six </w:t>
      </w:r>
      <w:r>
        <w:t xml:space="preserve">years and remain low in services for older people. Rates </w:t>
      </w:r>
      <w:r w:rsidR="729BAE84">
        <w:t xml:space="preserve">are beginning to trend down for child and adolescent units </w:t>
      </w:r>
      <w:r w:rsidR="6574131D">
        <w:t xml:space="preserve">and </w:t>
      </w:r>
      <w:r w:rsidR="00F76939">
        <w:t>are thought</w:t>
      </w:r>
      <w:r w:rsidR="6574131D">
        <w:t xml:space="preserve"> to represent a small number of</w:t>
      </w:r>
      <w:r>
        <w:t xml:space="preserve"> </w:t>
      </w:r>
      <w:r w:rsidR="00A1337F">
        <w:t>individuals</w:t>
      </w:r>
      <w:r>
        <w:t xml:space="preserve"> with complex combinations of mental illness and intellectual or developmental disability. </w:t>
      </w:r>
    </w:p>
    <w:p w14:paraId="21DEA389" w14:textId="654A29C0" w:rsidR="00FF77ED" w:rsidRDefault="52595F97" w:rsidP="00563C62">
      <w:pPr>
        <w:pStyle w:val="Body"/>
      </w:pPr>
      <w:r>
        <w:t xml:space="preserve">Rates </w:t>
      </w:r>
      <w:r w:rsidR="436CDFA7">
        <w:t xml:space="preserve">of seclusion are </w:t>
      </w:r>
      <w:r>
        <w:t xml:space="preserve">high </w:t>
      </w:r>
      <w:r w:rsidR="0099319F">
        <w:t>in</w:t>
      </w:r>
      <w:r>
        <w:t xml:space="preserve"> </w:t>
      </w:r>
      <w:proofErr w:type="spellStart"/>
      <w:r>
        <w:t>Forensic</w:t>
      </w:r>
      <w:r w:rsidR="5DBB5D94">
        <w:t>are</w:t>
      </w:r>
      <w:proofErr w:type="spellEnd"/>
      <w:r w:rsidR="540CD85B">
        <w:t>.</w:t>
      </w:r>
      <w:r>
        <w:t xml:space="preserve"> </w:t>
      </w:r>
      <w:r w:rsidR="10E4CFC8">
        <w:t>This</w:t>
      </w:r>
      <w:r w:rsidR="06449611">
        <w:t xml:space="preserve"> </w:t>
      </w:r>
      <w:r w:rsidR="1F13933F">
        <w:t xml:space="preserve">can be explained by </w:t>
      </w:r>
      <w:r w:rsidR="63A288AC">
        <w:t>a</w:t>
      </w:r>
      <w:r w:rsidR="1F13933F">
        <w:t xml:space="preserve"> </w:t>
      </w:r>
      <w:r w:rsidR="4AF713C7">
        <w:t>reliance on the practice to</w:t>
      </w:r>
      <w:r w:rsidR="618D3311">
        <w:t xml:space="preserve"> deliver treatment and care</w:t>
      </w:r>
      <w:r w:rsidR="63A288AC">
        <w:t xml:space="preserve"> </w:t>
      </w:r>
      <w:r w:rsidR="06449611">
        <w:t xml:space="preserve">to a small number of </w:t>
      </w:r>
      <w:r w:rsidR="0B469F72">
        <w:t>consumers</w:t>
      </w:r>
      <w:r w:rsidR="06449611">
        <w:t xml:space="preserve"> with significant complexity and comorbid conditions</w:t>
      </w:r>
      <w:r w:rsidR="1AD32183">
        <w:t>.</w:t>
      </w:r>
      <w:r w:rsidR="38D149DA">
        <w:t xml:space="preserve"> </w:t>
      </w:r>
      <w:r w:rsidR="16DAE05B">
        <w:t xml:space="preserve">The OCP continues to work closely with </w:t>
      </w:r>
      <w:proofErr w:type="spellStart"/>
      <w:r w:rsidR="16DAE05B">
        <w:t>Forensicare</w:t>
      </w:r>
      <w:proofErr w:type="spellEnd"/>
      <w:r w:rsidR="16DAE05B">
        <w:t xml:space="preserve"> to</w:t>
      </w:r>
      <w:r w:rsidR="5A1C2FE2">
        <w:t xml:space="preserve"> monitor</w:t>
      </w:r>
      <w:r w:rsidR="1A8EBFD5">
        <w:t xml:space="preserve"> and</w:t>
      </w:r>
      <w:r w:rsidR="16DAE05B">
        <w:t xml:space="preserve"> develop strategies to reduce the use of restrictive interventions</w:t>
      </w:r>
      <w:r w:rsidR="371D0BA5">
        <w:t xml:space="preserve"> on patients with complex care need</w:t>
      </w:r>
      <w:r w:rsidR="43E59FDE">
        <w:t>s</w:t>
      </w:r>
      <w:r w:rsidR="24D03B88">
        <w:t>.</w:t>
      </w:r>
      <w:r w:rsidR="16DAE05B">
        <w:t xml:space="preserve"> </w:t>
      </w:r>
    </w:p>
    <w:bookmarkEnd w:id="39"/>
    <w:p w14:paraId="614B66D4" w14:textId="723AD7E3" w:rsidR="00381B2F" w:rsidRPr="004C02F0" w:rsidRDefault="00381B2F" w:rsidP="000D0B9B">
      <w:pPr>
        <w:pStyle w:val="Tablecaption"/>
        <w:rPr>
          <w:rFonts w:eastAsia="Arial"/>
          <w:bCs/>
        </w:rPr>
      </w:pPr>
      <w:r w:rsidRPr="6413A842">
        <w:rPr>
          <w:rFonts w:eastAsia="Arial"/>
        </w:rPr>
        <w:t>Table</w:t>
      </w:r>
      <w:r w:rsidR="772B6F65" w:rsidRPr="6413A842">
        <w:rPr>
          <w:rFonts w:eastAsia="Arial"/>
        </w:rPr>
        <w:t xml:space="preserve"> </w:t>
      </w:r>
      <w:r w:rsidR="38E58A5D" w:rsidRPr="6413A842">
        <w:rPr>
          <w:rFonts w:eastAsia="Arial"/>
          <w:bCs/>
        </w:rPr>
        <w:t>1</w:t>
      </w:r>
      <w:r w:rsidR="00CC7406">
        <w:rPr>
          <w:rFonts w:eastAsia="Arial"/>
          <w:bCs/>
        </w:rPr>
        <w:t>2</w:t>
      </w:r>
      <w:r w:rsidRPr="6413A842">
        <w:rPr>
          <w:rFonts w:eastAsia="Arial"/>
        </w:rPr>
        <w:t>: Seclusion episodes per 1,000 occupied bed days</w:t>
      </w:r>
      <w:r w:rsidR="0048002F">
        <w:rPr>
          <w:rFonts w:eastAsia="Arial"/>
        </w:rPr>
        <w:t>,</w:t>
      </w:r>
      <w:r w:rsidRPr="6413A842">
        <w:rPr>
          <w:rFonts w:eastAsia="Arial"/>
        </w:rPr>
        <w:t xml:space="preserve"> by </w:t>
      </w:r>
      <w:r w:rsidR="38E58A5D" w:rsidRPr="6413A842">
        <w:rPr>
          <w:rFonts w:eastAsia="Arial"/>
          <w:bCs/>
        </w:rPr>
        <w:t>type of acute inpatient unit</w:t>
      </w:r>
      <w:r w:rsidRPr="6413A842">
        <w:rPr>
          <w:rFonts w:eastAsia="Arial"/>
        </w:rPr>
        <w:t xml:space="preserve">, </w:t>
      </w:r>
      <w:r w:rsidR="00397F78">
        <w:rPr>
          <w:rFonts w:eastAsia="Arial"/>
        </w:rPr>
        <w:br/>
      </w:r>
      <w:r w:rsidRPr="6413A842">
        <w:rPr>
          <w:rFonts w:eastAsia="Arial"/>
        </w:rPr>
        <w:t>201</w:t>
      </w:r>
      <w:r w:rsidR="00A4783C">
        <w:rPr>
          <w:rFonts w:eastAsia="Arial"/>
        </w:rPr>
        <w:t>7</w:t>
      </w:r>
      <w:r w:rsidRPr="6413A842">
        <w:rPr>
          <w:rFonts w:eastAsia="Arial"/>
        </w:rPr>
        <w:t>–1</w:t>
      </w:r>
      <w:r w:rsidR="00A4783C">
        <w:rPr>
          <w:rFonts w:eastAsia="Arial"/>
        </w:rPr>
        <w:t>8</w:t>
      </w:r>
      <w:r w:rsidRPr="6413A842">
        <w:rPr>
          <w:rFonts w:eastAsia="Arial"/>
        </w:rPr>
        <w:t xml:space="preserve"> to </w:t>
      </w:r>
      <w:r w:rsidR="007B2175">
        <w:rPr>
          <w:rFonts w:eastAsia="Arial"/>
        </w:rPr>
        <w:t>202</w:t>
      </w:r>
      <w:r w:rsidR="0074722F">
        <w:rPr>
          <w:rFonts w:eastAsia="Arial"/>
        </w:rPr>
        <w:t>1</w:t>
      </w:r>
      <w:r w:rsidR="007B2175">
        <w:rPr>
          <w:rFonts w:eastAsia="Arial"/>
        </w:rPr>
        <w:t>–</w:t>
      </w:r>
      <w:r w:rsidR="007B2175" w:rsidRPr="0074722F">
        <w:rPr>
          <w:rFonts w:eastAsia="Arial"/>
        </w:rPr>
        <w:t>2</w:t>
      </w:r>
      <w:r w:rsidR="0074722F">
        <w:rPr>
          <w:rFonts w:eastAsia="Arial"/>
        </w:rPr>
        <w:t>2</w:t>
      </w:r>
    </w:p>
    <w:tbl>
      <w:tblPr>
        <w:tblW w:w="4957" w:type="pct"/>
        <w:tblLook w:val="04A0" w:firstRow="1" w:lastRow="0" w:firstColumn="1" w:lastColumn="0" w:noHBand="0" w:noVBand="1"/>
      </w:tblPr>
      <w:tblGrid>
        <w:gridCol w:w="2181"/>
        <w:gridCol w:w="1501"/>
        <w:gridCol w:w="1276"/>
        <w:gridCol w:w="1274"/>
        <w:gridCol w:w="1418"/>
        <w:gridCol w:w="1558"/>
      </w:tblGrid>
      <w:tr w:rsidR="00F018F8" w:rsidRPr="00A91A55" w14:paraId="67F34AD6" w14:textId="6E01619C" w:rsidTr="005B76EF">
        <w:trPr>
          <w:trHeight w:val="300"/>
          <w:tblHeader/>
        </w:trPr>
        <w:tc>
          <w:tcPr>
            <w:tcW w:w="1184" w:type="pct"/>
            <w:tcBorders>
              <w:top w:val="single" w:sz="4" w:space="0" w:color="auto"/>
              <w:left w:val="single" w:sz="4" w:space="0" w:color="auto"/>
              <w:bottom w:val="single" w:sz="4" w:space="0" w:color="auto"/>
              <w:right w:val="single" w:sz="4" w:space="0" w:color="auto"/>
            </w:tcBorders>
            <w:shd w:val="clear" w:color="auto" w:fill="auto"/>
            <w:noWrap/>
            <w:hideMark/>
          </w:tcPr>
          <w:p w14:paraId="45579CB3" w14:textId="41F73D0B" w:rsidR="00F018F8" w:rsidRPr="00A91A55" w:rsidRDefault="00F018F8" w:rsidP="000D0B9B">
            <w:pPr>
              <w:pStyle w:val="Tablecolhead"/>
              <w:rPr>
                <w:lang w:eastAsia="en-AU"/>
              </w:rPr>
            </w:pPr>
            <w:r w:rsidRPr="6413A842">
              <w:rPr>
                <w:lang w:eastAsia="en-AU"/>
              </w:rPr>
              <w:t>Type of unit</w:t>
            </w:r>
          </w:p>
        </w:tc>
        <w:tc>
          <w:tcPr>
            <w:tcW w:w="815" w:type="pct"/>
            <w:tcBorders>
              <w:top w:val="single" w:sz="4" w:space="0" w:color="auto"/>
              <w:left w:val="nil"/>
              <w:bottom w:val="single" w:sz="4" w:space="0" w:color="auto"/>
              <w:right w:val="single" w:sz="4" w:space="0" w:color="auto"/>
            </w:tcBorders>
            <w:shd w:val="clear" w:color="auto" w:fill="auto"/>
            <w:noWrap/>
            <w:vAlign w:val="center"/>
            <w:hideMark/>
          </w:tcPr>
          <w:p w14:paraId="61D85A04" w14:textId="016507AB" w:rsidR="00F018F8" w:rsidRPr="00A91A55" w:rsidRDefault="00241299" w:rsidP="00312856">
            <w:pPr>
              <w:pStyle w:val="Tablecolhead"/>
              <w:jc w:val="center"/>
              <w:rPr>
                <w:lang w:eastAsia="en-AU"/>
              </w:rPr>
            </w:pPr>
            <w:r w:rsidRPr="00A616E6">
              <w:t>2017</w:t>
            </w:r>
            <w:r w:rsidR="00920F37">
              <w:t>–</w:t>
            </w:r>
            <w:r w:rsidRPr="00A616E6">
              <w:t>18</w:t>
            </w:r>
          </w:p>
        </w:tc>
        <w:tc>
          <w:tcPr>
            <w:tcW w:w="693" w:type="pct"/>
            <w:tcBorders>
              <w:top w:val="single" w:sz="4" w:space="0" w:color="auto"/>
              <w:left w:val="nil"/>
              <w:bottom w:val="single" w:sz="4" w:space="0" w:color="auto"/>
              <w:right w:val="single" w:sz="4" w:space="0" w:color="auto"/>
            </w:tcBorders>
            <w:shd w:val="clear" w:color="auto" w:fill="auto"/>
            <w:noWrap/>
            <w:vAlign w:val="center"/>
            <w:hideMark/>
          </w:tcPr>
          <w:p w14:paraId="44022A03" w14:textId="1BE3D5C2" w:rsidR="00F018F8" w:rsidRPr="00A91A55" w:rsidRDefault="00241299" w:rsidP="00312856">
            <w:pPr>
              <w:pStyle w:val="Tablecolhead"/>
              <w:jc w:val="center"/>
              <w:rPr>
                <w:lang w:eastAsia="en-AU"/>
              </w:rPr>
            </w:pPr>
            <w:r w:rsidRPr="00A616E6">
              <w:t>2018</w:t>
            </w:r>
            <w:r w:rsidR="00920F37">
              <w:t>–</w:t>
            </w:r>
            <w:r w:rsidRPr="00A616E6">
              <w:t>19</w:t>
            </w:r>
          </w:p>
        </w:tc>
        <w:tc>
          <w:tcPr>
            <w:tcW w:w="692" w:type="pct"/>
            <w:tcBorders>
              <w:top w:val="single" w:sz="4" w:space="0" w:color="auto"/>
              <w:left w:val="nil"/>
              <w:bottom w:val="single" w:sz="4" w:space="0" w:color="auto"/>
              <w:right w:val="single" w:sz="4" w:space="0" w:color="auto"/>
            </w:tcBorders>
            <w:shd w:val="clear" w:color="auto" w:fill="auto"/>
            <w:noWrap/>
            <w:vAlign w:val="center"/>
            <w:hideMark/>
          </w:tcPr>
          <w:p w14:paraId="221297C6" w14:textId="0E8C3485" w:rsidR="00F018F8" w:rsidRPr="00A91A55" w:rsidRDefault="00241299" w:rsidP="00312856">
            <w:pPr>
              <w:pStyle w:val="Tablecolhead"/>
              <w:jc w:val="center"/>
              <w:rPr>
                <w:lang w:eastAsia="en-AU"/>
              </w:rPr>
            </w:pPr>
            <w:r w:rsidRPr="00A616E6">
              <w:t>2019</w:t>
            </w:r>
            <w:r w:rsidR="00920F37">
              <w:t>–</w:t>
            </w:r>
            <w:r w:rsidRPr="00A616E6">
              <w:t>20</w:t>
            </w:r>
          </w:p>
        </w:tc>
        <w:tc>
          <w:tcPr>
            <w:tcW w:w="770" w:type="pct"/>
            <w:tcBorders>
              <w:top w:val="single" w:sz="4" w:space="0" w:color="auto"/>
              <w:left w:val="nil"/>
              <w:bottom w:val="single" w:sz="4" w:space="0" w:color="auto"/>
              <w:right w:val="single" w:sz="4" w:space="0" w:color="auto"/>
            </w:tcBorders>
            <w:shd w:val="clear" w:color="auto" w:fill="auto"/>
            <w:noWrap/>
            <w:vAlign w:val="center"/>
            <w:hideMark/>
          </w:tcPr>
          <w:p w14:paraId="3E5542DF" w14:textId="33C78468" w:rsidR="00F018F8" w:rsidRPr="00A91A55" w:rsidRDefault="00241299" w:rsidP="00312856">
            <w:pPr>
              <w:pStyle w:val="Tablecolhead"/>
              <w:jc w:val="center"/>
              <w:rPr>
                <w:lang w:eastAsia="en-AU"/>
              </w:rPr>
            </w:pPr>
            <w:r w:rsidRPr="00A616E6">
              <w:t>2020</w:t>
            </w:r>
            <w:r w:rsidR="00920F37">
              <w:t>–</w:t>
            </w:r>
            <w:r w:rsidRPr="00A616E6">
              <w:t>21</w:t>
            </w:r>
          </w:p>
        </w:tc>
        <w:tc>
          <w:tcPr>
            <w:tcW w:w="846" w:type="pct"/>
            <w:tcBorders>
              <w:top w:val="single" w:sz="4" w:space="0" w:color="auto"/>
              <w:left w:val="nil"/>
              <w:bottom w:val="single" w:sz="4" w:space="0" w:color="auto"/>
              <w:right w:val="single" w:sz="4" w:space="0" w:color="auto"/>
            </w:tcBorders>
            <w:vAlign w:val="center"/>
          </w:tcPr>
          <w:p w14:paraId="460A8AD8" w14:textId="082F60D0" w:rsidR="00F018F8" w:rsidRPr="00A91A55" w:rsidRDefault="00241299" w:rsidP="00312856">
            <w:pPr>
              <w:pStyle w:val="Tablecolhead"/>
              <w:jc w:val="center"/>
              <w:rPr>
                <w:lang w:eastAsia="en-AU"/>
              </w:rPr>
            </w:pPr>
            <w:r w:rsidRPr="00A616E6">
              <w:t>2021</w:t>
            </w:r>
            <w:r w:rsidR="00920F37">
              <w:t>–</w:t>
            </w:r>
            <w:r w:rsidRPr="00A616E6">
              <w:t>22</w:t>
            </w:r>
          </w:p>
        </w:tc>
      </w:tr>
      <w:tr w:rsidR="003D1A4F" w:rsidRPr="00A91A55" w14:paraId="38B68681" w14:textId="47E8275D" w:rsidTr="005B76EF">
        <w:trPr>
          <w:trHeight w:val="300"/>
        </w:trPr>
        <w:tc>
          <w:tcPr>
            <w:tcW w:w="1184" w:type="pct"/>
            <w:tcBorders>
              <w:top w:val="nil"/>
              <w:left w:val="single" w:sz="4" w:space="0" w:color="auto"/>
              <w:bottom w:val="single" w:sz="4" w:space="0" w:color="auto"/>
              <w:right w:val="single" w:sz="4" w:space="0" w:color="auto"/>
            </w:tcBorders>
            <w:shd w:val="clear" w:color="auto" w:fill="auto"/>
            <w:noWrap/>
            <w:hideMark/>
          </w:tcPr>
          <w:p w14:paraId="7B8AEE2C" w14:textId="053AC213" w:rsidR="003D1A4F" w:rsidRPr="00A91A55" w:rsidRDefault="003D1A4F" w:rsidP="000D0B9B">
            <w:pPr>
              <w:pStyle w:val="Tabletext"/>
              <w:rPr>
                <w:lang w:eastAsia="en-AU"/>
              </w:rPr>
            </w:pPr>
            <w:r w:rsidRPr="00A616E6">
              <w:t>Adult</w:t>
            </w:r>
          </w:p>
        </w:tc>
        <w:tc>
          <w:tcPr>
            <w:tcW w:w="815" w:type="pct"/>
            <w:tcBorders>
              <w:top w:val="nil"/>
              <w:left w:val="nil"/>
              <w:bottom w:val="single" w:sz="4" w:space="0" w:color="auto"/>
              <w:right w:val="single" w:sz="4" w:space="0" w:color="auto"/>
            </w:tcBorders>
            <w:shd w:val="clear" w:color="auto" w:fill="auto"/>
            <w:noWrap/>
            <w:vAlign w:val="center"/>
            <w:hideMark/>
          </w:tcPr>
          <w:p w14:paraId="7C67E65F" w14:textId="26689012" w:rsidR="003D1A4F" w:rsidRPr="00A91A55" w:rsidRDefault="00241299" w:rsidP="00312856">
            <w:pPr>
              <w:pStyle w:val="Tabletext"/>
              <w:jc w:val="center"/>
              <w:rPr>
                <w:lang w:eastAsia="en-AU"/>
              </w:rPr>
            </w:pPr>
            <w:r w:rsidRPr="00A616E6">
              <w:t>10.6</w:t>
            </w:r>
          </w:p>
        </w:tc>
        <w:tc>
          <w:tcPr>
            <w:tcW w:w="693" w:type="pct"/>
            <w:tcBorders>
              <w:top w:val="nil"/>
              <w:left w:val="nil"/>
              <w:bottom w:val="single" w:sz="4" w:space="0" w:color="auto"/>
              <w:right w:val="single" w:sz="4" w:space="0" w:color="auto"/>
            </w:tcBorders>
            <w:shd w:val="clear" w:color="auto" w:fill="auto"/>
            <w:noWrap/>
            <w:vAlign w:val="center"/>
            <w:hideMark/>
          </w:tcPr>
          <w:p w14:paraId="38FDCF96" w14:textId="03F32077" w:rsidR="003D1A4F" w:rsidRPr="00A91A55" w:rsidRDefault="00241299" w:rsidP="00312856">
            <w:pPr>
              <w:pStyle w:val="Tabletext"/>
              <w:jc w:val="center"/>
              <w:rPr>
                <w:lang w:eastAsia="en-AU"/>
              </w:rPr>
            </w:pPr>
            <w:r w:rsidRPr="00A616E6">
              <w:t>9</w:t>
            </w:r>
            <w:r w:rsidR="003D1A4F">
              <w:t>.5</w:t>
            </w:r>
          </w:p>
        </w:tc>
        <w:tc>
          <w:tcPr>
            <w:tcW w:w="692" w:type="pct"/>
            <w:tcBorders>
              <w:top w:val="nil"/>
              <w:left w:val="nil"/>
              <w:bottom w:val="single" w:sz="4" w:space="0" w:color="auto"/>
              <w:right w:val="single" w:sz="4" w:space="0" w:color="auto"/>
            </w:tcBorders>
            <w:shd w:val="clear" w:color="auto" w:fill="auto"/>
            <w:noWrap/>
            <w:vAlign w:val="center"/>
            <w:hideMark/>
          </w:tcPr>
          <w:p w14:paraId="7C1177BE" w14:textId="74BFE743" w:rsidR="003D1A4F" w:rsidRPr="00A91A55" w:rsidRDefault="00241299" w:rsidP="00312856">
            <w:pPr>
              <w:pStyle w:val="Tabletext"/>
              <w:jc w:val="center"/>
              <w:rPr>
                <w:lang w:eastAsia="en-AU"/>
              </w:rPr>
            </w:pPr>
            <w:r w:rsidRPr="00A616E6">
              <w:t>10.0</w:t>
            </w:r>
          </w:p>
        </w:tc>
        <w:tc>
          <w:tcPr>
            <w:tcW w:w="770" w:type="pct"/>
            <w:tcBorders>
              <w:top w:val="nil"/>
              <w:left w:val="nil"/>
              <w:bottom w:val="single" w:sz="4" w:space="0" w:color="auto"/>
              <w:right w:val="single" w:sz="4" w:space="0" w:color="auto"/>
            </w:tcBorders>
            <w:shd w:val="clear" w:color="auto" w:fill="auto"/>
            <w:noWrap/>
            <w:vAlign w:val="center"/>
            <w:hideMark/>
          </w:tcPr>
          <w:p w14:paraId="452BB473" w14:textId="0C39E998" w:rsidR="003D1A4F" w:rsidRPr="00A91A55" w:rsidRDefault="00241299" w:rsidP="00312856">
            <w:pPr>
              <w:pStyle w:val="Tabletext"/>
              <w:jc w:val="center"/>
              <w:rPr>
                <w:lang w:eastAsia="en-AU"/>
              </w:rPr>
            </w:pPr>
            <w:r w:rsidRPr="00A616E6">
              <w:t>9.5</w:t>
            </w:r>
          </w:p>
        </w:tc>
        <w:tc>
          <w:tcPr>
            <w:tcW w:w="846" w:type="pct"/>
            <w:tcBorders>
              <w:top w:val="nil"/>
              <w:left w:val="nil"/>
              <w:bottom w:val="single" w:sz="4" w:space="0" w:color="auto"/>
              <w:right w:val="single" w:sz="4" w:space="0" w:color="auto"/>
            </w:tcBorders>
            <w:vAlign w:val="center"/>
          </w:tcPr>
          <w:p w14:paraId="303AF320" w14:textId="6B9878DD" w:rsidR="003D1A4F" w:rsidRDefault="00241299" w:rsidP="00312856">
            <w:pPr>
              <w:pStyle w:val="Tabletext"/>
              <w:jc w:val="center"/>
            </w:pPr>
            <w:r w:rsidRPr="00A616E6">
              <w:t>8.5</w:t>
            </w:r>
          </w:p>
        </w:tc>
      </w:tr>
      <w:tr w:rsidR="003D1A4F" w:rsidRPr="00A91A55" w14:paraId="5BF81824" w14:textId="345ABEAC" w:rsidTr="005B76EF">
        <w:trPr>
          <w:trHeight w:val="300"/>
        </w:trPr>
        <w:tc>
          <w:tcPr>
            <w:tcW w:w="1184" w:type="pct"/>
            <w:tcBorders>
              <w:top w:val="nil"/>
              <w:left w:val="single" w:sz="4" w:space="0" w:color="auto"/>
              <w:bottom w:val="single" w:sz="4" w:space="0" w:color="auto"/>
              <w:right w:val="single" w:sz="4" w:space="0" w:color="auto"/>
            </w:tcBorders>
            <w:shd w:val="clear" w:color="auto" w:fill="auto"/>
            <w:noWrap/>
            <w:hideMark/>
          </w:tcPr>
          <w:p w14:paraId="4D52DDD3" w14:textId="62F54579" w:rsidR="003D1A4F" w:rsidRPr="00A91A55" w:rsidRDefault="003D1A4F" w:rsidP="000D0B9B">
            <w:pPr>
              <w:pStyle w:val="Tabletext"/>
              <w:rPr>
                <w:lang w:eastAsia="en-AU"/>
              </w:rPr>
            </w:pPr>
            <w:r w:rsidRPr="00A616E6">
              <w:t>Aged</w:t>
            </w:r>
          </w:p>
        </w:tc>
        <w:tc>
          <w:tcPr>
            <w:tcW w:w="815" w:type="pct"/>
            <w:tcBorders>
              <w:top w:val="nil"/>
              <w:left w:val="nil"/>
              <w:bottom w:val="single" w:sz="4" w:space="0" w:color="auto"/>
              <w:right w:val="single" w:sz="4" w:space="0" w:color="auto"/>
            </w:tcBorders>
            <w:shd w:val="clear" w:color="auto" w:fill="auto"/>
            <w:noWrap/>
            <w:vAlign w:val="center"/>
            <w:hideMark/>
          </w:tcPr>
          <w:p w14:paraId="5D40EE8F" w14:textId="7B4C666B" w:rsidR="003D1A4F" w:rsidRPr="00A91A55" w:rsidRDefault="003D1A4F" w:rsidP="00312856">
            <w:pPr>
              <w:pStyle w:val="Tabletext"/>
              <w:jc w:val="center"/>
              <w:rPr>
                <w:lang w:eastAsia="en-AU"/>
              </w:rPr>
            </w:pPr>
            <w:r>
              <w:t>1.</w:t>
            </w:r>
            <w:r w:rsidR="00241299" w:rsidRPr="00A616E6">
              <w:t>2</w:t>
            </w:r>
          </w:p>
        </w:tc>
        <w:tc>
          <w:tcPr>
            <w:tcW w:w="693" w:type="pct"/>
            <w:tcBorders>
              <w:top w:val="nil"/>
              <w:left w:val="nil"/>
              <w:bottom w:val="single" w:sz="4" w:space="0" w:color="auto"/>
              <w:right w:val="single" w:sz="4" w:space="0" w:color="auto"/>
            </w:tcBorders>
            <w:shd w:val="clear" w:color="auto" w:fill="auto"/>
            <w:noWrap/>
            <w:vAlign w:val="center"/>
            <w:hideMark/>
          </w:tcPr>
          <w:p w14:paraId="1F0CDE29" w14:textId="160DB0B4" w:rsidR="003D1A4F" w:rsidRPr="00A91A55" w:rsidRDefault="00241299" w:rsidP="00312856">
            <w:pPr>
              <w:pStyle w:val="Tabletext"/>
              <w:jc w:val="center"/>
              <w:rPr>
                <w:lang w:eastAsia="en-AU"/>
              </w:rPr>
            </w:pPr>
            <w:r w:rsidRPr="00A616E6">
              <w:t>0.7</w:t>
            </w:r>
          </w:p>
        </w:tc>
        <w:tc>
          <w:tcPr>
            <w:tcW w:w="692" w:type="pct"/>
            <w:tcBorders>
              <w:top w:val="nil"/>
              <w:left w:val="nil"/>
              <w:bottom w:val="single" w:sz="4" w:space="0" w:color="auto"/>
              <w:right w:val="single" w:sz="4" w:space="0" w:color="auto"/>
            </w:tcBorders>
            <w:shd w:val="clear" w:color="auto" w:fill="auto"/>
            <w:noWrap/>
            <w:vAlign w:val="center"/>
            <w:hideMark/>
          </w:tcPr>
          <w:p w14:paraId="4BB3882F" w14:textId="1678B1B7" w:rsidR="003D1A4F" w:rsidRPr="00A91A55" w:rsidRDefault="003D1A4F" w:rsidP="00312856">
            <w:pPr>
              <w:pStyle w:val="Tabletext"/>
              <w:jc w:val="center"/>
              <w:rPr>
                <w:lang w:eastAsia="en-AU"/>
              </w:rPr>
            </w:pPr>
            <w:r>
              <w:t>0.</w:t>
            </w:r>
            <w:r w:rsidR="00241299" w:rsidRPr="00A616E6">
              <w:t>6</w:t>
            </w:r>
          </w:p>
        </w:tc>
        <w:tc>
          <w:tcPr>
            <w:tcW w:w="770" w:type="pct"/>
            <w:tcBorders>
              <w:top w:val="nil"/>
              <w:left w:val="nil"/>
              <w:bottom w:val="single" w:sz="4" w:space="0" w:color="auto"/>
              <w:right w:val="single" w:sz="4" w:space="0" w:color="auto"/>
            </w:tcBorders>
            <w:shd w:val="clear" w:color="auto" w:fill="auto"/>
            <w:noWrap/>
            <w:vAlign w:val="center"/>
            <w:hideMark/>
          </w:tcPr>
          <w:p w14:paraId="417C633E" w14:textId="3A7E73CF" w:rsidR="003D1A4F" w:rsidRPr="00A91A55" w:rsidRDefault="003D1A4F" w:rsidP="00312856">
            <w:pPr>
              <w:pStyle w:val="Tabletext"/>
              <w:jc w:val="center"/>
              <w:rPr>
                <w:lang w:eastAsia="en-AU"/>
              </w:rPr>
            </w:pPr>
            <w:r>
              <w:t>0.6</w:t>
            </w:r>
          </w:p>
        </w:tc>
        <w:tc>
          <w:tcPr>
            <w:tcW w:w="846" w:type="pct"/>
            <w:tcBorders>
              <w:top w:val="nil"/>
              <w:left w:val="nil"/>
              <w:bottom w:val="single" w:sz="4" w:space="0" w:color="auto"/>
              <w:right w:val="single" w:sz="4" w:space="0" w:color="auto"/>
            </w:tcBorders>
            <w:vAlign w:val="center"/>
          </w:tcPr>
          <w:p w14:paraId="185191F2" w14:textId="0FBB1CAA" w:rsidR="003D1A4F" w:rsidRDefault="003D1A4F" w:rsidP="00312856">
            <w:pPr>
              <w:pStyle w:val="Tabletext"/>
              <w:jc w:val="center"/>
            </w:pPr>
            <w:r>
              <w:t>0.</w:t>
            </w:r>
            <w:r w:rsidR="00241299" w:rsidRPr="00A616E6">
              <w:t>2</w:t>
            </w:r>
          </w:p>
        </w:tc>
      </w:tr>
      <w:tr w:rsidR="003D1A4F" w:rsidRPr="00A91A55" w14:paraId="70E6638B" w14:textId="130A1C12" w:rsidTr="005B76EF">
        <w:trPr>
          <w:trHeight w:val="300"/>
        </w:trPr>
        <w:tc>
          <w:tcPr>
            <w:tcW w:w="1184" w:type="pct"/>
            <w:tcBorders>
              <w:top w:val="nil"/>
              <w:left w:val="single" w:sz="4" w:space="0" w:color="auto"/>
              <w:bottom w:val="single" w:sz="4" w:space="0" w:color="auto"/>
              <w:right w:val="single" w:sz="4" w:space="0" w:color="auto"/>
            </w:tcBorders>
            <w:shd w:val="clear" w:color="auto" w:fill="auto"/>
            <w:noWrap/>
            <w:hideMark/>
          </w:tcPr>
          <w:p w14:paraId="57C2F604" w14:textId="065C2BC5" w:rsidR="003D1A4F" w:rsidRPr="00A91A55" w:rsidRDefault="003D1A4F" w:rsidP="000D0B9B">
            <w:pPr>
              <w:pStyle w:val="Tabletext"/>
              <w:rPr>
                <w:lang w:eastAsia="en-AU"/>
              </w:rPr>
            </w:pPr>
            <w:r w:rsidRPr="00A616E6">
              <w:t xml:space="preserve">Child and </w:t>
            </w:r>
            <w:r w:rsidR="0048002F" w:rsidRPr="00A616E6">
              <w:t>a</w:t>
            </w:r>
            <w:r w:rsidRPr="00A616E6">
              <w:t>dolescent</w:t>
            </w:r>
          </w:p>
        </w:tc>
        <w:tc>
          <w:tcPr>
            <w:tcW w:w="815" w:type="pct"/>
            <w:tcBorders>
              <w:top w:val="nil"/>
              <w:left w:val="nil"/>
              <w:bottom w:val="single" w:sz="4" w:space="0" w:color="auto"/>
              <w:right w:val="single" w:sz="4" w:space="0" w:color="auto"/>
            </w:tcBorders>
            <w:shd w:val="clear" w:color="auto" w:fill="auto"/>
            <w:noWrap/>
            <w:vAlign w:val="center"/>
            <w:hideMark/>
          </w:tcPr>
          <w:p w14:paraId="533BF3B2" w14:textId="24058CAF" w:rsidR="003D1A4F" w:rsidRPr="00A91A55" w:rsidRDefault="00241299" w:rsidP="00312856">
            <w:pPr>
              <w:pStyle w:val="Tabletext"/>
              <w:jc w:val="center"/>
              <w:rPr>
                <w:lang w:eastAsia="en-AU"/>
              </w:rPr>
            </w:pPr>
            <w:r w:rsidRPr="00A616E6">
              <w:t>8.8</w:t>
            </w:r>
          </w:p>
        </w:tc>
        <w:tc>
          <w:tcPr>
            <w:tcW w:w="693" w:type="pct"/>
            <w:tcBorders>
              <w:top w:val="nil"/>
              <w:left w:val="nil"/>
              <w:bottom w:val="single" w:sz="4" w:space="0" w:color="auto"/>
              <w:right w:val="single" w:sz="4" w:space="0" w:color="auto"/>
            </w:tcBorders>
            <w:shd w:val="clear" w:color="auto" w:fill="auto"/>
            <w:noWrap/>
            <w:vAlign w:val="center"/>
            <w:hideMark/>
          </w:tcPr>
          <w:p w14:paraId="3E00E3D5" w14:textId="1708E784" w:rsidR="003D1A4F" w:rsidRPr="00A91A55" w:rsidRDefault="00241299" w:rsidP="00312856">
            <w:pPr>
              <w:pStyle w:val="Tabletext"/>
              <w:jc w:val="center"/>
              <w:rPr>
                <w:lang w:eastAsia="en-AU"/>
              </w:rPr>
            </w:pPr>
            <w:r w:rsidRPr="00A616E6">
              <w:t>12.2</w:t>
            </w:r>
          </w:p>
        </w:tc>
        <w:tc>
          <w:tcPr>
            <w:tcW w:w="692" w:type="pct"/>
            <w:tcBorders>
              <w:top w:val="nil"/>
              <w:left w:val="nil"/>
              <w:bottom w:val="single" w:sz="4" w:space="0" w:color="auto"/>
              <w:right w:val="single" w:sz="4" w:space="0" w:color="auto"/>
            </w:tcBorders>
            <w:shd w:val="clear" w:color="auto" w:fill="auto"/>
            <w:noWrap/>
            <w:vAlign w:val="center"/>
            <w:hideMark/>
          </w:tcPr>
          <w:p w14:paraId="433138FF" w14:textId="48CE65FB" w:rsidR="003D1A4F" w:rsidRPr="00A91A55" w:rsidRDefault="00241299" w:rsidP="00312856">
            <w:pPr>
              <w:pStyle w:val="Tabletext"/>
              <w:jc w:val="center"/>
              <w:rPr>
                <w:lang w:eastAsia="en-AU"/>
              </w:rPr>
            </w:pPr>
            <w:r w:rsidRPr="00A616E6">
              <w:t>14.6</w:t>
            </w:r>
          </w:p>
        </w:tc>
        <w:tc>
          <w:tcPr>
            <w:tcW w:w="770" w:type="pct"/>
            <w:tcBorders>
              <w:top w:val="nil"/>
              <w:left w:val="nil"/>
              <w:bottom w:val="single" w:sz="4" w:space="0" w:color="auto"/>
              <w:right w:val="single" w:sz="4" w:space="0" w:color="auto"/>
            </w:tcBorders>
            <w:shd w:val="clear" w:color="auto" w:fill="auto"/>
            <w:noWrap/>
            <w:vAlign w:val="center"/>
            <w:hideMark/>
          </w:tcPr>
          <w:p w14:paraId="52646793" w14:textId="5D441B87" w:rsidR="003D1A4F" w:rsidRPr="00A91A55" w:rsidRDefault="00241299" w:rsidP="00312856">
            <w:pPr>
              <w:pStyle w:val="Tabletext"/>
              <w:jc w:val="center"/>
              <w:rPr>
                <w:lang w:eastAsia="en-AU"/>
              </w:rPr>
            </w:pPr>
            <w:r w:rsidRPr="00A616E6">
              <w:t>10.7</w:t>
            </w:r>
          </w:p>
        </w:tc>
        <w:tc>
          <w:tcPr>
            <w:tcW w:w="846" w:type="pct"/>
            <w:tcBorders>
              <w:top w:val="nil"/>
              <w:left w:val="nil"/>
              <w:bottom w:val="single" w:sz="4" w:space="0" w:color="auto"/>
              <w:right w:val="single" w:sz="4" w:space="0" w:color="auto"/>
            </w:tcBorders>
            <w:vAlign w:val="center"/>
          </w:tcPr>
          <w:p w14:paraId="05E3A919" w14:textId="0670A854" w:rsidR="003D1A4F" w:rsidRDefault="00241299" w:rsidP="00312856">
            <w:pPr>
              <w:pStyle w:val="Tabletext"/>
              <w:jc w:val="center"/>
            </w:pPr>
            <w:r w:rsidRPr="00A616E6">
              <w:t>7.7</w:t>
            </w:r>
          </w:p>
        </w:tc>
      </w:tr>
      <w:tr w:rsidR="003D1A4F" w:rsidRPr="00A91A55" w14:paraId="33CCE67C" w14:textId="3ECEB421" w:rsidTr="005B76EF">
        <w:trPr>
          <w:trHeight w:val="300"/>
        </w:trPr>
        <w:tc>
          <w:tcPr>
            <w:tcW w:w="1184" w:type="pct"/>
            <w:tcBorders>
              <w:top w:val="nil"/>
              <w:left w:val="single" w:sz="4" w:space="0" w:color="auto"/>
              <w:bottom w:val="single" w:sz="4" w:space="0" w:color="auto"/>
              <w:right w:val="single" w:sz="4" w:space="0" w:color="auto"/>
            </w:tcBorders>
            <w:shd w:val="clear" w:color="auto" w:fill="auto"/>
            <w:noWrap/>
            <w:hideMark/>
          </w:tcPr>
          <w:p w14:paraId="5185AFF9" w14:textId="484C7C95" w:rsidR="003D1A4F" w:rsidRPr="00A91A55" w:rsidRDefault="003D1A4F" w:rsidP="000D0B9B">
            <w:pPr>
              <w:pStyle w:val="Tabletext"/>
              <w:rPr>
                <w:lang w:eastAsia="en-AU"/>
              </w:rPr>
            </w:pPr>
            <w:r w:rsidRPr="00A616E6">
              <w:t>Forensic</w:t>
            </w:r>
          </w:p>
        </w:tc>
        <w:tc>
          <w:tcPr>
            <w:tcW w:w="815" w:type="pct"/>
            <w:tcBorders>
              <w:top w:val="nil"/>
              <w:left w:val="nil"/>
              <w:bottom w:val="single" w:sz="4" w:space="0" w:color="auto"/>
              <w:right w:val="single" w:sz="4" w:space="0" w:color="auto"/>
            </w:tcBorders>
            <w:shd w:val="clear" w:color="auto" w:fill="auto"/>
            <w:noWrap/>
            <w:vAlign w:val="center"/>
            <w:hideMark/>
          </w:tcPr>
          <w:p w14:paraId="370F77BE" w14:textId="68F981F1" w:rsidR="003D1A4F" w:rsidRPr="00A91A55" w:rsidRDefault="00241299" w:rsidP="00312856">
            <w:pPr>
              <w:pStyle w:val="Tabletext"/>
              <w:jc w:val="center"/>
              <w:rPr>
                <w:lang w:eastAsia="en-AU"/>
              </w:rPr>
            </w:pPr>
            <w:r w:rsidRPr="00A616E6">
              <w:t>51.4</w:t>
            </w:r>
          </w:p>
        </w:tc>
        <w:tc>
          <w:tcPr>
            <w:tcW w:w="693" w:type="pct"/>
            <w:tcBorders>
              <w:top w:val="nil"/>
              <w:left w:val="nil"/>
              <w:bottom w:val="single" w:sz="4" w:space="0" w:color="auto"/>
              <w:right w:val="single" w:sz="4" w:space="0" w:color="auto"/>
            </w:tcBorders>
            <w:shd w:val="clear" w:color="auto" w:fill="auto"/>
            <w:noWrap/>
            <w:vAlign w:val="center"/>
            <w:hideMark/>
          </w:tcPr>
          <w:p w14:paraId="67718CF6" w14:textId="216A9E37" w:rsidR="003D1A4F" w:rsidRPr="00A91A55" w:rsidRDefault="00241299" w:rsidP="00312856">
            <w:pPr>
              <w:pStyle w:val="Tabletext"/>
              <w:jc w:val="center"/>
              <w:rPr>
                <w:lang w:eastAsia="en-AU"/>
              </w:rPr>
            </w:pPr>
            <w:r w:rsidRPr="00A616E6">
              <w:t>39.2</w:t>
            </w:r>
          </w:p>
        </w:tc>
        <w:tc>
          <w:tcPr>
            <w:tcW w:w="692" w:type="pct"/>
            <w:tcBorders>
              <w:top w:val="nil"/>
              <w:left w:val="nil"/>
              <w:bottom w:val="single" w:sz="4" w:space="0" w:color="auto"/>
              <w:right w:val="single" w:sz="4" w:space="0" w:color="auto"/>
            </w:tcBorders>
            <w:shd w:val="clear" w:color="auto" w:fill="auto"/>
            <w:noWrap/>
            <w:vAlign w:val="center"/>
            <w:hideMark/>
          </w:tcPr>
          <w:p w14:paraId="0A39AA83" w14:textId="66097093" w:rsidR="003D1A4F" w:rsidRPr="00A91A55" w:rsidRDefault="00241299" w:rsidP="00312856">
            <w:pPr>
              <w:pStyle w:val="Tabletext"/>
              <w:jc w:val="center"/>
              <w:rPr>
                <w:lang w:eastAsia="en-AU"/>
              </w:rPr>
            </w:pPr>
            <w:r w:rsidRPr="00A616E6">
              <w:t>47.3</w:t>
            </w:r>
          </w:p>
        </w:tc>
        <w:tc>
          <w:tcPr>
            <w:tcW w:w="770" w:type="pct"/>
            <w:tcBorders>
              <w:top w:val="nil"/>
              <w:left w:val="nil"/>
              <w:bottom w:val="single" w:sz="4" w:space="0" w:color="auto"/>
              <w:right w:val="single" w:sz="4" w:space="0" w:color="auto"/>
            </w:tcBorders>
            <w:shd w:val="clear" w:color="auto" w:fill="auto"/>
            <w:noWrap/>
            <w:vAlign w:val="center"/>
            <w:hideMark/>
          </w:tcPr>
          <w:p w14:paraId="614F21B4" w14:textId="4CA20245" w:rsidR="003D1A4F" w:rsidRPr="00A91A55" w:rsidRDefault="00241299" w:rsidP="00312856">
            <w:pPr>
              <w:pStyle w:val="Tabletext"/>
              <w:jc w:val="center"/>
              <w:rPr>
                <w:lang w:eastAsia="en-AU"/>
              </w:rPr>
            </w:pPr>
            <w:r w:rsidRPr="00A616E6">
              <w:t>58.7</w:t>
            </w:r>
          </w:p>
        </w:tc>
        <w:tc>
          <w:tcPr>
            <w:tcW w:w="846" w:type="pct"/>
            <w:tcBorders>
              <w:top w:val="nil"/>
              <w:left w:val="nil"/>
              <w:bottom w:val="single" w:sz="4" w:space="0" w:color="auto"/>
              <w:right w:val="single" w:sz="4" w:space="0" w:color="auto"/>
            </w:tcBorders>
            <w:vAlign w:val="center"/>
          </w:tcPr>
          <w:p w14:paraId="1AE13D9E" w14:textId="266CCED8" w:rsidR="003D1A4F" w:rsidRDefault="00241299" w:rsidP="00312856">
            <w:pPr>
              <w:pStyle w:val="Tabletext"/>
              <w:jc w:val="center"/>
            </w:pPr>
            <w:r w:rsidRPr="00A616E6">
              <w:t>65.8</w:t>
            </w:r>
          </w:p>
        </w:tc>
      </w:tr>
      <w:tr w:rsidR="003D1A4F" w:rsidRPr="00A91A55" w14:paraId="73AF1568" w14:textId="0486700E" w:rsidTr="005B76EF">
        <w:trPr>
          <w:trHeight w:val="300"/>
        </w:trPr>
        <w:tc>
          <w:tcPr>
            <w:tcW w:w="1184" w:type="pct"/>
            <w:tcBorders>
              <w:top w:val="nil"/>
              <w:left w:val="single" w:sz="4" w:space="0" w:color="auto"/>
              <w:bottom w:val="single" w:sz="4" w:space="0" w:color="auto"/>
              <w:right w:val="single" w:sz="4" w:space="0" w:color="auto"/>
            </w:tcBorders>
            <w:shd w:val="clear" w:color="auto" w:fill="auto"/>
            <w:noWrap/>
            <w:hideMark/>
          </w:tcPr>
          <w:p w14:paraId="56B2F2B2" w14:textId="625F7E1C" w:rsidR="003D1A4F" w:rsidRPr="00A91A55" w:rsidRDefault="003D1A4F" w:rsidP="000D0B9B">
            <w:pPr>
              <w:pStyle w:val="Tabletext"/>
              <w:rPr>
                <w:lang w:eastAsia="en-AU"/>
              </w:rPr>
            </w:pPr>
            <w:r w:rsidRPr="00A616E6">
              <w:t>Specialist</w:t>
            </w:r>
          </w:p>
        </w:tc>
        <w:tc>
          <w:tcPr>
            <w:tcW w:w="815" w:type="pct"/>
            <w:tcBorders>
              <w:top w:val="nil"/>
              <w:left w:val="nil"/>
              <w:bottom w:val="single" w:sz="4" w:space="0" w:color="auto"/>
              <w:right w:val="single" w:sz="4" w:space="0" w:color="auto"/>
            </w:tcBorders>
            <w:shd w:val="clear" w:color="auto" w:fill="auto"/>
            <w:noWrap/>
            <w:vAlign w:val="center"/>
            <w:hideMark/>
          </w:tcPr>
          <w:p w14:paraId="140570FA" w14:textId="4F11BDF4" w:rsidR="003D1A4F" w:rsidRPr="00A91A55" w:rsidRDefault="00241299" w:rsidP="00312856">
            <w:pPr>
              <w:pStyle w:val="Tabletext"/>
              <w:jc w:val="center"/>
              <w:rPr>
                <w:lang w:eastAsia="en-AU"/>
              </w:rPr>
            </w:pPr>
            <w:r w:rsidRPr="00A616E6">
              <w:t>0.6</w:t>
            </w:r>
          </w:p>
        </w:tc>
        <w:tc>
          <w:tcPr>
            <w:tcW w:w="693" w:type="pct"/>
            <w:tcBorders>
              <w:top w:val="nil"/>
              <w:left w:val="nil"/>
              <w:bottom w:val="single" w:sz="4" w:space="0" w:color="auto"/>
              <w:right w:val="single" w:sz="4" w:space="0" w:color="auto"/>
            </w:tcBorders>
            <w:shd w:val="clear" w:color="auto" w:fill="auto"/>
            <w:noWrap/>
            <w:vAlign w:val="center"/>
            <w:hideMark/>
          </w:tcPr>
          <w:p w14:paraId="2FCBE875" w14:textId="03E314BD" w:rsidR="003D1A4F" w:rsidRPr="00A91A55" w:rsidRDefault="003D1A4F" w:rsidP="00312856">
            <w:pPr>
              <w:pStyle w:val="Tabletext"/>
              <w:jc w:val="center"/>
              <w:rPr>
                <w:lang w:eastAsia="en-AU"/>
              </w:rPr>
            </w:pPr>
            <w:r>
              <w:t>0.</w:t>
            </w:r>
            <w:r w:rsidR="00241299" w:rsidRPr="00A616E6">
              <w:t>4</w:t>
            </w:r>
          </w:p>
        </w:tc>
        <w:tc>
          <w:tcPr>
            <w:tcW w:w="692" w:type="pct"/>
            <w:tcBorders>
              <w:top w:val="nil"/>
              <w:left w:val="nil"/>
              <w:bottom w:val="single" w:sz="4" w:space="0" w:color="auto"/>
              <w:right w:val="single" w:sz="4" w:space="0" w:color="auto"/>
            </w:tcBorders>
            <w:shd w:val="clear" w:color="auto" w:fill="auto"/>
            <w:noWrap/>
            <w:vAlign w:val="center"/>
            <w:hideMark/>
          </w:tcPr>
          <w:p w14:paraId="3CA1AED7" w14:textId="2C2E91F2" w:rsidR="003D1A4F" w:rsidRPr="00A91A55" w:rsidRDefault="003D1A4F" w:rsidP="00312856">
            <w:pPr>
              <w:pStyle w:val="Tabletext"/>
              <w:jc w:val="center"/>
              <w:rPr>
                <w:lang w:eastAsia="en-AU"/>
              </w:rPr>
            </w:pPr>
            <w:r>
              <w:t>0.</w:t>
            </w:r>
            <w:r w:rsidR="00241299" w:rsidRPr="00A616E6">
              <w:t>5</w:t>
            </w:r>
          </w:p>
        </w:tc>
        <w:tc>
          <w:tcPr>
            <w:tcW w:w="770" w:type="pct"/>
            <w:tcBorders>
              <w:top w:val="nil"/>
              <w:left w:val="nil"/>
              <w:bottom w:val="single" w:sz="4" w:space="0" w:color="auto"/>
              <w:right w:val="single" w:sz="4" w:space="0" w:color="auto"/>
            </w:tcBorders>
            <w:shd w:val="clear" w:color="auto" w:fill="auto"/>
            <w:noWrap/>
            <w:vAlign w:val="center"/>
            <w:hideMark/>
          </w:tcPr>
          <w:p w14:paraId="21BD3BE2" w14:textId="025194D0" w:rsidR="003D1A4F" w:rsidRPr="00A91A55" w:rsidRDefault="00241299" w:rsidP="00312856">
            <w:pPr>
              <w:pStyle w:val="Tabletext"/>
              <w:jc w:val="center"/>
              <w:rPr>
                <w:lang w:eastAsia="en-AU"/>
              </w:rPr>
            </w:pPr>
            <w:r w:rsidRPr="00A616E6">
              <w:t>3.2</w:t>
            </w:r>
          </w:p>
        </w:tc>
        <w:tc>
          <w:tcPr>
            <w:tcW w:w="846" w:type="pct"/>
            <w:tcBorders>
              <w:top w:val="nil"/>
              <w:left w:val="nil"/>
              <w:bottom w:val="single" w:sz="4" w:space="0" w:color="auto"/>
              <w:right w:val="single" w:sz="4" w:space="0" w:color="auto"/>
            </w:tcBorders>
            <w:vAlign w:val="center"/>
          </w:tcPr>
          <w:p w14:paraId="348572AC" w14:textId="7597863C" w:rsidR="003D1A4F" w:rsidRDefault="00241299" w:rsidP="00312856">
            <w:pPr>
              <w:pStyle w:val="Tabletext"/>
              <w:jc w:val="center"/>
            </w:pPr>
            <w:r w:rsidRPr="00A616E6">
              <w:t>10.6</w:t>
            </w:r>
          </w:p>
        </w:tc>
      </w:tr>
      <w:tr w:rsidR="003D1A4F" w:rsidRPr="00A91A55" w14:paraId="60174E93" w14:textId="5D6FCFB9" w:rsidTr="005B76EF">
        <w:trPr>
          <w:trHeight w:val="300"/>
        </w:trPr>
        <w:tc>
          <w:tcPr>
            <w:tcW w:w="1184" w:type="pct"/>
            <w:tcBorders>
              <w:top w:val="nil"/>
              <w:left w:val="single" w:sz="4" w:space="0" w:color="auto"/>
              <w:bottom w:val="single" w:sz="4" w:space="0" w:color="auto"/>
              <w:right w:val="single" w:sz="4" w:space="0" w:color="auto"/>
            </w:tcBorders>
            <w:shd w:val="clear" w:color="auto" w:fill="auto"/>
            <w:noWrap/>
            <w:hideMark/>
          </w:tcPr>
          <w:p w14:paraId="1ED51B7D" w14:textId="60E3B656" w:rsidR="003D1A4F" w:rsidRPr="00A018DC" w:rsidRDefault="003D1A4F" w:rsidP="000D0B9B">
            <w:pPr>
              <w:pStyle w:val="Tabletext"/>
              <w:rPr>
                <w:lang w:eastAsia="en-AU"/>
              </w:rPr>
            </w:pPr>
            <w:r w:rsidRPr="00A616E6">
              <w:t>Total</w:t>
            </w:r>
          </w:p>
        </w:tc>
        <w:tc>
          <w:tcPr>
            <w:tcW w:w="815" w:type="pct"/>
            <w:tcBorders>
              <w:top w:val="nil"/>
              <w:left w:val="nil"/>
              <w:bottom w:val="single" w:sz="4" w:space="0" w:color="auto"/>
              <w:right w:val="single" w:sz="4" w:space="0" w:color="auto"/>
            </w:tcBorders>
            <w:shd w:val="clear" w:color="auto" w:fill="auto"/>
            <w:noWrap/>
            <w:vAlign w:val="center"/>
            <w:hideMark/>
          </w:tcPr>
          <w:p w14:paraId="4FE6F6DC" w14:textId="7F28AE45" w:rsidR="003D1A4F" w:rsidRPr="00A018DC" w:rsidRDefault="00241299" w:rsidP="00312856">
            <w:pPr>
              <w:pStyle w:val="Tabletext"/>
              <w:jc w:val="center"/>
              <w:rPr>
                <w:lang w:eastAsia="en-AU"/>
              </w:rPr>
            </w:pPr>
            <w:r w:rsidRPr="00A616E6">
              <w:t>9.9</w:t>
            </w:r>
          </w:p>
        </w:tc>
        <w:tc>
          <w:tcPr>
            <w:tcW w:w="693" w:type="pct"/>
            <w:tcBorders>
              <w:top w:val="nil"/>
              <w:left w:val="nil"/>
              <w:bottom w:val="single" w:sz="4" w:space="0" w:color="auto"/>
              <w:right w:val="single" w:sz="4" w:space="0" w:color="auto"/>
            </w:tcBorders>
            <w:shd w:val="clear" w:color="auto" w:fill="auto"/>
            <w:noWrap/>
            <w:vAlign w:val="center"/>
            <w:hideMark/>
          </w:tcPr>
          <w:p w14:paraId="6A993441" w14:textId="1A6107B6" w:rsidR="003D1A4F" w:rsidRPr="00A018DC" w:rsidRDefault="00241299" w:rsidP="00312856">
            <w:pPr>
              <w:pStyle w:val="Tabletext"/>
              <w:jc w:val="center"/>
              <w:rPr>
                <w:lang w:eastAsia="en-AU"/>
              </w:rPr>
            </w:pPr>
            <w:r w:rsidRPr="00A616E6">
              <w:t>8.8</w:t>
            </w:r>
          </w:p>
        </w:tc>
        <w:tc>
          <w:tcPr>
            <w:tcW w:w="692" w:type="pct"/>
            <w:tcBorders>
              <w:top w:val="nil"/>
              <w:left w:val="nil"/>
              <w:bottom w:val="single" w:sz="4" w:space="0" w:color="auto"/>
              <w:right w:val="single" w:sz="4" w:space="0" w:color="auto"/>
            </w:tcBorders>
            <w:shd w:val="clear" w:color="auto" w:fill="auto"/>
            <w:noWrap/>
            <w:vAlign w:val="center"/>
            <w:hideMark/>
          </w:tcPr>
          <w:p w14:paraId="127695C1" w14:textId="7A09A09A" w:rsidR="003D1A4F" w:rsidRPr="00A018DC" w:rsidRDefault="00241299" w:rsidP="00312856">
            <w:pPr>
              <w:pStyle w:val="Tabletext"/>
              <w:jc w:val="center"/>
              <w:rPr>
                <w:lang w:eastAsia="en-AU"/>
              </w:rPr>
            </w:pPr>
            <w:r w:rsidRPr="00A616E6">
              <w:t>10.0</w:t>
            </w:r>
          </w:p>
        </w:tc>
        <w:tc>
          <w:tcPr>
            <w:tcW w:w="770" w:type="pct"/>
            <w:tcBorders>
              <w:top w:val="nil"/>
              <w:left w:val="nil"/>
              <w:bottom w:val="single" w:sz="4" w:space="0" w:color="auto"/>
              <w:right w:val="single" w:sz="4" w:space="0" w:color="auto"/>
            </w:tcBorders>
            <w:shd w:val="clear" w:color="auto" w:fill="auto"/>
            <w:noWrap/>
            <w:vAlign w:val="center"/>
            <w:hideMark/>
          </w:tcPr>
          <w:p w14:paraId="6A5BD56B" w14:textId="1D9555D6" w:rsidR="003D1A4F" w:rsidRPr="00A018DC" w:rsidRDefault="00241299" w:rsidP="00312856">
            <w:pPr>
              <w:pStyle w:val="Tabletext"/>
              <w:jc w:val="center"/>
              <w:rPr>
                <w:lang w:eastAsia="en-AU"/>
              </w:rPr>
            </w:pPr>
            <w:r w:rsidRPr="00A616E6">
              <w:t>10.3</w:t>
            </w:r>
          </w:p>
        </w:tc>
        <w:tc>
          <w:tcPr>
            <w:tcW w:w="846" w:type="pct"/>
            <w:tcBorders>
              <w:top w:val="nil"/>
              <w:left w:val="nil"/>
              <w:bottom w:val="single" w:sz="4" w:space="0" w:color="auto"/>
              <w:right w:val="single" w:sz="4" w:space="0" w:color="auto"/>
            </w:tcBorders>
            <w:vAlign w:val="center"/>
          </w:tcPr>
          <w:p w14:paraId="2580C36E" w14:textId="041629D7" w:rsidR="003D1A4F" w:rsidRPr="00A018DC" w:rsidRDefault="00241299" w:rsidP="00312856">
            <w:pPr>
              <w:pStyle w:val="Tabletext"/>
              <w:jc w:val="center"/>
            </w:pPr>
            <w:r w:rsidRPr="00A616E6">
              <w:t>9.8</w:t>
            </w:r>
          </w:p>
        </w:tc>
      </w:tr>
    </w:tbl>
    <w:p w14:paraId="7DC20EEA" w14:textId="04B47547" w:rsidR="00381B2F" w:rsidRDefault="00381B2F" w:rsidP="00643556">
      <w:pPr>
        <w:pStyle w:val="Bodyaftertable"/>
      </w:pPr>
      <w:r>
        <w:t xml:space="preserve">Table </w:t>
      </w:r>
      <w:r w:rsidR="0C3CFD56">
        <w:t>1</w:t>
      </w:r>
      <w:r w:rsidR="00CC7406">
        <w:t>3</w:t>
      </w:r>
      <w:r>
        <w:t xml:space="preserve"> shows that, when seclusion happened, it typically occurred only once within an admission to hospital. Multiple episodes of seclusion were relatively uncommon. This pattern has remained consistent in recent years.</w:t>
      </w:r>
    </w:p>
    <w:p w14:paraId="2D4412A1" w14:textId="44CCED32" w:rsidR="00381B2F" w:rsidRDefault="00381B2F" w:rsidP="000D0B9B">
      <w:pPr>
        <w:pStyle w:val="Tablecaption"/>
      </w:pPr>
      <w:r w:rsidRPr="64F2407C">
        <w:lastRenderedPageBreak/>
        <w:t xml:space="preserve">Table </w:t>
      </w:r>
      <w:r w:rsidR="18E05CAF">
        <w:t>1</w:t>
      </w:r>
      <w:r w:rsidR="00CC7406">
        <w:t>3</w:t>
      </w:r>
      <w:r w:rsidRPr="64F2407C">
        <w:t>: Frequency of seclusion episodes within a single admission, 201</w:t>
      </w:r>
      <w:r w:rsidR="000B2220">
        <w:t>7</w:t>
      </w:r>
      <w:r w:rsidRPr="64F2407C">
        <w:t>–1</w:t>
      </w:r>
      <w:r w:rsidR="000B2220">
        <w:t>8</w:t>
      </w:r>
      <w:r w:rsidRPr="64F2407C">
        <w:t xml:space="preserve"> to </w:t>
      </w:r>
      <w:r w:rsidR="007B2175">
        <w:t>202</w:t>
      </w:r>
      <w:r w:rsidR="00403BC0">
        <w:t>1</w:t>
      </w:r>
      <w:r w:rsidR="007B2175">
        <w:t>–2</w:t>
      </w:r>
      <w:r w:rsidR="00403BC0">
        <w:t>2</w:t>
      </w:r>
    </w:p>
    <w:tbl>
      <w:tblPr>
        <w:tblW w:w="4971" w:type="pct"/>
        <w:tblLook w:val="04A0" w:firstRow="1" w:lastRow="0" w:firstColumn="1" w:lastColumn="0" w:noHBand="0" w:noVBand="1"/>
      </w:tblPr>
      <w:tblGrid>
        <w:gridCol w:w="1950"/>
        <w:gridCol w:w="1459"/>
        <w:gridCol w:w="1459"/>
        <w:gridCol w:w="1457"/>
        <w:gridCol w:w="1457"/>
        <w:gridCol w:w="1452"/>
      </w:tblGrid>
      <w:tr w:rsidR="00925590" w:rsidRPr="00A5007D" w14:paraId="3A224C4A" w14:textId="4ED24D3E" w:rsidTr="000B2220">
        <w:trPr>
          <w:trHeight w:val="205"/>
          <w:tblHeader/>
        </w:trPr>
        <w:tc>
          <w:tcPr>
            <w:tcW w:w="1056" w:type="pct"/>
            <w:tcBorders>
              <w:top w:val="single" w:sz="4" w:space="0" w:color="auto"/>
              <w:left w:val="single" w:sz="4" w:space="0" w:color="auto"/>
              <w:bottom w:val="single" w:sz="4" w:space="0" w:color="auto"/>
              <w:right w:val="single" w:sz="4" w:space="0" w:color="auto"/>
            </w:tcBorders>
            <w:shd w:val="clear" w:color="auto" w:fill="auto"/>
            <w:noWrap/>
            <w:hideMark/>
          </w:tcPr>
          <w:p w14:paraId="2A24ACF2" w14:textId="223BA900" w:rsidR="00925590" w:rsidRPr="00A5007D" w:rsidRDefault="00925590" w:rsidP="000D0B9B">
            <w:pPr>
              <w:pStyle w:val="Tablecolhead"/>
              <w:rPr>
                <w:lang w:eastAsia="en-AU"/>
              </w:rPr>
            </w:pPr>
            <w:r>
              <w:rPr>
                <w:lang w:eastAsia="en-AU"/>
              </w:rPr>
              <w:t>Frequency</w:t>
            </w:r>
          </w:p>
        </w:tc>
        <w:tc>
          <w:tcPr>
            <w:tcW w:w="790" w:type="pct"/>
            <w:tcBorders>
              <w:top w:val="single" w:sz="4" w:space="0" w:color="auto"/>
              <w:left w:val="nil"/>
              <w:bottom w:val="single" w:sz="4" w:space="0" w:color="auto"/>
              <w:right w:val="single" w:sz="4" w:space="0" w:color="auto"/>
            </w:tcBorders>
            <w:shd w:val="clear" w:color="auto" w:fill="auto"/>
            <w:noWrap/>
            <w:vAlign w:val="center"/>
            <w:hideMark/>
          </w:tcPr>
          <w:p w14:paraId="412254CC" w14:textId="1CA1D149" w:rsidR="00925590" w:rsidRPr="00A5007D" w:rsidRDefault="005D13AB" w:rsidP="00312856">
            <w:pPr>
              <w:pStyle w:val="Tablecolhead"/>
              <w:jc w:val="center"/>
              <w:rPr>
                <w:lang w:eastAsia="en-AU"/>
              </w:rPr>
            </w:pPr>
            <w:r w:rsidRPr="00DE0E16">
              <w:t>2017</w:t>
            </w:r>
            <w:r w:rsidR="00920F37">
              <w:t>–</w:t>
            </w:r>
            <w:r w:rsidRPr="00DE0E16">
              <w:t>18</w:t>
            </w:r>
          </w:p>
        </w:tc>
        <w:tc>
          <w:tcPr>
            <w:tcW w:w="790" w:type="pct"/>
            <w:tcBorders>
              <w:top w:val="single" w:sz="4" w:space="0" w:color="auto"/>
              <w:left w:val="nil"/>
              <w:bottom w:val="single" w:sz="4" w:space="0" w:color="auto"/>
              <w:right w:val="single" w:sz="4" w:space="0" w:color="auto"/>
            </w:tcBorders>
            <w:shd w:val="clear" w:color="auto" w:fill="auto"/>
            <w:noWrap/>
            <w:vAlign w:val="center"/>
            <w:hideMark/>
          </w:tcPr>
          <w:p w14:paraId="5D1BF92A" w14:textId="06E6A4D1" w:rsidR="00925590" w:rsidRPr="00A5007D" w:rsidRDefault="005D13AB" w:rsidP="00312856">
            <w:pPr>
              <w:pStyle w:val="Tablecolhead"/>
              <w:jc w:val="center"/>
              <w:rPr>
                <w:lang w:eastAsia="en-AU"/>
              </w:rPr>
            </w:pPr>
            <w:r w:rsidRPr="00DE0E16">
              <w:t>2018</w:t>
            </w:r>
            <w:r w:rsidR="00920F37">
              <w:t>–</w:t>
            </w:r>
            <w:r w:rsidRPr="00DE0E16">
              <w:t>19</w:t>
            </w:r>
          </w:p>
        </w:tc>
        <w:tc>
          <w:tcPr>
            <w:tcW w:w="789" w:type="pct"/>
            <w:tcBorders>
              <w:top w:val="single" w:sz="4" w:space="0" w:color="auto"/>
              <w:left w:val="nil"/>
              <w:bottom w:val="single" w:sz="4" w:space="0" w:color="auto"/>
              <w:right w:val="single" w:sz="4" w:space="0" w:color="auto"/>
            </w:tcBorders>
            <w:shd w:val="clear" w:color="auto" w:fill="auto"/>
            <w:noWrap/>
            <w:vAlign w:val="center"/>
            <w:hideMark/>
          </w:tcPr>
          <w:p w14:paraId="15329F0C" w14:textId="594DA61A" w:rsidR="00925590" w:rsidRPr="00A5007D" w:rsidRDefault="005D13AB" w:rsidP="00312856">
            <w:pPr>
              <w:pStyle w:val="Tablecolhead"/>
              <w:jc w:val="center"/>
              <w:rPr>
                <w:lang w:eastAsia="en-AU"/>
              </w:rPr>
            </w:pPr>
            <w:r w:rsidRPr="00DE0E16">
              <w:t>2019</w:t>
            </w:r>
            <w:r w:rsidR="00920F37">
              <w:t>–</w:t>
            </w:r>
            <w:r w:rsidRPr="00DE0E16">
              <w:t>20</w:t>
            </w:r>
          </w:p>
        </w:tc>
        <w:tc>
          <w:tcPr>
            <w:tcW w:w="789" w:type="pct"/>
            <w:tcBorders>
              <w:top w:val="single" w:sz="4" w:space="0" w:color="auto"/>
              <w:left w:val="nil"/>
              <w:bottom w:val="single" w:sz="4" w:space="0" w:color="auto"/>
              <w:right w:val="single" w:sz="4" w:space="0" w:color="auto"/>
            </w:tcBorders>
            <w:shd w:val="clear" w:color="auto" w:fill="auto"/>
            <w:noWrap/>
            <w:vAlign w:val="center"/>
            <w:hideMark/>
          </w:tcPr>
          <w:p w14:paraId="520C3A38" w14:textId="12EA102C" w:rsidR="00925590" w:rsidRPr="00A5007D" w:rsidRDefault="005D13AB" w:rsidP="00312856">
            <w:pPr>
              <w:pStyle w:val="Tablecolhead"/>
              <w:jc w:val="center"/>
              <w:rPr>
                <w:lang w:eastAsia="en-AU"/>
              </w:rPr>
            </w:pPr>
            <w:r w:rsidRPr="00DE0E16">
              <w:t>2020</w:t>
            </w:r>
            <w:r w:rsidR="00920F37">
              <w:t>–</w:t>
            </w:r>
            <w:r w:rsidRPr="00DE0E16">
              <w:t>21</w:t>
            </w:r>
          </w:p>
        </w:tc>
        <w:tc>
          <w:tcPr>
            <w:tcW w:w="786" w:type="pct"/>
            <w:tcBorders>
              <w:top w:val="single" w:sz="4" w:space="0" w:color="auto"/>
              <w:left w:val="nil"/>
              <w:bottom w:val="single" w:sz="4" w:space="0" w:color="auto"/>
              <w:right w:val="single" w:sz="4" w:space="0" w:color="auto"/>
            </w:tcBorders>
            <w:vAlign w:val="center"/>
          </w:tcPr>
          <w:p w14:paraId="74EA3184" w14:textId="387B262D" w:rsidR="00925590" w:rsidRPr="00A5007D" w:rsidRDefault="005D13AB" w:rsidP="00312856">
            <w:pPr>
              <w:pStyle w:val="Tablecolhead"/>
              <w:jc w:val="center"/>
              <w:rPr>
                <w:lang w:eastAsia="en-AU"/>
              </w:rPr>
            </w:pPr>
            <w:r w:rsidRPr="00DE0E16">
              <w:t>2021</w:t>
            </w:r>
            <w:r w:rsidR="00920F37">
              <w:t>–</w:t>
            </w:r>
            <w:r w:rsidRPr="00DE0E16">
              <w:t>22</w:t>
            </w:r>
          </w:p>
        </w:tc>
      </w:tr>
      <w:tr w:rsidR="0084054F" w:rsidRPr="00A5007D" w14:paraId="14D02243" w14:textId="0C8A9CD6" w:rsidTr="000B2220">
        <w:trPr>
          <w:trHeight w:val="314"/>
        </w:trPr>
        <w:tc>
          <w:tcPr>
            <w:tcW w:w="1056" w:type="pct"/>
            <w:tcBorders>
              <w:top w:val="nil"/>
              <w:left w:val="single" w:sz="4" w:space="0" w:color="auto"/>
              <w:bottom w:val="single" w:sz="4" w:space="0" w:color="auto"/>
              <w:right w:val="single" w:sz="4" w:space="0" w:color="auto"/>
            </w:tcBorders>
            <w:shd w:val="clear" w:color="auto" w:fill="auto"/>
            <w:noWrap/>
            <w:hideMark/>
          </w:tcPr>
          <w:p w14:paraId="50D57378" w14:textId="4361D300" w:rsidR="0084054F" w:rsidRPr="00A5007D" w:rsidRDefault="0084054F" w:rsidP="000D0B9B">
            <w:pPr>
              <w:pStyle w:val="Tabletext"/>
              <w:rPr>
                <w:lang w:eastAsia="en-AU"/>
              </w:rPr>
            </w:pPr>
            <w:r w:rsidRPr="00DE0E16">
              <w:t>1</w:t>
            </w:r>
          </w:p>
        </w:tc>
        <w:tc>
          <w:tcPr>
            <w:tcW w:w="790" w:type="pct"/>
            <w:tcBorders>
              <w:top w:val="nil"/>
              <w:left w:val="nil"/>
              <w:bottom w:val="single" w:sz="4" w:space="0" w:color="auto"/>
              <w:right w:val="single" w:sz="4" w:space="0" w:color="auto"/>
            </w:tcBorders>
            <w:shd w:val="clear" w:color="auto" w:fill="auto"/>
            <w:noWrap/>
            <w:vAlign w:val="center"/>
            <w:hideMark/>
          </w:tcPr>
          <w:p w14:paraId="66BA39F9" w14:textId="678FD9D3" w:rsidR="0084054F" w:rsidRPr="00A5007D" w:rsidRDefault="005D13AB" w:rsidP="00312856">
            <w:pPr>
              <w:pStyle w:val="Tabletext"/>
              <w:jc w:val="center"/>
              <w:rPr>
                <w:lang w:eastAsia="en-AU"/>
              </w:rPr>
            </w:pPr>
            <w:r w:rsidRPr="00DE0E16">
              <w:t>894</w:t>
            </w:r>
          </w:p>
        </w:tc>
        <w:tc>
          <w:tcPr>
            <w:tcW w:w="790" w:type="pct"/>
            <w:tcBorders>
              <w:top w:val="nil"/>
              <w:left w:val="nil"/>
              <w:bottom w:val="single" w:sz="4" w:space="0" w:color="auto"/>
              <w:right w:val="single" w:sz="4" w:space="0" w:color="auto"/>
            </w:tcBorders>
            <w:shd w:val="clear" w:color="auto" w:fill="auto"/>
            <w:noWrap/>
            <w:vAlign w:val="center"/>
            <w:hideMark/>
          </w:tcPr>
          <w:p w14:paraId="114EEEE2" w14:textId="0259BD1E" w:rsidR="0084054F" w:rsidRPr="00A5007D" w:rsidRDefault="005D13AB" w:rsidP="00312856">
            <w:pPr>
              <w:pStyle w:val="Tabletext"/>
              <w:jc w:val="center"/>
              <w:rPr>
                <w:lang w:eastAsia="en-AU"/>
              </w:rPr>
            </w:pPr>
            <w:r w:rsidRPr="00DE0E16">
              <w:t>868</w:t>
            </w:r>
          </w:p>
        </w:tc>
        <w:tc>
          <w:tcPr>
            <w:tcW w:w="789" w:type="pct"/>
            <w:tcBorders>
              <w:top w:val="nil"/>
              <w:left w:val="nil"/>
              <w:bottom w:val="single" w:sz="4" w:space="0" w:color="auto"/>
              <w:right w:val="single" w:sz="4" w:space="0" w:color="auto"/>
            </w:tcBorders>
            <w:shd w:val="clear" w:color="auto" w:fill="auto"/>
            <w:noWrap/>
            <w:vAlign w:val="center"/>
            <w:hideMark/>
          </w:tcPr>
          <w:p w14:paraId="1C2F1D62" w14:textId="17E1D947" w:rsidR="0084054F" w:rsidRPr="00A5007D" w:rsidRDefault="005D13AB" w:rsidP="00312856">
            <w:pPr>
              <w:pStyle w:val="Tabletext"/>
              <w:jc w:val="center"/>
              <w:rPr>
                <w:lang w:eastAsia="en-AU"/>
              </w:rPr>
            </w:pPr>
            <w:r w:rsidRPr="00DE0E16">
              <w:t>795</w:t>
            </w:r>
          </w:p>
        </w:tc>
        <w:tc>
          <w:tcPr>
            <w:tcW w:w="789" w:type="pct"/>
            <w:tcBorders>
              <w:top w:val="nil"/>
              <w:left w:val="nil"/>
              <w:bottom w:val="single" w:sz="4" w:space="0" w:color="auto"/>
              <w:right w:val="single" w:sz="4" w:space="0" w:color="auto"/>
            </w:tcBorders>
            <w:shd w:val="clear" w:color="auto" w:fill="auto"/>
            <w:noWrap/>
            <w:vAlign w:val="center"/>
            <w:hideMark/>
          </w:tcPr>
          <w:p w14:paraId="568704CD" w14:textId="51AA5AB5" w:rsidR="0084054F" w:rsidRPr="00A5007D" w:rsidRDefault="005D13AB" w:rsidP="00312856">
            <w:pPr>
              <w:pStyle w:val="Tabletext"/>
              <w:jc w:val="center"/>
              <w:rPr>
                <w:lang w:eastAsia="en-AU"/>
              </w:rPr>
            </w:pPr>
            <w:r w:rsidRPr="00DE0E16">
              <w:t>788</w:t>
            </w:r>
          </w:p>
        </w:tc>
        <w:tc>
          <w:tcPr>
            <w:tcW w:w="786" w:type="pct"/>
            <w:tcBorders>
              <w:top w:val="nil"/>
              <w:left w:val="nil"/>
              <w:bottom w:val="single" w:sz="4" w:space="0" w:color="auto"/>
              <w:right w:val="single" w:sz="4" w:space="0" w:color="auto"/>
            </w:tcBorders>
            <w:vAlign w:val="center"/>
          </w:tcPr>
          <w:p w14:paraId="3CAF6AC6" w14:textId="7141D2D8" w:rsidR="0084054F" w:rsidRDefault="005D13AB" w:rsidP="00312856">
            <w:pPr>
              <w:pStyle w:val="Tabletext"/>
              <w:jc w:val="center"/>
            </w:pPr>
            <w:r w:rsidRPr="00DE0E16">
              <w:t>636</w:t>
            </w:r>
          </w:p>
        </w:tc>
      </w:tr>
      <w:tr w:rsidR="0084054F" w:rsidRPr="00A5007D" w14:paraId="16CD363C" w14:textId="6B934041" w:rsidTr="000B2220">
        <w:trPr>
          <w:trHeight w:val="314"/>
        </w:trPr>
        <w:tc>
          <w:tcPr>
            <w:tcW w:w="1056" w:type="pct"/>
            <w:tcBorders>
              <w:top w:val="nil"/>
              <w:left w:val="single" w:sz="4" w:space="0" w:color="auto"/>
              <w:bottom w:val="single" w:sz="4" w:space="0" w:color="auto"/>
              <w:right w:val="single" w:sz="4" w:space="0" w:color="auto"/>
            </w:tcBorders>
            <w:shd w:val="clear" w:color="auto" w:fill="auto"/>
            <w:noWrap/>
            <w:hideMark/>
          </w:tcPr>
          <w:p w14:paraId="0FBF2C80" w14:textId="68258D7A" w:rsidR="0084054F" w:rsidRPr="00A5007D" w:rsidRDefault="0084054F" w:rsidP="000D0B9B">
            <w:pPr>
              <w:pStyle w:val="Tabletext"/>
              <w:rPr>
                <w:lang w:eastAsia="en-AU"/>
              </w:rPr>
            </w:pPr>
            <w:r w:rsidRPr="00DE0E16">
              <w:t>2</w:t>
            </w:r>
          </w:p>
        </w:tc>
        <w:tc>
          <w:tcPr>
            <w:tcW w:w="790" w:type="pct"/>
            <w:tcBorders>
              <w:top w:val="nil"/>
              <w:left w:val="nil"/>
              <w:bottom w:val="single" w:sz="4" w:space="0" w:color="auto"/>
              <w:right w:val="single" w:sz="4" w:space="0" w:color="auto"/>
            </w:tcBorders>
            <w:shd w:val="clear" w:color="auto" w:fill="auto"/>
            <w:noWrap/>
            <w:vAlign w:val="center"/>
            <w:hideMark/>
          </w:tcPr>
          <w:p w14:paraId="054CB6CC" w14:textId="5FB380E0" w:rsidR="0084054F" w:rsidRPr="00A5007D" w:rsidRDefault="005D13AB" w:rsidP="00312856">
            <w:pPr>
              <w:pStyle w:val="Tabletext"/>
              <w:jc w:val="center"/>
              <w:rPr>
                <w:lang w:eastAsia="en-AU"/>
              </w:rPr>
            </w:pPr>
            <w:r w:rsidRPr="00DE0E16">
              <w:t>243</w:t>
            </w:r>
          </w:p>
        </w:tc>
        <w:tc>
          <w:tcPr>
            <w:tcW w:w="790" w:type="pct"/>
            <w:tcBorders>
              <w:top w:val="nil"/>
              <w:left w:val="nil"/>
              <w:bottom w:val="single" w:sz="4" w:space="0" w:color="auto"/>
              <w:right w:val="single" w:sz="4" w:space="0" w:color="auto"/>
            </w:tcBorders>
            <w:shd w:val="clear" w:color="auto" w:fill="auto"/>
            <w:noWrap/>
            <w:vAlign w:val="center"/>
            <w:hideMark/>
          </w:tcPr>
          <w:p w14:paraId="6B0D72A5" w14:textId="09268470" w:rsidR="0084054F" w:rsidRPr="00A5007D" w:rsidRDefault="005D13AB" w:rsidP="00312856">
            <w:pPr>
              <w:pStyle w:val="Tabletext"/>
              <w:jc w:val="center"/>
              <w:rPr>
                <w:lang w:eastAsia="en-AU"/>
              </w:rPr>
            </w:pPr>
            <w:r w:rsidRPr="00DE0E16">
              <w:t>224</w:t>
            </w:r>
          </w:p>
        </w:tc>
        <w:tc>
          <w:tcPr>
            <w:tcW w:w="789" w:type="pct"/>
            <w:tcBorders>
              <w:top w:val="nil"/>
              <w:left w:val="nil"/>
              <w:bottom w:val="single" w:sz="4" w:space="0" w:color="auto"/>
              <w:right w:val="single" w:sz="4" w:space="0" w:color="auto"/>
            </w:tcBorders>
            <w:shd w:val="clear" w:color="auto" w:fill="auto"/>
            <w:noWrap/>
            <w:vAlign w:val="center"/>
            <w:hideMark/>
          </w:tcPr>
          <w:p w14:paraId="7DF4092B" w14:textId="72C58BB1" w:rsidR="0084054F" w:rsidRPr="00A5007D" w:rsidRDefault="005D13AB" w:rsidP="00312856">
            <w:pPr>
              <w:pStyle w:val="Tabletext"/>
              <w:jc w:val="center"/>
              <w:rPr>
                <w:lang w:eastAsia="en-AU"/>
              </w:rPr>
            </w:pPr>
            <w:r w:rsidRPr="00DE0E16">
              <w:t>212</w:t>
            </w:r>
          </w:p>
        </w:tc>
        <w:tc>
          <w:tcPr>
            <w:tcW w:w="789" w:type="pct"/>
            <w:tcBorders>
              <w:top w:val="nil"/>
              <w:left w:val="nil"/>
              <w:bottom w:val="single" w:sz="4" w:space="0" w:color="auto"/>
              <w:right w:val="single" w:sz="4" w:space="0" w:color="auto"/>
            </w:tcBorders>
            <w:shd w:val="clear" w:color="auto" w:fill="auto"/>
            <w:noWrap/>
            <w:vAlign w:val="center"/>
            <w:hideMark/>
          </w:tcPr>
          <w:p w14:paraId="16109FC0" w14:textId="7C89C0AE" w:rsidR="0084054F" w:rsidRPr="00A5007D" w:rsidRDefault="005D13AB" w:rsidP="00312856">
            <w:pPr>
              <w:pStyle w:val="Tabletext"/>
              <w:jc w:val="center"/>
              <w:rPr>
                <w:lang w:eastAsia="en-AU"/>
              </w:rPr>
            </w:pPr>
            <w:r w:rsidRPr="00DE0E16">
              <w:t>205</w:t>
            </w:r>
          </w:p>
        </w:tc>
        <w:tc>
          <w:tcPr>
            <w:tcW w:w="786" w:type="pct"/>
            <w:tcBorders>
              <w:top w:val="nil"/>
              <w:left w:val="nil"/>
              <w:bottom w:val="single" w:sz="4" w:space="0" w:color="auto"/>
              <w:right w:val="single" w:sz="4" w:space="0" w:color="auto"/>
            </w:tcBorders>
            <w:vAlign w:val="center"/>
          </w:tcPr>
          <w:p w14:paraId="0B14EBB0" w14:textId="7C9BA2C5" w:rsidR="0084054F" w:rsidRDefault="005D13AB" w:rsidP="00312856">
            <w:pPr>
              <w:pStyle w:val="Tabletext"/>
              <w:jc w:val="center"/>
            </w:pPr>
            <w:r w:rsidRPr="00DE0E16">
              <w:t>178</w:t>
            </w:r>
          </w:p>
        </w:tc>
      </w:tr>
      <w:tr w:rsidR="0084054F" w:rsidRPr="00A5007D" w14:paraId="6EBC6434" w14:textId="43471181" w:rsidTr="000B2220">
        <w:trPr>
          <w:trHeight w:val="314"/>
        </w:trPr>
        <w:tc>
          <w:tcPr>
            <w:tcW w:w="1056" w:type="pct"/>
            <w:tcBorders>
              <w:top w:val="nil"/>
              <w:left w:val="single" w:sz="4" w:space="0" w:color="auto"/>
              <w:bottom w:val="single" w:sz="4" w:space="0" w:color="auto"/>
              <w:right w:val="single" w:sz="4" w:space="0" w:color="auto"/>
            </w:tcBorders>
            <w:shd w:val="clear" w:color="auto" w:fill="auto"/>
            <w:noWrap/>
            <w:hideMark/>
          </w:tcPr>
          <w:p w14:paraId="59A65916" w14:textId="64D072C2" w:rsidR="0084054F" w:rsidRPr="00A5007D" w:rsidRDefault="0084054F" w:rsidP="000D0B9B">
            <w:pPr>
              <w:pStyle w:val="Tabletext"/>
              <w:rPr>
                <w:lang w:eastAsia="en-AU"/>
              </w:rPr>
            </w:pPr>
            <w:r w:rsidRPr="00DE0E16">
              <w:t>3</w:t>
            </w:r>
          </w:p>
        </w:tc>
        <w:tc>
          <w:tcPr>
            <w:tcW w:w="790" w:type="pct"/>
            <w:tcBorders>
              <w:top w:val="nil"/>
              <w:left w:val="nil"/>
              <w:bottom w:val="single" w:sz="4" w:space="0" w:color="auto"/>
              <w:right w:val="single" w:sz="4" w:space="0" w:color="auto"/>
            </w:tcBorders>
            <w:shd w:val="clear" w:color="auto" w:fill="auto"/>
            <w:noWrap/>
            <w:vAlign w:val="center"/>
            <w:hideMark/>
          </w:tcPr>
          <w:p w14:paraId="7331A882" w14:textId="37CEB4CE" w:rsidR="0084054F" w:rsidRPr="00A5007D" w:rsidRDefault="005D13AB" w:rsidP="00312856">
            <w:pPr>
              <w:pStyle w:val="Tabletext"/>
              <w:jc w:val="center"/>
              <w:rPr>
                <w:lang w:eastAsia="en-AU"/>
              </w:rPr>
            </w:pPr>
            <w:r w:rsidRPr="00DE0E16">
              <w:t>119</w:t>
            </w:r>
          </w:p>
        </w:tc>
        <w:tc>
          <w:tcPr>
            <w:tcW w:w="790" w:type="pct"/>
            <w:tcBorders>
              <w:top w:val="nil"/>
              <w:left w:val="nil"/>
              <w:bottom w:val="single" w:sz="4" w:space="0" w:color="auto"/>
              <w:right w:val="single" w:sz="4" w:space="0" w:color="auto"/>
            </w:tcBorders>
            <w:shd w:val="clear" w:color="auto" w:fill="auto"/>
            <w:noWrap/>
            <w:vAlign w:val="center"/>
            <w:hideMark/>
          </w:tcPr>
          <w:p w14:paraId="531A8287" w14:textId="2EF2713F" w:rsidR="0084054F" w:rsidRPr="00A5007D" w:rsidRDefault="005D13AB" w:rsidP="00312856">
            <w:pPr>
              <w:pStyle w:val="Tabletext"/>
              <w:jc w:val="center"/>
              <w:rPr>
                <w:lang w:eastAsia="en-AU"/>
              </w:rPr>
            </w:pPr>
            <w:r w:rsidRPr="00DE0E16">
              <w:t>100</w:t>
            </w:r>
          </w:p>
        </w:tc>
        <w:tc>
          <w:tcPr>
            <w:tcW w:w="789" w:type="pct"/>
            <w:tcBorders>
              <w:top w:val="nil"/>
              <w:left w:val="nil"/>
              <w:bottom w:val="single" w:sz="4" w:space="0" w:color="auto"/>
              <w:right w:val="single" w:sz="4" w:space="0" w:color="auto"/>
            </w:tcBorders>
            <w:shd w:val="clear" w:color="auto" w:fill="auto"/>
            <w:noWrap/>
            <w:vAlign w:val="center"/>
            <w:hideMark/>
          </w:tcPr>
          <w:p w14:paraId="3B0E6643" w14:textId="6792A86F" w:rsidR="0084054F" w:rsidRPr="00A5007D" w:rsidRDefault="005D13AB" w:rsidP="00312856">
            <w:pPr>
              <w:pStyle w:val="Tabletext"/>
              <w:jc w:val="center"/>
              <w:rPr>
                <w:lang w:eastAsia="en-AU"/>
              </w:rPr>
            </w:pPr>
            <w:r w:rsidRPr="00DE0E16">
              <w:t>103</w:t>
            </w:r>
          </w:p>
        </w:tc>
        <w:tc>
          <w:tcPr>
            <w:tcW w:w="789" w:type="pct"/>
            <w:tcBorders>
              <w:top w:val="nil"/>
              <w:left w:val="nil"/>
              <w:bottom w:val="single" w:sz="4" w:space="0" w:color="auto"/>
              <w:right w:val="single" w:sz="4" w:space="0" w:color="auto"/>
            </w:tcBorders>
            <w:shd w:val="clear" w:color="auto" w:fill="auto"/>
            <w:noWrap/>
            <w:vAlign w:val="center"/>
            <w:hideMark/>
          </w:tcPr>
          <w:p w14:paraId="3275DD6D" w14:textId="47B4F608" w:rsidR="0084054F" w:rsidRPr="00A5007D" w:rsidRDefault="005D13AB" w:rsidP="00312856">
            <w:pPr>
              <w:pStyle w:val="Tabletext"/>
              <w:jc w:val="center"/>
              <w:rPr>
                <w:lang w:eastAsia="en-AU"/>
              </w:rPr>
            </w:pPr>
            <w:r w:rsidRPr="00DE0E16">
              <w:t>100</w:t>
            </w:r>
          </w:p>
        </w:tc>
        <w:tc>
          <w:tcPr>
            <w:tcW w:w="786" w:type="pct"/>
            <w:tcBorders>
              <w:top w:val="nil"/>
              <w:left w:val="nil"/>
              <w:bottom w:val="single" w:sz="4" w:space="0" w:color="auto"/>
              <w:right w:val="single" w:sz="4" w:space="0" w:color="auto"/>
            </w:tcBorders>
            <w:vAlign w:val="center"/>
          </w:tcPr>
          <w:p w14:paraId="1877563C" w14:textId="73B3D8FB" w:rsidR="0084054F" w:rsidRDefault="005D13AB" w:rsidP="00312856">
            <w:pPr>
              <w:pStyle w:val="Tabletext"/>
              <w:jc w:val="center"/>
            </w:pPr>
            <w:r w:rsidRPr="00DE0E16">
              <w:t>74</w:t>
            </w:r>
          </w:p>
        </w:tc>
      </w:tr>
      <w:tr w:rsidR="0084054F" w:rsidRPr="00A5007D" w14:paraId="16083D5C" w14:textId="2E4CFE2D" w:rsidTr="000B2220">
        <w:trPr>
          <w:trHeight w:val="314"/>
        </w:trPr>
        <w:tc>
          <w:tcPr>
            <w:tcW w:w="1056" w:type="pct"/>
            <w:tcBorders>
              <w:top w:val="nil"/>
              <w:left w:val="single" w:sz="4" w:space="0" w:color="auto"/>
              <w:bottom w:val="single" w:sz="4" w:space="0" w:color="auto"/>
              <w:right w:val="single" w:sz="4" w:space="0" w:color="auto"/>
            </w:tcBorders>
            <w:shd w:val="clear" w:color="auto" w:fill="auto"/>
            <w:noWrap/>
            <w:hideMark/>
          </w:tcPr>
          <w:p w14:paraId="4C5D1547" w14:textId="431AEF82" w:rsidR="0084054F" w:rsidRPr="00A5007D" w:rsidRDefault="0084054F" w:rsidP="000D0B9B">
            <w:pPr>
              <w:pStyle w:val="Tabletext"/>
              <w:rPr>
                <w:lang w:eastAsia="en-AU"/>
              </w:rPr>
            </w:pPr>
            <w:r w:rsidRPr="00DE0E16">
              <w:t>4</w:t>
            </w:r>
          </w:p>
        </w:tc>
        <w:tc>
          <w:tcPr>
            <w:tcW w:w="790" w:type="pct"/>
            <w:tcBorders>
              <w:top w:val="nil"/>
              <w:left w:val="nil"/>
              <w:bottom w:val="single" w:sz="4" w:space="0" w:color="auto"/>
              <w:right w:val="single" w:sz="4" w:space="0" w:color="auto"/>
            </w:tcBorders>
            <w:shd w:val="clear" w:color="auto" w:fill="auto"/>
            <w:noWrap/>
            <w:vAlign w:val="center"/>
            <w:hideMark/>
          </w:tcPr>
          <w:p w14:paraId="47C67F0A" w14:textId="25F3C4F7" w:rsidR="0084054F" w:rsidRPr="00A5007D" w:rsidRDefault="005D13AB" w:rsidP="00312856">
            <w:pPr>
              <w:pStyle w:val="Tabletext"/>
              <w:jc w:val="center"/>
              <w:rPr>
                <w:lang w:eastAsia="en-AU"/>
              </w:rPr>
            </w:pPr>
            <w:r w:rsidRPr="00DE0E16">
              <w:t>53</w:t>
            </w:r>
          </w:p>
        </w:tc>
        <w:tc>
          <w:tcPr>
            <w:tcW w:w="790" w:type="pct"/>
            <w:tcBorders>
              <w:top w:val="nil"/>
              <w:left w:val="nil"/>
              <w:bottom w:val="single" w:sz="4" w:space="0" w:color="auto"/>
              <w:right w:val="single" w:sz="4" w:space="0" w:color="auto"/>
            </w:tcBorders>
            <w:shd w:val="clear" w:color="auto" w:fill="auto"/>
            <w:noWrap/>
            <w:vAlign w:val="center"/>
            <w:hideMark/>
          </w:tcPr>
          <w:p w14:paraId="25048C82" w14:textId="6285E6F4" w:rsidR="0084054F" w:rsidRPr="00A5007D" w:rsidRDefault="0084054F" w:rsidP="00312856">
            <w:pPr>
              <w:pStyle w:val="Tabletext"/>
              <w:jc w:val="center"/>
              <w:rPr>
                <w:lang w:eastAsia="en-AU"/>
              </w:rPr>
            </w:pPr>
            <w:r>
              <w:t>53</w:t>
            </w:r>
          </w:p>
        </w:tc>
        <w:tc>
          <w:tcPr>
            <w:tcW w:w="789" w:type="pct"/>
            <w:tcBorders>
              <w:top w:val="nil"/>
              <w:left w:val="nil"/>
              <w:bottom w:val="single" w:sz="4" w:space="0" w:color="auto"/>
              <w:right w:val="single" w:sz="4" w:space="0" w:color="auto"/>
            </w:tcBorders>
            <w:shd w:val="clear" w:color="auto" w:fill="auto"/>
            <w:noWrap/>
            <w:vAlign w:val="center"/>
            <w:hideMark/>
          </w:tcPr>
          <w:p w14:paraId="3A8F23F4" w14:textId="21C41819" w:rsidR="0084054F" w:rsidRPr="00A5007D" w:rsidRDefault="005D13AB" w:rsidP="00312856">
            <w:pPr>
              <w:pStyle w:val="Tabletext"/>
              <w:jc w:val="center"/>
              <w:rPr>
                <w:lang w:eastAsia="en-AU"/>
              </w:rPr>
            </w:pPr>
            <w:r w:rsidRPr="00DE0E16">
              <w:t>61</w:t>
            </w:r>
          </w:p>
        </w:tc>
        <w:tc>
          <w:tcPr>
            <w:tcW w:w="789" w:type="pct"/>
            <w:tcBorders>
              <w:top w:val="nil"/>
              <w:left w:val="nil"/>
              <w:bottom w:val="single" w:sz="4" w:space="0" w:color="auto"/>
              <w:right w:val="single" w:sz="4" w:space="0" w:color="auto"/>
            </w:tcBorders>
            <w:shd w:val="clear" w:color="auto" w:fill="auto"/>
            <w:noWrap/>
            <w:vAlign w:val="center"/>
            <w:hideMark/>
          </w:tcPr>
          <w:p w14:paraId="2063217B" w14:textId="1628CE69" w:rsidR="0084054F" w:rsidRPr="00A5007D" w:rsidRDefault="005D13AB" w:rsidP="00312856">
            <w:pPr>
              <w:pStyle w:val="Tabletext"/>
              <w:jc w:val="center"/>
              <w:rPr>
                <w:lang w:eastAsia="en-AU"/>
              </w:rPr>
            </w:pPr>
            <w:r w:rsidRPr="00DE0E16">
              <w:t>50</w:t>
            </w:r>
          </w:p>
        </w:tc>
        <w:tc>
          <w:tcPr>
            <w:tcW w:w="786" w:type="pct"/>
            <w:tcBorders>
              <w:top w:val="nil"/>
              <w:left w:val="nil"/>
              <w:bottom w:val="single" w:sz="4" w:space="0" w:color="auto"/>
              <w:right w:val="single" w:sz="4" w:space="0" w:color="auto"/>
            </w:tcBorders>
            <w:vAlign w:val="center"/>
          </w:tcPr>
          <w:p w14:paraId="5ABFD545" w14:textId="67AD986E" w:rsidR="0084054F" w:rsidRDefault="005D13AB" w:rsidP="00312856">
            <w:pPr>
              <w:pStyle w:val="Tabletext"/>
              <w:jc w:val="center"/>
            </w:pPr>
            <w:r w:rsidRPr="00DE0E16">
              <w:t>59</w:t>
            </w:r>
          </w:p>
        </w:tc>
      </w:tr>
      <w:tr w:rsidR="0084054F" w:rsidRPr="00A5007D" w14:paraId="79659AC7" w14:textId="5A98CA68" w:rsidTr="000B2220">
        <w:trPr>
          <w:trHeight w:val="314"/>
        </w:trPr>
        <w:tc>
          <w:tcPr>
            <w:tcW w:w="1056" w:type="pct"/>
            <w:tcBorders>
              <w:top w:val="nil"/>
              <w:left w:val="single" w:sz="4" w:space="0" w:color="auto"/>
              <w:bottom w:val="single" w:sz="4" w:space="0" w:color="auto"/>
              <w:right w:val="single" w:sz="4" w:space="0" w:color="auto"/>
            </w:tcBorders>
            <w:shd w:val="clear" w:color="auto" w:fill="auto"/>
            <w:noWrap/>
            <w:hideMark/>
          </w:tcPr>
          <w:p w14:paraId="5526A572" w14:textId="48577EBF" w:rsidR="0084054F" w:rsidRPr="00A5007D" w:rsidRDefault="0084054F" w:rsidP="000D0B9B">
            <w:pPr>
              <w:pStyle w:val="Tabletext"/>
              <w:rPr>
                <w:lang w:eastAsia="en-AU"/>
              </w:rPr>
            </w:pPr>
            <w:r w:rsidRPr="00DE0E16">
              <w:t>5</w:t>
            </w:r>
          </w:p>
        </w:tc>
        <w:tc>
          <w:tcPr>
            <w:tcW w:w="790" w:type="pct"/>
            <w:tcBorders>
              <w:top w:val="nil"/>
              <w:left w:val="nil"/>
              <w:bottom w:val="single" w:sz="4" w:space="0" w:color="auto"/>
              <w:right w:val="single" w:sz="4" w:space="0" w:color="auto"/>
            </w:tcBorders>
            <w:shd w:val="clear" w:color="auto" w:fill="auto"/>
            <w:noWrap/>
            <w:vAlign w:val="center"/>
            <w:hideMark/>
          </w:tcPr>
          <w:p w14:paraId="689B211D" w14:textId="21E5AA9C" w:rsidR="0084054F" w:rsidRPr="00A5007D" w:rsidRDefault="005D13AB" w:rsidP="00312856">
            <w:pPr>
              <w:pStyle w:val="Tabletext"/>
              <w:jc w:val="center"/>
              <w:rPr>
                <w:lang w:eastAsia="en-AU"/>
              </w:rPr>
            </w:pPr>
            <w:r w:rsidRPr="00DE0E16">
              <w:t>30</w:t>
            </w:r>
          </w:p>
        </w:tc>
        <w:tc>
          <w:tcPr>
            <w:tcW w:w="790" w:type="pct"/>
            <w:tcBorders>
              <w:top w:val="nil"/>
              <w:left w:val="nil"/>
              <w:bottom w:val="single" w:sz="4" w:space="0" w:color="auto"/>
              <w:right w:val="single" w:sz="4" w:space="0" w:color="auto"/>
            </w:tcBorders>
            <w:shd w:val="clear" w:color="auto" w:fill="auto"/>
            <w:noWrap/>
            <w:vAlign w:val="center"/>
            <w:hideMark/>
          </w:tcPr>
          <w:p w14:paraId="225247E1" w14:textId="58D4099B" w:rsidR="0084054F" w:rsidRPr="00A5007D" w:rsidRDefault="005D13AB" w:rsidP="00312856">
            <w:pPr>
              <w:pStyle w:val="Tabletext"/>
              <w:jc w:val="center"/>
              <w:rPr>
                <w:lang w:eastAsia="en-AU"/>
              </w:rPr>
            </w:pPr>
            <w:r w:rsidRPr="00DE0E16">
              <w:t>29</w:t>
            </w:r>
          </w:p>
        </w:tc>
        <w:tc>
          <w:tcPr>
            <w:tcW w:w="789" w:type="pct"/>
            <w:tcBorders>
              <w:top w:val="nil"/>
              <w:left w:val="nil"/>
              <w:bottom w:val="single" w:sz="4" w:space="0" w:color="auto"/>
              <w:right w:val="single" w:sz="4" w:space="0" w:color="auto"/>
            </w:tcBorders>
            <w:shd w:val="clear" w:color="auto" w:fill="auto"/>
            <w:noWrap/>
            <w:vAlign w:val="center"/>
            <w:hideMark/>
          </w:tcPr>
          <w:p w14:paraId="499C3D42" w14:textId="559E88F0" w:rsidR="0084054F" w:rsidRPr="00A5007D" w:rsidRDefault="005D13AB" w:rsidP="00312856">
            <w:pPr>
              <w:pStyle w:val="Tabletext"/>
              <w:jc w:val="center"/>
              <w:rPr>
                <w:lang w:eastAsia="en-AU"/>
              </w:rPr>
            </w:pPr>
            <w:r w:rsidRPr="00DE0E16">
              <w:t>34</w:t>
            </w:r>
          </w:p>
        </w:tc>
        <w:tc>
          <w:tcPr>
            <w:tcW w:w="789" w:type="pct"/>
            <w:tcBorders>
              <w:top w:val="nil"/>
              <w:left w:val="nil"/>
              <w:bottom w:val="single" w:sz="4" w:space="0" w:color="auto"/>
              <w:right w:val="single" w:sz="4" w:space="0" w:color="auto"/>
            </w:tcBorders>
            <w:shd w:val="clear" w:color="auto" w:fill="auto"/>
            <w:noWrap/>
            <w:vAlign w:val="center"/>
            <w:hideMark/>
          </w:tcPr>
          <w:p w14:paraId="09E6E180" w14:textId="7AF20232" w:rsidR="0084054F" w:rsidRPr="00A5007D" w:rsidRDefault="005D13AB" w:rsidP="00312856">
            <w:pPr>
              <w:pStyle w:val="Tabletext"/>
              <w:jc w:val="center"/>
              <w:rPr>
                <w:lang w:eastAsia="en-AU"/>
              </w:rPr>
            </w:pPr>
            <w:r w:rsidRPr="00DE0E16">
              <w:t>31</w:t>
            </w:r>
          </w:p>
        </w:tc>
        <w:tc>
          <w:tcPr>
            <w:tcW w:w="786" w:type="pct"/>
            <w:tcBorders>
              <w:top w:val="nil"/>
              <w:left w:val="nil"/>
              <w:bottom w:val="single" w:sz="4" w:space="0" w:color="auto"/>
              <w:right w:val="single" w:sz="4" w:space="0" w:color="auto"/>
            </w:tcBorders>
            <w:vAlign w:val="center"/>
          </w:tcPr>
          <w:p w14:paraId="3299E6FA" w14:textId="2F538D96" w:rsidR="0084054F" w:rsidRDefault="005D13AB" w:rsidP="00312856">
            <w:pPr>
              <w:pStyle w:val="Tabletext"/>
              <w:jc w:val="center"/>
            </w:pPr>
            <w:r w:rsidRPr="00DE0E16">
              <w:t>33</w:t>
            </w:r>
          </w:p>
        </w:tc>
      </w:tr>
      <w:tr w:rsidR="0084054F" w:rsidRPr="00A5007D" w14:paraId="57B41008" w14:textId="64F4D57E" w:rsidTr="000B2220">
        <w:trPr>
          <w:trHeight w:val="314"/>
        </w:trPr>
        <w:tc>
          <w:tcPr>
            <w:tcW w:w="1056" w:type="pct"/>
            <w:tcBorders>
              <w:top w:val="nil"/>
              <w:left w:val="single" w:sz="4" w:space="0" w:color="auto"/>
              <w:bottom w:val="single" w:sz="4" w:space="0" w:color="auto"/>
              <w:right w:val="single" w:sz="4" w:space="0" w:color="auto"/>
            </w:tcBorders>
            <w:shd w:val="clear" w:color="auto" w:fill="auto"/>
            <w:noWrap/>
            <w:hideMark/>
          </w:tcPr>
          <w:p w14:paraId="49EFB5BC" w14:textId="3F30F207" w:rsidR="0084054F" w:rsidRPr="00A5007D" w:rsidRDefault="0084054F" w:rsidP="000D0B9B">
            <w:pPr>
              <w:pStyle w:val="Tabletext"/>
              <w:rPr>
                <w:lang w:eastAsia="en-AU"/>
              </w:rPr>
            </w:pPr>
            <w:r w:rsidRPr="00DE0E16">
              <w:t>6</w:t>
            </w:r>
          </w:p>
        </w:tc>
        <w:tc>
          <w:tcPr>
            <w:tcW w:w="790" w:type="pct"/>
            <w:tcBorders>
              <w:top w:val="nil"/>
              <w:left w:val="nil"/>
              <w:bottom w:val="single" w:sz="4" w:space="0" w:color="auto"/>
              <w:right w:val="single" w:sz="4" w:space="0" w:color="auto"/>
            </w:tcBorders>
            <w:shd w:val="clear" w:color="auto" w:fill="auto"/>
            <w:noWrap/>
            <w:vAlign w:val="center"/>
            <w:hideMark/>
          </w:tcPr>
          <w:p w14:paraId="20BEDADF" w14:textId="30230D47" w:rsidR="0084054F" w:rsidRPr="00A5007D" w:rsidRDefault="005D13AB" w:rsidP="00312856">
            <w:pPr>
              <w:pStyle w:val="Tabletext"/>
              <w:jc w:val="center"/>
              <w:rPr>
                <w:lang w:eastAsia="en-AU"/>
              </w:rPr>
            </w:pPr>
            <w:r w:rsidRPr="00DE0E16">
              <w:t>23</w:t>
            </w:r>
          </w:p>
        </w:tc>
        <w:tc>
          <w:tcPr>
            <w:tcW w:w="790" w:type="pct"/>
            <w:tcBorders>
              <w:top w:val="nil"/>
              <w:left w:val="nil"/>
              <w:bottom w:val="single" w:sz="4" w:space="0" w:color="auto"/>
              <w:right w:val="single" w:sz="4" w:space="0" w:color="auto"/>
            </w:tcBorders>
            <w:shd w:val="clear" w:color="auto" w:fill="auto"/>
            <w:noWrap/>
            <w:vAlign w:val="center"/>
            <w:hideMark/>
          </w:tcPr>
          <w:p w14:paraId="54DF65EA" w14:textId="49EA499B" w:rsidR="0084054F" w:rsidRPr="00A5007D" w:rsidRDefault="005D13AB" w:rsidP="00312856">
            <w:pPr>
              <w:pStyle w:val="Tabletext"/>
              <w:jc w:val="center"/>
              <w:rPr>
                <w:lang w:eastAsia="en-AU"/>
              </w:rPr>
            </w:pPr>
            <w:r w:rsidRPr="00DE0E16">
              <w:t>16</w:t>
            </w:r>
          </w:p>
        </w:tc>
        <w:tc>
          <w:tcPr>
            <w:tcW w:w="789" w:type="pct"/>
            <w:tcBorders>
              <w:top w:val="nil"/>
              <w:left w:val="nil"/>
              <w:bottom w:val="single" w:sz="4" w:space="0" w:color="auto"/>
              <w:right w:val="single" w:sz="4" w:space="0" w:color="auto"/>
            </w:tcBorders>
            <w:shd w:val="clear" w:color="auto" w:fill="auto"/>
            <w:noWrap/>
            <w:vAlign w:val="center"/>
            <w:hideMark/>
          </w:tcPr>
          <w:p w14:paraId="1955B819" w14:textId="4C681CAC" w:rsidR="0084054F" w:rsidRPr="00A5007D" w:rsidRDefault="005D13AB" w:rsidP="00312856">
            <w:pPr>
              <w:pStyle w:val="Tabletext"/>
              <w:jc w:val="center"/>
              <w:rPr>
                <w:lang w:eastAsia="en-AU"/>
              </w:rPr>
            </w:pPr>
            <w:r w:rsidRPr="00DE0E16">
              <w:t>20</w:t>
            </w:r>
          </w:p>
        </w:tc>
        <w:tc>
          <w:tcPr>
            <w:tcW w:w="789" w:type="pct"/>
            <w:tcBorders>
              <w:top w:val="nil"/>
              <w:left w:val="nil"/>
              <w:bottom w:val="single" w:sz="4" w:space="0" w:color="auto"/>
              <w:right w:val="single" w:sz="4" w:space="0" w:color="auto"/>
            </w:tcBorders>
            <w:shd w:val="clear" w:color="auto" w:fill="auto"/>
            <w:noWrap/>
            <w:vAlign w:val="center"/>
            <w:hideMark/>
          </w:tcPr>
          <w:p w14:paraId="088454C0" w14:textId="71AD44EF" w:rsidR="0084054F" w:rsidRPr="00A5007D" w:rsidRDefault="005D13AB" w:rsidP="00312856">
            <w:pPr>
              <w:pStyle w:val="Tabletext"/>
              <w:jc w:val="center"/>
              <w:rPr>
                <w:lang w:eastAsia="en-AU"/>
              </w:rPr>
            </w:pPr>
            <w:r w:rsidRPr="00DE0E16">
              <w:t>22</w:t>
            </w:r>
          </w:p>
        </w:tc>
        <w:tc>
          <w:tcPr>
            <w:tcW w:w="786" w:type="pct"/>
            <w:tcBorders>
              <w:top w:val="nil"/>
              <w:left w:val="nil"/>
              <w:bottom w:val="single" w:sz="4" w:space="0" w:color="auto"/>
              <w:right w:val="single" w:sz="4" w:space="0" w:color="auto"/>
            </w:tcBorders>
            <w:vAlign w:val="center"/>
          </w:tcPr>
          <w:p w14:paraId="1FAF2EAC" w14:textId="2275D639" w:rsidR="0084054F" w:rsidRDefault="005D13AB" w:rsidP="00312856">
            <w:pPr>
              <w:pStyle w:val="Tabletext"/>
              <w:jc w:val="center"/>
            </w:pPr>
            <w:r w:rsidRPr="00DE0E16">
              <w:t>17</w:t>
            </w:r>
          </w:p>
        </w:tc>
      </w:tr>
      <w:tr w:rsidR="0084054F" w:rsidRPr="00A5007D" w14:paraId="163764DE" w14:textId="4F31F388" w:rsidTr="000B2220">
        <w:trPr>
          <w:trHeight w:val="314"/>
        </w:trPr>
        <w:tc>
          <w:tcPr>
            <w:tcW w:w="1056" w:type="pct"/>
            <w:tcBorders>
              <w:top w:val="nil"/>
              <w:left w:val="single" w:sz="4" w:space="0" w:color="auto"/>
              <w:bottom w:val="single" w:sz="4" w:space="0" w:color="auto"/>
              <w:right w:val="single" w:sz="4" w:space="0" w:color="auto"/>
            </w:tcBorders>
            <w:shd w:val="clear" w:color="auto" w:fill="auto"/>
            <w:noWrap/>
            <w:hideMark/>
          </w:tcPr>
          <w:p w14:paraId="31D7EB48" w14:textId="50C485C5" w:rsidR="0084054F" w:rsidRPr="00A5007D" w:rsidRDefault="0084054F" w:rsidP="000D0B9B">
            <w:pPr>
              <w:pStyle w:val="Tabletext"/>
              <w:rPr>
                <w:lang w:eastAsia="en-AU"/>
              </w:rPr>
            </w:pPr>
            <w:r w:rsidRPr="00DE0E16">
              <w:t>7+</w:t>
            </w:r>
          </w:p>
        </w:tc>
        <w:tc>
          <w:tcPr>
            <w:tcW w:w="790" w:type="pct"/>
            <w:tcBorders>
              <w:top w:val="nil"/>
              <w:left w:val="nil"/>
              <w:bottom w:val="single" w:sz="4" w:space="0" w:color="auto"/>
              <w:right w:val="single" w:sz="4" w:space="0" w:color="auto"/>
            </w:tcBorders>
            <w:shd w:val="clear" w:color="auto" w:fill="auto"/>
            <w:noWrap/>
            <w:vAlign w:val="center"/>
            <w:hideMark/>
          </w:tcPr>
          <w:p w14:paraId="552720A0" w14:textId="0734F35F" w:rsidR="0084054F" w:rsidRPr="00A5007D" w:rsidRDefault="005D13AB" w:rsidP="00312856">
            <w:pPr>
              <w:pStyle w:val="Tabletext"/>
              <w:jc w:val="center"/>
              <w:rPr>
                <w:lang w:eastAsia="en-AU"/>
              </w:rPr>
            </w:pPr>
            <w:r w:rsidRPr="00DE0E16">
              <w:t>70</w:t>
            </w:r>
          </w:p>
        </w:tc>
        <w:tc>
          <w:tcPr>
            <w:tcW w:w="790" w:type="pct"/>
            <w:tcBorders>
              <w:top w:val="nil"/>
              <w:left w:val="nil"/>
              <w:bottom w:val="single" w:sz="4" w:space="0" w:color="auto"/>
              <w:right w:val="single" w:sz="4" w:space="0" w:color="auto"/>
            </w:tcBorders>
            <w:shd w:val="clear" w:color="auto" w:fill="auto"/>
            <w:noWrap/>
            <w:vAlign w:val="center"/>
            <w:hideMark/>
          </w:tcPr>
          <w:p w14:paraId="591B8AAB" w14:textId="7FE503CD" w:rsidR="0084054F" w:rsidRPr="00A5007D" w:rsidRDefault="005D13AB" w:rsidP="00312856">
            <w:pPr>
              <w:pStyle w:val="Tabletext"/>
              <w:jc w:val="center"/>
              <w:rPr>
                <w:lang w:eastAsia="en-AU"/>
              </w:rPr>
            </w:pPr>
            <w:r w:rsidRPr="00DE0E16">
              <w:t>64</w:t>
            </w:r>
          </w:p>
        </w:tc>
        <w:tc>
          <w:tcPr>
            <w:tcW w:w="789" w:type="pct"/>
            <w:tcBorders>
              <w:top w:val="nil"/>
              <w:left w:val="nil"/>
              <w:bottom w:val="single" w:sz="4" w:space="0" w:color="auto"/>
              <w:right w:val="single" w:sz="4" w:space="0" w:color="auto"/>
            </w:tcBorders>
            <w:shd w:val="clear" w:color="auto" w:fill="auto"/>
            <w:noWrap/>
            <w:vAlign w:val="center"/>
            <w:hideMark/>
          </w:tcPr>
          <w:p w14:paraId="10A39538" w14:textId="33FFBEC5" w:rsidR="0084054F" w:rsidRPr="00A5007D" w:rsidRDefault="005D13AB" w:rsidP="00312856">
            <w:pPr>
              <w:pStyle w:val="Tabletext"/>
              <w:jc w:val="center"/>
              <w:rPr>
                <w:lang w:eastAsia="en-AU"/>
              </w:rPr>
            </w:pPr>
            <w:r w:rsidRPr="00DE0E16">
              <w:t>85</w:t>
            </w:r>
          </w:p>
        </w:tc>
        <w:tc>
          <w:tcPr>
            <w:tcW w:w="789" w:type="pct"/>
            <w:tcBorders>
              <w:top w:val="nil"/>
              <w:left w:val="nil"/>
              <w:bottom w:val="single" w:sz="4" w:space="0" w:color="auto"/>
              <w:right w:val="single" w:sz="4" w:space="0" w:color="auto"/>
            </w:tcBorders>
            <w:shd w:val="clear" w:color="auto" w:fill="auto"/>
            <w:noWrap/>
            <w:vAlign w:val="center"/>
            <w:hideMark/>
          </w:tcPr>
          <w:p w14:paraId="6EA049AD" w14:textId="254BDF62" w:rsidR="0084054F" w:rsidRPr="00A5007D" w:rsidRDefault="005D13AB" w:rsidP="00312856">
            <w:pPr>
              <w:pStyle w:val="Tabletext"/>
              <w:jc w:val="center"/>
              <w:rPr>
                <w:lang w:eastAsia="en-AU"/>
              </w:rPr>
            </w:pPr>
            <w:r w:rsidRPr="00DE0E16">
              <w:t>81</w:t>
            </w:r>
          </w:p>
        </w:tc>
        <w:tc>
          <w:tcPr>
            <w:tcW w:w="786" w:type="pct"/>
            <w:tcBorders>
              <w:top w:val="nil"/>
              <w:left w:val="nil"/>
              <w:bottom w:val="single" w:sz="4" w:space="0" w:color="auto"/>
              <w:right w:val="single" w:sz="4" w:space="0" w:color="auto"/>
            </w:tcBorders>
            <w:vAlign w:val="center"/>
          </w:tcPr>
          <w:p w14:paraId="4A5895CD" w14:textId="33C70978" w:rsidR="0084054F" w:rsidRDefault="005D13AB" w:rsidP="00312856">
            <w:pPr>
              <w:pStyle w:val="Tabletext"/>
              <w:jc w:val="center"/>
            </w:pPr>
            <w:r w:rsidRPr="00DE0E16">
              <w:t>60</w:t>
            </w:r>
          </w:p>
        </w:tc>
      </w:tr>
    </w:tbl>
    <w:p w14:paraId="5CE2E40E" w14:textId="327A81E0" w:rsidR="00381B2F" w:rsidRDefault="00381B2F" w:rsidP="00643556">
      <w:pPr>
        <w:pStyle w:val="Bodyaftertable"/>
      </w:pPr>
      <w:r w:rsidRPr="00B46B00">
        <w:t>In 20</w:t>
      </w:r>
      <w:r w:rsidR="00114C81" w:rsidRPr="001C4B90">
        <w:t>2</w:t>
      </w:r>
      <w:r w:rsidR="027D03E7" w:rsidRPr="00B46B00">
        <w:t>1</w:t>
      </w:r>
      <w:r w:rsidR="00920F37">
        <w:t>–</w:t>
      </w:r>
      <w:r w:rsidR="027D03E7" w:rsidRPr="00B46B00">
        <w:t>22</w:t>
      </w:r>
      <w:r w:rsidR="00114C81" w:rsidRPr="00B46B00">
        <w:t xml:space="preserve"> close</w:t>
      </w:r>
      <w:r w:rsidR="00114C81">
        <w:t xml:space="preserve"> to </w:t>
      </w:r>
      <w:r>
        <w:t xml:space="preserve">half of all episodes of seclusion lasted for four or fewer hours, consistent with most previous years (Table </w:t>
      </w:r>
      <w:r w:rsidR="716F1433">
        <w:t>1</w:t>
      </w:r>
      <w:r w:rsidR="00CC7406">
        <w:t>4</w:t>
      </w:r>
      <w:r>
        <w:t>).</w:t>
      </w:r>
      <w:r w:rsidR="00FD45D8">
        <w:t xml:space="preserve"> The occasions of sec</w:t>
      </w:r>
      <w:r w:rsidR="00982BC7">
        <w:t xml:space="preserve">lusion beyond </w:t>
      </w:r>
      <w:r w:rsidR="00795061">
        <w:t xml:space="preserve">12 hours </w:t>
      </w:r>
      <w:r w:rsidR="003C01FD">
        <w:t xml:space="preserve">are </w:t>
      </w:r>
      <w:r w:rsidR="00DC5193">
        <w:t xml:space="preserve">closely </w:t>
      </w:r>
      <w:r w:rsidR="005B40FA">
        <w:t xml:space="preserve">monitored. </w:t>
      </w:r>
    </w:p>
    <w:p w14:paraId="0753E593" w14:textId="23F49730" w:rsidR="00381B2F" w:rsidRDefault="00381B2F" w:rsidP="000D0B9B">
      <w:pPr>
        <w:pStyle w:val="Tablecaption"/>
      </w:pPr>
      <w:r w:rsidRPr="64F2407C">
        <w:t xml:space="preserve">Table </w:t>
      </w:r>
      <w:r w:rsidR="5DB90F76">
        <w:t>1</w:t>
      </w:r>
      <w:r w:rsidR="00CC7406">
        <w:t>4</w:t>
      </w:r>
      <w:r w:rsidRPr="64F2407C">
        <w:t>: Duration (hours) of acute inpatient seclusion episodes, 201</w:t>
      </w:r>
      <w:r w:rsidR="00486083">
        <w:t>7</w:t>
      </w:r>
      <w:r w:rsidRPr="64F2407C">
        <w:t>–1</w:t>
      </w:r>
      <w:r w:rsidR="00486083">
        <w:t>8</w:t>
      </w:r>
      <w:r w:rsidRPr="64F2407C">
        <w:t xml:space="preserve"> to </w:t>
      </w:r>
      <w:r w:rsidR="007B2175">
        <w:t>202</w:t>
      </w:r>
      <w:r w:rsidR="00403BC0">
        <w:t>1</w:t>
      </w:r>
      <w:r w:rsidR="007B2175">
        <w:t>–</w:t>
      </w:r>
      <w:r w:rsidR="007B2175" w:rsidRPr="00403BC0">
        <w:t>2</w:t>
      </w:r>
      <w:r w:rsidR="00403BC0" w:rsidRPr="00403BC0">
        <w:t>2</w:t>
      </w:r>
    </w:p>
    <w:tbl>
      <w:tblPr>
        <w:tblW w:w="4990" w:type="pct"/>
        <w:tblLook w:val="04A0" w:firstRow="1" w:lastRow="0" w:firstColumn="1" w:lastColumn="0" w:noHBand="0" w:noVBand="1"/>
      </w:tblPr>
      <w:tblGrid>
        <w:gridCol w:w="1953"/>
        <w:gridCol w:w="1464"/>
        <w:gridCol w:w="1465"/>
        <w:gridCol w:w="1465"/>
        <w:gridCol w:w="1465"/>
        <w:gridCol w:w="1457"/>
      </w:tblGrid>
      <w:tr w:rsidR="0084054F" w:rsidRPr="008373BE" w14:paraId="6FA964AD" w14:textId="4D0708D2" w:rsidTr="000B2220">
        <w:trPr>
          <w:trHeight w:val="310"/>
          <w:tblHeader/>
        </w:trPr>
        <w:tc>
          <w:tcPr>
            <w:tcW w:w="1054" w:type="pct"/>
            <w:tcBorders>
              <w:top w:val="single" w:sz="4" w:space="0" w:color="auto"/>
              <w:left w:val="single" w:sz="4" w:space="0" w:color="auto"/>
              <w:bottom w:val="single" w:sz="4" w:space="0" w:color="auto"/>
              <w:right w:val="single" w:sz="4" w:space="0" w:color="auto"/>
            </w:tcBorders>
            <w:shd w:val="clear" w:color="auto" w:fill="auto"/>
            <w:noWrap/>
            <w:hideMark/>
          </w:tcPr>
          <w:p w14:paraId="2ACAE33D" w14:textId="5EE2741A" w:rsidR="0084054F" w:rsidRPr="008373BE" w:rsidRDefault="0084054F" w:rsidP="000D0B9B">
            <w:pPr>
              <w:pStyle w:val="Tablecolhead"/>
              <w:rPr>
                <w:lang w:eastAsia="en-AU"/>
              </w:rPr>
            </w:pPr>
            <w:r>
              <w:rPr>
                <w:lang w:eastAsia="en-AU"/>
              </w:rPr>
              <w:t>Period</w:t>
            </w:r>
          </w:p>
        </w:tc>
        <w:tc>
          <w:tcPr>
            <w:tcW w:w="790" w:type="pct"/>
            <w:tcBorders>
              <w:top w:val="single" w:sz="4" w:space="0" w:color="auto"/>
              <w:left w:val="nil"/>
              <w:bottom w:val="single" w:sz="4" w:space="0" w:color="auto"/>
              <w:right w:val="single" w:sz="4" w:space="0" w:color="auto"/>
            </w:tcBorders>
            <w:shd w:val="clear" w:color="auto" w:fill="auto"/>
            <w:noWrap/>
            <w:vAlign w:val="center"/>
            <w:hideMark/>
          </w:tcPr>
          <w:p w14:paraId="73DB271A" w14:textId="20D548BE" w:rsidR="0084054F" w:rsidRPr="008373BE" w:rsidRDefault="00403BC0" w:rsidP="00312856">
            <w:pPr>
              <w:pStyle w:val="Tablecolhead"/>
              <w:jc w:val="center"/>
              <w:rPr>
                <w:lang w:eastAsia="en-AU"/>
              </w:rPr>
            </w:pPr>
            <w:r w:rsidRPr="006678B4">
              <w:t>2017</w:t>
            </w:r>
            <w:r w:rsidR="00920F37">
              <w:t>–</w:t>
            </w:r>
            <w:r w:rsidRPr="006678B4">
              <w:t>18</w:t>
            </w:r>
          </w:p>
        </w:tc>
        <w:tc>
          <w:tcPr>
            <w:tcW w:w="790" w:type="pct"/>
            <w:tcBorders>
              <w:top w:val="single" w:sz="4" w:space="0" w:color="auto"/>
              <w:left w:val="nil"/>
              <w:bottom w:val="single" w:sz="4" w:space="0" w:color="auto"/>
              <w:right w:val="single" w:sz="4" w:space="0" w:color="auto"/>
            </w:tcBorders>
            <w:shd w:val="clear" w:color="auto" w:fill="auto"/>
            <w:noWrap/>
            <w:vAlign w:val="center"/>
            <w:hideMark/>
          </w:tcPr>
          <w:p w14:paraId="39780F26" w14:textId="315456C0" w:rsidR="0084054F" w:rsidRPr="008373BE" w:rsidRDefault="00403BC0" w:rsidP="00312856">
            <w:pPr>
              <w:pStyle w:val="Tablecolhead"/>
              <w:jc w:val="center"/>
              <w:rPr>
                <w:lang w:eastAsia="en-AU"/>
              </w:rPr>
            </w:pPr>
            <w:r w:rsidRPr="006678B4">
              <w:t>2018</w:t>
            </w:r>
            <w:r w:rsidR="00920F37">
              <w:t>–</w:t>
            </w:r>
            <w:r w:rsidRPr="006678B4">
              <w:t>19</w:t>
            </w:r>
          </w:p>
        </w:tc>
        <w:tc>
          <w:tcPr>
            <w:tcW w:w="790" w:type="pct"/>
            <w:tcBorders>
              <w:top w:val="single" w:sz="4" w:space="0" w:color="auto"/>
              <w:left w:val="nil"/>
              <w:bottom w:val="single" w:sz="4" w:space="0" w:color="auto"/>
              <w:right w:val="single" w:sz="4" w:space="0" w:color="auto"/>
            </w:tcBorders>
            <w:shd w:val="clear" w:color="auto" w:fill="auto"/>
            <w:noWrap/>
            <w:vAlign w:val="center"/>
            <w:hideMark/>
          </w:tcPr>
          <w:p w14:paraId="4DEA04A3" w14:textId="0B90C04C" w:rsidR="0084054F" w:rsidRPr="008373BE" w:rsidRDefault="00403BC0" w:rsidP="00312856">
            <w:pPr>
              <w:pStyle w:val="Tablecolhead"/>
              <w:jc w:val="center"/>
              <w:rPr>
                <w:lang w:eastAsia="en-AU"/>
              </w:rPr>
            </w:pPr>
            <w:r w:rsidRPr="006678B4">
              <w:t>2019</w:t>
            </w:r>
            <w:r w:rsidR="00920F37">
              <w:t>–</w:t>
            </w:r>
            <w:r w:rsidRPr="006678B4">
              <w:t>20</w:t>
            </w:r>
          </w:p>
        </w:tc>
        <w:tc>
          <w:tcPr>
            <w:tcW w:w="790" w:type="pct"/>
            <w:tcBorders>
              <w:top w:val="single" w:sz="4" w:space="0" w:color="auto"/>
              <w:left w:val="nil"/>
              <w:bottom w:val="single" w:sz="4" w:space="0" w:color="auto"/>
              <w:right w:val="single" w:sz="4" w:space="0" w:color="auto"/>
            </w:tcBorders>
            <w:shd w:val="clear" w:color="auto" w:fill="auto"/>
            <w:noWrap/>
            <w:vAlign w:val="center"/>
            <w:hideMark/>
          </w:tcPr>
          <w:p w14:paraId="25C0C745" w14:textId="4B2DCE18" w:rsidR="0084054F" w:rsidRPr="008373BE" w:rsidRDefault="00403BC0" w:rsidP="00312856">
            <w:pPr>
              <w:pStyle w:val="Tablecolhead"/>
              <w:jc w:val="center"/>
              <w:rPr>
                <w:lang w:eastAsia="en-AU"/>
              </w:rPr>
            </w:pPr>
            <w:r w:rsidRPr="006678B4">
              <w:t>2020</w:t>
            </w:r>
            <w:r w:rsidR="00920F37">
              <w:t>–</w:t>
            </w:r>
            <w:r w:rsidRPr="006678B4">
              <w:t>21</w:t>
            </w:r>
          </w:p>
        </w:tc>
        <w:tc>
          <w:tcPr>
            <w:tcW w:w="788" w:type="pct"/>
            <w:tcBorders>
              <w:top w:val="single" w:sz="4" w:space="0" w:color="auto"/>
              <w:left w:val="nil"/>
              <w:bottom w:val="single" w:sz="4" w:space="0" w:color="auto"/>
              <w:right w:val="single" w:sz="4" w:space="0" w:color="auto"/>
            </w:tcBorders>
            <w:vAlign w:val="center"/>
          </w:tcPr>
          <w:p w14:paraId="21EA3735" w14:textId="3748482F" w:rsidR="0084054F" w:rsidRPr="008373BE" w:rsidRDefault="00403BC0" w:rsidP="00312856">
            <w:pPr>
              <w:pStyle w:val="Tablecolhead"/>
              <w:jc w:val="center"/>
              <w:rPr>
                <w:lang w:eastAsia="en-AU"/>
              </w:rPr>
            </w:pPr>
            <w:r w:rsidRPr="006678B4">
              <w:t>2021</w:t>
            </w:r>
            <w:r w:rsidR="00920F37">
              <w:t>–</w:t>
            </w:r>
            <w:r w:rsidRPr="006678B4">
              <w:t>22</w:t>
            </w:r>
          </w:p>
        </w:tc>
      </w:tr>
      <w:tr w:rsidR="000B659C" w:rsidRPr="008373BE" w14:paraId="755EF32A" w14:textId="71BCEE56" w:rsidTr="000B2220">
        <w:trPr>
          <w:trHeight w:val="310"/>
        </w:trPr>
        <w:tc>
          <w:tcPr>
            <w:tcW w:w="1054" w:type="pct"/>
            <w:tcBorders>
              <w:top w:val="nil"/>
              <w:left w:val="single" w:sz="4" w:space="0" w:color="auto"/>
              <w:bottom w:val="single" w:sz="4" w:space="0" w:color="auto"/>
              <w:right w:val="single" w:sz="4" w:space="0" w:color="auto"/>
            </w:tcBorders>
            <w:shd w:val="clear" w:color="auto" w:fill="auto"/>
            <w:noWrap/>
            <w:hideMark/>
          </w:tcPr>
          <w:p w14:paraId="50882D0B" w14:textId="14B5C659" w:rsidR="000B659C" w:rsidRPr="008373BE" w:rsidRDefault="000B659C" w:rsidP="000D0B9B">
            <w:pPr>
              <w:pStyle w:val="Tabletext"/>
              <w:rPr>
                <w:lang w:eastAsia="en-AU"/>
              </w:rPr>
            </w:pPr>
            <w:r w:rsidRPr="006678B4">
              <w:t>≤ 4 hours</w:t>
            </w:r>
          </w:p>
        </w:tc>
        <w:tc>
          <w:tcPr>
            <w:tcW w:w="790" w:type="pct"/>
            <w:tcBorders>
              <w:top w:val="nil"/>
              <w:left w:val="nil"/>
              <w:bottom w:val="single" w:sz="4" w:space="0" w:color="auto"/>
              <w:right w:val="single" w:sz="4" w:space="0" w:color="auto"/>
            </w:tcBorders>
            <w:shd w:val="clear" w:color="auto" w:fill="auto"/>
            <w:noWrap/>
            <w:vAlign w:val="center"/>
            <w:hideMark/>
          </w:tcPr>
          <w:p w14:paraId="6F18C845" w14:textId="3B69E15B" w:rsidR="000B659C" w:rsidRPr="008373BE" w:rsidRDefault="000B659C" w:rsidP="00312856">
            <w:pPr>
              <w:pStyle w:val="Tabletext"/>
              <w:jc w:val="center"/>
              <w:rPr>
                <w:lang w:eastAsia="en-AU"/>
              </w:rPr>
            </w:pPr>
            <w:r>
              <w:t>1,</w:t>
            </w:r>
            <w:r w:rsidR="00403BC0" w:rsidRPr="006678B4">
              <w:t>504</w:t>
            </w:r>
          </w:p>
        </w:tc>
        <w:tc>
          <w:tcPr>
            <w:tcW w:w="790" w:type="pct"/>
            <w:tcBorders>
              <w:top w:val="nil"/>
              <w:left w:val="nil"/>
              <w:bottom w:val="single" w:sz="4" w:space="0" w:color="auto"/>
              <w:right w:val="single" w:sz="4" w:space="0" w:color="auto"/>
            </w:tcBorders>
            <w:shd w:val="clear" w:color="auto" w:fill="auto"/>
            <w:noWrap/>
            <w:vAlign w:val="center"/>
            <w:hideMark/>
          </w:tcPr>
          <w:p w14:paraId="24C802B8" w14:textId="122D2176" w:rsidR="000B659C" w:rsidRPr="008373BE" w:rsidRDefault="000B659C" w:rsidP="00312856">
            <w:pPr>
              <w:pStyle w:val="Tabletext"/>
              <w:jc w:val="center"/>
              <w:rPr>
                <w:lang w:eastAsia="en-AU"/>
              </w:rPr>
            </w:pPr>
            <w:r>
              <w:t>1,</w:t>
            </w:r>
            <w:r w:rsidR="00403BC0" w:rsidRPr="006678B4">
              <w:t>651</w:t>
            </w:r>
          </w:p>
        </w:tc>
        <w:tc>
          <w:tcPr>
            <w:tcW w:w="790" w:type="pct"/>
            <w:tcBorders>
              <w:top w:val="nil"/>
              <w:left w:val="nil"/>
              <w:bottom w:val="single" w:sz="4" w:space="0" w:color="auto"/>
              <w:right w:val="single" w:sz="4" w:space="0" w:color="auto"/>
            </w:tcBorders>
            <w:shd w:val="clear" w:color="auto" w:fill="auto"/>
            <w:noWrap/>
            <w:vAlign w:val="center"/>
            <w:hideMark/>
          </w:tcPr>
          <w:p w14:paraId="281D05DE" w14:textId="315B3806" w:rsidR="000B659C" w:rsidRPr="008373BE" w:rsidRDefault="000B659C" w:rsidP="00312856">
            <w:pPr>
              <w:pStyle w:val="Tabletext"/>
              <w:jc w:val="center"/>
              <w:rPr>
                <w:lang w:eastAsia="en-AU"/>
              </w:rPr>
            </w:pPr>
            <w:r>
              <w:t>1,</w:t>
            </w:r>
            <w:r w:rsidR="00403BC0" w:rsidRPr="006678B4">
              <w:t>852</w:t>
            </w:r>
          </w:p>
        </w:tc>
        <w:tc>
          <w:tcPr>
            <w:tcW w:w="790" w:type="pct"/>
            <w:tcBorders>
              <w:top w:val="nil"/>
              <w:left w:val="nil"/>
              <w:bottom w:val="single" w:sz="4" w:space="0" w:color="auto"/>
              <w:right w:val="single" w:sz="4" w:space="0" w:color="auto"/>
            </w:tcBorders>
            <w:shd w:val="clear" w:color="auto" w:fill="auto"/>
            <w:noWrap/>
            <w:vAlign w:val="center"/>
            <w:hideMark/>
          </w:tcPr>
          <w:p w14:paraId="7C76D1E3" w14:textId="5A18EE46" w:rsidR="000B659C" w:rsidRPr="008373BE" w:rsidRDefault="000B659C" w:rsidP="00312856">
            <w:pPr>
              <w:pStyle w:val="Tabletext"/>
              <w:jc w:val="center"/>
              <w:rPr>
                <w:lang w:eastAsia="en-AU"/>
              </w:rPr>
            </w:pPr>
            <w:r>
              <w:t>1,</w:t>
            </w:r>
            <w:r w:rsidR="00403BC0" w:rsidRPr="006678B4">
              <w:t>720</w:t>
            </w:r>
          </w:p>
        </w:tc>
        <w:tc>
          <w:tcPr>
            <w:tcW w:w="788" w:type="pct"/>
            <w:tcBorders>
              <w:top w:val="nil"/>
              <w:left w:val="nil"/>
              <w:bottom w:val="single" w:sz="4" w:space="0" w:color="auto"/>
              <w:right w:val="single" w:sz="4" w:space="0" w:color="auto"/>
            </w:tcBorders>
            <w:vAlign w:val="center"/>
          </w:tcPr>
          <w:p w14:paraId="78103B3F" w14:textId="208E0433" w:rsidR="000B659C" w:rsidRDefault="000B659C" w:rsidP="00312856">
            <w:pPr>
              <w:pStyle w:val="Tabletext"/>
              <w:jc w:val="center"/>
            </w:pPr>
            <w:r>
              <w:t>1,</w:t>
            </w:r>
            <w:r w:rsidR="00403BC0" w:rsidRPr="006678B4">
              <w:t>510</w:t>
            </w:r>
          </w:p>
        </w:tc>
      </w:tr>
      <w:tr w:rsidR="000B659C" w:rsidRPr="008373BE" w14:paraId="20824AF5" w14:textId="5436A8FB" w:rsidTr="000B2220">
        <w:trPr>
          <w:trHeight w:val="310"/>
        </w:trPr>
        <w:tc>
          <w:tcPr>
            <w:tcW w:w="1054" w:type="pct"/>
            <w:tcBorders>
              <w:top w:val="nil"/>
              <w:left w:val="single" w:sz="4" w:space="0" w:color="auto"/>
              <w:bottom w:val="single" w:sz="4" w:space="0" w:color="auto"/>
              <w:right w:val="single" w:sz="4" w:space="0" w:color="auto"/>
            </w:tcBorders>
            <w:shd w:val="clear" w:color="auto" w:fill="auto"/>
            <w:noWrap/>
            <w:hideMark/>
          </w:tcPr>
          <w:p w14:paraId="56A37C48" w14:textId="5B213218" w:rsidR="000B659C" w:rsidRPr="008373BE" w:rsidRDefault="000B659C" w:rsidP="000D0B9B">
            <w:pPr>
              <w:pStyle w:val="Tabletext"/>
              <w:rPr>
                <w:lang w:eastAsia="en-AU"/>
              </w:rPr>
            </w:pPr>
            <w:r w:rsidRPr="006678B4">
              <w:t>4–12 hours</w:t>
            </w:r>
          </w:p>
        </w:tc>
        <w:tc>
          <w:tcPr>
            <w:tcW w:w="790" w:type="pct"/>
            <w:tcBorders>
              <w:top w:val="nil"/>
              <w:left w:val="nil"/>
              <w:bottom w:val="single" w:sz="4" w:space="0" w:color="auto"/>
              <w:right w:val="single" w:sz="4" w:space="0" w:color="auto"/>
            </w:tcBorders>
            <w:shd w:val="clear" w:color="auto" w:fill="auto"/>
            <w:noWrap/>
            <w:vAlign w:val="center"/>
            <w:hideMark/>
          </w:tcPr>
          <w:p w14:paraId="320619C2" w14:textId="130D75F7" w:rsidR="000B659C" w:rsidRPr="008373BE" w:rsidRDefault="00403BC0" w:rsidP="00312856">
            <w:pPr>
              <w:pStyle w:val="Tabletext"/>
              <w:jc w:val="center"/>
              <w:rPr>
                <w:lang w:eastAsia="en-AU"/>
              </w:rPr>
            </w:pPr>
            <w:r w:rsidRPr="006678B4">
              <w:t>908</w:t>
            </w:r>
          </w:p>
        </w:tc>
        <w:tc>
          <w:tcPr>
            <w:tcW w:w="790" w:type="pct"/>
            <w:tcBorders>
              <w:top w:val="nil"/>
              <w:left w:val="nil"/>
              <w:bottom w:val="single" w:sz="4" w:space="0" w:color="auto"/>
              <w:right w:val="single" w:sz="4" w:space="0" w:color="auto"/>
            </w:tcBorders>
            <w:shd w:val="clear" w:color="auto" w:fill="auto"/>
            <w:noWrap/>
            <w:vAlign w:val="center"/>
            <w:hideMark/>
          </w:tcPr>
          <w:p w14:paraId="2F16F5C7" w14:textId="0CC1A09F" w:rsidR="000B659C" w:rsidRPr="008373BE" w:rsidRDefault="00403BC0" w:rsidP="00312856">
            <w:pPr>
              <w:pStyle w:val="Tabletext"/>
              <w:jc w:val="center"/>
              <w:rPr>
                <w:lang w:eastAsia="en-AU"/>
              </w:rPr>
            </w:pPr>
            <w:r w:rsidRPr="006678B4">
              <w:t>715</w:t>
            </w:r>
          </w:p>
        </w:tc>
        <w:tc>
          <w:tcPr>
            <w:tcW w:w="790" w:type="pct"/>
            <w:tcBorders>
              <w:top w:val="nil"/>
              <w:left w:val="nil"/>
              <w:bottom w:val="single" w:sz="4" w:space="0" w:color="auto"/>
              <w:right w:val="single" w:sz="4" w:space="0" w:color="auto"/>
            </w:tcBorders>
            <w:shd w:val="clear" w:color="auto" w:fill="auto"/>
            <w:noWrap/>
            <w:vAlign w:val="center"/>
            <w:hideMark/>
          </w:tcPr>
          <w:p w14:paraId="1EDFA604" w14:textId="38E7F3B7" w:rsidR="000B659C" w:rsidRPr="008373BE" w:rsidRDefault="00403BC0" w:rsidP="00312856">
            <w:pPr>
              <w:pStyle w:val="Tabletext"/>
              <w:jc w:val="center"/>
              <w:rPr>
                <w:lang w:eastAsia="en-AU"/>
              </w:rPr>
            </w:pPr>
            <w:r w:rsidRPr="006678B4">
              <w:t>726</w:t>
            </w:r>
          </w:p>
        </w:tc>
        <w:tc>
          <w:tcPr>
            <w:tcW w:w="790" w:type="pct"/>
            <w:tcBorders>
              <w:top w:val="nil"/>
              <w:left w:val="nil"/>
              <w:bottom w:val="single" w:sz="4" w:space="0" w:color="auto"/>
              <w:right w:val="single" w:sz="4" w:space="0" w:color="auto"/>
            </w:tcBorders>
            <w:shd w:val="clear" w:color="auto" w:fill="auto"/>
            <w:noWrap/>
            <w:vAlign w:val="center"/>
            <w:hideMark/>
          </w:tcPr>
          <w:p w14:paraId="04F0AF50" w14:textId="2AC06A30" w:rsidR="000B659C" w:rsidRPr="008373BE" w:rsidRDefault="00403BC0" w:rsidP="00312856">
            <w:pPr>
              <w:pStyle w:val="Tabletext"/>
              <w:jc w:val="center"/>
              <w:rPr>
                <w:lang w:eastAsia="en-AU"/>
              </w:rPr>
            </w:pPr>
            <w:r w:rsidRPr="006678B4">
              <w:t>770</w:t>
            </w:r>
          </w:p>
        </w:tc>
        <w:tc>
          <w:tcPr>
            <w:tcW w:w="788" w:type="pct"/>
            <w:tcBorders>
              <w:top w:val="nil"/>
              <w:left w:val="nil"/>
              <w:bottom w:val="single" w:sz="4" w:space="0" w:color="auto"/>
              <w:right w:val="single" w:sz="4" w:space="0" w:color="auto"/>
            </w:tcBorders>
            <w:vAlign w:val="center"/>
          </w:tcPr>
          <w:p w14:paraId="4FFD92F4" w14:textId="208A6C24" w:rsidR="000B659C" w:rsidRDefault="00403BC0" w:rsidP="00312856">
            <w:pPr>
              <w:pStyle w:val="Tabletext"/>
              <w:jc w:val="center"/>
            </w:pPr>
            <w:r w:rsidRPr="006678B4">
              <w:t>580</w:t>
            </w:r>
          </w:p>
        </w:tc>
      </w:tr>
      <w:tr w:rsidR="000B659C" w:rsidRPr="008373BE" w14:paraId="1D872D1E" w14:textId="589ABCA7" w:rsidTr="000B2220">
        <w:trPr>
          <w:trHeight w:val="310"/>
        </w:trPr>
        <w:tc>
          <w:tcPr>
            <w:tcW w:w="1054" w:type="pct"/>
            <w:tcBorders>
              <w:top w:val="nil"/>
              <w:left w:val="single" w:sz="4" w:space="0" w:color="auto"/>
              <w:bottom w:val="single" w:sz="4" w:space="0" w:color="auto"/>
              <w:right w:val="single" w:sz="4" w:space="0" w:color="auto"/>
            </w:tcBorders>
            <w:shd w:val="clear" w:color="auto" w:fill="auto"/>
            <w:noWrap/>
            <w:hideMark/>
          </w:tcPr>
          <w:p w14:paraId="41826A00" w14:textId="730019A2" w:rsidR="000B659C" w:rsidRPr="008373BE" w:rsidRDefault="000B659C" w:rsidP="000D0B9B">
            <w:pPr>
              <w:pStyle w:val="Tabletext"/>
              <w:rPr>
                <w:lang w:eastAsia="en-AU"/>
              </w:rPr>
            </w:pPr>
            <w:r w:rsidRPr="006678B4">
              <w:t>&gt; 12 hours</w:t>
            </w:r>
          </w:p>
        </w:tc>
        <w:tc>
          <w:tcPr>
            <w:tcW w:w="790" w:type="pct"/>
            <w:tcBorders>
              <w:top w:val="nil"/>
              <w:left w:val="nil"/>
              <w:bottom w:val="single" w:sz="4" w:space="0" w:color="auto"/>
              <w:right w:val="single" w:sz="4" w:space="0" w:color="auto"/>
            </w:tcBorders>
            <w:shd w:val="clear" w:color="auto" w:fill="auto"/>
            <w:noWrap/>
            <w:vAlign w:val="center"/>
            <w:hideMark/>
          </w:tcPr>
          <w:p w14:paraId="26BD615F" w14:textId="16FBE025" w:rsidR="000B659C" w:rsidRPr="008373BE" w:rsidRDefault="00403BC0" w:rsidP="00312856">
            <w:pPr>
              <w:pStyle w:val="Tabletext"/>
              <w:jc w:val="center"/>
              <w:rPr>
                <w:lang w:eastAsia="en-AU"/>
              </w:rPr>
            </w:pPr>
            <w:r w:rsidRPr="006678B4">
              <w:t>1,066</w:t>
            </w:r>
          </w:p>
        </w:tc>
        <w:tc>
          <w:tcPr>
            <w:tcW w:w="790" w:type="pct"/>
            <w:tcBorders>
              <w:top w:val="nil"/>
              <w:left w:val="nil"/>
              <w:bottom w:val="single" w:sz="4" w:space="0" w:color="auto"/>
              <w:right w:val="single" w:sz="4" w:space="0" w:color="auto"/>
            </w:tcBorders>
            <w:shd w:val="clear" w:color="auto" w:fill="auto"/>
            <w:noWrap/>
            <w:vAlign w:val="center"/>
            <w:hideMark/>
          </w:tcPr>
          <w:p w14:paraId="4A4D41E4" w14:textId="485515F4" w:rsidR="000B659C" w:rsidRPr="008373BE" w:rsidRDefault="00403BC0" w:rsidP="00312856">
            <w:pPr>
              <w:pStyle w:val="Tabletext"/>
              <w:jc w:val="center"/>
              <w:rPr>
                <w:lang w:eastAsia="en-AU"/>
              </w:rPr>
            </w:pPr>
            <w:r w:rsidRPr="006678B4">
              <w:t>816</w:t>
            </w:r>
          </w:p>
        </w:tc>
        <w:tc>
          <w:tcPr>
            <w:tcW w:w="790" w:type="pct"/>
            <w:tcBorders>
              <w:top w:val="nil"/>
              <w:left w:val="nil"/>
              <w:bottom w:val="single" w:sz="4" w:space="0" w:color="auto"/>
              <w:right w:val="single" w:sz="4" w:space="0" w:color="auto"/>
            </w:tcBorders>
            <w:shd w:val="clear" w:color="auto" w:fill="auto"/>
            <w:noWrap/>
            <w:vAlign w:val="center"/>
            <w:hideMark/>
          </w:tcPr>
          <w:p w14:paraId="10E5B381" w14:textId="18F7B588" w:rsidR="000B659C" w:rsidRPr="008373BE" w:rsidRDefault="00403BC0" w:rsidP="00312856">
            <w:pPr>
              <w:pStyle w:val="Tabletext"/>
              <w:jc w:val="center"/>
              <w:rPr>
                <w:lang w:eastAsia="en-AU"/>
              </w:rPr>
            </w:pPr>
            <w:r w:rsidRPr="006678B4">
              <w:t>996</w:t>
            </w:r>
          </w:p>
        </w:tc>
        <w:tc>
          <w:tcPr>
            <w:tcW w:w="790" w:type="pct"/>
            <w:tcBorders>
              <w:top w:val="nil"/>
              <w:left w:val="nil"/>
              <w:bottom w:val="single" w:sz="4" w:space="0" w:color="auto"/>
              <w:right w:val="single" w:sz="4" w:space="0" w:color="auto"/>
            </w:tcBorders>
            <w:shd w:val="clear" w:color="auto" w:fill="auto"/>
            <w:noWrap/>
            <w:vAlign w:val="center"/>
            <w:hideMark/>
          </w:tcPr>
          <w:p w14:paraId="57241003" w14:textId="6446736A" w:rsidR="000B659C" w:rsidRPr="008373BE" w:rsidRDefault="00403BC0" w:rsidP="00312856">
            <w:pPr>
              <w:pStyle w:val="Tabletext"/>
              <w:jc w:val="center"/>
              <w:rPr>
                <w:lang w:eastAsia="en-AU"/>
              </w:rPr>
            </w:pPr>
            <w:r w:rsidRPr="006678B4">
              <w:t>1,170</w:t>
            </w:r>
          </w:p>
        </w:tc>
        <w:tc>
          <w:tcPr>
            <w:tcW w:w="788" w:type="pct"/>
            <w:tcBorders>
              <w:top w:val="nil"/>
              <w:left w:val="nil"/>
              <w:bottom w:val="single" w:sz="4" w:space="0" w:color="auto"/>
              <w:right w:val="single" w:sz="4" w:space="0" w:color="auto"/>
            </w:tcBorders>
            <w:vAlign w:val="center"/>
          </w:tcPr>
          <w:p w14:paraId="434434C0" w14:textId="4616A312" w:rsidR="000B659C" w:rsidRDefault="000B659C" w:rsidP="00312856">
            <w:pPr>
              <w:pStyle w:val="Tabletext"/>
              <w:jc w:val="center"/>
            </w:pPr>
            <w:r>
              <w:t>1,</w:t>
            </w:r>
            <w:r w:rsidR="00403BC0" w:rsidRPr="006678B4">
              <w:t>223</w:t>
            </w:r>
          </w:p>
        </w:tc>
      </w:tr>
    </w:tbl>
    <w:p w14:paraId="0C415221" w14:textId="3EEF418E" w:rsidR="00381B2F" w:rsidRDefault="00381B2F" w:rsidP="00381B2F">
      <w:pPr>
        <w:pStyle w:val="Heading3"/>
      </w:pPr>
      <w:r>
        <w:t>Restraint</w:t>
      </w:r>
      <w:r w:rsidR="0099684E">
        <w:t xml:space="preserve"> – acute inpatient units</w:t>
      </w:r>
    </w:p>
    <w:p w14:paraId="40F8680C" w14:textId="70A622FD" w:rsidR="00381B2F" w:rsidRPr="00A83DB5" w:rsidRDefault="00381B2F" w:rsidP="00563C62">
      <w:pPr>
        <w:pStyle w:val="Body"/>
      </w:pPr>
      <w:r w:rsidRPr="00A83DB5">
        <w:t xml:space="preserve">Bodily restraint refers to physical restraint (placing hands on a person to restrict movement) and mechanical restraint (the use of devices, such as belts, for the same purpose). The </w:t>
      </w:r>
      <w:r w:rsidR="00613A2A">
        <w:t xml:space="preserve">Mental Health </w:t>
      </w:r>
      <w:r w:rsidRPr="00A83DB5">
        <w:t>Act requires mental health services</w:t>
      </w:r>
      <w:r w:rsidR="00874AAA">
        <w:t xml:space="preserve"> to</w:t>
      </w:r>
      <w:r w:rsidRPr="00A83DB5">
        <w:t xml:space="preserve"> inform the Chief Psychiatrist of both types of practice. </w:t>
      </w:r>
    </w:p>
    <w:p w14:paraId="14BC66B5" w14:textId="600938DE" w:rsidR="00381B2F" w:rsidRDefault="00381B2F" w:rsidP="00563C62">
      <w:pPr>
        <w:pStyle w:val="Body"/>
      </w:pPr>
      <w:r w:rsidRPr="64F2407C">
        <w:t xml:space="preserve">Table </w:t>
      </w:r>
      <w:r w:rsidR="75502575">
        <w:t>1</w:t>
      </w:r>
      <w:r w:rsidR="00CC7406">
        <w:t>5</w:t>
      </w:r>
      <w:r w:rsidRPr="64F2407C">
        <w:t xml:space="preserve"> shows that bodily restraint episodes per 1,000 occupied bed </w:t>
      </w:r>
      <w:r w:rsidR="0092053E">
        <w:t>remains steady</w:t>
      </w:r>
      <w:r>
        <w:t>.</w:t>
      </w:r>
      <w:r w:rsidRPr="64F2407C">
        <w:t xml:space="preserve"> Rates rose </w:t>
      </w:r>
      <w:r w:rsidR="006F041A">
        <w:t>somewhat</w:t>
      </w:r>
      <w:r w:rsidRPr="64F2407C">
        <w:t xml:space="preserve"> in adult </w:t>
      </w:r>
      <w:r w:rsidR="1ADDC0A3">
        <w:t xml:space="preserve">acute inpatient units </w:t>
      </w:r>
      <w:r w:rsidR="00C413F3">
        <w:t>but reduced</w:t>
      </w:r>
      <w:r w:rsidR="00D83B1E">
        <w:t xml:space="preserve"> substantially</w:t>
      </w:r>
      <w:r w:rsidRPr="64F2407C">
        <w:t xml:space="preserve"> in the forensic service. </w:t>
      </w:r>
      <w:r w:rsidR="006E0E6A">
        <w:t xml:space="preserve">There </w:t>
      </w:r>
      <w:r w:rsidR="00DF7461">
        <w:t>continues to be a</w:t>
      </w:r>
      <w:r w:rsidRPr="64F2407C">
        <w:t xml:space="preserve"> rise in rates of restraint</w:t>
      </w:r>
      <w:r w:rsidR="009661A3">
        <w:t xml:space="preserve"> in child and adol</w:t>
      </w:r>
      <w:r w:rsidR="006E0E6A">
        <w:t>escent inpatient units</w:t>
      </w:r>
      <w:r w:rsidR="00DC5193">
        <w:t>.</w:t>
      </w:r>
      <w:r w:rsidR="007F6132">
        <w:t xml:space="preserve"> </w:t>
      </w:r>
      <w:r w:rsidR="00DC5193">
        <w:t>T</w:t>
      </w:r>
      <w:r w:rsidR="007F6132">
        <w:t xml:space="preserve">his is a trend that </w:t>
      </w:r>
      <w:r w:rsidR="00D83B1E">
        <w:t>will be examined more closely</w:t>
      </w:r>
      <w:r w:rsidRPr="64F2407C">
        <w:t>.</w:t>
      </w:r>
    </w:p>
    <w:p w14:paraId="544BAF7D" w14:textId="0BB9BCB8" w:rsidR="00E8719B" w:rsidRPr="00FE1B5B" w:rsidRDefault="009C26EA" w:rsidP="00563C62">
      <w:pPr>
        <w:pStyle w:val="Body"/>
      </w:pPr>
      <w:r>
        <w:t xml:space="preserve">Understanding the </w:t>
      </w:r>
      <w:r w:rsidR="00741725">
        <w:t xml:space="preserve">factors that </w:t>
      </w:r>
      <w:r w:rsidR="00296290">
        <w:t xml:space="preserve">are leading to an increase in the use of bodily restraint </w:t>
      </w:r>
      <w:r w:rsidR="00BE7F93">
        <w:t xml:space="preserve">among children and adolescents </w:t>
      </w:r>
      <w:r w:rsidR="008841A9">
        <w:t>remains</w:t>
      </w:r>
      <w:r w:rsidR="00857723">
        <w:t xml:space="preserve"> a </w:t>
      </w:r>
      <w:r w:rsidR="0066500C">
        <w:t>work</w:t>
      </w:r>
      <w:r w:rsidR="0048002F">
        <w:t xml:space="preserve"> </w:t>
      </w:r>
      <w:r w:rsidR="0066500C">
        <w:t>in</w:t>
      </w:r>
      <w:r w:rsidR="0048002F">
        <w:t xml:space="preserve"> </w:t>
      </w:r>
      <w:r w:rsidR="0066500C">
        <w:t xml:space="preserve">progress. </w:t>
      </w:r>
      <w:r w:rsidR="005460FA">
        <w:t>T</w:t>
      </w:r>
      <w:r w:rsidR="000D4075">
        <w:t xml:space="preserve">here </w:t>
      </w:r>
      <w:r w:rsidR="005460FA">
        <w:t>a</w:t>
      </w:r>
      <w:r w:rsidR="00D50DBB">
        <w:t xml:space="preserve">ppears to be </w:t>
      </w:r>
      <w:r w:rsidR="000D4075">
        <w:t>multiple factors</w:t>
      </w:r>
      <w:r w:rsidR="00FB0CD9">
        <w:t xml:space="preserve"> </w:t>
      </w:r>
      <w:r w:rsidR="005A7478">
        <w:t xml:space="preserve">contributing </w:t>
      </w:r>
      <w:r w:rsidR="003C1A33">
        <w:t>to this</w:t>
      </w:r>
      <w:r w:rsidR="00804C29">
        <w:t>, including improvements in reporting practices.</w:t>
      </w:r>
      <w:r w:rsidR="00E61B0D">
        <w:t xml:space="preserve"> </w:t>
      </w:r>
      <w:r w:rsidR="004179E0">
        <w:t>Furthermore, a</w:t>
      </w:r>
      <w:r w:rsidR="00763096">
        <w:t xml:space="preserve">ny </w:t>
      </w:r>
      <w:r w:rsidR="00A35088">
        <w:t xml:space="preserve">explanation of </w:t>
      </w:r>
      <w:r w:rsidR="008841A9">
        <w:t>the</w:t>
      </w:r>
      <w:r w:rsidR="00D726D2">
        <w:t xml:space="preserve"> increase should </w:t>
      </w:r>
      <w:r w:rsidR="00DC5193">
        <w:t>consider</w:t>
      </w:r>
      <w:r w:rsidR="001A7867">
        <w:t xml:space="preserve"> </w:t>
      </w:r>
      <w:r w:rsidR="00AE131A">
        <w:t xml:space="preserve">the </w:t>
      </w:r>
      <w:r w:rsidR="00AF614A">
        <w:t>s</w:t>
      </w:r>
      <w:r w:rsidR="00252841">
        <w:t xml:space="preserve">maller </w:t>
      </w:r>
      <w:r w:rsidR="00BC0278">
        <w:t xml:space="preserve">population </w:t>
      </w:r>
      <w:r w:rsidR="00252841">
        <w:t>size</w:t>
      </w:r>
      <w:r w:rsidR="007D4A08">
        <w:t xml:space="preserve"> of units for children and adolescents relative to </w:t>
      </w:r>
      <w:r w:rsidR="004F5D1F">
        <w:t xml:space="preserve">units for adults. </w:t>
      </w:r>
      <w:r w:rsidR="00E02087">
        <w:t>Ow</w:t>
      </w:r>
      <w:r w:rsidR="003F3D6D">
        <w:t xml:space="preserve">ing to this difference in </w:t>
      </w:r>
      <w:r w:rsidR="004A1F9F">
        <w:t xml:space="preserve">population </w:t>
      </w:r>
      <w:r w:rsidR="003F3D6D">
        <w:t xml:space="preserve">size, </w:t>
      </w:r>
      <w:r w:rsidR="007D066B">
        <w:t xml:space="preserve">variations </w:t>
      </w:r>
      <w:r w:rsidR="00D41283">
        <w:t xml:space="preserve">in the use of bodily restraint can </w:t>
      </w:r>
      <w:r w:rsidR="00163B66">
        <w:t xml:space="preserve">appear more significant </w:t>
      </w:r>
      <w:r w:rsidR="003E4D88">
        <w:t>in the child and</w:t>
      </w:r>
      <w:r w:rsidR="00163B66">
        <w:t xml:space="preserve"> adolescent </w:t>
      </w:r>
      <w:r w:rsidR="003E4D88">
        <w:t>age group</w:t>
      </w:r>
      <w:r w:rsidR="00163B66">
        <w:t xml:space="preserve"> </w:t>
      </w:r>
      <w:r w:rsidR="007E2BF6">
        <w:t xml:space="preserve">compared </w:t>
      </w:r>
      <w:r w:rsidR="00283C5B">
        <w:t xml:space="preserve">with </w:t>
      </w:r>
      <w:r w:rsidR="003E4D88">
        <w:t>the adult age group</w:t>
      </w:r>
      <w:r w:rsidR="007E2BF6">
        <w:t>.</w:t>
      </w:r>
      <w:r w:rsidR="00631C4B">
        <w:t xml:space="preserve"> </w:t>
      </w:r>
    </w:p>
    <w:p w14:paraId="00E2E7FB" w14:textId="7BAB8A95" w:rsidR="00381B2F" w:rsidRPr="00EA5119" w:rsidRDefault="00381B2F" w:rsidP="000D0B9B">
      <w:pPr>
        <w:pStyle w:val="Tablecaption"/>
        <w:rPr>
          <w:rFonts w:eastAsia="Arial"/>
          <w:bCs/>
        </w:rPr>
      </w:pPr>
      <w:r w:rsidRPr="64F2407C">
        <w:t xml:space="preserve">Table </w:t>
      </w:r>
      <w:r w:rsidR="202F44FB">
        <w:t>1</w:t>
      </w:r>
      <w:r w:rsidR="00CC7406">
        <w:t>5</w:t>
      </w:r>
      <w:r>
        <w:t>:</w:t>
      </w:r>
      <w:r w:rsidR="00B5548B">
        <w:t xml:space="preserve"> </w:t>
      </w:r>
      <w:r w:rsidRPr="6413A842">
        <w:rPr>
          <w:rFonts w:eastAsia="Arial"/>
        </w:rPr>
        <w:t>Bodily restraint episodes per 1,000 occupied bed days</w:t>
      </w:r>
      <w:r w:rsidR="0048002F">
        <w:rPr>
          <w:rFonts w:eastAsia="Arial"/>
        </w:rPr>
        <w:t>,</w:t>
      </w:r>
      <w:r w:rsidR="31D9F1B4" w:rsidRPr="6413A842">
        <w:rPr>
          <w:rFonts w:eastAsia="Arial"/>
          <w:bCs/>
        </w:rPr>
        <w:t xml:space="preserve"> by type of acute </w:t>
      </w:r>
      <w:r w:rsidR="31D9F1B4" w:rsidRPr="004C02F0">
        <w:rPr>
          <w:rFonts w:eastAsia="Arial"/>
        </w:rPr>
        <w:t>inpatient</w:t>
      </w:r>
      <w:r w:rsidR="31D9F1B4" w:rsidRPr="6413A842">
        <w:rPr>
          <w:rFonts w:eastAsia="Arial"/>
          <w:bCs/>
        </w:rPr>
        <w:t xml:space="preserve"> unit</w:t>
      </w:r>
      <w:r w:rsidRPr="6413A842">
        <w:rPr>
          <w:rFonts w:eastAsia="Arial"/>
        </w:rPr>
        <w:t>, 201</w:t>
      </w:r>
      <w:r w:rsidR="00486083">
        <w:rPr>
          <w:rFonts w:eastAsia="Arial"/>
        </w:rPr>
        <w:t>7</w:t>
      </w:r>
      <w:r w:rsidR="0012686C" w:rsidRPr="6413A842">
        <w:rPr>
          <w:rFonts w:eastAsia="Arial"/>
        </w:rPr>
        <w:t>–1</w:t>
      </w:r>
      <w:r w:rsidR="00486083">
        <w:rPr>
          <w:rFonts w:eastAsia="Arial"/>
        </w:rPr>
        <w:t>8</w:t>
      </w:r>
      <w:r w:rsidRPr="6413A842">
        <w:rPr>
          <w:rFonts w:eastAsia="Arial"/>
        </w:rPr>
        <w:t xml:space="preserve"> to </w:t>
      </w:r>
      <w:r w:rsidR="007B2175">
        <w:rPr>
          <w:rFonts w:eastAsia="Arial"/>
        </w:rPr>
        <w:t>202</w:t>
      </w:r>
      <w:r w:rsidR="00CF1D54">
        <w:rPr>
          <w:rFonts w:eastAsia="Arial"/>
        </w:rPr>
        <w:t>1</w:t>
      </w:r>
      <w:r w:rsidR="007B2175">
        <w:rPr>
          <w:rFonts w:eastAsia="Arial"/>
        </w:rPr>
        <w:t>–2</w:t>
      </w:r>
      <w:r w:rsidR="00CF1D54">
        <w:rPr>
          <w:rFonts w:eastAsia="Arial"/>
        </w:rPr>
        <w:t>2</w:t>
      </w:r>
    </w:p>
    <w:tbl>
      <w:tblPr>
        <w:tblW w:w="5000" w:type="pct"/>
        <w:tblLook w:val="0620" w:firstRow="1" w:lastRow="0" w:firstColumn="0" w:lastColumn="0" w:noHBand="1" w:noVBand="1"/>
      </w:tblPr>
      <w:tblGrid>
        <w:gridCol w:w="2462"/>
        <w:gridCol w:w="1366"/>
        <w:gridCol w:w="1365"/>
        <w:gridCol w:w="1365"/>
        <w:gridCol w:w="1367"/>
        <w:gridCol w:w="1363"/>
      </w:tblGrid>
      <w:tr w:rsidR="00A71EAB" w:rsidRPr="00EA5119" w14:paraId="1972CD51" w14:textId="73A4565C" w:rsidTr="004813DB">
        <w:trPr>
          <w:trHeight w:val="314"/>
          <w:tblHeader/>
        </w:trPr>
        <w:tc>
          <w:tcPr>
            <w:tcW w:w="1325" w:type="pct"/>
            <w:tcBorders>
              <w:top w:val="single" w:sz="4" w:space="0" w:color="auto"/>
              <w:left w:val="single" w:sz="4" w:space="0" w:color="auto"/>
              <w:bottom w:val="single" w:sz="4" w:space="0" w:color="auto"/>
              <w:right w:val="single" w:sz="4" w:space="0" w:color="auto"/>
            </w:tcBorders>
            <w:shd w:val="clear" w:color="auto" w:fill="auto"/>
            <w:noWrap/>
            <w:hideMark/>
          </w:tcPr>
          <w:p w14:paraId="6F8CAA6F" w14:textId="71572349" w:rsidR="00A71EAB" w:rsidRPr="00A91A55" w:rsidRDefault="00A71EAB" w:rsidP="000D0B9B">
            <w:pPr>
              <w:pStyle w:val="Tablecolhead"/>
              <w:rPr>
                <w:lang w:eastAsia="en-AU"/>
              </w:rPr>
            </w:pPr>
            <w:r w:rsidRPr="6413A842">
              <w:rPr>
                <w:lang w:eastAsia="en-AU"/>
              </w:rPr>
              <w:t>Type of unit</w:t>
            </w: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14:paraId="1C272BEF" w14:textId="55BA939A" w:rsidR="00A71EAB" w:rsidRPr="00A91A55" w:rsidRDefault="00CF1D54" w:rsidP="00312856">
            <w:pPr>
              <w:pStyle w:val="Tablecolhead"/>
              <w:jc w:val="center"/>
              <w:rPr>
                <w:lang w:eastAsia="en-AU"/>
              </w:rPr>
            </w:pPr>
            <w:r w:rsidRPr="0040102B">
              <w:t>2017</w:t>
            </w:r>
            <w:r w:rsidR="00920F37">
              <w:t>–</w:t>
            </w:r>
            <w:r w:rsidRPr="0040102B">
              <w:t>18</w:t>
            </w: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14:paraId="25CD2806" w14:textId="71BD511C" w:rsidR="00A71EAB" w:rsidRPr="00A91A55" w:rsidRDefault="00CF1D54" w:rsidP="00312856">
            <w:pPr>
              <w:pStyle w:val="Tablecolhead"/>
              <w:jc w:val="center"/>
              <w:rPr>
                <w:lang w:eastAsia="en-AU"/>
              </w:rPr>
            </w:pPr>
            <w:r w:rsidRPr="0040102B">
              <w:t>2018</w:t>
            </w:r>
            <w:r w:rsidR="00920F37">
              <w:t>–</w:t>
            </w:r>
            <w:r w:rsidRPr="0040102B">
              <w:t>19</w:t>
            </w: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14:paraId="4A854180" w14:textId="06DD9B08" w:rsidR="00A71EAB" w:rsidRPr="00A91A55" w:rsidRDefault="00CF1D54" w:rsidP="00312856">
            <w:pPr>
              <w:pStyle w:val="Tablecolhead"/>
              <w:jc w:val="center"/>
              <w:rPr>
                <w:lang w:eastAsia="en-AU"/>
              </w:rPr>
            </w:pPr>
            <w:r w:rsidRPr="0040102B">
              <w:t>2019</w:t>
            </w:r>
            <w:r w:rsidR="00920F37">
              <w:t>–</w:t>
            </w:r>
            <w:r w:rsidRPr="0040102B">
              <w:t>20</w:t>
            </w:r>
          </w:p>
        </w:tc>
        <w:tc>
          <w:tcPr>
            <w:tcW w:w="736" w:type="pct"/>
            <w:tcBorders>
              <w:top w:val="single" w:sz="4" w:space="0" w:color="auto"/>
              <w:left w:val="nil"/>
              <w:bottom w:val="single" w:sz="4" w:space="0" w:color="auto"/>
              <w:right w:val="single" w:sz="4" w:space="0" w:color="auto"/>
            </w:tcBorders>
            <w:shd w:val="clear" w:color="auto" w:fill="auto"/>
            <w:noWrap/>
            <w:vAlign w:val="center"/>
            <w:hideMark/>
          </w:tcPr>
          <w:p w14:paraId="752EA4BD" w14:textId="7E913F1F" w:rsidR="00A71EAB" w:rsidRPr="00A91A55" w:rsidRDefault="00CF1D54" w:rsidP="00312856">
            <w:pPr>
              <w:pStyle w:val="Tablecolhead"/>
              <w:jc w:val="center"/>
              <w:rPr>
                <w:lang w:eastAsia="en-AU"/>
              </w:rPr>
            </w:pPr>
            <w:r w:rsidRPr="0040102B">
              <w:t>2020</w:t>
            </w:r>
            <w:r w:rsidR="00920F37">
              <w:t>–</w:t>
            </w:r>
            <w:r w:rsidRPr="0040102B">
              <w:t>21</w:t>
            </w:r>
          </w:p>
        </w:tc>
        <w:tc>
          <w:tcPr>
            <w:tcW w:w="735" w:type="pct"/>
            <w:tcBorders>
              <w:top w:val="single" w:sz="4" w:space="0" w:color="auto"/>
              <w:left w:val="nil"/>
              <w:bottom w:val="single" w:sz="4" w:space="0" w:color="auto"/>
              <w:right w:val="single" w:sz="4" w:space="0" w:color="auto"/>
            </w:tcBorders>
            <w:vAlign w:val="center"/>
          </w:tcPr>
          <w:p w14:paraId="029209BA" w14:textId="252F7177" w:rsidR="00A71EAB" w:rsidRPr="00A91A55" w:rsidRDefault="00CF1D54" w:rsidP="00312856">
            <w:pPr>
              <w:pStyle w:val="Tablecolhead"/>
              <w:jc w:val="center"/>
              <w:rPr>
                <w:lang w:eastAsia="en-AU"/>
              </w:rPr>
            </w:pPr>
            <w:r w:rsidRPr="0040102B">
              <w:t>2021</w:t>
            </w:r>
            <w:r w:rsidR="00920F37">
              <w:t>–</w:t>
            </w:r>
            <w:r w:rsidRPr="0040102B">
              <w:t>22</w:t>
            </w:r>
          </w:p>
        </w:tc>
      </w:tr>
      <w:tr w:rsidR="00A018DC" w:rsidRPr="00EA5119" w14:paraId="33637A37" w14:textId="0C7BA84D" w:rsidTr="004813DB">
        <w:trPr>
          <w:trHeight w:val="314"/>
        </w:trPr>
        <w:tc>
          <w:tcPr>
            <w:tcW w:w="1325" w:type="pct"/>
            <w:tcBorders>
              <w:top w:val="nil"/>
              <w:left w:val="single" w:sz="4" w:space="0" w:color="auto"/>
              <w:bottom w:val="single" w:sz="4" w:space="0" w:color="auto"/>
              <w:right w:val="single" w:sz="4" w:space="0" w:color="auto"/>
            </w:tcBorders>
            <w:shd w:val="clear" w:color="auto" w:fill="auto"/>
            <w:noWrap/>
            <w:hideMark/>
          </w:tcPr>
          <w:p w14:paraId="643B4A35" w14:textId="234D0E1D" w:rsidR="00A018DC" w:rsidRPr="00A91A55" w:rsidRDefault="00A018DC" w:rsidP="000D0B9B">
            <w:pPr>
              <w:pStyle w:val="Tabletext"/>
              <w:rPr>
                <w:lang w:eastAsia="en-AU"/>
              </w:rPr>
            </w:pPr>
            <w:r w:rsidRPr="0040102B">
              <w:t>Adult</w:t>
            </w:r>
          </w:p>
        </w:tc>
        <w:tc>
          <w:tcPr>
            <w:tcW w:w="735" w:type="pct"/>
            <w:tcBorders>
              <w:top w:val="nil"/>
              <w:left w:val="nil"/>
              <w:bottom w:val="single" w:sz="4" w:space="0" w:color="auto"/>
              <w:right w:val="single" w:sz="4" w:space="0" w:color="auto"/>
            </w:tcBorders>
            <w:shd w:val="clear" w:color="auto" w:fill="auto"/>
            <w:noWrap/>
            <w:vAlign w:val="center"/>
            <w:hideMark/>
          </w:tcPr>
          <w:p w14:paraId="35D5648E" w14:textId="6E23CF80" w:rsidR="00A018DC" w:rsidRPr="00A91A55" w:rsidRDefault="00CF1D54" w:rsidP="00312856">
            <w:pPr>
              <w:pStyle w:val="Tabletext"/>
              <w:jc w:val="center"/>
              <w:rPr>
                <w:rFonts w:ascii="Calibri" w:hAnsi="Calibri"/>
                <w:lang w:eastAsia="en-AU"/>
              </w:rPr>
            </w:pPr>
            <w:r w:rsidRPr="0040102B">
              <w:t>9.0</w:t>
            </w:r>
          </w:p>
        </w:tc>
        <w:tc>
          <w:tcPr>
            <w:tcW w:w="735" w:type="pct"/>
            <w:tcBorders>
              <w:top w:val="nil"/>
              <w:left w:val="nil"/>
              <w:bottom w:val="single" w:sz="4" w:space="0" w:color="auto"/>
              <w:right w:val="single" w:sz="4" w:space="0" w:color="auto"/>
            </w:tcBorders>
            <w:shd w:val="clear" w:color="auto" w:fill="auto"/>
            <w:noWrap/>
            <w:vAlign w:val="center"/>
            <w:hideMark/>
          </w:tcPr>
          <w:p w14:paraId="567F73B3" w14:textId="150DA5A0" w:rsidR="00A018DC" w:rsidRPr="00A91A55" w:rsidRDefault="00CF1D54" w:rsidP="00312856">
            <w:pPr>
              <w:pStyle w:val="Tabletext"/>
              <w:jc w:val="center"/>
              <w:rPr>
                <w:rFonts w:ascii="Calibri" w:hAnsi="Calibri"/>
                <w:lang w:eastAsia="en-AU"/>
              </w:rPr>
            </w:pPr>
            <w:r w:rsidRPr="0040102B">
              <w:t>10.7</w:t>
            </w:r>
          </w:p>
        </w:tc>
        <w:tc>
          <w:tcPr>
            <w:tcW w:w="735" w:type="pct"/>
            <w:tcBorders>
              <w:top w:val="nil"/>
              <w:left w:val="nil"/>
              <w:bottom w:val="single" w:sz="4" w:space="0" w:color="auto"/>
              <w:right w:val="single" w:sz="4" w:space="0" w:color="auto"/>
            </w:tcBorders>
            <w:shd w:val="clear" w:color="auto" w:fill="auto"/>
            <w:noWrap/>
            <w:vAlign w:val="center"/>
            <w:hideMark/>
          </w:tcPr>
          <w:p w14:paraId="72868B3E" w14:textId="227D9FA6" w:rsidR="00A018DC" w:rsidRPr="00A91A55" w:rsidRDefault="00CF1D54" w:rsidP="00312856">
            <w:pPr>
              <w:pStyle w:val="Tabletext"/>
              <w:jc w:val="center"/>
              <w:rPr>
                <w:rFonts w:ascii="Calibri" w:hAnsi="Calibri"/>
                <w:lang w:eastAsia="en-AU"/>
              </w:rPr>
            </w:pPr>
            <w:r w:rsidRPr="0040102B">
              <w:t>11.8</w:t>
            </w:r>
          </w:p>
        </w:tc>
        <w:tc>
          <w:tcPr>
            <w:tcW w:w="736" w:type="pct"/>
            <w:tcBorders>
              <w:top w:val="nil"/>
              <w:left w:val="nil"/>
              <w:bottom w:val="single" w:sz="4" w:space="0" w:color="auto"/>
              <w:right w:val="single" w:sz="4" w:space="0" w:color="auto"/>
            </w:tcBorders>
            <w:shd w:val="clear" w:color="auto" w:fill="auto"/>
            <w:noWrap/>
            <w:vAlign w:val="center"/>
            <w:hideMark/>
          </w:tcPr>
          <w:p w14:paraId="2E98B4F9" w14:textId="0254298D" w:rsidR="00A018DC" w:rsidRPr="00A91A55" w:rsidRDefault="00CF1D54" w:rsidP="00312856">
            <w:pPr>
              <w:pStyle w:val="Tabletext"/>
              <w:jc w:val="center"/>
              <w:rPr>
                <w:rFonts w:ascii="Calibri" w:hAnsi="Calibri"/>
                <w:lang w:eastAsia="en-AU"/>
              </w:rPr>
            </w:pPr>
            <w:r w:rsidRPr="0040102B">
              <w:t>13.4</w:t>
            </w:r>
          </w:p>
        </w:tc>
        <w:tc>
          <w:tcPr>
            <w:tcW w:w="735" w:type="pct"/>
            <w:tcBorders>
              <w:top w:val="nil"/>
              <w:left w:val="nil"/>
              <w:bottom w:val="single" w:sz="4" w:space="0" w:color="auto"/>
              <w:right w:val="single" w:sz="4" w:space="0" w:color="auto"/>
            </w:tcBorders>
            <w:vAlign w:val="center"/>
          </w:tcPr>
          <w:p w14:paraId="7EF43F27" w14:textId="0BAFBDC5" w:rsidR="00A018DC" w:rsidRDefault="00A018DC" w:rsidP="00312856">
            <w:pPr>
              <w:pStyle w:val="Tabletext"/>
              <w:jc w:val="center"/>
            </w:pPr>
            <w:r>
              <w:t>13.</w:t>
            </w:r>
            <w:r w:rsidR="00CF1D54" w:rsidRPr="0040102B">
              <w:t>7</w:t>
            </w:r>
          </w:p>
        </w:tc>
      </w:tr>
      <w:tr w:rsidR="00A018DC" w:rsidRPr="00EA5119" w14:paraId="0B0DBE8D" w14:textId="6302B457" w:rsidTr="004813DB">
        <w:trPr>
          <w:trHeight w:val="314"/>
        </w:trPr>
        <w:tc>
          <w:tcPr>
            <w:tcW w:w="1325" w:type="pct"/>
            <w:tcBorders>
              <w:top w:val="nil"/>
              <w:left w:val="single" w:sz="4" w:space="0" w:color="auto"/>
              <w:bottom w:val="single" w:sz="4" w:space="0" w:color="auto"/>
              <w:right w:val="single" w:sz="4" w:space="0" w:color="auto"/>
            </w:tcBorders>
            <w:shd w:val="clear" w:color="auto" w:fill="auto"/>
            <w:noWrap/>
            <w:hideMark/>
          </w:tcPr>
          <w:p w14:paraId="0A546DF2" w14:textId="2E98B810" w:rsidR="00A018DC" w:rsidRPr="00A91A55" w:rsidRDefault="00A018DC" w:rsidP="000D0B9B">
            <w:pPr>
              <w:pStyle w:val="Tabletext"/>
              <w:rPr>
                <w:lang w:eastAsia="en-AU"/>
              </w:rPr>
            </w:pPr>
            <w:r w:rsidRPr="0040102B">
              <w:t>Aged</w:t>
            </w:r>
          </w:p>
        </w:tc>
        <w:tc>
          <w:tcPr>
            <w:tcW w:w="735" w:type="pct"/>
            <w:tcBorders>
              <w:top w:val="nil"/>
              <w:left w:val="nil"/>
              <w:bottom w:val="single" w:sz="4" w:space="0" w:color="auto"/>
              <w:right w:val="single" w:sz="4" w:space="0" w:color="auto"/>
            </w:tcBorders>
            <w:shd w:val="clear" w:color="auto" w:fill="auto"/>
            <w:noWrap/>
            <w:vAlign w:val="center"/>
            <w:hideMark/>
          </w:tcPr>
          <w:p w14:paraId="030A6CBF" w14:textId="33A20CAA" w:rsidR="00A018DC" w:rsidRPr="00A91A55" w:rsidRDefault="00CF1D54" w:rsidP="00312856">
            <w:pPr>
              <w:pStyle w:val="Tabletext"/>
              <w:jc w:val="center"/>
              <w:rPr>
                <w:rFonts w:ascii="Calibri" w:hAnsi="Calibri"/>
                <w:lang w:eastAsia="en-AU"/>
              </w:rPr>
            </w:pPr>
            <w:r w:rsidRPr="0040102B">
              <w:t>6.4</w:t>
            </w:r>
          </w:p>
        </w:tc>
        <w:tc>
          <w:tcPr>
            <w:tcW w:w="735" w:type="pct"/>
            <w:tcBorders>
              <w:top w:val="nil"/>
              <w:left w:val="nil"/>
              <w:bottom w:val="single" w:sz="4" w:space="0" w:color="auto"/>
              <w:right w:val="single" w:sz="4" w:space="0" w:color="auto"/>
            </w:tcBorders>
            <w:shd w:val="clear" w:color="auto" w:fill="auto"/>
            <w:noWrap/>
            <w:vAlign w:val="center"/>
            <w:hideMark/>
          </w:tcPr>
          <w:p w14:paraId="41FA97DB" w14:textId="489EDC15" w:rsidR="00A018DC" w:rsidRPr="00A91A55" w:rsidRDefault="00A018DC" w:rsidP="00312856">
            <w:pPr>
              <w:pStyle w:val="Tabletext"/>
              <w:jc w:val="center"/>
              <w:rPr>
                <w:rFonts w:ascii="Calibri" w:hAnsi="Calibri"/>
                <w:lang w:eastAsia="en-AU"/>
              </w:rPr>
            </w:pPr>
            <w:r>
              <w:t>6.</w:t>
            </w:r>
            <w:r w:rsidR="00CF1D54" w:rsidRPr="0040102B">
              <w:t>0</w:t>
            </w:r>
          </w:p>
        </w:tc>
        <w:tc>
          <w:tcPr>
            <w:tcW w:w="735" w:type="pct"/>
            <w:tcBorders>
              <w:top w:val="nil"/>
              <w:left w:val="nil"/>
              <w:bottom w:val="single" w:sz="4" w:space="0" w:color="auto"/>
              <w:right w:val="single" w:sz="4" w:space="0" w:color="auto"/>
            </w:tcBorders>
            <w:shd w:val="clear" w:color="auto" w:fill="auto"/>
            <w:noWrap/>
            <w:vAlign w:val="center"/>
            <w:hideMark/>
          </w:tcPr>
          <w:p w14:paraId="45A07671" w14:textId="41D521EB" w:rsidR="00A018DC" w:rsidRPr="00A91A55" w:rsidRDefault="00CF1D54" w:rsidP="00312856">
            <w:pPr>
              <w:pStyle w:val="Tabletext"/>
              <w:jc w:val="center"/>
              <w:rPr>
                <w:rFonts w:ascii="Calibri" w:hAnsi="Calibri"/>
                <w:lang w:eastAsia="en-AU"/>
              </w:rPr>
            </w:pPr>
            <w:r w:rsidRPr="0040102B">
              <w:t>8.9</w:t>
            </w:r>
          </w:p>
        </w:tc>
        <w:tc>
          <w:tcPr>
            <w:tcW w:w="736" w:type="pct"/>
            <w:tcBorders>
              <w:top w:val="nil"/>
              <w:left w:val="nil"/>
              <w:bottom w:val="single" w:sz="4" w:space="0" w:color="auto"/>
              <w:right w:val="single" w:sz="4" w:space="0" w:color="auto"/>
            </w:tcBorders>
            <w:shd w:val="clear" w:color="auto" w:fill="auto"/>
            <w:noWrap/>
            <w:vAlign w:val="center"/>
            <w:hideMark/>
          </w:tcPr>
          <w:p w14:paraId="37EC9B47" w14:textId="4909A52A" w:rsidR="00A018DC" w:rsidRPr="00A91A55" w:rsidRDefault="00A018DC" w:rsidP="00312856">
            <w:pPr>
              <w:pStyle w:val="Tabletext"/>
              <w:jc w:val="center"/>
              <w:rPr>
                <w:rFonts w:ascii="Calibri" w:hAnsi="Calibri"/>
                <w:lang w:eastAsia="en-AU"/>
              </w:rPr>
            </w:pPr>
            <w:r>
              <w:t>8.</w:t>
            </w:r>
            <w:r w:rsidR="00CF1D54" w:rsidRPr="0040102B">
              <w:t>5</w:t>
            </w:r>
          </w:p>
        </w:tc>
        <w:tc>
          <w:tcPr>
            <w:tcW w:w="735" w:type="pct"/>
            <w:tcBorders>
              <w:top w:val="nil"/>
              <w:left w:val="nil"/>
              <w:bottom w:val="single" w:sz="4" w:space="0" w:color="auto"/>
              <w:right w:val="single" w:sz="4" w:space="0" w:color="auto"/>
            </w:tcBorders>
            <w:vAlign w:val="center"/>
          </w:tcPr>
          <w:p w14:paraId="79CD51C8" w14:textId="5C8FFB9D" w:rsidR="00A018DC" w:rsidRDefault="00CF1D54" w:rsidP="00312856">
            <w:pPr>
              <w:pStyle w:val="Tabletext"/>
              <w:jc w:val="center"/>
            </w:pPr>
            <w:r w:rsidRPr="0040102B">
              <w:t>6.4</w:t>
            </w:r>
          </w:p>
        </w:tc>
      </w:tr>
      <w:tr w:rsidR="00A018DC" w:rsidRPr="00EA5119" w14:paraId="27BAB6E5" w14:textId="1919ECD0" w:rsidTr="004813DB">
        <w:trPr>
          <w:trHeight w:val="314"/>
        </w:trPr>
        <w:tc>
          <w:tcPr>
            <w:tcW w:w="1325" w:type="pct"/>
            <w:tcBorders>
              <w:top w:val="nil"/>
              <w:left w:val="single" w:sz="4" w:space="0" w:color="auto"/>
              <w:bottom w:val="single" w:sz="4" w:space="0" w:color="auto"/>
              <w:right w:val="single" w:sz="4" w:space="0" w:color="auto"/>
            </w:tcBorders>
            <w:shd w:val="clear" w:color="auto" w:fill="auto"/>
            <w:noWrap/>
            <w:hideMark/>
          </w:tcPr>
          <w:p w14:paraId="2953CCD7" w14:textId="1C84901A" w:rsidR="00A018DC" w:rsidRPr="00A91A55" w:rsidRDefault="00A018DC" w:rsidP="000D0B9B">
            <w:pPr>
              <w:pStyle w:val="Tabletext"/>
              <w:rPr>
                <w:lang w:eastAsia="en-AU"/>
              </w:rPr>
            </w:pPr>
            <w:r w:rsidRPr="0040102B">
              <w:t xml:space="preserve">Child and </w:t>
            </w:r>
            <w:r w:rsidR="0099684E" w:rsidRPr="0040102B">
              <w:t>a</w:t>
            </w:r>
            <w:r w:rsidRPr="0040102B">
              <w:t>dolescent</w:t>
            </w:r>
          </w:p>
        </w:tc>
        <w:tc>
          <w:tcPr>
            <w:tcW w:w="735" w:type="pct"/>
            <w:tcBorders>
              <w:top w:val="nil"/>
              <w:left w:val="nil"/>
              <w:bottom w:val="single" w:sz="4" w:space="0" w:color="auto"/>
              <w:right w:val="single" w:sz="4" w:space="0" w:color="auto"/>
            </w:tcBorders>
            <w:shd w:val="clear" w:color="auto" w:fill="auto"/>
            <w:noWrap/>
            <w:vAlign w:val="center"/>
            <w:hideMark/>
          </w:tcPr>
          <w:p w14:paraId="2ACBE4A5" w14:textId="5CCDAD13" w:rsidR="00A018DC" w:rsidRPr="00A91A55" w:rsidRDefault="00CF1D54" w:rsidP="00312856">
            <w:pPr>
              <w:pStyle w:val="Tabletext"/>
              <w:jc w:val="center"/>
              <w:rPr>
                <w:rFonts w:ascii="Calibri" w:hAnsi="Calibri"/>
                <w:lang w:eastAsia="en-AU"/>
              </w:rPr>
            </w:pPr>
            <w:r w:rsidRPr="0040102B">
              <w:t>32.7</w:t>
            </w:r>
          </w:p>
        </w:tc>
        <w:tc>
          <w:tcPr>
            <w:tcW w:w="735" w:type="pct"/>
            <w:tcBorders>
              <w:top w:val="nil"/>
              <w:left w:val="nil"/>
              <w:bottom w:val="single" w:sz="4" w:space="0" w:color="auto"/>
              <w:right w:val="single" w:sz="4" w:space="0" w:color="auto"/>
            </w:tcBorders>
            <w:shd w:val="clear" w:color="auto" w:fill="auto"/>
            <w:noWrap/>
            <w:vAlign w:val="center"/>
            <w:hideMark/>
          </w:tcPr>
          <w:p w14:paraId="6B0F6395" w14:textId="0FF72D3F" w:rsidR="00A018DC" w:rsidRPr="00A91A55" w:rsidRDefault="00CF1D54" w:rsidP="00312856">
            <w:pPr>
              <w:pStyle w:val="Tabletext"/>
              <w:jc w:val="center"/>
              <w:rPr>
                <w:rFonts w:ascii="Calibri" w:hAnsi="Calibri"/>
                <w:lang w:eastAsia="en-AU"/>
              </w:rPr>
            </w:pPr>
            <w:r w:rsidRPr="0040102B">
              <w:t>37.2</w:t>
            </w:r>
          </w:p>
        </w:tc>
        <w:tc>
          <w:tcPr>
            <w:tcW w:w="735" w:type="pct"/>
            <w:tcBorders>
              <w:top w:val="nil"/>
              <w:left w:val="nil"/>
              <w:bottom w:val="single" w:sz="4" w:space="0" w:color="auto"/>
              <w:right w:val="single" w:sz="4" w:space="0" w:color="auto"/>
            </w:tcBorders>
            <w:shd w:val="clear" w:color="auto" w:fill="auto"/>
            <w:noWrap/>
            <w:vAlign w:val="center"/>
            <w:hideMark/>
          </w:tcPr>
          <w:p w14:paraId="486C3C92" w14:textId="55D452EB" w:rsidR="00A018DC" w:rsidRPr="00A91A55" w:rsidRDefault="00CF1D54" w:rsidP="00312856">
            <w:pPr>
              <w:pStyle w:val="Tabletext"/>
              <w:jc w:val="center"/>
              <w:rPr>
                <w:rFonts w:ascii="Calibri" w:hAnsi="Calibri"/>
                <w:lang w:eastAsia="en-AU"/>
              </w:rPr>
            </w:pPr>
            <w:r w:rsidRPr="0040102B">
              <w:t>42.3</w:t>
            </w:r>
          </w:p>
        </w:tc>
        <w:tc>
          <w:tcPr>
            <w:tcW w:w="736" w:type="pct"/>
            <w:tcBorders>
              <w:top w:val="nil"/>
              <w:left w:val="nil"/>
              <w:bottom w:val="single" w:sz="4" w:space="0" w:color="auto"/>
              <w:right w:val="single" w:sz="4" w:space="0" w:color="auto"/>
            </w:tcBorders>
            <w:shd w:val="clear" w:color="auto" w:fill="auto"/>
            <w:noWrap/>
            <w:vAlign w:val="center"/>
            <w:hideMark/>
          </w:tcPr>
          <w:p w14:paraId="7B5C872D" w14:textId="72D35B51" w:rsidR="00A018DC" w:rsidRPr="00A91A55" w:rsidRDefault="00CF1D54" w:rsidP="00312856">
            <w:pPr>
              <w:pStyle w:val="Tabletext"/>
              <w:jc w:val="center"/>
              <w:rPr>
                <w:rFonts w:ascii="Calibri" w:hAnsi="Calibri"/>
                <w:lang w:eastAsia="en-AU"/>
              </w:rPr>
            </w:pPr>
            <w:r w:rsidRPr="0040102B">
              <w:t>50.4</w:t>
            </w:r>
          </w:p>
        </w:tc>
        <w:tc>
          <w:tcPr>
            <w:tcW w:w="735" w:type="pct"/>
            <w:tcBorders>
              <w:top w:val="nil"/>
              <w:left w:val="nil"/>
              <w:bottom w:val="single" w:sz="4" w:space="0" w:color="auto"/>
              <w:right w:val="single" w:sz="4" w:space="0" w:color="auto"/>
            </w:tcBorders>
            <w:vAlign w:val="center"/>
          </w:tcPr>
          <w:p w14:paraId="129E99D8" w14:textId="452CE126" w:rsidR="00A018DC" w:rsidRDefault="00CF1D54" w:rsidP="00312856">
            <w:pPr>
              <w:pStyle w:val="Tabletext"/>
              <w:jc w:val="center"/>
            </w:pPr>
            <w:r w:rsidRPr="0040102B">
              <w:t>67.4</w:t>
            </w:r>
          </w:p>
        </w:tc>
      </w:tr>
      <w:tr w:rsidR="00A018DC" w:rsidRPr="00EA5119" w14:paraId="0FE2674D" w14:textId="28DF0F8E" w:rsidTr="004813DB">
        <w:trPr>
          <w:trHeight w:val="314"/>
        </w:trPr>
        <w:tc>
          <w:tcPr>
            <w:tcW w:w="1325" w:type="pct"/>
            <w:tcBorders>
              <w:top w:val="nil"/>
              <w:left w:val="single" w:sz="4" w:space="0" w:color="auto"/>
              <w:bottom w:val="single" w:sz="4" w:space="0" w:color="auto"/>
              <w:right w:val="single" w:sz="4" w:space="0" w:color="auto"/>
            </w:tcBorders>
            <w:shd w:val="clear" w:color="auto" w:fill="auto"/>
            <w:noWrap/>
            <w:hideMark/>
          </w:tcPr>
          <w:p w14:paraId="4107383F" w14:textId="045082EF" w:rsidR="00A018DC" w:rsidRPr="00A91A55" w:rsidRDefault="00A018DC" w:rsidP="000D0B9B">
            <w:pPr>
              <w:pStyle w:val="Tabletext"/>
              <w:rPr>
                <w:lang w:eastAsia="en-AU"/>
              </w:rPr>
            </w:pPr>
            <w:r w:rsidRPr="0040102B">
              <w:lastRenderedPageBreak/>
              <w:t>Forensic</w:t>
            </w:r>
          </w:p>
        </w:tc>
        <w:tc>
          <w:tcPr>
            <w:tcW w:w="735" w:type="pct"/>
            <w:tcBorders>
              <w:top w:val="nil"/>
              <w:left w:val="nil"/>
              <w:bottom w:val="single" w:sz="4" w:space="0" w:color="auto"/>
              <w:right w:val="single" w:sz="4" w:space="0" w:color="auto"/>
            </w:tcBorders>
            <w:shd w:val="clear" w:color="auto" w:fill="auto"/>
            <w:noWrap/>
            <w:vAlign w:val="center"/>
            <w:hideMark/>
          </w:tcPr>
          <w:p w14:paraId="6CD324A5" w14:textId="73F418B0" w:rsidR="00A018DC" w:rsidRPr="00A91A55" w:rsidRDefault="00CF1D54" w:rsidP="00312856">
            <w:pPr>
              <w:pStyle w:val="Tabletext"/>
              <w:jc w:val="center"/>
              <w:rPr>
                <w:rFonts w:ascii="Calibri" w:hAnsi="Calibri"/>
                <w:lang w:eastAsia="en-AU"/>
              </w:rPr>
            </w:pPr>
            <w:r w:rsidRPr="0040102B">
              <w:t>146.6</w:t>
            </w:r>
          </w:p>
        </w:tc>
        <w:tc>
          <w:tcPr>
            <w:tcW w:w="735" w:type="pct"/>
            <w:tcBorders>
              <w:top w:val="nil"/>
              <w:left w:val="nil"/>
              <w:bottom w:val="single" w:sz="4" w:space="0" w:color="auto"/>
              <w:right w:val="single" w:sz="4" w:space="0" w:color="auto"/>
            </w:tcBorders>
            <w:shd w:val="clear" w:color="auto" w:fill="auto"/>
            <w:noWrap/>
            <w:vAlign w:val="center"/>
            <w:hideMark/>
          </w:tcPr>
          <w:p w14:paraId="7B31BB55" w14:textId="77BE6D34" w:rsidR="00A018DC" w:rsidRPr="00A91A55" w:rsidRDefault="00CF1D54" w:rsidP="00312856">
            <w:pPr>
              <w:pStyle w:val="Tabletext"/>
              <w:jc w:val="center"/>
              <w:rPr>
                <w:rFonts w:ascii="Calibri" w:hAnsi="Calibri"/>
                <w:lang w:eastAsia="en-AU"/>
              </w:rPr>
            </w:pPr>
            <w:r w:rsidRPr="0040102B">
              <w:t>162.1</w:t>
            </w:r>
          </w:p>
        </w:tc>
        <w:tc>
          <w:tcPr>
            <w:tcW w:w="735" w:type="pct"/>
            <w:tcBorders>
              <w:top w:val="nil"/>
              <w:left w:val="nil"/>
              <w:bottom w:val="single" w:sz="4" w:space="0" w:color="auto"/>
              <w:right w:val="single" w:sz="4" w:space="0" w:color="auto"/>
            </w:tcBorders>
            <w:shd w:val="clear" w:color="auto" w:fill="auto"/>
            <w:noWrap/>
            <w:vAlign w:val="center"/>
            <w:hideMark/>
          </w:tcPr>
          <w:p w14:paraId="3DECB393" w14:textId="7612FA95" w:rsidR="00A018DC" w:rsidRPr="00A91A55" w:rsidRDefault="00CF1D54" w:rsidP="00312856">
            <w:pPr>
              <w:pStyle w:val="Tabletext"/>
              <w:jc w:val="center"/>
              <w:rPr>
                <w:rFonts w:ascii="Calibri" w:hAnsi="Calibri"/>
                <w:lang w:eastAsia="en-AU"/>
              </w:rPr>
            </w:pPr>
            <w:r w:rsidRPr="0040102B">
              <w:t>90.3</w:t>
            </w:r>
          </w:p>
        </w:tc>
        <w:tc>
          <w:tcPr>
            <w:tcW w:w="736" w:type="pct"/>
            <w:tcBorders>
              <w:top w:val="nil"/>
              <w:left w:val="nil"/>
              <w:bottom w:val="single" w:sz="4" w:space="0" w:color="auto"/>
              <w:right w:val="single" w:sz="4" w:space="0" w:color="auto"/>
            </w:tcBorders>
            <w:shd w:val="clear" w:color="auto" w:fill="auto"/>
            <w:noWrap/>
            <w:vAlign w:val="center"/>
            <w:hideMark/>
          </w:tcPr>
          <w:p w14:paraId="3CB1E672" w14:textId="7291C00A" w:rsidR="00A018DC" w:rsidRPr="00A91A55" w:rsidRDefault="00CF1D54" w:rsidP="00312856">
            <w:pPr>
              <w:pStyle w:val="Tabletext"/>
              <w:jc w:val="center"/>
              <w:rPr>
                <w:rFonts w:ascii="Calibri" w:hAnsi="Calibri"/>
                <w:lang w:eastAsia="en-AU"/>
              </w:rPr>
            </w:pPr>
            <w:r w:rsidRPr="0040102B">
              <w:t>76.5</w:t>
            </w:r>
          </w:p>
        </w:tc>
        <w:tc>
          <w:tcPr>
            <w:tcW w:w="735" w:type="pct"/>
            <w:tcBorders>
              <w:top w:val="nil"/>
              <w:left w:val="nil"/>
              <w:bottom w:val="single" w:sz="4" w:space="0" w:color="auto"/>
              <w:right w:val="single" w:sz="4" w:space="0" w:color="auto"/>
            </w:tcBorders>
            <w:vAlign w:val="center"/>
          </w:tcPr>
          <w:p w14:paraId="106471F6" w14:textId="64D6EDEF" w:rsidR="00A018DC" w:rsidRDefault="00CF1D54" w:rsidP="00312856">
            <w:pPr>
              <w:pStyle w:val="Tabletext"/>
              <w:jc w:val="center"/>
            </w:pPr>
            <w:r w:rsidRPr="0040102B">
              <w:t>59.8</w:t>
            </w:r>
          </w:p>
        </w:tc>
      </w:tr>
      <w:tr w:rsidR="00A018DC" w:rsidRPr="00EA5119" w14:paraId="2CBAAF46" w14:textId="40D02C88" w:rsidTr="004813DB">
        <w:trPr>
          <w:trHeight w:val="314"/>
        </w:trPr>
        <w:tc>
          <w:tcPr>
            <w:tcW w:w="1325" w:type="pct"/>
            <w:tcBorders>
              <w:top w:val="nil"/>
              <w:left w:val="single" w:sz="4" w:space="0" w:color="auto"/>
              <w:bottom w:val="single" w:sz="4" w:space="0" w:color="auto"/>
              <w:right w:val="single" w:sz="4" w:space="0" w:color="auto"/>
            </w:tcBorders>
            <w:shd w:val="clear" w:color="auto" w:fill="auto"/>
            <w:noWrap/>
            <w:hideMark/>
          </w:tcPr>
          <w:p w14:paraId="7BA1BE2D" w14:textId="6483A300" w:rsidR="00A018DC" w:rsidRPr="00A91A55" w:rsidRDefault="00A018DC" w:rsidP="000D0B9B">
            <w:pPr>
              <w:pStyle w:val="Tabletext"/>
              <w:rPr>
                <w:lang w:eastAsia="en-AU"/>
              </w:rPr>
            </w:pPr>
            <w:r w:rsidRPr="0040102B">
              <w:t>Specialist</w:t>
            </w:r>
          </w:p>
        </w:tc>
        <w:tc>
          <w:tcPr>
            <w:tcW w:w="735" w:type="pct"/>
            <w:tcBorders>
              <w:top w:val="nil"/>
              <w:left w:val="nil"/>
              <w:bottom w:val="single" w:sz="4" w:space="0" w:color="auto"/>
              <w:right w:val="single" w:sz="4" w:space="0" w:color="auto"/>
            </w:tcBorders>
            <w:shd w:val="clear" w:color="auto" w:fill="auto"/>
            <w:noWrap/>
            <w:vAlign w:val="center"/>
            <w:hideMark/>
          </w:tcPr>
          <w:p w14:paraId="19AFAA76" w14:textId="43E973A7" w:rsidR="00A018DC" w:rsidRPr="00A91A55" w:rsidRDefault="00A018DC" w:rsidP="00312856">
            <w:pPr>
              <w:pStyle w:val="Tabletext"/>
              <w:jc w:val="center"/>
              <w:rPr>
                <w:rFonts w:ascii="Calibri" w:hAnsi="Calibri"/>
                <w:lang w:eastAsia="en-AU"/>
              </w:rPr>
            </w:pPr>
            <w:r>
              <w:t>1.1</w:t>
            </w:r>
          </w:p>
        </w:tc>
        <w:tc>
          <w:tcPr>
            <w:tcW w:w="735" w:type="pct"/>
            <w:tcBorders>
              <w:top w:val="nil"/>
              <w:left w:val="nil"/>
              <w:bottom w:val="single" w:sz="4" w:space="0" w:color="auto"/>
              <w:right w:val="single" w:sz="4" w:space="0" w:color="auto"/>
            </w:tcBorders>
            <w:shd w:val="clear" w:color="auto" w:fill="auto"/>
            <w:noWrap/>
            <w:vAlign w:val="center"/>
            <w:hideMark/>
          </w:tcPr>
          <w:p w14:paraId="032B38A7" w14:textId="109CD4AB" w:rsidR="00A018DC" w:rsidRPr="00A91A55" w:rsidRDefault="00CF1D54" w:rsidP="00312856">
            <w:pPr>
              <w:pStyle w:val="Tabletext"/>
              <w:jc w:val="center"/>
              <w:rPr>
                <w:rFonts w:ascii="Calibri" w:hAnsi="Calibri"/>
                <w:lang w:eastAsia="en-AU"/>
              </w:rPr>
            </w:pPr>
            <w:r w:rsidRPr="0040102B">
              <w:t>0.5</w:t>
            </w:r>
          </w:p>
        </w:tc>
        <w:tc>
          <w:tcPr>
            <w:tcW w:w="735" w:type="pct"/>
            <w:tcBorders>
              <w:top w:val="nil"/>
              <w:left w:val="nil"/>
              <w:bottom w:val="single" w:sz="4" w:space="0" w:color="auto"/>
              <w:right w:val="single" w:sz="4" w:space="0" w:color="auto"/>
            </w:tcBorders>
            <w:shd w:val="clear" w:color="auto" w:fill="auto"/>
            <w:noWrap/>
            <w:vAlign w:val="center"/>
            <w:hideMark/>
          </w:tcPr>
          <w:p w14:paraId="2C291298" w14:textId="29C8C615" w:rsidR="00A018DC" w:rsidRPr="00A91A55" w:rsidRDefault="00A018DC" w:rsidP="00312856">
            <w:pPr>
              <w:pStyle w:val="Tabletext"/>
              <w:jc w:val="center"/>
              <w:rPr>
                <w:rFonts w:ascii="Calibri" w:hAnsi="Calibri"/>
                <w:lang w:eastAsia="en-AU"/>
              </w:rPr>
            </w:pPr>
            <w:r>
              <w:t>0.</w:t>
            </w:r>
            <w:r w:rsidR="00CF1D54" w:rsidRPr="0040102B">
              <w:t>8</w:t>
            </w:r>
          </w:p>
        </w:tc>
        <w:tc>
          <w:tcPr>
            <w:tcW w:w="736" w:type="pct"/>
            <w:tcBorders>
              <w:top w:val="nil"/>
              <w:left w:val="nil"/>
              <w:bottom w:val="single" w:sz="4" w:space="0" w:color="auto"/>
              <w:right w:val="single" w:sz="4" w:space="0" w:color="auto"/>
            </w:tcBorders>
            <w:shd w:val="clear" w:color="auto" w:fill="auto"/>
            <w:noWrap/>
            <w:vAlign w:val="center"/>
            <w:hideMark/>
          </w:tcPr>
          <w:p w14:paraId="3EBB2657" w14:textId="0E3318F7" w:rsidR="00A018DC" w:rsidRPr="00A91A55" w:rsidRDefault="00CF1D54" w:rsidP="00312856">
            <w:pPr>
              <w:pStyle w:val="Tabletext"/>
              <w:jc w:val="center"/>
              <w:rPr>
                <w:rFonts w:ascii="Calibri" w:hAnsi="Calibri"/>
                <w:lang w:eastAsia="en-AU"/>
              </w:rPr>
            </w:pPr>
            <w:r w:rsidRPr="0040102B">
              <w:t>1.1</w:t>
            </w:r>
          </w:p>
        </w:tc>
        <w:tc>
          <w:tcPr>
            <w:tcW w:w="735" w:type="pct"/>
            <w:tcBorders>
              <w:top w:val="nil"/>
              <w:left w:val="nil"/>
              <w:bottom w:val="single" w:sz="4" w:space="0" w:color="auto"/>
              <w:right w:val="single" w:sz="4" w:space="0" w:color="auto"/>
            </w:tcBorders>
            <w:vAlign w:val="center"/>
          </w:tcPr>
          <w:p w14:paraId="0D4938D2" w14:textId="24B3CF76" w:rsidR="00A018DC" w:rsidRDefault="00CF1D54" w:rsidP="00312856">
            <w:pPr>
              <w:pStyle w:val="Tabletext"/>
              <w:jc w:val="center"/>
            </w:pPr>
            <w:r w:rsidRPr="0040102B">
              <w:t>10</w:t>
            </w:r>
            <w:r w:rsidR="00A018DC">
              <w:t>.0</w:t>
            </w:r>
          </w:p>
        </w:tc>
      </w:tr>
      <w:tr w:rsidR="00A018DC" w:rsidRPr="00EA5119" w14:paraId="1C3C52FD" w14:textId="0DF41C18" w:rsidTr="004813DB">
        <w:trPr>
          <w:trHeight w:val="314"/>
        </w:trPr>
        <w:tc>
          <w:tcPr>
            <w:tcW w:w="1325" w:type="pct"/>
            <w:tcBorders>
              <w:top w:val="nil"/>
              <w:left w:val="single" w:sz="4" w:space="0" w:color="auto"/>
              <w:bottom w:val="single" w:sz="4" w:space="0" w:color="auto"/>
              <w:right w:val="single" w:sz="4" w:space="0" w:color="auto"/>
            </w:tcBorders>
            <w:shd w:val="clear" w:color="auto" w:fill="auto"/>
            <w:noWrap/>
            <w:hideMark/>
          </w:tcPr>
          <w:p w14:paraId="10E2D7D7" w14:textId="7D3C79C5" w:rsidR="00A018DC" w:rsidRPr="00D55654" w:rsidRDefault="00A018DC" w:rsidP="000D0B9B">
            <w:pPr>
              <w:pStyle w:val="Tabletext"/>
              <w:rPr>
                <w:b/>
                <w:bCs/>
                <w:lang w:eastAsia="en-AU"/>
              </w:rPr>
            </w:pPr>
            <w:r w:rsidRPr="0040102B">
              <w:t>Total</w:t>
            </w:r>
          </w:p>
        </w:tc>
        <w:tc>
          <w:tcPr>
            <w:tcW w:w="735" w:type="pct"/>
            <w:tcBorders>
              <w:top w:val="nil"/>
              <w:left w:val="nil"/>
              <w:bottom w:val="single" w:sz="4" w:space="0" w:color="auto"/>
              <w:right w:val="single" w:sz="4" w:space="0" w:color="auto"/>
            </w:tcBorders>
            <w:shd w:val="clear" w:color="auto" w:fill="auto"/>
            <w:noWrap/>
            <w:vAlign w:val="center"/>
            <w:hideMark/>
          </w:tcPr>
          <w:p w14:paraId="49C4ACF2" w14:textId="7DC5D7CC" w:rsidR="00A018DC" w:rsidRPr="00D55654" w:rsidRDefault="00CF1D54" w:rsidP="00312856">
            <w:pPr>
              <w:pStyle w:val="Tabletext"/>
              <w:jc w:val="center"/>
              <w:rPr>
                <w:rFonts w:ascii="Calibri" w:hAnsi="Calibri"/>
                <w:b/>
                <w:bCs/>
                <w:lang w:eastAsia="en-AU"/>
              </w:rPr>
            </w:pPr>
            <w:r w:rsidRPr="0040102B">
              <w:t>22.7</w:t>
            </w:r>
          </w:p>
        </w:tc>
        <w:tc>
          <w:tcPr>
            <w:tcW w:w="735" w:type="pct"/>
            <w:tcBorders>
              <w:top w:val="nil"/>
              <w:left w:val="nil"/>
              <w:bottom w:val="single" w:sz="4" w:space="0" w:color="auto"/>
              <w:right w:val="single" w:sz="4" w:space="0" w:color="auto"/>
            </w:tcBorders>
            <w:shd w:val="clear" w:color="auto" w:fill="auto"/>
            <w:noWrap/>
            <w:vAlign w:val="center"/>
            <w:hideMark/>
          </w:tcPr>
          <w:p w14:paraId="192BA512" w14:textId="287EE0D9" w:rsidR="00A018DC" w:rsidRPr="00D55654" w:rsidRDefault="00CF1D54" w:rsidP="00312856">
            <w:pPr>
              <w:pStyle w:val="Tabletext"/>
              <w:jc w:val="center"/>
              <w:rPr>
                <w:rFonts w:ascii="Calibri" w:hAnsi="Calibri"/>
                <w:b/>
                <w:bCs/>
                <w:lang w:eastAsia="en-AU"/>
              </w:rPr>
            </w:pPr>
            <w:r w:rsidRPr="0040102B">
              <w:t>25</w:t>
            </w:r>
            <w:r w:rsidR="00A018DC" w:rsidRPr="0040102B">
              <w:t>.8</w:t>
            </w:r>
          </w:p>
        </w:tc>
        <w:tc>
          <w:tcPr>
            <w:tcW w:w="735" w:type="pct"/>
            <w:tcBorders>
              <w:top w:val="nil"/>
              <w:left w:val="nil"/>
              <w:bottom w:val="single" w:sz="4" w:space="0" w:color="auto"/>
              <w:right w:val="single" w:sz="4" w:space="0" w:color="auto"/>
            </w:tcBorders>
            <w:shd w:val="clear" w:color="auto" w:fill="auto"/>
            <w:noWrap/>
            <w:vAlign w:val="center"/>
            <w:hideMark/>
          </w:tcPr>
          <w:p w14:paraId="3A685F42" w14:textId="484F7ACF" w:rsidR="00A018DC" w:rsidRPr="00D55654" w:rsidRDefault="00CF1D54" w:rsidP="00312856">
            <w:pPr>
              <w:pStyle w:val="Tabletext"/>
              <w:jc w:val="center"/>
              <w:rPr>
                <w:rFonts w:ascii="Calibri" w:hAnsi="Calibri"/>
                <w:b/>
                <w:bCs/>
                <w:lang w:eastAsia="en-AU"/>
              </w:rPr>
            </w:pPr>
            <w:r w:rsidRPr="0040102B">
              <w:t>20.7</w:t>
            </w:r>
          </w:p>
        </w:tc>
        <w:tc>
          <w:tcPr>
            <w:tcW w:w="736" w:type="pct"/>
            <w:tcBorders>
              <w:top w:val="nil"/>
              <w:left w:val="nil"/>
              <w:bottom w:val="single" w:sz="4" w:space="0" w:color="auto"/>
              <w:right w:val="single" w:sz="4" w:space="0" w:color="auto"/>
            </w:tcBorders>
            <w:shd w:val="clear" w:color="auto" w:fill="auto"/>
            <w:noWrap/>
            <w:vAlign w:val="center"/>
            <w:hideMark/>
          </w:tcPr>
          <w:p w14:paraId="511B37E6" w14:textId="78B065DC" w:rsidR="00A018DC" w:rsidRPr="00D55654" w:rsidRDefault="00CF1D54" w:rsidP="00312856">
            <w:pPr>
              <w:pStyle w:val="Tabletext"/>
              <w:jc w:val="center"/>
              <w:rPr>
                <w:rFonts w:ascii="Calibri" w:hAnsi="Calibri"/>
                <w:b/>
                <w:bCs/>
                <w:lang w:eastAsia="en-AU"/>
              </w:rPr>
            </w:pPr>
            <w:r w:rsidRPr="0040102B">
              <w:t>20.9</w:t>
            </w:r>
          </w:p>
        </w:tc>
        <w:tc>
          <w:tcPr>
            <w:tcW w:w="735" w:type="pct"/>
            <w:tcBorders>
              <w:top w:val="nil"/>
              <w:left w:val="nil"/>
              <w:bottom w:val="single" w:sz="4" w:space="0" w:color="auto"/>
              <w:right w:val="single" w:sz="4" w:space="0" w:color="auto"/>
            </w:tcBorders>
            <w:vAlign w:val="center"/>
          </w:tcPr>
          <w:p w14:paraId="68E66CE1" w14:textId="23D63745" w:rsidR="00A018DC" w:rsidRPr="00D55654" w:rsidRDefault="00CF1D54" w:rsidP="00312856">
            <w:pPr>
              <w:pStyle w:val="Tabletext"/>
              <w:jc w:val="center"/>
              <w:rPr>
                <w:b/>
                <w:bCs/>
              </w:rPr>
            </w:pPr>
            <w:r w:rsidRPr="0040102B">
              <w:t>19.8</w:t>
            </w:r>
          </w:p>
        </w:tc>
      </w:tr>
    </w:tbl>
    <w:p w14:paraId="66227F8D" w14:textId="0817ABF6" w:rsidR="00381B2F" w:rsidRPr="00A83DB5" w:rsidRDefault="00381B2F" w:rsidP="00643556">
      <w:pPr>
        <w:pStyle w:val="Bodyaftertable"/>
      </w:pPr>
      <w:r>
        <w:t>Physical</w:t>
      </w:r>
      <w:r w:rsidR="00C94702">
        <w:t xml:space="preserve"> only </w:t>
      </w:r>
      <w:r>
        <w:t xml:space="preserve">restraint accounted for </w:t>
      </w:r>
      <w:proofErr w:type="gramStart"/>
      <w:r>
        <w:t>the vast majority of</w:t>
      </w:r>
      <w:proofErr w:type="gramEnd"/>
      <w:r>
        <w:t xml:space="preserve"> instances</w:t>
      </w:r>
      <w:r w:rsidR="00124885">
        <w:t xml:space="preserve"> </w:t>
      </w:r>
      <w:r w:rsidR="00C94702">
        <w:t>of restraint</w:t>
      </w:r>
      <w:r>
        <w:t xml:space="preserve"> (Table </w:t>
      </w:r>
      <w:r w:rsidR="60058D43">
        <w:t>1</w:t>
      </w:r>
      <w:r w:rsidR="00CC7406">
        <w:t>6</w:t>
      </w:r>
      <w:r>
        <w:t xml:space="preserve">). </w:t>
      </w:r>
      <w:r w:rsidR="00A02BC7">
        <w:t>T</w:t>
      </w:r>
      <w:r>
        <w:t xml:space="preserve">he number of episodes of mechanical restraint </w:t>
      </w:r>
      <w:r w:rsidR="00A02BC7">
        <w:t xml:space="preserve">increased </w:t>
      </w:r>
      <w:r w:rsidR="00882CBB">
        <w:t>in 202</w:t>
      </w:r>
      <w:r w:rsidR="00662CEE">
        <w:t>1</w:t>
      </w:r>
      <w:r w:rsidR="0099684E">
        <w:t>–</w:t>
      </w:r>
      <w:r w:rsidR="00882CBB">
        <w:t>2</w:t>
      </w:r>
      <w:r w:rsidR="00662CEE">
        <w:t>2</w:t>
      </w:r>
      <w:r w:rsidR="000B18DE">
        <w:t>.</w:t>
      </w:r>
    </w:p>
    <w:p w14:paraId="5484336A" w14:textId="13EDD929" w:rsidR="00381B2F" w:rsidRDefault="00381B2F" w:rsidP="000D0B9B">
      <w:pPr>
        <w:pStyle w:val="Tablecaption"/>
      </w:pPr>
      <w:r>
        <w:t xml:space="preserve">Table </w:t>
      </w:r>
      <w:r w:rsidR="21B90331">
        <w:t>1</w:t>
      </w:r>
      <w:r w:rsidR="00CC7406">
        <w:t>6</w:t>
      </w:r>
      <w:r>
        <w:t>: Type of restraint episodes, 201</w:t>
      </w:r>
      <w:r w:rsidR="00486083">
        <w:t>7</w:t>
      </w:r>
      <w:r>
        <w:t>–1</w:t>
      </w:r>
      <w:r w:rsidR="00486083">
        <w:t>8</w:t>
      </w:r>
      <w:r>
        <w:t xml:space="preserve"> to </w:t>
      </w:r>
      <w:r w:rsidR="007B2175">
        <w:t>202</w:t>
      </w:r>
      <w:r w:rsidR="00CF1D54">
        <w:t>1</w:t>
      </w:r>
      <w:r w:rsidR="007B2175">
        <w:t>–2</w:t>
      </w:r>
      <w:r w:rsidR="00CF1D54">
        <w:t>2</w:t>
      </w:r>
    </w:p>
    <w:tbl>
      <w:tblPr>
        <w:tblW w:w="5000" w:type="pct"/>
        <w:tblLook w:val="04A0" w:firstRow="1" w:lastRow="0" w:firstColumn="1" w:lastColumn="0" w:noHBand="0" w:noVBand="1"/>
      </w:tblPr>
      <w:tblGrid>
        <w:gridCol w:w="3177"/>
        <w:gridCol w:w="1223"/>
        <w:gridCol w:w="1222"/>
        <w:gridCol w:w="1222"/>
        <w:gridCol w:w="1224"/>
        <w:gridCol w:w="1220"/>
      </w:tblGrid>
      <w:tr w:rsidR="00D87D58" w:rsidRPr="00EC75D2" w14:paraId="108DF093" w14:textId="629E28D7" w:rsidTr="00DC5193">
        <w:trPr>
          <w:trHeight w:val="339"/>
          <w:tblHeader/>
        </w:trPr>
        <w:tc>
          <w:tcPr>
            <w:tcW w:w="1710" w:type="pct"/>
            <w:tcBorders>
              <w:top w:val="single" w:sz="4" w:space="0" w:color="auto"/>
              <w:left w:val="single" w:sz="4" w:space="0" w:color="auto"/>
              <w:bottom w:val="single" w:sz="4" w:space="0" w:color="auto"/>
              <w:right w:val="single" w:sz="4" w:space="0" w:color="auto"/>
            </w:tcBorders>
            <w:shd w:val="clear" w:color="auto" w:fill="auto"/>
            <w:noWrap/>
            <w:hideMark/>
          </w:tcPr>
          <w:p w14:paraId="3E15DA47" w14:textId="21769159" w:rsidR="00D87D58" w:rsidRPr="00EC75D2" w:rsidRDefault="00D87D58" w:rsidP="000D0B9B">
            <w:pPr>
              <w:pStyle w:val="Tablecolhead"/>
              <w:rPr>
                <w:lang w:eastAsia="en-AU"/>
              </w:rPr>
            </w:pPr>
            <w:r>
              <w:rPr>
                <w:lang w:eastAsia="en-AU"/>
              </w:rPr>
              <w:t>Restraint type</w:t>
            </w:r>
          </w:p>
        </w:tc>
        <w:tc>
          <w:tcPr>
            <w:tcW w:w="658" w:type="pct"/>
            <w:tcBorders>
              <w:top w:val="single" w:sz="4" w:space="0" w:color="auto"/>
              <w:left w:val="nil"/>
              <w:bottom w:val="single" w:sz="4" w:space="0" w:color="auto"/>
              <w:right w:val="single" w:sz="4" w:space="0" w:color="auto"/>
            </w:tcBorders>
            <w:shd w:val="clear" w:color="auto" w:fill="auto"/>
            <w:noWrap/>
            <w:vAlign w:val="center"/>
            <w:hideMark/>
          </w:tcPr>
          <w:p w14:paraId="735ECDAA" w14:textId="2820969B" w:rsidR="00D87D58" w:rsidRPr="00EC75D2" w:rsidRDefault="00C11B08" w:rsidP="00312856">
            <w:pPr>
              <w:pStyle w:val="Tablecolhead"/>
              <w:jc w:val="center"/>
              <w:rPr>
                <w:lang w:eastAsia="en-AU"/>
              </w:rPr>
            </w:pPr>
            <w:r w:rsidRPr="00312EE0">
              <w:t>2017</w:t>
            </w:r>
            <w:r w:rsidR="00920F37">
              <w:t>–</w:t>
            </w:r>
            <w:r w:rsidRPr="00312EE0">
              <w:t>18</w:t>
            </w:r>
          </w:p>
        </w:tc>
        <w:tc>
          <w:tcPr>
            <w:tcW w:w="658" w:type="pct"/>
            <w:tcBorders>
              <w:top w:val="single" w:sz="4" w:space="0" w:color="auto"/>
              <w:left w:val="nil"/>
              <w:bottom w:val="single" w:sz="4" w:space="0" w:color="auto"/>
              <w:right w:val="single" w:sz="4" w:space="0" w:color="auto"/>
            </w:tcBorders>
            <w:shd w:val="clear" w:color="auto" w:fill="auto"/>
            <w:noWrap/>
            <w:vAlign w:val="center"/>
            <w:hideMark/>
          </w:tcPr>
          <w:p w14:paraId="1704D9F0" w14:textId="053E90E1" w:rsidR="00D87D58" w:rsidRPr="00EC75D2" w:rsidRDefault="00C11B08" w:rsidP="00312856">
            <w:pPr>
              <w:pStyle w:val="Tablecolhead"/>
              <w:jc w:val="center"/>
              <w:rPr>
                <w:lang w:eastAsia="en-AU"/>
              </w:rPr>
            </w:pPr>
            <w:r w:rsidRPr="00312EE0">
              <w:t>2018</w:t>
            </w:r>
            <w:r w:rsidR="00920F37">
              <w:t>–</w:t>
            </w:r>
            <w:r w:rsidRPr="00312EE0">
              <w:t>19</w:t>
            </w:r>
          </w:p>
        </w:tc>
        <w:tc>
          <w:tcPr>
            <w:tcW w:w="658" w:type="pct"/>
            <w:tcBorders>
              <w:top w:val="single" w:sz="4" w:space="0" w:color="auto"/>
              <w:left w:val="nil"/>
              <w:bottom w:val="single" w:sz="4" w:space="0" w:color="auto"/>
              <w:right w:val="single" w:sz="4" w:space="0" w:color="auto"/>
            </w:tcBorders>
            <w:shd w:val="clear" w:color="auto" w:fill="auto"/>
            <w:noWrap/>
            <w:vAlign w:val="center"/>
            <w:hideMark/>
          </w:tcPr>
          <w:p w14:paraId="3029844F" w14:textId="4C48AFAD" w:rsidR="00D87D58" w:rsidRPr="00EC75D2" w:rsidRDefault="00C11B08" w:rsidP="00312856">
            <w:pPr>
              <w:pStyle w:val="Tablecolhead"/>
              <w:jc w:val="center"/>
              <w:rPr>
                <w:lang w:eastAsia="en-AU"/>
              </w:rPr>
            </w:pPr>
            <w:r w:rsidRPr="00312EE0">
              <w:t>2019</w:t>
            </w:r>
            <w:r w:rsidR="00920F37">
              <w:t>–</w:t>
            </w:r>
            <w:r w:rsidRPr="00312EE0">
              <w:t>20</w:t>
            </w:r>
          </w:p>
        </w:tc>
        <w:tc>
          <w:tcPr>
            <w:tcW w:w="659" w:type="pct"/>
            <w:tcBorders>
              <w:top w:val="single" w:sz="4" w:space="0" w:color="auto"/>
              <w:left w:val="nil"/>
              <w:bottom w:val="single" w:sz="4" w:space="0" w:color="auto"/>
              <w:right w:val="single" w:sz="4" w:space="0" w:color="auto"/>
            </w:tcBorders>
            <w:shd w:val="clear" w:color="auto" w:fill="auto"/>
            <w:noWrap/>
            <w:vAlign w:val="center"/>
            <w:hideMark/>
          </w:tcPr>
          <w:p w14:paraId="43C5A669" w14:textId="1B885292" w:rsidR="00D87D58" w:rsidRPr="00EC75D2" w:rsidRDefault="00C11B08" w:rsidP="00312856">
            <w:pPr>
              <w:pStyle w:val="Tablecolhead"/>
              <w:jc w:val="center"/>
              <w:rPr>
                <w:lang w:eastAsia="en-AU"/>
              </w:rPr>
            </w:pPr>
            <w:r w:rsidRPr="00312EE0">
              <w:t>2020</w:t>
            </w:r>
            <w:r w:rsidR="00920F37">
              <w:t>–</w:t>
            </w:r>
            <w:r w:rsidRPr="00312EE0">
              <w:t>21</w:t>
            </w:r>
          </w:p>
        </w:tc>
        <w:tc>
          <w:tcPr>
            <w:tcW w:w="658" w:type="pct"/>
            <w:tcBorders>
              <w:top w:val="single" w:sz="4" w:space="0" w:color="auto"/>
              <w:left w:val="nil"/>
              <w:bottom w:val="single" w:sz="4" w:space="0" w:color="auto"/>
              <w:right w:val="single" w:sz="4" w:space="0" w:color="auto"/>
            </w:tcBorders>
            <w:vAlign w:val="center"/>
          </w:tcPr>
          <w:p w14:paraId="68919CCA" w14:textId="57D472E5" w:rsidR="00D87D58" w:rsidRPr="00EC75D2" w:rsidRDefault="00C11B08" w:rsidP="00312856">
            <w:pPr>
              <w:pStyle w:val="Tablecolhead"/>
              <w:jc w:val="center"/>
              <w:rPr>
                <w:lang w:eastAsia="en-AU"/>
              </w:rPr>
            </w:pPr>
            <w:r w:rsidRPr="00312EE0">
              <w:t>2021</w:t>
            </w:r>
            <w:r w:rsidR="00920F37">
              <w:t>–</w:t>
            </w:r>
            <w:r w:rsidRPr="00312EE0">
              <w:t>22</w:t>
            </w:r>
          </w:p>
        </w:tc>
      </w:tr>
      <w:tr w:rsidR="001915AA" w:rsidRPr="00EC75D2" w14:paraId="1B382029" w14:textId="59143508" w:rsidTr="00DC5193">
        <w:trPr>
          <w:trHeight w:val="339"/>
        </w:trPr>
        <w:tc>
          <w:tcPr>
            <w:tcW w:w="1710" w:type="pct"/>
            <w:tcBorders>
              <w:top w:val="nil"/>
              <w:left w:val="single" w:sz="4" w:space="0" w:color="auto"/>
              <w:bottom w:val="single" w:sz="4" w:space="0" w:color="auto"/>
              <w:right w:val="single" w:sz="4" w:space="0" w:color="auto"/>
            </w:tcBorders>
            <w:shd w:val="clear" w:color="auto" w:fill="auto"/>
            <w:noWrap/>
            <w:hideMark/>
          </w:tcPr>
          <w:p w14:paraId="3052F67E" w14:textId="0C489C74" w:rsidR="001915AA" w:rsidRPr="00EC75D2" w:rsidRDefault="001915AA" w:rsidP="000D0B9B">
            <w:pPr>
              <w:pStyle w:val="Tabletext"/>
              <w:rPr>
                <w:lang w:eastAsia="en-AU"/>
              </w:rPr>
            </w:pPr>
            <w:r w:rsidRPr="00312EE0">
              <w:t>Mechanical and physical</w:t>
            </w:r>
          </w:p>
        </w:tc>
        <w:tc>
          <w:tcPr>
            <w:tcW w:w="658" w:type="pct"/>
            <w:tcBorders>
              <w:top w:val="nil"/>
              <w:left w:val="nil"/>
              <w:bottom w:val="single" w:sz="4" w:space="0" w:color="auto"/>
              <w:right w:val="single" w:sz="4" w:space="0" w:color="auto"/>
            </w:tcBorders>
            <w:shd w:val="clear" w:color="auto" w:fill="auto"/>
            <w:noWrap/>
            <w:vAlign w:val="center"/>
            <w:hideMark/>
          </w:tcPr>
          <w:p w14:paraId="65D83196" w14:textId="6D8FEB17" w:rsidR="001915AA" w:rsidRPr="00EC75D2" w:rsidRDefault="00C11B08" w:rsidP="00312856">
            <w:pPr>
              <w:pStyle w:val="Tabletext"/>
              <w:jc w:val="center"/>
              <w:rPr>
                <w:lang w:eastAsia="en-AU"/>
              </w:rPr>
            </w:pPr>
            <w:r w:rsidRPr="00312EE0">
              <w:t>167</w:t>
            </w:r>
          </w:p>
        </w:tc>
        <w:tc>
          <w:tcPr>
            <w:tcW w:w="658" w:type="pct"/>
            <w:tcBorders>
              <w:top w:val="nil"/>
              <w:left w:val="nil"/>
              <w:bottom w:val="single" w:sz="4" w:space="0" w:color="auto"/>
              <w:right w:val="single" w:sz="4" w:space="0" w:color="auto"/>
            </w:tcBorders>
            <w:shd w:val="clear" w:color="auto" w:fill="auto"/>
            <w:noWrap/>
            <w:vAlign w:val="center"/>
            <w:hideMark/>
          </w:tcPr>
          <w:p w14:paraId="31F3296D" w14:textId="7BD3F4B6" w:rsidR="001915AA" w:rsidRPr="00EC75D2" w:rsidRDefault="00C11B08" w:rsidP="00312856">
            <w:pPr>
              <w:pStyle w:val="Tabletext"/>
              <w:jc w:val="center"/>
              <w:rPr>
                <w:lang w:eastAsia="en-AU"/>
              </w:rPr>
            </w:pPr>
            <w:r w:rsidRPr="00312EE0">
              <w:t>115</w:t>
            </w:r>
          </w:p>
        </w:tc>
        <w:tc>
          <w:tcPr>
            <w:tcW w:w="658" w:type="pct"/>
            <w:tcBorders>
              <w:top w:val="nil"/>
              <w:left w:val="nil"/>
              <w:bottom w:val="single" w:sz="4" w:space="0" w:color="auto"/>
              <w:right w:val="single" w:sz="4" w:space="0" w:color="auto"/>
            </w:tcBorders>
            <w:shd w:val="clear" w:color="auto" w:fill="auto"/>
            <w:noWrap/>
            <w:vAlign w:val="center"/>
            <w:hideMark/>
          </w:tcPr>
          <w:p w14:paraId="5888FD95" w14:textId="32B308B7" w:rsidR="001915AA" w:rsidRPr="00EC75D2" w:rsidRDefault="00C11B08" w:rsidP="00312856">
            <w:pPr>
              <w:pStyle w:val="Tabletext"/>
              <w:jc w:val="center"/>
              <w:rPr>
                <w:lang w:eastAsia="en-AU"/>
              </w:rPr>
            </w:pPr>
            <w:r w:rsidRPr="00312EE0">
              <w:t>113</w:t>
            </w:r>
          </w:p>
        </w:tc>
        <w:tc>
          <w:tcPr>
            <w:tcW w:w="659" w:type="pct"/>
            <w:tcBorders>
              <w:top w:val="nil"/>
              <w:left w:val="nil"/>
              <w:bottom w:val="single" w:sz="4" w:space="0" w:color="auto"/>
              <w:right w:val="single" w:sz="4" w:space="0" w:color="auto"/>
            </w:tcBorders>
            <w:shd w:val="clear" w:color="auto" w:fill="auto"/>
            <w:noWrap/>
            <w:vAlign w:val="center"/>
            <w:hideMark/>
          </w:tcPr>
          <w:p w14:paraId="1A7525CE" w14:textId="62C39D8F" w:rsidR="001915AA" w:rsidRPr="00EC75D2" w:rsidRDefault="00C11B08" w:rsidP="00312856">
            <w:pPr>
              <w:pStyle w:val="Tabletext"/>
              <w:jc w:val="center"/>
              <w:rPr>
                <w:lang w:eastAsia="en-AU"/>
              </w:rPr>
            </w:pPr>
            <w:r w:rsidRPr="00312EE0">
              <w:t>102</w:t>
            </w:r>
          </w:p>
        </w:tc>
        <w:tc>
          <w:tcPr>
            <w:tcW w:w="658" w:type="pct"/>
            <w:tcBorders>
              <w:top w:val="nil"/>
              <w:left w:val="nil"/>
              <w:bottom w:val="single" w:sz="4" w:space="0" w:color="auto"/>
              <w:right w:val="single" w:sz="4" w:space="0" w:color="auto"/>
            </w:tcBorders>
            <w:vAlign w:val="center"/>
          </w:tcPr>
          <w:p w14:paraId="77435349" w14:textId="2A375E0F" w:rsidR="001915AA" w:rsidRDefault="00C11B08" w:rsidP="00312856">
            <w:pPr>
              <w:pStyle w:val="Tabletext"/>
              <w:jc w:val="center"/>
            </w:pPr>
            <w:r w:rsidRPr="00312EE0">
              <w:t>79</w:t>
            </w:r>
          </w:p>
        </w:tc>
      </w:tr>
      <w:tr w:rsidR="001915AA" w:rsidRPr="00EC75D2" w14:paraId="3C6D8291" w14:textId="3BB72769" w:rsidTr="00DC5193">
        <w:trPr>
          <w:trHeight w:val="339"/>
        </w:trPr>
        <w:tc>
          <w:tcPr>
            <w:tcW w:w="1710" w:type="pct"/>
            <w:tcBorders>
              <w:top w:val="nil"/>
              <w:left w:val="single" w:sz="4" w:space="0" w:color="auto"/>
              <w:bottom w:val="single" w:sz="4" w:space="0" w:color="auto"/>
              <w:right w:val="single" w:sz="4" w:space="0" w:color="auto"/>
            </w:tcBorders>
            <w:shd w:val="clear" w:color="auto" w:fill="auto"/>
            <w:noWrap/>
            <w:hideMark/>
          </w:tcPr>
          <w:p w14:paraId="533693F1" w14:textId="2EFCE09B" w:rsidR="001915AA" w:rsidRPr="00EC75D2" w:rsidRDefault="001915AA" w:rsidP="000D0B9B">
            <w:pPr>
              <w:pStyle w:val="Tabletext"/>
              <w:rPr>
                <w:lang w:eastAsia="en-AU"/>
              </w:rPr>
            </w:pPr>
            <w:r w:rsidRPr="00312EE0">
              <w:t>Mechanical only</w:t>
            </w:r>
          </w:p>
        </w:tc>
        <w:tc>
          <w:tcPr>
            <w:tcW w:w="658" w:type="pct"/>
            <w:tcBorders>
              <w:top w:val="nil"/>
              <w:left w:val="nil"/>
              <w:bottom w:val="single" w:sz="4" w:space="0" w:color="auto"/>
              <w:right w:val="single" w:sz="4" w:space="0" w:color="auto"/>
            </w:tcBorders>
            <w:shd w:val="clear" w:color="auto" w:fill="auto"/>
            <w:noWrap/>
            <w:vAlign w:val="center"/>
            <w:hideMark/>
          </w:tcPr>
          <w:p w14:paraId="11906A3B" w14:textId="17CE449A" w:rsidR="001915AA" w:rsidRPr="00EC75D2" w:rsidRDefault="00C11B08" w:rsidP="00312856">
            <w:pPr>
              <w:pStyle w:val="Tabletext"/>
              <w:jc w:val="center"/>
              <w:rPr>
                <w:lang w:eastAsia="en-AU"/>
              </w:rPr>
            </w:pPr>
            <w:r w:rsidRPr="00312EE0">
              <w:t>339</w:t>
            </w:r>
          </w:p>
        </w:tc>
        <w:tc>
          <w:tcPr>
            <w:tcW w:w="658" w:type="pct"/>
            <w:tcBorders>
              <w:top w:val="nil"/>
              <w:left w:val="nil"/>
              <w:bottom w:val="single" w:sz="4" w:space="0" w:color="auto"/>
              <w:right w:val="single" w:sz="4" w:space="0" w:color="auto"/>
            </w:tcBorders>
            <w:shd w:val="clear" w:color="auto" w:fill="auto"/>
            <w:noWrap/>
            <w:vAlign w:val="center"/>
            <w:hideMark/>
          </w:tcPr>
          <w:p w14:paraId="6C481825" w14:textId="7F17EA03" w:rsidR="001915AA" w:rsidRPr="00EC75D2" w:rsidRDefault="00C11B08" w:rsidP="00312856">
            <w:pPr>
              <w:pStyle w:val="Tabletext"/>
              <w:jc w:val="center"/>
              <w:rPr>
                <w:lang w:eastAsia="en-AU"/>
              </w:rPr>
            </w:pPr>
            <w:r w:rsidRPr="00312EE0">
              <w:t>381</w:t>
            </w:r>
          </w:p>
        </w:tc>
        <w:tc>
          <w:tcPr>
            <w:tcW w:w="658" w:type="pct"/>
            <w:tcBorders>
              <w:top w:val="nil"/>
              <w:left w:val="nil"/>
              <w:bottom w:val="single" w:sz="4" w:space="0" w:color="auto"/>
              <w:right w:val="single" w:sz="4" w:space="0" w:color="auto"/>
            </w:tcBorders>
            <w:shd w:val="clear" w:color="auto" w:fill="auto"/>
            <w:noWrap/>
            <w:vAlign w:val="center"/>
            <w:hideMark/>
          </w:tcPr>
          <w:p w14:paraId="24D344EB" w14:textId="72C9D044" w:rsidR="001915AA" w:rsidRPr="00EC75D2" w:rsidRDefault="00C11B08" w:rsidP="00312856">
            <w:pPr>
              <w:pStyle w:val="Tabletext"/>
              <w:jc w:val="center"/>
              <w:rPr>
                <w:lang w:eastAsia="en-AU"/>
              </w:rPr>
            </w:pPr>
            <w:r w:rsidRPr="00312EE0">
              <w:t>399</w:t>
            </w:r>
          </w:p>
        </w:tc>
        <w:tc>
          <w:tcPr>
            <w:tcW w:w="659" w:type="pct"/>
            <w:tcBorders>
              <w:top w:val="nil"/>
              <w:left w:val="nil"/>
              <w:bottom w:val="single" w:sz="4" w:space="0" w:color="auto"/>
              <w:right w:val="single" w:sz="4" w:space="0" w:color="auto"/>
            </w:tcBorders>
            <w:shd w:val="clear" w:color="auto" w:fill="auto"/>
            <w:noWrap/>
            <w:vAlign w:val="center"/>
            <w:hideMark/>
          </w:tcPr>
          <w:p w14:paraId="5807C06A" w14:textId="3352EF82" w:rsidR="001915AA" w:rsidRPr="00EC75D2" w:rsidRDefault="00C11B08" w:rsidP="00312856">
            <w:pPr>
              <w:pStyle w:val="Tabletext"/>
              <w:jc w:val="center"/>
              <w:rPr>
                <w:lang w:eastAsia="en-AU"/>
              </w:rPr>
            </w:pPr>
            <w:r w:rsidRPr="00312EE0">
              <w:t>394</w:t>
            </w:r>
          </w:p>
        </w:tc>
        <w:tc>
          <w:tcPr>
            <w:tcW w:w="658" w:type="pct"/>
            <w:tcBorders>
              <w:top w:val="nil"/>
              <w:left w:val="nil"/>
              <w:bottom w:val="single" w:sz="4" w:space="0" w:color="auto"/>
              <w:right w:val="single" w:sz="4" w:space="0" w:color="auto"/>
            </w:tcBorders>
            <w:vAlign w:val="center"/>
          </w:tcPr>
          <w:p w14:paraId="7C6FC1CE" w14:textId="19420E42" w:rsidR="001915AA" w:rsidRDefault="00C11B08" w:rsidP="00312856">
            <w:pPr>
              <w:pStyle w:val="Tabletext"/>
              <w:jc w:val="center"/>
            </w:pPr>
            <w:r w:rsidRPr="00312EE0">
              <w:t>561</w:t>
            </w:r>
          </w:p>
        </w:tc>
      </w:tr>
      <w:tr w:rsidR="001915AA" w:rsidRPr="00EC75D2" w14:paraId="5BDFE853" w14:textId="171F32A0" w:rsidTr="00DC5193">
        <w:trPr>
          <w:trHeight w:val="339"/>
        </w:trPr>
        <w:tc>
          <w:tcPr>
            <w:tcW w:w="1710" w:type="pct"/>
            <w:tcBorders>
              <w:top w:val="nil"/>
              <w:left w:val="single" w:sz="4" w:space="0" w:color="auto"/>
              <w:bottom w:val="single" w:sz="4" w:space="0" w:color="auto"/>
              <w:right w:val="single" w:sz="4" w:space="0" w:color="auto"/>
            </w:tcBorders>
            <w:shd w:val="clear" w:color="auto" w:fill="auto"/>
            <w:noWrap/>
            <w:hideMark/>
          </w:tcPr>
          <w:p w14:paraId="5036C945" w14:textId="57C4EEC0" w:rsidR="001915AA" w:rsidRPr="00EC75D2" w:rsidRDefault="001915AA" w:rsidP="000D0B9B">
            <w:pPr>
              <w:pStyle w:val="Tabletext"/>
              <w:rPr>
                <w:lang w:eastAsia="en-AU"/>
              </w:rPr>
            </w:pPr>
            <w:r w:rsidRPr="00312EE0">
              <w:t>Physical only</w:t>
            </w:r>
          </w:p>
        </w:tc>
        <w:tc>
          <w:tcPr>
            <w:tcW w:w="658" w:type="pct"/>
            <w:tcBorders>
              <w:top w:val="nil"/>
              <w:left w:val="nil"/>
              <w:bottom w:val="single" w:sz="4" w:space="0" w:color="auto"/>
              <w:right w:val="single" w:sz="4" w:space="0" w:color="auto"/>
            </w:tcBorders>
            <w:shd w:val="clear" w:color="auto" w:fill="auto"/>
            <w:noWrap/>
            <w:vAlign w:val="center"/>
            <w:hideMark/>
          </w:tcPr>
          <w:p w14:paraId="488F322B" w14:textId="182CCDCD" w:rsidR="001915AA" w:rsidRPr="00EC75D2" w:rsidRDefault="00C11B08" w:rsidP="00312856">
            <w:pPr>
              <w:pStyle w:val="Tabletext"/>
              <w:jc w:val="center"/>
              <w:rPr>
                <w:lang w:eastAsia="en-AU"/>
              </w:rPr>
            </w:pPr>
            <w:r w:rsidRPr="00312EE0">
              <w:t>8,316</w:t>
            </w:r>
          </w:p>
        </w:tc>
        <w:tc>
          <w:tcPr>
            <w:tcW w:w="658" w:type="pct"/>
            <w:tcBorders>
              <w:top w:val="nil"/>
              <w:left w:val="nil"/>
              <w:bottom w:val="single" w:sz="4" w:space="0" w:color="auto"/>
              <w:right w:val="single" w:sz="4" w:space="0" w:color="auto"/>
            </w:tcBorders>
            <w:shd w:val="clear" w:color="auto" w:fill="auto"/>
            <w:noWrap/>
            <w:vAlign w:val="center"/>
            <w:hideMark/>
          </w:tcPr>
          <w:p w14:paraId="388475FC" w14:textId="6FF71213" w:rsidR="001915AA" w:rsidRPr="00EC75D2" w:rsidRDefault="00C11B08" w:rsidP="00312856">
            <w:pPr>
              <w:pStyle w:val="Tabletext"/>
              <w:jc w:val="center"/>
              <w:rPr>
                <w:lang w:eastAsia="en-AU"/>
              </w:rPr>
            </w:pPr>
            <w:r w:rsidRPr="00312EE0">
              <w:t>9,863</w:t>
            </w:r>
          </w:p>
        </w:tc>
        <w:tc>
          <w:tcPr>
            <w:tcW w:w="658" w:type="pct"/>
            <w:tcBorders>
              <w:top w:val="nil"/>
              <w:left w:val="nil"/>
              <w:bottom w:val="single" w:sz="4" w:space="0" w:color="auto"/>
              <w:right w:val="single" w:sz="4" w:space="0" w:color="auto"/>
            </w:tcBorders>
            <w:shd w:val="clear" w:color="auto" w:fill="auto"/>
            <w:noWrap/>
            <w:vAlign w:val="center"/>
            <w:hideMark/>
          </w:tcPr>
          <w:p w14:paraId="4CAF20A2" w14:textId="048FEB30" w:rsidR="001915AA" w:rsidRPr="00EC75D2" w:rsidRDefault="00C11B08" w:rsidP="00312856">
            <w:pPr>
              <w:pStyle w:val="Tabletext"/>
              <w:jc w:val="center"/>
              <w:rPr>
                <w:lang w:eastAsia="en-AU"/>
              </w:rPr>
            </w:pPr>
            <w:r w:rsidRPr="00312EE0">
              <w:t>7,757</w:t>
            </w:r>
          </w:p>
        </w:tc>
        <w:tc>
          <w:tcPr>
            <w:tcW w:w="659" w:type="pct"/>
            <w:tcBorders>
              <w:top w:val="nil"/>
              <w:left w:val="nil"/>
              <w:bottom w:val="single" w:sz="4" w:space="0" w:color="auto"/>
              <w:right w:val="single" w:sz="4" w:space="0" w:color="auto"/>
            </w:tcBorders>
            <w:shd w:val="clear" w:color="auto" w:fill="auto"/>
            <w:noWrap/>
            <w:vAlign w:val="center"/>
            <w:hideMark/>
          </w:tcPr>
          <w:p w14:paraId="7583C9C1" w14:textId="12389D3B" w:rsidR="001915AA" w:rsidRPr="00EC75D2" w:rsidRDefault="001915AA" w:rsidP="00312856">
            <w:pPr>
              <w:pStyle w:val="Tabletext"/>
              <w:jc w:val="center"/>
              <w:rPr>
                <w:lang w:eastAsia="en-AU"/>
              </w:rPr>
            </w:pPr>
            <w:r>
              <w:t>7</w:t>
            </w:r>
            <w:r w:rsidR="00671319">
              <w:t>,</w:t>
            </w:r>
            <w:r w:rsidR="00C11B08" w:rsidRPr="00312EE0">
              <w:t>832</w:t>
            </w:r>
          </w:p>
        </w:tc>
        <w:tc>
          <w:tcPr>
            <w:tcW w:w="658" w:type="pct"/>
            <w:tcBorders>
              <w:top w:val="nil"/>
              <w:left w:val="nil"/>
              <w:bottom w:val="single" w:sz="4" w:space="0" w:color="auto"/>
              <w:right w:val="single" w:sz="4" w:space="0" w:color="auto"/>
            </w:tcBorders>
            <w:vAlign w:val="center"/>
          </w:tcPr>
          <w:p w14:paraId="22E5EB62" w14:textId="63E64BC7" w:rsidR="001915AA" w:rsidRDefault="00C11B08" w:rsidP="00312856">
            <w:pPr>
              <w:pStyle w:val="Tabletext"/>
              <w:jc w:val="center"/>
            </w:pPr>
            <w:r w:rsidRPr="00312EE0">
              <w:t>6,910</w:t>
            </w:r>
          </w:p>
        </w:tc>
      </w:tr>
    </w:tbl>
    <w:p w14:paraId="1A55D3FD" w14:textId="0F0B6B56" w:rsidR="00DD09A5" w:rsidRDefault="00DC5193" w:rsidP="000A4F7D">
      <w:pPr>
        <w:pStyle w:val="Bodyaftertable"/>
        <w:spacing w:before="60" w:after="60" w:line="240" w:lineRule="exact"/>
      </w:pPr>
      <w:r>
        <w:rPr>
          <w:sz w:val="18"/>
          <w:szCs w:val="18"/>
        </w:rPr>
        <w:t>‘Mechanical and physical’ r</w:t>
      </w:r>
      <w:r w:rsidR="00811D93">
        <w:rPr>
          <w:sz w:val="18"/>
          <w:szCs w:val="18"/>
        </w:rPr>
        <w:t>efers to mechanical and physical restraint being used at the same time</w:t>
      </w:r>
      <w:r w:rsidR="00FC2DDA" w:rsidRPr="00DD7E01">
        <w:rPr>
          <w:sz w:val="18"/>
          <w:szCs w:val="18"/>
        </w:rPr>
        <w:t>.</w:t>
      </w:r>
    </w:p>
    <w:p w14:paraId="3D420F77" w14:textId="070D0A6E" w:rsidR="00381B2F" w:rsidRDefault="00381B2F" w:rsidP="00643556">
      <w:pPr>
        <w:pStyle w:val="Bodyaftertable"/>
      </w:pPr>
      <w:r>
        <w:t xml:space="preserve">When restraint was applied, it typically represented a single occurrence within the whole of an admission (Table </w:t>
      </w:r>
      <w:r w:rsidR="62E62BBE">
        <w:t>1</w:t>
      </w:r>
      <w:r w:rsidR="008E180F">
        <w:t>7</w:t>
      </w:r>
      <w:r>
        <w:t>). Multiple episodes of restraint were relatively uncommon. This pattern has remained consistent in recent years.</w:t>
      </w:r>
    </w:p>
    <w:p w14:paraId="2A580BBE" w14:textId="252090D1" w:rsidR="00381B2F" w:rsidRDefault="00381B2F" w:rsidP="000D0B9B">
      <w:pPr>
        <w:pStyle w:val="Tablecaption"/>
      </w:pPr>
      <w:r>
        <w:t xml:space="preserve">Table </w:t>
      </w:r>
      <w:r w:rsidR="4EA5F3F4">
        <w:t>1</w:t>
      </w:r>
      <w:r w:rsidR="008E180F">
        <w:t>7</w:t>
      </w:r>
      <w:r>
        <w:t>: Frequency of restraint episodes within the same hospital admission, 201</w:t>
      </w:r>
      <w:r w:rsidR="00486083">
        <w:t>7</w:t>
      </w:r>
      <w:r>
        <w:t>–1</w:t>
      </w:r>
      <w:r w:rsidR="00486083">
        <w:t>8</w:t>
      </w:r>
      <w:r>
        <w:t xml:space="preserve"> to </w:t>
      </w:r>
      <w:r>
        <w:br/>
      </w:r>
      <w:r w:rsidR="007B2175">
        <w:t>202</w:t>
      </w:r>
      <w:r w:rsidR="00C11B08">
        <w:t>1</w:t>
      </w:r>
      <w:r w:rsidR="007B2175">
        <w:t>–2</w:t>
      </w:r>
      <w:r w:rsidR="00C11B08">
        <w:t>2</w:t>
      </w:r>
    </w:p>
    <w:tbl>
      <w:tblPr>
        <w:tblW w:w="5000" w:type="pct"/>
        <w:tblLayout w:type="fixed"/>
        <w:tblLook w:val="04A0" w:firstRow="1" w:lastRow="0" w:firstColumn="1" w:lastColumn="0" w:noHBand="0" w:noVBand="1"/>
      </w:tblPr>
      <w:tblGrid>
        <w:gridCol w:w="2082"/>
        <w:gridCol w:w="1442"/>
        <w:gridCol w:w="1441"/>
        <w:gridCol w:w="1441"/>
        <w:gridCol w:w="1441"/>
        <w:gridCol w:w="1441"/>
      </w:tblGrid>
      <w:tr w:rsidR="00920F37" w:rsidRPr="00B171F1" w14:paraId="106F3BCD" w14:textId="778101E6" w:rsidTr="004813DB">
        <w:trPr>
          <w:trHeight w:val="301"/>
          <w:tblHeader/>
        </w:trPr>
        <w:tc>
          <w:tcPr>
            <w:tcW w:w="1120" w:type="pct"/>
            <w:tcBorders>
              <w:top w:val="single" w:sz="4" w:space="0" w:color="auto"/>
              <w:left w:val="single" w:sz="4" w:space="0" w:color="auto"/>
              <w:bottom w:val="single" w:sz="4" w:space="0" w:color="auto"/>
              <w:right w:val="single" w:sz="4" w:space="0" w:color="auto"/>
            </w:tcBorders>
            <w:shd w:val="clear" w:color="auto" w:fill="auto"/>
            <w:noWrap/>
            <w:hideMark/>
          </w:tcPr>
          <w:p w14:paraId="0EC744C1" w14:textId="380967CD" w:rsidR="00920F37" w:rsidRPr="00B171F1" w:rsidRDefault="00920F37" w:rsidP="00920F37">
            <w:pPr>
              <w:pStyle w:val="Tablecolhead"/>
              <w:rPr>
                <w:lang w:eastAsia="en-AU"/>
              </w:rPr>
            </w:pPr>
            <w:r w:rsidRPr="6413A842">
              <w:rPr>
                <w:lang w:eastAsia="en-AU"/>
              </w:rPr>
              <w:t>Frequency</w:t>
            </w:r>
            <w:r>
              <w:rPr>
                <w:lang w:eastAsia="en-AU"/>
              </w:rPr>
              <w:t xml:space="preserve"> of episode</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1A849988" w14:textId="7FD703C1" w:rsidR="00920F37" w:rsidRPr="00B171F1" w:rsidRDefault="00920F37" w:rsidP="00920F37">
            <w:pPr>
              <w:pStyle w:val="Tablecolhead"/>
              <w:jc w:val="center"/>
              <w:rPr>
                <w:lang w:eastAsia="en-AU"/>
              </w:rPr>
            </w:pPr>
            <w:r w:rsidRPr="0040102B">
              <w:t>2017</w:t>
            </w:r>
            <w:r>
              <w:t>–</w:t>
            </w:r>
            <w:r w:rsidRPr="0040102B">
              <w:t>18</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6C02A96E" w14:textId="76B80316" w:rsidR="00920F37" w:rsidRPr="00B171F1" w:rsidRDefault="00920F37" w:rsidP="00920F37">
            <w:pPr>
              <w:pStyle w:val="Tablecolhead"/>
              <w:jc w:val="center"/>
              <w:rPr>
                <w:lang w:eastAsia="en-AU"/>
              </w:rPr>
            </w:pPr>
            <w:r w:rsidRPr="0040102B">
              <w:t>2018</w:t>
            </w:r>
            <w:r>
              <w:t>–</w:t>
            </w:r>
            <w:r w:rsidRPr="0040102B">
              <w:t>19</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3D2AD58D" w14:textId="0C5B6C7D" w:rsidR="00920F37" w:rsidRPr="00B171F1" w:rsidRDefault="00920F37" w:rsidP="00920F37">
            <w:pPr>
              <w:pStyle w:val="Tablecolhead"/>
              <w:jc w:val="center"/>
              <w:rPr>
                <w:lang w:eastAsia="en-AU"/>
              </w:rPr>
            </w:pPr>
            <w:r w:rsidRPr="0040102B">
              <w:t>2019</w:t>
            </w:r>
            <w:r>
              <w:t>–</w:t>
            </w:r>
            <w:r w:rsidRPr="0040102B">
              <w:t>20</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2F4F4DFA" w14:textId="2A5DB6E0" w:rsidR="00920F37" w:rsidRPr="00B171F1" w:rsidRDefault="00920F37" w:rsidP="00920F37">
            <w:pPr>
              <w:pStyle w:val="Tablecolhead"/>
              <w:jc w:val="center"/>
              <w:rPr>
                <w:lang w:eastAsia="en-AU"/>
              </w:rPr>
            </w:pPr>
            <w:r w:rsidRPr="0040102B">
              <w:t>2020</w:t>
            </w:r>
            <w:r>
              <w:t>–</w:t>
            </w:r>
            <w:r w:rsidRPr="0040102B">
              <w:t>21</w:t>
            </w:r>
          </w:p>
        </w:tc>
        <w:tc>
          <w:tcPr>
            <w:tcW w:w="776" w:type="pct"/>
            <w:tcBorders>
              <w:top w:val="single" w:sz="4" w:space="0" w:color="auto"/>
              <w:left w:val="nil"/>
              <w:bottom w:val="single" w:sz="4" w:space="0" w:color="auto"/>
              <w:right w:val="single" w:sz="4" w:space="0" w:color="auto"/>
            </w:tcBorders>
            <w:vAlign w:val="center"/>
          </w:tcPr>
          <w:p w14:paraId="2B32D4C2" w14:textId="683D8371" w:rsidR="00920F37" w:rsidRPr="00B171F1" w:rsidRDefault="00920F37" w:rsidP="00920F37">
            <w:pPr>
              <w:pStyle w:val="Tablecolhead"/>
              <w:jc w:val="center"/>
              <w:rPr>
                <w:lang w:eastAsia="en-AU"/>
              </w:rPr>
            </w:pPr>
            <w:r w:rsidRPr="0040102B">
              <w:t>2021</w:t>
            </w:r>
            <w:r>
              <w:t>–</w:t>
            </w:r>
            <w:r w:rsidRPr="0040102B">
              <w:t>22</w:t>
            </w:r>
          </w:p>
        </w:tc>
      </w:tr>
      <w:tr w:rsidR="00A66753" w:rsidRPr="00B171F1" w14:paraId="3544B8C6" w14:textId="468F5D48" w:rsidTr="004813DB">
        <w:trPr>
          <w:trHeight w:val="301"/>
        </w:trPr>
        <w:tc>
          <w:tcPr>
            <w:tcW w:w="1120" w:type="pct"/>
            <w:tcBorders>
              <w:top w:val="nil"/>
              <w:left w:val="single" w:sz="4" w:space="0" w:color="auto"/>
              <w:bottom w:val="single" w:sz="4" w:space="0" w:color="auto"/>
              <w:right w:val="single" w:sz="4" w:space="0" w:color="auto"/>
            </w:tcBorders>
            <w:shd w:val="clear" w:color="auto" w:fill="auto"/>
            <w:noWrap/>
            <w:hideMark/>
          </w:tcPr>
          <w:p w14:paraId="1655E1FF" w14:textId="0C04456C" w:rsidR="00A66753" w:rsidRPr="00B171F1" w:rsidRDefault="00A66753" w:rsidP="000D0B9B">
            <w:pPr>
              <w:pStyle w:val="Tabletext"/>
              <w:rPr>
                <w:lang w:eastAsia="en-AU"/>
              </w:rPr>
            </w:pPr>
            <w:r w:rsidRPr="009C3DA3">
              <w:t>1</w:t>
            </w:r>
          </w:p>
        </w:tc>
        <w:tc>
          <w:tcPr>
            <w:tcW w:w="776" w:type="pct"/>
            <w:tcBorders>
              <w:top w:val="nil"/>
              <w:left w:val="nil"/>
              <w:bottom w:val="single" w:sz="4" w:space="0" w:color="auto"/>
              <w:right w:val="single" w:sz="4" w:space="0" w:color="auto"/>
            </w:tcBorders>
            <w:shd w:val="clear" w:color="auto" w:fill="auto"/>
            <w:noWrap/>
            <w:vAlign w:val="center"/>
            <w:hideMark/>
          </w:tcPr>
          <w:p w14:paraId="5A0ABE63" w14:textId="7D697E5B" w:rsidR="00A66753" w:rsidRPr="00B171F1" w:rsidRDefault="00930D19" w:rsidP="00312856">
            <w:pPr>
              <w:pStyle w:val="Tabletext"/>
              <w:jc w:val="center"/>
              <w:rPr>
                <w:lang w:eastAsia="en-AU"/>
              </w:rPr>
            </w:pPr>
            <w:r w:rsidRPr="009C3DA3">
              <w:t>862</w:t>
            </w:r>
          </w:p>
        </w:tc>
        <w:tc>
          <w:tcPr>
            <w:tcW w:w="776" w:type="pct"/>
            <w:tcBorders>
              <w:top w:val="nil"/>
              <w:left w:val="nil"/>
              <w:bottom w:val="single" w:sz="4" w:space="0" w:color="auto"/>
              <w:right w:val="single" w:sz="4" w:space="0" w:color="auto"/>
            </w:tcBorders>
            <w:shd w:val="clear" w:color="auto" w:fill="auto"/>
            <w:noWrap/>
            <w:vAlign w:val="center"/>
            <w:hideMark/>
          </w:tcPr>
          <w:p w14:paraId="6936CD7B" w14:textId="412C7F67" w:rsidR="00A66753" w:rsidRPr="00B171F1" w:rsidRDefault="00930D19" w:rsidP="00312856">
            <w:pPr>
              <w:pStyle w:val="Tabletext"/>
              <w:jc w:val="center"/>
              <w:rPr>
                <w:lang w:eastAsia="en-AU"/>
              </w:rPr>
            </w:pPr>
            <w:r w:rsidRPr="009C3DA3">
              <w:t>960</w:t>
            </w:r>
          </w:p>
        </w:tc>
        <w:tc>
          <w:tcPr>
            <w:tcW w:w="776" w:type="pct"/>
            <w:tcBorders>
              <w:top w:val="nil"/>
              <w:left w:val="nil"/>
              <w:bottom w:val="single" w:sz="4" w:space="0" w:color="auto"/>
              <w:right w:val="single" w:sz="4" w:space="0" w:color="auto"/>
            </w:tcBorders>
            <w:shd w:val="clear" w:color="auto" w:fill="auto"/>
            <w:noWrap/>
            <w:vAlign w:val="center"/>
            <w:hideMark/>
          </w:tcPr>
          <w:p w14:paraId="7675C8A3" w14:textId="6F3C0242" w:rsidR="00A66753" w:rsidRPr="00B171F1" w:rsidRDefault="00930D19" w:rsidP="00312856">
            <w:pPr>
              <w:pStyle w:val="Tabletext"/>
              <w:jc w:val="center"/>
              <w:rPr>
                <w:lang w:eastAsia="en-AU"/>
              </w:rPr>
            </w:pPr>
            <w:r w:rsidRPr="009C3DA3">
              <w:t>1,008</w:t>
            </w:r>
          </w:p>
        </w:tc>
        <w:tc>
          <w:tcPr>
            <w:tcW w:w="776" w:type="pct"/>
            <w:tcBorders>
              <w:top w:val="nil"/>
              <w:left w:val="nil"/>
              <w:bottom w:val="single" w:sz="4" w:space="0" w:color="auto"/>
              <w:right w:val="single" w:sz="4" w:space="0" w:color="auto"/>
            </w:tcBorders>
            <w:shd w:val="clear" w:color="auto" w:fill="auto"/>
            <w:noWrap/>
            <w:vAlign w:val="center"/>
            <w:hideMark/>
          </w:tcPr>
          <w:p w14:paraId="1F9F1711" w14:textId="75423104" w:rsidR="00A66753" w:rsidRPr="00B171F1" w:rsidRDefault="00A66753" w:rsidP="00312856">
            <w:pPr>
              <w:pStyle w:val="Tabletext"/>
              <w:jc w:val="center"/>
              <w:rPr>
                <w:lang w:eastAsia="en-AU"/>
              </w:rPr>
            </w:pPr>
            <w:r>
              <w:t>1,</w:t>
            </w:r>
            <w:r w:rsidR="00930D19" w:rsidRPr="009C3DA3">
              <w:t>048</w:t>
            </w:r>
          </w:p>
        </w:tc>
        <w:tc>
          <w:tcPr>
            <w:tcW w:w="776" w:type="pct"/>
            <w:tcBorders>
              <w:top w:val="nil"/>
              <w:left w:val="nil"/>
              <w:bottom w:val="single" w:sz="4" w:space="0" w:color="auto"/>
              <w:right w:val="single" w:sz="4" w:space="0" w:color="auto"/>
            </w:tcBorders>
            <w:vAlign w:val="center"/>
          </w:tcPr>
          <w:p w14:paraId="04FA5F4A" w14:textId="70489FEA" w:rsidR="00A66753" w:rsidRDefault="00930D19" w:rsidP="00312856">
            <w:pPr>
              <w:pStyle w:val="Tabletext"/>
              <w:jc w:val="center"/>
            </w:pPr>
            <w:r w:rsidRPr="009C3DA3">
              <w:t>934</w:t>
            </w:r>
          </w:p>
        </w:tc>
      </w:tr>
      <w:tr w:rsidR="00A66753" w:rsidRPr="00B171F1" w14:paraId="43B13AF4" w14:textId="02D83F7A" w:rsidTr="004813DB">
        <w:trPr>
          <w:trHeight w:val="301"/>
        </w:trPr>
        <w:tc>
          <w:tcPr>
            <w:tcW w:w="1120" w:type="pct"/>
            <w:tcBorders>
              <w:top w:val="nil"/>
              <w:left w:val="single" w:sz="4" w:space="0" w:color="auto"/>
              <w:bottom w:val="single" w:sz="4" w:space="0" w:color="auto"/>
              <w:right w:val="single" w:sz="4" w:space="0" w:color="auto"/>
            </w:tcBorders>
            <w:shd w:val="clear" w:color="auto" w:fill="auto"/>
            <w:noWrap/>
            <w:hideMark/>
          </w:tcPr>
          <w:p w14:paraId="2871565A" w14:textId="05DD88EB" w:rsidR="00A66753" w:rsidRPr="00B171F1" w:rsidRDefault="00A66753" w:rsidP="000D0B9B">
            <w:pPr>
              <w:pStyle w:val="Tabletext"/>
              <w:rPr>
                <w:lang w:eastAsia="en-AU"/>
              </w:rPr>
            </w:pPr>
            <w:r w:rsidRPr="009C3DA3">
              <w:t>2</w:t>
            </w:r>
          </w:p>
        </w:tc>
        <w:tc>
          <w:tcPr>
            <w:tcW w:w="776" w:type="pct"/>
            <w:tcBorders>
              <w:top w:val="nil"/>
              <w:left w:val="nil"/>
              <w:bottom w:val="single" w:sz="4" w:space="0" w:color="auto"/>
              <w:right w:val="single" w:sz="4" w:space="0" w:color="auto"/>
            </w:tcBorders>
            <w:shd w:val="clear" w:color="auto" w:fill="auto"/>
            <w:noWrap/>
            <w:vAlign w:val="center"/>
            <w:hideMark/>
          </w:tcPr>
          <w:p w14:paraId="72D1AA5F" w14:textId="44B7E776" w:rsidR="00A66753" w:rsidRPr="00B171F1" w:rsidRDefault="00930D19" w:rsidP="00312856">
            <w:pPr>
              <w:pStyle w:val="Tabletext"/>
              <w:jc w:val="center"/>
              <w:rPr>
                <w:lang w:eastAsia="en-AU"/>
              </w:rPr>
            </w:pPr>
            <w:r w:rsidRPr="009C3DA3">
              <w:t>279</w:t>
            </w:r>
          </w:p>
        </w:tc>
        <w:tc>
          <w:tcPr>
            <w:tcW w:w="776" w:type="pct"/>
            <w:tcBorders>
              <w:top w:val="nil"/>
              <w:left w:val="nil"/>
              <w:bottom w:val="single" w:sz="4" w:space="0" w:color="auto"/>
              <w:right w:val="single" w:sz="4" w:space="0" w:color="auto"/>
            </w:tcBorders>
            <w:shd w:val="clear" w:color="auto" w:fill="auto"/>
            <w:noWrap/>
            <w:vAlign w:val="center"/>
            <w:hideMark/>
          </w:tcPr>
          <w:p w14:paraId="7081F45F" w14:textId="0F536475" w:rsidR="00A66753" w:rsidRPr="00B171F1" w:rsidRDefault="00930D19" w:rsidP="00312856">
            <w:pPr>
              <w:pStyle w:val="Tabletext"/>
              <w:jc w:val="center"/>
              <w:rPr>
                <w:lang w:eastAsia="en-AU"/>
              </w:rPr>
            </w:pPr>
            <w:r w:rsidRPr="009C3DA3">
              <w:t>274</w:t>
            </w:r>
          </w:p>
        </w:tc>
        <w:tc>
          <w:tcPr>
            <w:tcW w:w="776" w:type="pct"/>
            <w:tcBorders>
              <w:top w:val="nil"/>
              <w:left w:val="nil"/>
              <w:bottom w:val="single" w:sz="4" w:space="0" w:color="auto"/>
              <w:right w:val="single" w:sz="4" w:space="0" w:color="auto"/>
            </w:tcBorders>
            <w:shd w:val="clear" w:color="auto" w:fill="auto"/>
            <w:noWrap/>
            <w:vAlign w:val="center"/>
            <w:hideMark/>
          </w:tcPr>
          <w:p w14:paraId="4488D613" w14:textId="271DC348" w:rsidR="00A66753" w:rsidRPr="00B171F1" w:rsidRDefault="00930D19" w:rsidP="00312856">
            <w:pPr>
              <w:pStyle w:val="Tabletext"/>
              <w:jc w:val="center"/>
              <w:rPr>
                <w:lang w:eastAsia="en-AU"/>
              </w:rPr>
            </w:pPr>
            <w:r w:rsidRPr="009C3DA3">
              <w:t>321</w:t>
            </w:r>
          </w:p>
        </w:tc>
        <w:tc>
          <w:tcPr>
            <w:tcW w:w="776" w:type="pct"/>
            <w:tcBorders>
              <w:top w:val="nil"/>
              <w:left w:val="nil"/>
              <w:bottom w:val="single" w:sz="4" w:space="0" w:color="auto"/>
              <w:right w:val="single" w:sz="4" w:space="0" w:color="auto"/>
            </w:tcBorders>
            <w:shd w:val="clear" w:color="auto" w:fill="auto"/>
            <w:noWrap/>
            <w:vAlign w:val="center"/>
            <w:hideMark/>
          </w:tcPr>
          <w:p w14:paraId="50897097" w14:textId="1C8AB146" w:rsidR="00A66753" w:rsidRPr="00B171F1" w:rsidRDefault="00930D19" w:rsidP="00312856">
            <w:pPr>
              <w:pStyle w:val="Tabletext"/>
              <w:jc w:val="center"/>
              <w:rPr>
                <w:lang w:eastAsia="en-AU"/>
              </w:rPr>
            </w:pPr>
            <w:r w:rsidRPr="009C3DA3">
              <w:t>364</w:t>
            </w:r>
          </w:p>
        </w:tc>
        <w:tc>
          <w:tcPr>
            <w:tcW w:w="776" w:type="pct"/>
            <w:tcBorders>
              <w:top w:val="nil"/>
              <w:left w:val="nil"/>
              <w:bottom w:val="single" w:sz="4" w:space="0" w:color="auto"/>
              <w:right w:val="single" w:sz="4" w:space="0" w:color="auto"/>
            </w:tcBorders>
            <w:vAlign w:val="center"/>
          </w:tcPr>
          <w:p w14:paraId="3D07EF5B" w14:textId="43FFB468" w:rsidR="00A66753" w:rsidRDefault="00930D19" w:rsidP="00312856">
            <w:pPr>
              <w:pStyle w:val="Tabletext"/>
              <w:jc w:val="center"/>
            </w:pPr>
            <w:r w:rsidRPr="009C3DA3">
              <w:t>343</w:t>
            </w:r>
          </w:p>
        </w:tc>
      </w:tr>
      <w:tr w:rsidR="00A66753" w:rsidRPr="00B171F1" w14:paraId="120E1281" w14:textId="3BDBAAC5" w:rsidTr="004813DB">
        <w:trPr>
          <w:trHeight w:val="301"/>
        </w:trPr>
        <w:tc>
          <w:tcPr>
            <w:tcW w:w="1120" w:type="pct"/>
            <w:tcBorders>
              <w:top w:val="nil"/>
              <w:left w:val="single" w:sz="4" w:space="0" w:color="auto"/>
              <w:bottom w:val="single" w:sz="4" w:space="0" w:color="auto"/>
              <w:right w:val="single" w:sz="4" w:space="0" w:color="auto"/>
            </w:tcBorders>
            <w:shd w:val="clear" w:color="auto" w:fill="auto"/>
            <w:noWrap/>
            <w:hideMark/>
          </w:tcPr>
          <w:p w14:paraId="012F8447" w14:textId="229303D8" w:rsidR="00A66753" w:rsidRPr="00B171F1" w:rsidRDefault="00A66753" w:rsidP="000D0B9B">
            <w:pPr>
              <w:pStyle w:val="Tabletext"/>
              <w:rPr>
                <w:lang w:eastAsia="en-AU"/>
              </w:rPr>
            </w:pPr>
            <w:r w:rsidRPr="009C3DA3">
              <w:t>3</w:t>
            </w:r>
          </w:p>
        </w:tc>
        <w:tc>
          <w:tcPr>
            <w:tcW w:w="776" w:type="pct"/>
            <w:tcBorders>
              <w:top w:val="nil"/>
              <w:left w:val="nil"/>
              <w:bottom w:val="single" w:sz="4" w:space="0" w:color="auto"/>
              <w:right w:val="single" w:sz="4" w:space="0" w:color="auto"/>
            </w:tcBorders>
            <w:shd w:val="clear" w:color="auto" w:fill="auto"/>
            <w:noWrap/>
            <w:vAlign w:val="center"/>
            <w:hideMark/>
          </w:tcPr>
          <w:p w14:paraId="66641D13" w14:textId="4FA83502" w:rsidR="00A66753" w:rsidRPr="00B171F1" w:rsidRDefault="00930D19" w:rsidP="00312856">
            <w:pPr>
              <w:pStyle w:val="Tabletext"/>
              <w:jc w:val="center"/>
              <w:rPr>
                <w:lang w:eastAsia="en-AU"/>
              </w:rPr>
            </w:pPr>
            <w:r w:rsidRPr="009C3DA3">
              <w:t>112</w:t>
            </w:r>
          </w:p>
        </w:tc>
        <w:tc>
          <w:tcPr>
            <w:tcW w:w="776" w:type="pct"/>
            <w:tcBorders>
              <w:top w:val="nil"/>
              <w:left w:val="nil"/>
              <w:bottom w:val="single" w:sz="4" w:space="0" w:color="auto"/>
              <w:right w:val="single" w:sz="4" w:space="0" w:color="auto"/>
            </w:tcBorders>
            <w:shd w:val="clear" w:color="auto" w:fill="auto"/>
            <w:noWrap/>
            <w:vAlign w:val="center"/>
            <w:hideMark/>
          </w:tcPr>
          <w:p w14:paraId="29BC6298" w14:textId="291EA792" w:rsidR="00A66753" w:rsidRPr="00B171F1" w:rsidRDefault="00930D19" w:rsidP="00312856">
            <w:pPr>
              <w:pStyle w:val="Tabletext"/>
              <w:jc w:val="center"/>
              <w:rPr>
                <w:lang w:eastAsia="en-AU"/>
              </w:rPr>
            </w:pPr>
            <w:r w:rsidRPr="009C3DA3">
              <w:t>133</w:t>
            </w:r>
          </w:p>
        </w:tc>
        <w:tc>
          <w:tcPr>
            <w:tcW w:w="776" w:type="pct"/>
            <w:tcBorders>
              <w:top w:val="nil"/>
              <w:left w:val="nil"/>
              <w:bottom w:val="single" w:sz="4" w:space="0" w:color="auto"/>
              <w:right w:val="single" w:sz="4" w:space="0" w:color="auto"/>
            </w:tcBorders>
            <w:shd w:val="clear" w:color="auto" w:fill="auto"/>
            <w:noWrap/>
            <w:vAlign w:val="center"/>
            <w:hideMark/>
          </w:tcPr>
          <w:p w14:paraId="3B1F269A" w14:textId="2117D92D" w:rsidR="00A66753" w:rsidRPr="00B171F1" w:rsidRDefault="00930D19" w:rsidP="00312856">
            <w:pPr>
              <w:pStyle w:val="Tabletext"/>
              <w:jc w:val="center"/>
              <w:rPr>
                <w:lang w:eastAsia="en-AU"/>
              </w:rPr>
            </w:pPr>
            <w:r w:rsidRPr="009C3DA3">
              <w:t>142</w:t>
            </w:r>
          </w:p>
        </w:tc>
        <w:tc>
          <w:tcPr>
            <w:tcW w:w="776" w:type="pct"/>
            <w:tcBorders>
              <w:top w:val="nil"/>
              <w:left w:val="nil"/>
              <w:bottom w:val="single" w:sz="4" w:space="0" w:color="auto"/>
              <w:right w:val="single" w:sz="4" w:space="0" w:color="auto"/>
            </w:tcBorders>
            <w:shd w:val="clear" w:color="auto" w:fill="auto"/>
            <w:noWrap/>
            <w:vAlign w:val="center"/>
            <w:hideMark/>
          </w:tcPr>
          <w:p w14:paraId="3518C36E" w14:textId="53133143" w:rsidR="00A66753" w:rsidRPr="00B171F1" w:rsidRDefault="00930D19" w:rsidP="00312856">
            <w:pPr>
              <w:pStyle w:val="Tabletext"/>
              <w:jc w:val="center"/>
              <w:rPr>
                <w:lang w:eastAsia="en-AU"/>
              </w:rPr>
            </w:pPr>
            <w:r w:rsidRPr="009C3DA3">
              <w:t>163</w:t>
            </w:r>
          </w:p>
        </w:tc>
        <w:tc>
          <w:tcPr>
            <w:tcW w:w="776" w:type="pct"/>
            <w:tcBorders>
              <w:top w:val="nil"/>
              <w:left w:val="nil"/>
              <w:bottom w:val="single" w:sz="4" w:space="0" w:color="auto"/>
              <w:right w:val="single" w:sz="4" w:space="0" w:color="auto"/>
            </w:tcBorders>
            <w:vAlign w:val="center"/>
          </w:tcPr>
          <w:p w14:paraId="7533102B" w14:textId="4D471A33" w:rsidR="00A66753" w:rsidRDefault="00930D19" w:rsidP="00312856">
            <w:pPr>
              <w:pStyle w:val="Tabletext"/>
              <w:jc w:val="center"/>
            </w:pPr>
            <w:r w:rsidRPr="009C3DA3">
              <w:t>154</w:t>
            </w:r>
          </w:p>
        </w:tc>
      </w:tr>
      <w:tr w:rsidR="00A66753" w:rsidRPr="00B171F1" w14:paraId="05EF0538" w14:textId="046E1400" w:rsidTr="004813DB">
        <w:trPr>
          <w:trHeight w:val="301"/>
        </w:trPr>
        <w:tc>
          <w:tcPr>
            <w:tcW w:w="1120" w:type="pct"/>
            <w:tcBorders>
              <w:top w:val="nil"/>
              <w:left w:val="single" w:sz="4" w:space="0" w:color="auto"/>
              <w:bottom w:val="single" w:sz="4" w:space="0" w:color="auto"/>
              <w:right w:val="single" w:sz="4" w:space="0" w:color="auto"/>
            </w:tcBorders>
            <w:shd w:val="clear" w:color="auto" w:fill="auto"/>
            <w:noWrap/>
            <w:hideMark/>
          </w:tcPr>
          <w:p w14:paraId="40E8938A" w14:textId="0F59DFE6" w:rsidR="00A66753" w:rsidRPr="00B171F1" w:rsidRDefault="00A66753" w:rsidP="000D0B9B">
            <w:pPr>
              <w:pStyle w:val="Tabletext"/>
              <w:rPr>
                <w:lang w:eastAsia="en-AU"/>
              </w:rPr>
            </w:pPr>
            <w:r w:rsidRPr="009C3DA3">
              <w:t>4</w:t>
            </w:r>
          </w:p>
        </w:tc>
        <w:tc>
          <w:tcPr>
            <w:tcW w:w="776" w:type="pct"/>
            <w:tcBorders>
              <w:top w:val="nil"/>
              <w:left w:val="nil"/>
              <w:bottom w:val="single" w:sz="4" w:space="0" w:color="auto"/>
              <w:right w:val="single" w:sz="4" w:space="0" w:color="auto"/>
            </w:tcBorders>
            <w:shd w:val="clear" w:color="auto" w:fill="auto"/>
            <w:noWrap/>
            <w:vAlign w:val="center"/>
            <w:hideMark/>
          </w:tcPr>
          <w:p w14:paraId="46C94C6F" w14:textId="62FDDDB8" w:rsidR="00A66753" w:rsidRPr="00B171F1" w:rsidRDefault="00930D19" w:rsidP="00312856">
            <w:pPr>
              <w:pStyle w:val="Tabletext"/>
              <w:jc w:val="center"/>
              <w:rPr>
                <w:lang w:eastAsia="en-AU"/>
              </w:rPr>
            </w:pPr>
            <w:r w:rsidRPr="009C3DA3">
              <w:t>64</w:t>
            </w:r>
          </w:p>
        </w:tc>
        <w:tc>
          <w:tcPr>
            <w:tcW w:w="776" w:type="pct"/>
            <w:tcBorders>
              <w:top w:val="nil"/>
              <w:left w:val="nil"/>
              <w:bottom w:val="single" w:sz="4" w:space="0" w:color="auto"/>
              <w:right w:val="single" w:sz="4" w:space="0" w:color="auto"/>
            </w:tcBorders>
            <w:shd w:val="clear" w:color="auto" w:fill="auto"/>
            <w:noWrap/>
            <w:vAlign w:val="center"/>
            <w:hideMark/>
          </w:tcPr>
          <w:p w14:paraId="3386128B" w14:textId="029BBDC4" w:rsidR="00A66753" w:rsidRPr="00B171F1" w:rsidRDefault="00930D19" w:rsidP="00312856">
            <w:pPr>
              <w:pStyle w:val="Tabletext"/>
              <w:jc w:val="center"/>
              <w:rPr>
                <w:lang w:eastAsia="en-AU"/>
              </w:rPr>
            </w:pPr>
            <w:r w:rsidRPr="009C3DA3">
              <w:t>69</w:t>
            </w:r>
          </w:p>
        </w:tc>
        <w:tc>
          <w:tcPr>
            <w:tcW w:w="776" w:type="pct"/>
            <w:tcBorders>
              <w:top w:val="nil"/>
              <w:left w:val="nil"/>
              <w:bottom w:val="single" w:sz="4" w:space="0" w:color="auto"/>
              <w:right w:val="single" w:sz="4" w:space="0" w:color="auto"/>
            </w:tcBorders>
            <w:shd w:val="clear" w:color="auto" w:fill="auto"/>
            <w:noWrap/>
            <w:vAlign w:val="center"/>
            <w:hideMark/>
          </w:tcPr>
          <w:p w14:paraId="39823EA1" w14:textId="41AC96BB" w:rsidR="00A66753" w:rsidRPr="00B171F1" w:rsidRDefault="00930D19" w:rsidP="00312856">
            <w:pPr>
              <w:pStyle w:val="Tabletext"/>
              <w:jc w:val="center"/>
              <w:rPr>
                <w:lang w:eastAsia="en-AU"/>
              </w:rPr>
            </w:pPr>
            <w:r w:rsidRPr="009C3DA3">
              <w:t>86</w:t>
            </w:r>
          </w:p>
        </w:tc>
        <w:tc>
          <w:tcPr>
            <w:tcW w:w="776" w:type="pct"/>
            <w:tcBorders>
              <w:top w:val="nil"/>
              <w:left w:val="nil"/>
              <w:bottom w:val="single" w:sz="4" w:space="0" w:color="auto"/>
              <w:right w:val="single" w:sz="4" w:space="0" w:color="auto"/>
            </w:tcBorders>
            <w:shd w:val="clear" w:color="auto" w:fill="auto"/>
            <w:noWrap/>
            <w:vAlign w:val="center"/>
            <w:hideMark/>
          </w:tcPr>
          <w:p w14:paraId="54A9820D" w14:textId="6F1569D5" w:rsidR="00A66753" w:rsidRPr="00B171F1" w:rsidRDefault="00930D19" w:rsidP="00312856">
            <w:pPr>
              <w:pStyle w:val="Tabletext"/>
              <w:jc w:val="center"/>
              <w:rPr>
                <w:lang w:eastAsia="en-AU"/>
              </w:rPr>
            </w:pPr>
            <w:r w:rsidRPr="009C3DA3">
              <w:t>101</w:t>
            </w:r>
          </w:p>
        </w:tc>
        <w:tc>
          <w:tcPr>
            <w:tcW w:w="776" w:type="pct"/>
            <w:tcBorders>
              <w:top w:val="nil"/>
              <w:left w:val="nil"/>
              <w:bottom w:val="single" w:sz="4" w:space="0" w:color="auto"/>
              <w:right w:val="single" w:sz="4" w:space="0" w:color="auto"/>
            </w:tcBorders>
            <w:vAlign w:val="center"/>
          </w:tcPr>
          <w:p w14:paraId="0E01EDE3" w14:textId="00CAEB67" w:rsidR="00A66753" w:rsidRDefault="00930D19" w:rsidP="00312856">
            <w:pPr>
              <w:pStyle w:val="Tabletext"/>
              <w:jc w:val="center"/>
            </w:pPr>
            <w:r w:rsidRPr="009C3DA3">
              <w:t>82</w:t>
            </w:r>
          </w:p>
        </w:tc>
      </w:tr>
      <w:tr w:rsidR="00A66753" w:rsidRPr="00B171F1" w14:paraId="31109F02" w14:textId="30F4471B" w:rsidTr="004813DB">
        <w:trPr>
          <w:trHeight w:val="301"/>
        </w:trPr>
        <w:tc>
          <w:tcPr>
            <w:tcW w:w="1120" w:type="pct"/>
            <w:tcBorders>
              <w:top w:val="nil"/>
              <w:left w:val="single" w:sz="4" w:space="0" w:color="auto"/>
              <w:bottom w:val="single" w:sz="4" w:space="0" w:color="auto"/>
              <w:right w:val="single" w:sz="4" w:space="0" w:color="auto"/>
            </w:tcBorders>
            <w:shd w:val="clear" w:color="auto" w:fill="auto"/>
            <w:noWrap/>
            <w:hideMark/>
          </w:tcPr>
          <w:p w14:paraId="3DA7D650" w14:textId="64DAA4A6" w:rsidR="00A66753" w:rsidRPr="00B171F1" w:rsidRDefault="00A66753" w:rsidP="000D0B9B">
            <w:pPr>
              <w:pStyle w:val="Tabletext"/>
              <w:rPr>
                <w:lang w:eastAsia="en-AU"/>
              </w:rPr>
            </w:pPr>
            <w:r w:rsidRPr="009C3DA3">
              <w:t>5</w:t>
            </w:r>
          </w:p>
        </w:tc>
        <w:tc>
          <w:tcPr>
            <w:tcW w:w="776" w:type="pct"/>
            <w:tcBorders>
              <w:top w:val="nil"/>
              <w:left w:val="nil"/>
              <w:bottom w:val="single" w:sz="4" w:space="0" w:color="auto"/>
              <w:right w:val="single" w:sz="4" w:space="0" w:color="auto"/>
            </w:tcBorders>
            <w:shd w:val="clear" w:color="auto" w:fill="auto"/>
            <w:noWrap/>
            <w:vAlign w:val="center"/>
            <w:hideMark/>
          </w:tcPr>
          <w:p w14:paraId="1E4B38C4" w14:textId="042B09AD" w:rsidR="00A66753" w:rsidRPr="00B171F1" w:rsidRDefault="00930D19" w:rsidP="00312856">
            <w:pPr>
              <w:pStyle w:val="Tabletext"/>
              <w:jc w:val="center"/>
              <w:rPr>
                <w:lang w:eastAsia="en-AU"/>
              </w:rPr>
            </w:pPr>
            <w:r w:rsidRPr="009C3DA3">
              <w:t>34</w:t>
            </w:r>
          </w:p>
        </w:tc>
        <w:tc>
          <w:tcPr>
            <w:tcW w:w="776" w:type="pct"/>
            <w:tcBorders>
              <w:top w:val="nil"/>
              <w:left w:val="nil"/>
              <w:bottom w:val="single" w:sz="4" w:space="0" w:color="auto"/>
              <w:right w:val="single" w:sz="4" w:space="0" w:color="auto"/>
            </w:tcBorders>
            <w:shd w:val="clear" w:color="auto" w:fill="auto"/>
            <w:noWrap/>
            <w:vAlign w:val="center"/>
            <w:hideMark/>
          </w:tcPr>
          <w:p w14:paraId="46CD75C5" w14:textId="78055F2A" w:rsidR="00A66753" w:rsidRPr="00B171F1" w:rsidRDefault="00930D19" w:rsidP="00312856">
            <w:pPr>
              <w:pStyle w:val="Tabletext"/>
              <w:jc w:val="center"/>
              <w:rPr>
                <w:lang w:eastAsia="en-AU"/>
              </w:rPr>
            </w:pPr>
            <w:r w:rsidRPr="009C3DA3">
              <w:t>53</w:t>
            </w:r>
          </w:p>
        </w:tc>
        <w:tc>
          <w:tcPr>
            <w:tcW w:w="776" w:type="pct"/>
            <w:tcBorders>
              <w:top w:val="nil"/>
              <w:left w:val="nil"/>
              <w:bottom w:val="single" w:sz="4" w:space="0" w:color="auto"/>
              <w:right w:val="single" w:sz="4" w:space="0" w:color="auto"/>
            </w:tcBorders>
            <w:shd w:val="clear" w:color="auto" w:fill="auto"/>
            <w:noWrap/>
            <w:vAlign w:val="center"/>
            <w:hideMark/>
          </w:tcPr>
          <w:p w14:paraId="532BD3BE" w14:textId="60A9440B" w:rsidR="00A66753" w:rsidRPr="00B171F1" w:rsidRDefault="00930D19" w:rsidP="00312856">
            <w:pPr>
              <w:pStyle w:val="Tabletext"/>
              <w:jc w:val="center"/>
              <w:rPr>
                <w:lang w:eastAsia="en-AU"/>
              </w:rPr>
            </w:pPr>
            <w:r w:rsidRPr="009C3DA3">
              <w:t>58</w:t>
            </w:r>
          </w:p>
        </w:tc>
        <w:tc>
          <w:tcPr>
            <w:tcW w:w="776" w:type="pct"/>
            <w:tcBorders>
              <w:top w:val="nil"/>
              <w:left w:val="nil"/>
              <w:bottom w:val="single" w:sz="4" w:space="0" w:color="auto"/>
              <w:right w:val="single" w:sz="4" w:space="0" w:color="auto"/>
            </w:tcBorders>
            <w:shd w:val="clear" w:color="auto" w:fill="auto"/>
            <w:noWrap/>
            <w:vAlign w:val="center"/>
            <w:hideMark/>
          </w:tcPr>
          <w:p w14:paraId="5366FD4F" w14:textId="30F1F886" w:rsidR="00A66753" w:rsidRPr="00B171F1" w:rsidRDefault="00930D19" w:rsidP="00312856">
            <w:pPr>
              <w:pStyle w:val="Tabletext"/>
              <w:jc w:val="center"/>
              <w:rPr>
                <w:lang w:eastAsia="en-AU"/>
              </w:rPr>
            </w:pPr>
            <w:r w:rsidRPr="009C3DA3">
              <w:t>59</w:t>
            </w:r>
          </w:p>
        </w:tc>
        <w:tc>
          <w:tcPr>
            <w:tcW w:w="776" w:type="pct"/>
            <w:tcBorders>
              <w:top w:val="nil"/>
              <w:left w:val="nil"/>
              <w:bottom w:val="single" w:sz="4" w:space="0" w:color="auto"/>
              <w:right w:val="single" w:sz="4" w:space="0" w:color="auto"/>
            </w:tcBorders>
            <w:vAlign w:val="center"/>
          </w:tcPr>
          <w:p w14:paraId="26589FF1" w14:textId="7003D614" w:rsidR="00A66753" w:rsidRDefault="00930D19" w:rsidP="00312856">
            <w:pPr>
              <w:pStyle w:val="Tabletext"/>
              <w:jc w:val="center"/>
            </w:pPr>
            <w:r w:rsidRPr="009C3DA3">
              <w:t>49</w:t>
            </w:r>
          </w:p>
        </w:tc>
      </w:tr>
      <w:tr w:rsidR="00A66753" w:rsidRPr="00B171F1" w14:paraId="4626AB1D" w14:textId="614281A0" w:rsidTr="004813DB">
        <w:trPr>
          <w:trHeight w:val="301"/>
        </w:trPr>
        <w:tc>
          <w:tcPr>
            <w:tcW w:w="1120" w:type="pct"/>
            <w:tcBorders>
              <w:top w:val="nil"/>
              <w:left w:val="single" w:sz="4" w:space="0" w:color="auto"/>
              <w:bottom w:val="single" w:sz="4" w:space="0" w:color="auto"/>
              <w:right w:val="single" w:sz="4" w:space="0" w:color="auto"/>
            </w:tcBorders>
            <w:shd w:val="clear" w:color="auto" w:fill="auto"/>
            <w:noWrap/>
            <w:hideMark/>
          </w:tcPr>
          <w:p w14:paraId="65B0EB5D" w14:textId="3DB3256A" w:rsidR="00A66753" w:rsidRPr="00B171F1" w:rsidRDefault="00A66753" w:rsidP="000D0B9B">
            <w:pPr>
              <w:pStyle w:val="Tabletext"/>
              <w:rPr>
                <w:lang w:eastAsia="en-AU"/>
              </w:rPr>
            </w:pPr>
            <w:r w:rsidRPr="009C3DA3">
              <w:t>6</w:t>
            </w:r>
          </w:p>
        </w:tc>
        <w:tc>
          <w:tcPr>
            <w:tcW w:w="776" w:type="pct"/>
            <w:tcBorders>
              <w:top w:val="nil"/>
              <w:left w:val="nil"/>
              <w:bottom w:val="single" w:sz="4" w:space="0" w:color="auto"/>
              <w:right w:val="single" w:sz="4" w:space="0" w:color="auto"/>
            </w:tcBorders>
            <w:shd w:val="clear" w:color="auto" w:fill="auto"/>
            <w:noWrap/>
            <w:vAlign w:val="center"/>
            <w:hideMark/>
          </w:tcPr>
          <w:p w14:paraId="38F4EA19" w14:textId="17D13287" w:rsidR="00A66753" w:rsidRPr="00B171F1" w:rsidRDefault="00930D19" w:rsidP="00312856">
            <w:pPr>
              <w:pStyle w:val="Tabletext"/>
              <w:jc w:val="center"/>
              <w:rPr>
                <w:lang w:eastAsia="en-AU"/>
              </w:rPr>
            </w:pPr>
            <w:r w:rsidRPr="009C3DA3">
              <w:t>27</w:t>
            </w:r>
          </w:p>
        </w:tc>
        <w:tc>
          <w:tcPr>
            <w:tcW w:w="776" w:type="pct"/>
            <w:tcBorders>
              <w:top w:val="nil"/>
              <w:left w:val="nil"/>
              <w:bottom w:val="single" w:sz="4" w:space="0" w:color="auto"/>
              <w:right w:val="single" w:sz="4" w:space="0" w:color="auto"/>
            </w:tcBorders>
            <w:shd w:val="clear" w:color="auto" w:fill="auto"/>
            <w:noWrap/>
            <w:vAlign w:val="center"/>
            <w:hideMark/>
          </w:tcPr>
          <w:p w14:paraId="26C5984D" w14:textId="4BDAA065" w:rsidR="00A66753" w:rsidRPr="00B171F1" w:rsidRDefault="00930D19" w:rsidP="00312856">
            <w:pPr>
              <w:pStyle w:val="Tabletext"/>
              <w:jc w:val="center"/>
              <w:rPr>
                <w:lang w:eastAsia="en-AU"/>
              </w:rPr>
            </w:pPr>
            <w:r w:rsidRPr="009C3DA3">
              <w:t>32</w:t>
            </w:r>
          </w:p>
        </w:tc>
        <w:tc>
          <w:tcPr>
            <w:tcW w:w="776" w:type="pct"/>
            <w:tcBorders>
              <w:top w:val="nil"/>
              <w:left w:val="nil"/>
              <w:bottom w:val="single" w:sz="4" w:space="0" w:color="auto"/>
              <w:right w:val="single" w:sz="4" w:space="0" w:color="auto"/>
            </w:tcBorders>
            <w:shd w:val="clear" w:color="auto" w:fill="auto"/>
            <w:noWrap/>
            <w:vAlign w:val="center"/>
            <w:hideMark/>
          </w:tcPr>
          <w:p w14:paraId="057085F0" w14:textId="72504104" w:rsidR="00A66753" w:rsidRPr="00B171F1" w:rsidRDefault="00930D19" w:rsidP="00312856">
            <w:pPr>
              <w:pStyle w:val="Tabletext"/>
              <w:jc w:val="center"/>
              <w:rPr>
                <w:lang w:eastAsia="en-AU"/>
              </w:rPr>
            </w:pPr>
            <w:r w:rsidRPr="009C3DA3">
              <w:t>33</w:t>
            </w:r>
          </w:p>
        </w:tc>
        <w:tc>
          <w:tcPr>
            <w:tcW w:w="776" w:type="pct"/>
            <w:tcBorders>
              <w:top w:val="nil"/>
              <w:left w:val="nil"/>
              <w:bottom w:val="single" w:sz="4" w:space="0" w:color="auto"/>
              <w:right w:val="single" w:sz="4" w:space="0" w:color="auto"/>
            </w:tcBorders>
            <w:shd w:val="clear" w:color="auto" w:fill="auto"/>
            <w:noWrap/>
            <w:vAlign w:val="center"/>
            <w:hideMark/>
          </w:tcPr>
          <w:p w14:paraId="48CEF1FF" w14:textId="717F575D" w:rsidR="00A66753" w:rsidRPr="00B171F1" w:rsidRDefault="00930D19" w:rsidP="00312856">
            <w:pPr>
              <w:pStyle w:val="Tabletext"/>
              <w:jc w:val="center"/>
              <w:rPr>
                <w:lang w:eastAsia="en-AU"/>
              </w:rPr>
            </w:pPr>
            <w:r w:rsidRPr="009C3DA3">
              <w:t>46</w:t>
            </w:r>
          </w:p>
        </w:tc>
        <w:tc>
          <w:tcPr>
            <w:tcW w:w="776" w:type="pct"/>
            <w:tcBorders>
              <w:top w:val="nil"/>
              <w:left w:val="nil"/>
              <w:bottom w:val="single" w:sz="4" w:space="0" w:color="auto"/>
              <w:right w:val="single" w:sz="4" w:space="0" w:color="auto"/>
            </w:tcBorders>
            <w:vAlign w:val="center"/>
          </w:tcPr>
          <w:p w14:paraId="4F73B4EF" w14:textId="7911273E" w:rsidR="00A66753" w:rsidRDefault="00930D19" w:rsidP="00312856">
            <w:pPr>
              <w:pStyle w:val="Tabletext"/>
              <w:jc w:val="center"/>
            </w:pPr>
            <w:r w:rsidRPr="009C3DA3">
              <w:t>41</w:t>
            </w:r>
          </w:p>
        </w:tc>
      </w:tr>
      <w:tr w:rsidR="00A66753" w:rsidRPr="00B171F1" w14:paraId="29D8C56C" w14:textId="6412432B" w:rsidTr="004813DB">
        <w:trPr>
          <w:trHeight w:val="301"/>
        </w:trPr>
        <w:tc>
          <w:tcPr>
            <w:tcW w:w="1120" w:type="pct"/>
            <w:tcBorders>
              <w:top w:val="nil"/>
              <w:left w:val="single" w:sz="4" w:space="0" w:color="auto"/>
              <w:bottom w:val="single" w:sz="4" w:space="0" w:color="auto"/>
              <w:right w:val="single" w:sz="4" w:space="0" w:color="auto"/>
            </w:tcBorders>
            <w:shd w:val="clear" w:color="auto" w:fill="auto"/>
            <w:noWrap/>
            <w:hideMark/>
          </w:tcPr>
          <w:p w14:paraId="547F4B74" w14:textId="118BDD63" w:rsidR="00A66753" w:rsidRPr="00B171F1" w:rsidRDefault="00A66753" w:rsidP="000D0B9B">
            <w:pPr>
              <w:pStyle w:val="Tabletext"/>
              <w:rPr>
                <w:lang w:eastAsia="en-AU"/>
              </w:rPr>
            </w:pPr>
            <w:r w:rsidRPr="009C3DA3">
              <w:t>7+</w:t>
            </w:r>
          </w:p>
        </w:tc>
        <w:tc>
          <w:tcPr>
            <w:tcW w:w="776" w:type="pct"/>
            <w:tcBorders>
              <w:top w:val="nil"/>
              <w:left w:val="nil"/>
              <w:bottom w:val="single" w:sz="4" w:space="0" w:color="auto"/>
              <w:right w:val="single" w:sz="4" w:space="0" w:color="auto"/>
            </w:tcBorders>
            <w:shd w:val="clear" w:color="auto" w:fill="auto"/>
            <w:noWrap/>
            <w:vAlign w:val="center"/>
            <w:hideMark/>
          </w:tcPr>
          <w:p w14:paraId="3BC4A3E3" w14:textId="5CF601E4" w:rsidR="00A66753" w:rsidRPr="00B171F1" w:rsidRDefault="00930D19" w:rsidP="00312856">
            <w:pPr>
              <w:pStyle w:val="Tabletext"/>
              <w:jc w:val="center"/>
              <w:rPr>
                <w:lang w:eastAsia="en-AU"/>
              </w:rPr>
            </w:pPr>
            <w:r w:rsidRPr="009C3DA3">
              <w:t>132</w:t>
            </w:r>
          </w:p>
        </w:tc>
        <w:tc>
          <w:tcPr>
            <w:tcW w:w="776" w:type="pct"/>
            <w:tcBorders>
              <w:top w:val="nil"/>
              <w:left w:val="nil"/>
              <w:bottom w:val="single" w:sz="4" w:space="0" w:color="auto"/>
              <w:right w:val="single" w:sz="4" w:space="0" w:color="auto"/>
            </w:tcBorders>
            <w:shd w:val="clear" w:color="auto" w:fill="auto"/>
            <w:noWrap/>
            <w:vAlign w:val="center"/>
            <w:hideMark/>
          </w:tcPr>
          <w:p w14:paraId="01D01276" w14:textId="507A5182" w:rsidR="00A66753" w:rsidRPr="00B171F1" w:rsidRDefault="00930D19" w:rsidP="00312856">
            <w:pPr>
              <w:pStyle w:val="Tabletext"/>
              <w:jc w:val="center"/>
              <w:rPr>
                <w:lang w:eastAsia="en-AU"/>
              </w:rPr>
            </w:pPr>
            <w:r w:rsidRPr="009C3DA3">
              <w:t>161</w:t>
            </w:r>
          </w:p>
        </w:tc>
        <w:tc>
          <w:tcPr>
            <w:tcW w:w="776" w:type="pct"/>
            <w:tcBorders>
              <w:top w:val="nil"/>
              <w:left w:val="nil"/>
              <w:bottom w:val="single" w:sz="4" w:space="0" w:color="auto"/>
              <w:right w:val="single" w:sz="4" w:space="0" w:color="auto"/>
            </w:tcBorders>
            <w:shd w:val="clear" w:color="auto" w:fill="auto"/>
            <w:noWrap/>
            <w:vAlign w:val="center"/>
            <w:hideMark/>
          </w:tcPr>
          <w:p w14:paraId="2660E7ED" w14:textId="30AA27AF" w:rsidR="00A66753" w:rsidRPr="00B171F1" w:rsidRDefault="00930D19" w:rsidP="00312856">
            <w:pPr>
              <w:pStyle w:val="Tabletext"/>
              <w:jc w:val="center"/>
              <w:rPr>
                <w:lang w:eastAsia="en-AU"/>
              </w:rPr>
            </w:pPr>
            <w:r w:rsidRPr="009C3DA3">
              <w:t>181</w:t>
            </w:r>
          </w:p>
        </w:tc>
        <w:tc>
          <w:tcPr>
            <w:tcW w:w="776" w:type="pct"/>
            <w:tcBorders>
              <w:top w:val="nil"/>
              <w:left w:val="nil"/>
              <w:bottom w:val="single" w:sz="4" w:space="0" w:color="auto"/>
              <w:right w:val="single" w:sz="4" w:space="0" w:color="auto"/>
            </w:tcBorders>
            <w:shd w:val="clear" w:color="auto" w:fill="auto"/>
            <w:noWrap/>
            <w:vAlign w:val="center"/>
            <w:hideMark/>
          </w:tcPr>
          <w:p w14:paraId="6EAE2545" w14:textId="30005726" w:rsidR="00A66753" w:rsidRPr="00B171F1" w:rsidRDefault="00930D19" w:rsidP="00312856">
            <w:pPr>
              <w:pStyle w:val="Tabletext"/>
              <w:jc w:val="center"/>
              <w:rPr>
                <w:lang w:eastAsia="en-AU"/>
              </w:rPr>
            </w:pPr>
            <w:r w:rsidRPr="009C3DA3">
              <w:t>166</w:t>
            </w:r>
          </w:p>
        </w:tc>
        <w:tc>
          <w:tcPr>
            <w:tcW w:w="776" w:type="pct"/>
            <w:tcBorders>
              <w:top w:val="nil"/>
              <w:left w:val="nil"/>
              <w:bottom w:val="single" w:sz="4" w:space="0" w:color="auto"/>
              <w:right w:val="single" w:sz="4" w:space="0" w:color="auto"/>
            </w:tcBorders>
            <w:vAlign w:val="center"/>
          </w:tcPr>
          <w:p w14:paraId="2BA7BFE9" w14:textId="0B4E1641" w:rsidR="00A66753" w:rsidRDefault="00930D19" w:rsidP="00312856">
            <w:pPr>
              <w:pStyle w:val="Tabletext"/>
              <w:jc w:val="center"/>
            </w:pPr>
            <w:r w:rsidRPr="009C3DA3">
              <w:t>162</w:t>
            </w:r>
          </w:p>
        </w:tc>
      </w:tr>
    </w:tbl>
    <w:p w14:paraId="22EEE414" w14:textId="71A752B9" w:rsidR="00381B2F" w:rsidRPr="00A83DB5" w:rsidRDefault="00381B2F" w:rsidP="00643556">
      <w:pPr>
        <w:pStyle w:val="Bodyaftertable"/>
      </w:pPr>
      <w:r w:rsidRPr="0059743C">
        <w:t>With respect to duration, the</w:t>
      </w:r>
      <w:r w:rsidR="00B7121F" w:rsidRPr="0059743C">
        <w:t xml:space="preserve">re were </w:t>
      </w:r>
      <w:r w:rsidR="21E72349" w:rsidRPr="0059743C">
        <w:t>22</w:t>
      </w:r>
      <w:r w:rsidR="00B7121F" w:rsidRPr="0059743C">
        <w:t xml:space="preserve"> episodes of restraint</w:t>
      </w:r>
      <w:r w:rsidR="00F96F48" w:rsidRPr="0059743C">
        <w:t xml:space="preserve"> </w:t>
      </w:r>
      <w:r w:rsidR="00C51D57">
        <w:t>longer than</w:t>
      </w:r>
      <w:r w:rsidR="00F96F48" w:rsidRPr="0059743C">
        <w:t xml:space="preserve"> 12 hours, </w:t>
      </w:r>
      <w:r w:rsidRPr="0059743C">
        <w:t>represent</w:t>
      </w:r>
      <w:r w:rsidR="00CF7F40" w:rsidRPr="0059743C">
        <w:t>ing</w:t>
      </w:r>
      <w:r w:rsidR="0059743C">
        <w:t xml:space="preserve"> </w:t>
      </w:r>
      <w:r w:rsidR="00595FD7" w:rsidRPr="0059743C">
        <w:t>less th</w:t>
      </w:r>
      <w:r w:rsidR="00580A4E">
        <w:t>a</w:t>
      </w:r>
      <w:r w:rsidR="00595FD7" w:rsidRPr="0059743C">
        <w:t>n 1</w:t>
      </w:r>
      <w:r w:rsidRPr="0059743C">
        <w:t xml:space="preserve"> per cent of the total</w:t>
      </w:r>
      <w:r w:rsidR="008C69C7" w:rsidRPr="0059743C">
        <w:t xml:space="preserve"> in </w:t>
      </w:r>
      <w:r w:rsidR="007B2175" w:rsidRPr="0059743C">
        <w:t>202</w:t>
      </w:r>
      <w:r w:rsidR="78A82894" w:rsidRPr="0059743C">
        <w:t>1</w:t>
      </w:r>
      <w:r w:rsidR="00920F37">
        <w:t>–</w:t>
      </w:r>
      <w:r w:rsidR="78A82894" w:rsidRPr="0059743C">
        <w:t>22</w:t>
      </w:r>
      <w:r w:rsidR="00EC0E4E">
        <w:t xml:space="preserve"> </w:t>
      </w:r>
      <w:r w:rsidR="00EC0E4E" w:rsidRPr="0059743C">
        <w:t>(Table 18)</w:t>
      </w:r>
      <w:r w:rsidR="00BF3B3F" w:rsidRPr="0059743C">
        <w:t xml:space="preserve">. This </w:t>
      </w:r>
      <w:r w:rsidR="00387FDB" w:rsidRPr="0059743C">
        <w:t xml:space="preserve">is a </w:t>
      </w:r>
      <w:r w:rsidR="00325F3F" w:rsidRPr="0059743C">
        <w:t>significant reduction compared</w:t>
      </w:r>
      <w:r w:rsidRPr="0059743C">
        <w:t xml:space="preserve"> </w:t>
      </w:r>
      <w:r w:rsidR="00C51D57">
        <w:t>with</w:t>
      </w:r>
      <w:r w:rsidR="00C51D57" w:rsidRPr="0059743C">
        <w:t xml:space="preserve"> </w:t>
      </w:r>
      <w:r w:rsidRPr="0059743C">
        <w:t>201</w:t>
      </w:r>
      <w:r w:rsidR="000F2B85">
        <w:t>7</w:t>
      </w:r>
      <w:r w:rsidRPr="0059743C">
        <w:t>–1</w:t>
      </w:r>
      <w:r w:rsidR="000F2B85">
        <w:t>8</w:t>
      </w:r>
      <w:r w:rsidRPr="0059743C">
        <w:t>.</w:t>
      </w:r>
      <w:r w:rsidR="00B5548B" w:rsidRPr="0059743C">
        <w:t xml:space="preserve"> </w:t>
      </w:r>
      <w:r w:rsidR="00C51D57" w:rsidRPr="0059743C">
        <w:t>Most</w:t>
      </w:r>
      <w:r w:rsidR="1FFD5A84" w:rsidRPr="0059743C">
        <w:t xml:space="preserve"> restraints last</w:t>
      </w:r>
      <w:r w:rsidR="1FFD5A84">
        <w:t xml:space="preserve"> less than three minutes and may reflect </w:t>
      </w:r>
      <w:r w:rsidR="0033497B">
        <w:t xml:space="preserve">the use of </w:t>
      </w:r>
      <w:r w:rsidR="1FFD5A84">
        <w:t>restraint to administ</w:t>
      </w:r>
      <w:r w:rsidR="00C51D57">
        <w:t xml:space="preserve">er </w:t>
      </w:r>
      <w:r w:rsidR="1FFD5A84">
        <w:t>medication or to guide a person to</w:t>
      </w:r>
      <w:r w:rsidR="20818CA6">
        <w:t>wards</w:t>
      </w:r>
      <w:r w:rsidR="1FFD5A84">
        <w:t xml:space="preserve"> a different space</w:t>
      </w:r>
      <w:r w:rsidR="348A1212">
        <w:t>.</w:t>
      </w:r>
      <w:r w:rsidR="00F37232">
        <w:t xml:space="preserve"> There is ongoing work to understand the variation in </w:t>
      </w:r>
      <w:r w:rsidR="00256ED7">
        <w:t>clinical practice.</w:t>
      </w:r>
    </w:p>
    <w:p w14:paraId="2D6FEA36" w14:textId="52459075" w:rsidR="00381B2F" w:rsidRPr="003C6E6B" w:rsidRDefault="00381B2F" w:rsidP="000D0B9B">
      <w:pPr>
        <w:pStyle w:val="Tablecaption"/>
      </w:pPr>
      <w:r w:rsidRPr="64F2407C">
        <w:t xml:space="preserve">Table </w:t>
      </w:r>
      <w:r w:rsidR="008E180F">
        <w:t>18</w:t>
      </w:r>
      <w:r w:rsidRPr="64F2407C">
        <w:t xml:space="preserve">: Duration of physical, </w:t>
      </w:r>
      <w:proofErr w:type="gramStart"/>
      <w:r w:rsidRPr="64F2407C">
        <w:t>mechanical</w:t>
      </w:r>
      <w:proofErr w:type="gramEnd"/>
      <w:r w:rsidRPr="64F2407C">
        <w:t xml:space="preserve"> and combined restraint episodes, 201</w:t>
      </w:r>
      <w:r w:rsidR="003D35C7">
        <w:t>7</w:t>
      </w:r>
      <w:r w:rsidRPr="64F2407C">
        <w:t>–1</w:t>
      </w:r>
      <w:r w:rsidR="003D35C7">
        <w:t>8</w:t>
      </w:r>
      <w:r w:rsidRPr="64F2407C">
        <w:t xml:space="preserve"> to </w:t>
      </w:r>
      <w:r>
        <w:br/>
      </w:r>
      <w:r w:rsidR="007B2175">
        <w:t>202</w:t>
      </w:r>
      <w:r w:rsidR="00F21D24">
        <w:t>1</w:t>
      </w:r>
      <w:r w:rsidR="007B2175">
        <w:t>–2</w:t>
      </w:r>
      <w:r w:rsidR="00F21D24">
        <w:t>2</w:t>
      </w:r>
    </w:p>
    <w:tbl>
      <w:tblPr>
        <w:tblW w:w="5000" w:type="pct"/>
        <w:tblLook w:val="04A0" w:firstRow="1" w:lastRow="0" w:firstColumn="1" w:lastColumn="0" w:noHBand="0" w:noVBand="1"/>
      </w:tblPr>
      <w:tblGrid>
        <w:gridCol w:w="2833"/>
        <w:gridCol w:w="1289"/>
        <w:gridCol w:w="1291"/>
        <w:gridCol w:w="1293"/>
        <w:gridCol w:w="1293"/>
        <w:gridCol w:w="1289"/>
      </w:tblGrid>
      <w:tr w:rsidR="00FC1E88" w:rsidRPr="00012445" w14:paraId="35BEAB7A" w14:textId="75C76A8F" w:rsidTr="000F2B85">
        <w:trPr>
          <w:trHeight w:val="308"/>
          <w:tblHeader/>
        </w:trPr>
        <w:tc>
          <w:tcPr>
            <w:tcW w:w="1525" w:type="pct"/>
            <w:tcBorders>
              <w:top w:val="single" w:sz="4" w:space="0" w:color="auto"/>
              <w:left w:val="single" w:sz="4" w:space="0" w:color="auto"/>
              <w:bottom w:val="single" w:sz="4" w:space="0" w:color="auto"/>
              <w:right w:val="single" w:sz="4" w:space="0" w:color="auto"/>
            </w:tcBorders>
            <w:shd w:val="clear" w:color="auto" w:fill="auto"/>
            <w:noWrap/>
            <w:hideMark/>
          </w:tcPr>
          <w:p w14:paraId="3978F1CF" w14:textId="57EF2F6D" w:rsidR="00FC1E88" w:rsidRPr="00012445" w:rsidRDefault="00FC1E88" w:rsidP="000D0B9B">
            <w:pPr>
              <w:pStyle w:val="Tablecolhead"/>
              <w:rPr>
                <w:lang w:eastAsia="en-AU"/>
              </w:rPr>
            </w:pPr>
            <w:r>
              <w:rPr>
                <w:lang w:eastAsia="en-AU"/>
              </w:rPr>
              <w:t>Duration</w:t>
            </w:r>
          </w:p>
        </w:tc>
        <w:tc>
          <w:tcPr>
            <w:tcW w:w="694" w:type="pct"/>
            <w:tcBorders>
              <w:top w:val="single" w:sz="4" w:space="0" w:color="auto"/>
              <w:left w:val="nil"/>
              <w:bottom w:val="single" w:sz="4" w:space="0" w:color="auto"/>
              <w:right w:val="single" w:sz="4" w:space="0" w:color="auto"/>
            </w:tcBorders>
            <w:shd w:val="clear" w:color="auto" w:fill="auto"/>
            <w:noWrap/>
            <w:vAlign w:val="center"/>
            <w:hideMark/>
          </w:tcPr>
          <w:p w14:paraId="34C6FB25" w14:textId="44FD0447" w:rsidR="00FC1E88" w:rsidRPr="00012445" w:rsidRDefault="00F21D24" w:rsidP="00312856">
            <w:pPr>
              <w:pStyle w:val="Tablecolhead"/>
              <w:jc w:val="center"/>
              <w:rPr>
                <w:lang w:eastAsia="en-AU"/>
              </w:rPr>
            </w:pPr>
            <w:r w:rsidRPr="00F5149D">
              <w:t>2017</w:t>
            </w:r>
            <w:r w:rsidR="00920F37">
              <w:t>–</w:t>
            </w:r>
            <w:r w:rsidRPr="00F5149D">
              <w:t>18</w:t>
            </w:r>
          </w:p>
        </w:tc>
        <w:tc>
          <w:tcPr>
            <w:tcW w:w="695" w:type="pct"/>
            <w:tcBorders>
              <w:top w:val="single" w:sz="4" w:space="0" w:color="auto"/>
              <w:left w:val="nil"/>
              <w:bottom w:val="single" w:sz="4" w:space="0" w:color="auto"/>
              <w:right w:val="single" w:sz="4" w:space="0" w:color="auto"/>
            </w:tcBorders>
            <w:shd w:val="clear" w:color="auto" w:fill="auto"/>
            <w:noWrap/>
            <w:vAlign w:val="center"/>
            <w:hideMark/>
          </w:tcPr>
          <w:p w14:paraId="509D8080" w14:textId="1F544DA5" w:rsidR="00FC1E88" w:rsidRPr="00012445" w:rsidRDefault="00F21D24" w:rsidP="00312856">
            <w:pPr>
              <w:pStyle w:val="Tablecolhead"/>
              <w:jc w:val="center"/>
              <w:rPr>
                <w:lang w:eastAsia="en-AU"/>
              </w:rPr>
            </w:pPr>
            <w:r w:rsidRPr="00F5149D">
              <w:t>2018</w:t>
            </w:r>
            <w:r w:rsidR="00920F37">
              <w:t>–</w:t>
            </w:r>
            <w:r w:rsidRPr="00F5149D">
              <w:t>19</w:t>
            </w:r>
          </w:p>
        </w:tc>
        <w:tc>
          <w:tcPr>
            <w:tcW w:w="696" w:type="pct"/>
            <w:tcBorders>
              <w:top w:val="single" w:sz="4" w:space="0" w:color="auto"/>
              <w:left w:val="nil"/>
              <w:bottom w:val="single" w:sz="4" w:space="0" w:color="auto"/>
              <w:right w:val="single" w:sz="4" w:space="0" w:color="auto"/>
            </w:tcBorders>
            <w:shd w:val="clear" w:color="auto" w:fill="auto"/>
            <w:noWrap/>
            <w:vAlign w:val="center"/>
            <w:hideMark/>
          </w:tcPr>
          <w:p w14:paraId="455781F8" w14:textId="00337C73" w:rsidR="00FC1E88" w:rsidRPr="00012445" w:rsidRDefault="00F21D24" w:rsidP="00312856">
            <w:pPr>
              <w:pStyle w:val="Tablecolhead"/>
              <w:jc w:val="center"/>
              <w:rPr>
                <w:lang w:eastAsia="en-AU"/>
              </w:rPr>
            </w:pPr>
            <w:r w:rsidRPr="00F5149D">
              <w:t>2019</w:t>
            </w:r>
            <w:r w:rsidR="00920F37">
              <w:t>–</w:t>
            </w:r>
            <w:r w:rsidRPr="00F5149D">
              <w:t>20</w:t>
            </w:r>
          </w:p>
        </w:tc>
        <w:tc>
          <w:tcPr>
            <w:tcW w:w="696" w:type="pct"/>
            <w:tcBorders>
              <w:top w:val="single" w:sz="4" w:space="0" w:color="auto"/>
              <w:left w:val="nil"/>
              <w:bottom w:val="single" w:sz="4" w:space="0" w:color="auto"/>
              <w:right w:val="single" w:sz="4" w:space="0" w:color="auto"/>
            </w:tcBorders>
            <w:shd w:val="clear" w:color="auto" w:fill="auto"/>
            <w:noWrap/>
            <w:vAlign w:val="center"/>
            <w:hideMark/>
          </w:tcPr>
          <w:p w14:paraId="4921EE45" w14:textId="523A0285" w:rsidR="00FC1E88" w:rsidRPr="00012445" w:rsidRDefault="00F21D24" w:rsidP="00312856">
            <w:pPr>
              <w:pStyle w:val="Tablecolhead"/>
              <w:jc w:val="center"/>
              <w:rPr>
                <w:lang w:eastAsia="en-AU"/>
              </w:rPr>
            </w:pPr>
            <w:r w:rsidRPr="00F5149D">
              <w:t>2020</w:t>
            </w:r>
            <w:r w:rsidR="00920F37">
              <w:t>–</w:t>
            </w:r>
            <w:r w:rsidRPr="00F5149D">
              <w:t>21</w:t>
            </w:r>
          </w:p>
        </w:tc>
        <w:tc>
          <w:tcPr>
            <w:tcW w:w="694" w:type="pct"/>
            <w:tcBorders>
              <w:top w:val="single" w:sz="4" w:space="0" w:color="auto"/>
              <w:left w:val="nil"/>
              <w:bottom w:val="single" w:sz="4" w:space="0" w:color="auto"/>
              <w:right w:val="single" w:sz="4" w:space="0" w:color="auto"/>
            </w:tcBorders>
            <w:vAlign w:val="center"/>
          </w:tcPr>
          <w:p w14:paraId="7E4FEA74" w14:textId="167F91BF" w:rsidR="00FC1E88" w:rsidRPr="00012445" w:rsidRDefault="00F21D24" w:rsidP="00312856">
            <w:pPr>
              <w:pStyle w:val="Tablecolhead"/>
              <w:jc w:val="center"/>
              <w:rPr>
                <w:lang w:eastAsia="en-AU"/>
              </w:rPr>
            </w:pPr>
            <w:r w:rsidRPr="00F5149D">
              <w:t>2021</w:t>
            </w:r>
            <w:r w:rsidR="00920F37">
              <w:t>–</w:t>
            </w:r>
            <w:r w:rsidRPr="00F5149D">
              <w:t>22</w:t>
            </w:r>
          </w:p>
        </w:tc>
      </w:tr>
      <w:tr w:rsidR="00766454" w:rsidRPr="00012445" w14:paraId="2413597D" w14:textId="7921DEB6" w:rsidTr="000F2B85">
        <w:trPr>
          <w:trHeight w:val="308"/>
        </w:trPr>
        <w:tc>
          <w:tcPr>
            <w:tcW w:w="1525" w:type="pct"/>
            <w:tcBorders>
              <w:top w:val="nil"/>
              <w:left w:val="single" w:sz="4" w:space="0" w:color="auto"/>
              <w:bottom w:val="single" w:sz="4" w:space="0" w:color="auto"/>
              <w:right w:val="single" w:sz="4" w:space="0" w:color="auto"/>
            </w:tcBorders>
            <w:shd w:val="clear" w:color="auto" w:fill="auto"/>
            <w:noWrap/>
            <w:hideMark/>
          </w:tcPr>
          <w:p w14:paraId="6EC53C10" w14:textId="165E4C83" w:rsidR="00766454" w:rsidRPr="00012445" w:rsidRDefault="00766454" w:rsidP="000D0B9B">
            <w:pPr>
              <w:pStyle w:val="Tabletext"/>
              <w:rPr>
                <w:lang w:eastAsia="en-AU"/>
              </w:rPr>
            </w:pPr>
            <w:r w:rsidRPr="00F5149D">
              <w:t>Less than 3 minutes</w:t>
            </w:r>
          </w:p>
        </w:tc>
        <w:tc>
          <w:tcPr>
            <w:tcW w:w="694" w:type="pct"/>
            <w:tcBorders>
              <w:top w:val="nil"/>
              <w:left w:val="nil"/>
              <w:bottom w:val="single" w:sz="4" w:space="0" w:color="auto"/>
              <w:right w:val="single" w:sz="4" w:space="0" w:color="auto"/>
            </w:tcBorders>
            <w:shd w:val="clear" w:color="auto" w:fill="auto"/>
            <w:noWrap/>
            <w:vAlign w:val="center"/>
            <w:hideMark/>
          </w:tcPr>
          <w:p w14:paraId="0FB2DAA7" w14:textId="4F3571AB" w:rsidR="00766454" w:rsidRPr="00012445" w:rsidRDefault="00F21D24" w:rsidP="00312856">
            <w:pPr>
              <w:pStyle w:val="Tabletext"/>
              <w:jc w:val="center"/>
              <w:rPr>
                <w:lang w:eastAsia="en-AU"/>
              </w:rPr>
            </w:pPr>
            <w:r w:rsidRPr="00F5149D">
              <w:t>4,803</w:t>
            </w:r>
          </w:p>
        </w:tc>
        <w:tc>
          <w:tcPr>
            <w:tcW w:w="695" w:type="pct"/>
            <w:tcBorders>
              <w:top w:val="nil"/>
              <w:left w:val="nil"/>
              <w:bottom w:val="single" w:sz="4" w:space="0" w:color="auto"/>
              <w:right w:val="single" w:sz="4" w:space="0" w:color="auto"/>
            </w:tcBorders>
            <w:shd w:val="clear" w:color="auto" w:fill="auto"/>
            <w:noWrap/>
            <w:vAlign w:val="center"/>
            <w:hideMark/>
          </w:tcPr>
          <w:p w14:paraId="5B7AFB5A" w14:textId="25028055" w:rsidR="00766454" w:rsidRPr="00012445" w:rsidRDefault="00F21D24" w:rsidP="00312856">
            <w:pPr>
              <w:pStyle w:val="Tabletext"/>
              <w:jc w:val="center"/>
              <w:rPr>
                <w:lang w:eastAsia="en-AU"/>
              </w:rPr>
            </w:pPr>
            <w:r w:rsidRPr="00F5149D">
              <w:t>6,082</w:t>
            </w:r>
          </w:p>
        </w:tc>
        <w:tc>
          <w:tcPr>
            <w:tcW w:w="696" w:type="pct"/>
            <w:tcBorders>
              <w:top w:val="nil"/>
              <w:left w:val="nil"/>
              <w:bottom w:val="single" w:sz="4" w:space="0" w:color="auto"/>
              <w:right w:val="single" w:sz="4" w:space="0" w:color="auto"/>
            </w:tcBorders>
            <w:shd w:val="clear" w:color="auto" w:fill="auto"/>
            <w:noWrap/>
            <w:vAlign w:val="center"/>
            <w:hideMark/>
          </w:tcPr>
          <w:p w14:paraId="18099EDD" w14:textId="223D9B6C" w:rsidR="00766454" w:rsidRPr="00012445" w:rsidRDefault="00F21D24" w:rsidP="00312856">
            <w:pPr>
              <w:pStyle w:val="Tabletext"/>
              <w:jc w:val="center"/>
              <w:rPr>
                <w:lang w:eastAsia="en-AU"/>
              </w:rPr>
            </w:pPr>
            <w:r w:rsidRPr="00F5149D">
              <w:t>5,365</w:t>
            </w:r>
          </w:p>
        </w:tc>
        <w:tc>
          <w:tcPr>
            <w:tcW w:w="696" w:type="pct"/>
            <w:tcBorders>
              <w:top w:val="nil"/>
              <w:left w:val="nil"/>
              <w:bottom w:val="single" w:sz="4" w:space="0" w:color="auto"/>
              <w:right w:val="single" w:sz="4" w:space="0" w:color="auto"/>
            </w:tcBorders>
            <w:shd w:val="clear" w:color="auto" w:fill="auto"/>
            <w:noWrap/>
            <w:vAlign w:val="center"/>
            <w:hideMark/>
          </w:tcPr>
          <w:p w14:paraId="44203EBB" w14:textId="427B53B8" w:rsidR="00766454" w:rsidRPr="00012445" w:rsidRDefault="00766454" w:rsidP="00312856">
            <w:pPr>
              <w:pStyle w:val="Tabletext"/>
              <w:jc w:val="center"/>
              <w:rPr>
                <w:lang w:eastAsia="en-AU"/>
              </w:rPr>
            </w:pPr>
            <w:r>
              <w:t>5,</w:t>
            </w:r>
            <w:r w:rsidR="00F21D24" w:rsidRPr="00F5149D">
              <w:t>737</w:t>
            </w:r>
          </w:p>
        </w:tc>
        <w:tc>
          <w:tcPr>
            <w:tcW w:w="694" w:type="pct"/>
            <w:tcBorders>
              <w:top w:val="nil"/>
              <w:left w:val="nil"/>
              <w:bottom w:val="single" w:sz="4" w:space="0" w:color="auto"/>
              <w:right w:val="single" w:sz="4" w:space="0" w:color="auto"/>
            </w:tcBorders>
            <w:vAlign w:val="center"/>
          </w:tcPr>
          <w:p w14:paraId="2369D997" w14:textId="23DFBEEC" w:rsidR="00766454" w:rsidRDefault="00F21D24" w:rsidP="00312856">
            <w:pPr>
              <w:pStyle w:val="Tabletext"/>
              <w:jc w:val="center"/>
            </w:pPr>
            <w:r w:rsidRPr="00F5149D">
              <w:t>4,964</w:t>
            </w:r>
          </w:p>
        </w:tc>
      </w:tr>
      <w:tr w:rsidR="00766454" w:rsidRPr="00012445" w14:paraId="4EE4D942" w14:textId="1D350067" w:rsidTr="000F2B85">
        <w:trPr>
          <w:trHeight w:val="308"/>
        </w:trPr>
        <w:tc>
          <w:tcPr>
            <w:tcW w:w="1525" w:type="pct"/>
            <w:tcBorders>
              <w:top w:val="nil"/>
              <w:left w:val="single" w:sz="4" w:space="0" w:color="auto"/>
              <w:bottom w:val="single" w:sz="4" w:space="0" w:color="auto"/>
              <w:right w:val="single" w:sz="4" w:space="0" w:color="auto"/>
            </w:tcBorders>
            <w:shd w:val="clear" w:color="auto" w:fill="auto"/>
            <w:noWrap/>
            <w:hideMark/>
          </w:tcPr>
          <w:p w14:paraId="155CC3D0" w14:textId="6FC7C048" w:rsidR="00766454" w:rsidRPr="00012445" w:rsidRDefault="00766454" w:rsidP="000D0B9B">
            <w:pPr>
              <w:pStyle w:val="Tabletext"/>
              <w:rPr>
                <w:lang w:eastAsia="en-AU"/>
              </w:rPr>
            </w:pPr>
            <w:r w:rsidRPr="00F5149D">
              <w:t xml:space="preserve">≥ 3 to &lt; </w:t>
            </w:r>
            <w:r w:rsidR="00C94B7B">
              <w:t>1</w:t>
            </w:r>
            <w:r w:rsidR="00F21D24" w:rsidRPr="00F5149D">
              <w:t>5</w:t>
            </w:r>
            <w:r w:rsidRPr="00F5149D">
              <w:t xml:space="preserve"> minutes</w:t>
            </w:r>
          </w:p>
        </w:tc>
        <w:tc>
          <w:tcPr>
            <w:tcW w:w="694" w:type="pct"/>
            <w:tcBorders>
              <w:top w:val="nil"/>
              <w:left w:val="nil"/>
              <w:bottom w:val="single" w:sz="4" w:space="0" w:color="auto"/>
              <w:right w:val="single" w:sz="4" w:space="0" w:color="auto"/>
            </w:tcBorders>
            <w:shd w:val="clear" w:color="auto" w:fill="auto"/>
            <w:noWrap/>
            <w:vAlign w:val="center"/>
            <w:hideMark/>
          </w:tcPr>
          <w:p w14:paraId="3F5F8737" w14:textId="34214FEF" w:rsidR="00766454" w:rsidRPr="00012445" w:rsidRDefault="00F21D24" w:rsidP="00312856">
            <w:pPr>
              <w:pStyle w:val="Tabletext"/>
              <w:jc w:val="center"/>
              <w:rPr>
                <w:lang w:eastAsia="en-AU"/>
              </w:rPr>
            </w:pPr>
            <w:r w:rsidRPr="00F5149D">
              <w:t>3</w:t>
            </w:r>
            <w:r w:rsidR="00920F37">
              <w:t>,</w:t>
            </w:r>
            <w:r w:rsidRPr="00F5149D">
              <w:t>416</w:t>
            </w:r>
          </w:p>
        </w:tc>
        <w:tc>
          <w:tcPr>
            <w:tcW w:w="695" w:type="pct"/>
            <w:tcBorders>
              <w:top w:val="nil"/>
              <w:left w:val="nil"/>
              <w:bottom w:val="single" w:sz="4" w:space="0" w:color="auto"/>
              <w:right w:val="single" w:sz="4" w:space="0" w:color="auto"/>
            </w:tcBorders>
            <w:shd w:val="clear" w:color="auto" w:fill="auto"/>
            <w:noWrap/>
            <w:vAlign w:val="center"/>
            <w:hideMark/>
          </w:tcPr>
          <w:p w14:paraId="4ED316D5" w14:textId="09367D1B" w:rsidR="00766454" w:rsidRPr="00012445" w:rsidRDefault="00F21D24" w:rsidP="00312856">
            <w:pPr>
              <w:pStyle w:val="Tabletext"/>
              <w:jc w:val="center"/>
              <w:rPr>
                <w:lang w:eastAsia="en-AU"/>
              </w:rPr>
            </w:pPr>
            <w:r w:rsidRPr="00F5149D">
              <w:t>3</w:t>
            </w:r>
            <w:r w:rsidR="00920F37">
              <w:t>,</w:t>
            </w:r>
            <w:r w:rsidRPr="00F5149D">
              <w:t>672</w:t>
            </w:r>
          </w:p>
        </w:tc>
        <w:tc>
          <w:tcPr>
            <w:tcW w:w="696" w:type="pct"/>
            <w:tcBorders>
              <w:top w:val="nil"/>
              <w:left w:val="nil"/>
              <w:bottom w:val="single" w:sz="4" w:space="0" w:color="auto"/>
              <w:right w:val="single" w:sz="4" w:space="0" w:color="auto"/>
            </w:tcBorders>
            <w:shd w:val="clear" w:color="auto" w:fill="auto"/>
            <w:noWrap/>
            <w:vAlign w:val="center"/>
            <w:hideMark/>
          </w:tcPr>
          <w:p w14:paraId="131FB8A8" w14:textId="1A0406BB" w:rsidR="00766454" w:rsidRPr="00012445" w:rsidRDefault="00F21D24" w:rsidP="00312856">
            <w:pPr>
              <w:pStyle w:val="Tabletext"/>
              <w:jc w:val="center"/>
              <w:rPr>
                <w:lang w:eastAsia="en-AU"/>
              </w:rPr>
            </w:pPr>
            <w:r w:rsidRPr="00F5149D">
              <w:t>2</w:t>
            </w:r>
            <w:r w:rsidR="00920F37">
              <w:t>,</w:t>
            </w:r>
            <w:r w:rsidRPr="00F5149D">
              <w:t>330</w:t>
            </w:r>
          </w:p>
        </w:tc>
        <w:tc>
          <w:tcPr>
            <w:tcW w:w="696" w:type="pct"/>
            <w:tcBorders>
              <w:top w:val="nil"/>
              <w:left w:val="nil"/>
              <w:bottom w:val="single" w:sz="4" w:space="0" w:color="auto"/>
              <w:right w:val="single" w:sz="4" w:space="0" w:color="auto"/>
            </w:tcBorders>
            <w:shd w:val="clear" w:color="auto" w:fill="auto"/>
            <w:noWrap/>
            <w:vAlign w:val="center"/>
            <w:hideMark/>
          </w:tcPr>
          <w:p w14:paraId="42FBBF40" w14:textId="1B51ACA4" w:rsidR="00766454" w:rsidRPr="00012445" w:rsidRDefault="00F21D24" w:rsidP="00312856">
            <w:pPr>
              <w:pStyle w:val="Tabletext"/>
              <w:jc w:val="center"/>
              <w:rPr>
                <w:lang w:eastAsia="en-AU"/>
              </w:rPr>
            </w:pPr>
            <w:r w:rsidRPr="00F5149D">
              <w:t>2</w:t>
            </w:r>
            <w:r w:rsidR="00920F37">
              <w:t>,</w:t>
            </w:r>
            <w:r w:rsidRPr="00F5149D">
              <w:t>012</w:t>
            </w:r>
          </w:p>
        </w:tc>
        <w:tc>
          <w:tcPr>
            <w:tcW w:w="694" w:type="pct"/>
            <w:tcBorders>
              <w:top w:val="nil"/>
              <w:left w:val="nil"/>
              <w:bottom w:val="single" w:sz="4" w:space="0" w:color="auto"/>
              <w:right w:val="single" w:sz="4" w:space="0" w:color="auto"/>
            </w:tcBorders>
            <w:vAlign w:val="center"/>
          </w:tcPr>
          <w:p w14:paraId="155D399A" w14:textId="31C6B572" w:rsidR="00766454" w:rsidRDefault="00F21D24" w:rsidP="00312856">
            <w:pPr>
              <w:pStyle w:val="Tabletext"/>
              <w:jc w:val="center"/>
            </w:pPr>
            <w:r w:rsidRPr="00F5149D">
              <w:t>1</w:t>
            </w:r>
            <w:r w:rsidR="00920F37">
              <w:t>,</w:t>
            </w:r>
            <w:r w:rsidRPr="00F5149D">
              <w:t>905</w:t>
            </w:r>
          </w:p>
        </w:tc>
      </w:tr>
      <w:tr w:rsidR="00766454" w:rsidRPr="00012445" w14:paraId="65E24822" w14:textId="6A53BF82" w:rsidTr="000F2B85">
        <w:trPr>
          <w:trHeight w:val="308"/>
        </w:trPr>
        <w:tc>
          <w:tcPr>
            <w:tcW w:w="1525" w:type="pct"/>
            <w:tcBorders>
              <w:top w:val="nil"/>
              <w:left w:val="single" w:sz="4" w:space="0" w:color="auto"/>
              <w:bottom w:val="single" w:sz="4" w:space="0" w:color="auto"/>
              <w:right w:val="single" w:sz="4" w:space="0" w:color="auto"/>
            </w:tcBorders>
            <w:shd w:val="clear" w:color="auto" w:fill="auto"/>
            <w:noWrap/>
            <w:hideMark/>
          </w:tcPr>
          <w:p w14:paraId="3C6F9F1B" w14:textId="32859200" w:rsidR="00766454" w:rsidRPr="00012445" w:rsidRDefault="00766454" w:rsidP="000D0B9B">
            <w:pPr>
              <w:pStyle w:val="Tabletext"/>
              <w:rPr>
                <w:lang w:eastAsia="en-AU"/>
              </w:rPr>
            </w:pPr>
            <w:r w:rsidRPr="00F5149D">
              <w:lastRenderedPageBreak/>
              <w:t>≥ 15 to &lt; 30 minutes</w:t>
            </w:r>
          </w:p>
        </w:tc>
        <w:tc>
          <w:tcPr>
            <w:tcW w:w="694" w:type="pct"/>
            <w:tcBorders>
              <w:top w:val="nil"/>
              <w:left w:val="nil"/>
              <w:bottom w:val="single" w:sz="4" w:space="0" w:color="auto"/>
              <w:right w:val="single" w:sz="4" w:space="0" w:color="auto"/>
            </w:tcBorders>
            <w:shd w:val="clear" w:color="auto" w:fill="auto"/>
            <w:noWrap/>
            <w:vAlign w:val="center"/>
            <w:hideMark/>
          </w:tcPr>
          <w:p w14:paraId="6CDDF60A" w14:textId="1B283CA5" w:rsidR="00766454" w:rsidRPr="00012445" w:rsidRDefault="00F21D24" w:rsidP="00312856">
            <w:pPr>
              <w:pStyle w:val="Tabletext"/>
              <w:jc w:val="center"/>
              <w:rPr>
                <w:lang w:eastAsia="en-AU"/>
              </w:rPr>
            </w:pPr>
            <w:r w:rsidRPr="00F5149D">
              <w:t>224</w:t>
            </w:r>
          </w:p>
        </w:tc>
        <w:tc>
          <w:tcPr>
            <w:tcW w:w="695" w:type="pct"/>
            <w:tcBorders>
              <w:top w:val="nil"/>
              <w:left w:val="nil"/>
              <w:bottom w:val="single" w:sz="4" w:space="0" w:color="auto"/>
              <w:right w:val="single" w:sz="4" w:space="0" w:color="auto"/>
            </w:tcBorders>
            <w:shd w:val="clear" w:color="auto" w:fill="auto"/>
            <w:noWrap/>
            <w:vAlign w:val="center"/>
            <w:hideMark/>
          </w:tcPr>
          <w:p w14:paraId="1A34C2F0" w14:textId="5381101E" w:rsidR="00766454" w:rsidRPr="00012445" w:rsidRDefault="00F21D24" w:rsidP="00312856">
            <w:pPr>
              <w:pStyle w:val="Tabletext"/>
              <w:jc w:val="center"/>
              <w:rPr>
                <w:lang w:eastAsia="en-AU"/>
              </w:rPr>
            </w:pPr>
            <w:r w:rsidRPr="00F5149D">
              <w:t>198</w:t>
            </w:r>
          </w:p>
        </w:tc>
        <w:tc>
          <w:tcPr>
            <w:tcW w:w="696" w:type="pct"/>
            <w:tcBorders>
              <w:top w:val="nil"/>
              <w:left w:val="nil"/>
              <w:bottom w:val="single" w:sz="4" w:space="0" w:color="auto"/>
              <w:right w:val="single" w:sz="4" w:space="0" w:color="auto"/>
            </w:tcBorders>
            <w:shd w:val="clear" w:color="auto" w:fill="auto"/>
            <w:noWrap/>
            <w:vAlign w:val="center"/>
            <w:hideMark/>
          </w:tcPr>
          <w:p w14:paraId="75273AD7" w14:textId="4C04F3D5" w:rsidR="00766454" w:rsidRPr="00012445" w:rsidRDefault="00F21D24" w:rsidP="00312856">
            <w:pPr>
              <w:pStyle w:val="Tabletext"/>
              <w:jc w:val="center"/>
              <w:rPr>
                <w:lang w:eastAsia="en-AU"/>
              </w:rPr>
            </w:pPr>
            <w:r w:rsidRPr="00F5149D">
              <w:t>165</w:t>
            </w:r>
          </w:p>
        </w:tc>
        <w:tc>
          <w:tcPr>
            <w:tcW w:w="696" w:type="pct"/>
            <w:tcBorders>
              <w:top w:val="nil"/>
              <w:left w:val="nil"/>
              <w:bottom w:val="single" w:sz="4" w:space="0" w:color="auto"/>
              <w:right w:val="single" w:sz="4" w:space="0" w:color="auto"/>
            </w:tcBorders>
            <w:shd w:val="clear" w:color="auto" w:fill="auto"/>
            <w:noWrap/>
            <w:vAlign w:val="center"/>
            <w:hideMark/>
          </w:tcPr>
          <w:p w14:paraId="7D093925" w14:textId="45228388" w:rsidR="00766454" w:rsidRPr="00012445" w:rsidRDefault="00F21D24" w:rsidP="00312856">
            <w:pPr>
              <w:pStyle w:val="Tabletext"/>
              <w:jc w:val="center"/>
              <w:rPr>
                <w:lang w:eastAsia="en-AU"/>
              </w:rPr>
            </w:pPr>
            <w:r w:rsidRPr="00F5149D">
              <w:t>207</w:t>
            </w:r>
          </w:p>
        </w:tc>
        <w:tc>
          <w:tcPr>
            <w:tcW w:w="694" w:type="pct"/>
            <w:tcBorders>
              <w:top w:val="nil"/>
              <w:left w:val="nil"/>
              <w:bottom w:val="single" w:sz="4" w:space="0" w:color="auto"/>
              <w:right w:val="single" w:sz="4" w:space="0" w:color="auto"/>
            </w:tcBorders>
            <w:vAlign w:val="center"/>
          </w:tcPr>
          <w:p w14:paraId="29E6D776" w14:textId="64810F25" w:rsidR="00766454" w:rsidRDefault="00F21D24" w:rsidP="00312856">
            <w:pPr>
              <w:pStyle w:val="Tabletext"/>
              <w:jc w:val="center"/>
            </w:pPr>
            <w:r w:rsidRPr="00F5149D">
              <w:t>193</w:t>
            </w:r>
          </w:p>
        </w:tc>
      </w:tr>
      <w:tr w:rsidR="00766454" w:rsidRPr="00012445" w14:paraId="1426B28F" w14:textId="4F6660E4" w:rsidTr="000F2B85">
        <w:trPr>
          <w:trHeight w:val="308"/>
        </w:trPr>
        <w:tc>
          <w:tcPr>
            <w:tcW w:w="1525" w:type="pct"/>
            <w:tcBorders>
              <w:top w:val="nil"/>
              <w:left w:val="single" w:sz="4" w:space="0" w:color="auto"/>
              <w:bottom w:val="single" w:sz="4" w:space="0" w:color="auto"/>
              <w:right w:val="single" w:sz="4" w:space="0" w:color="auto"/>
            </w:tcBorders>
            <w:shd w:val="clear" w:color="auto" w:fill="auto"/>
            <w:noWrap/>
            <w:hideMark/>
          </w:tcPr>
          <w:p w14:paraId="34F63EC2" w14:textId="0EF54AC7" w:rsidR="00766454" w:rsidRPr="00012445" w:rsidRDefault="00766454" w:rsidP="000D0B9B">
            <w:pPr>
              <w:pStyle w:val="Tabletext"/>
              <w:rPr>
                <w:lang w:eastAsia="en-AU"/>
              </w:rPr>
            </w:pPr>
            <w:r w:rsidRPr="00F5149D">
              <w:t>≥ 30 to &lt; 45 minutes</w:t>
            </w:r>
          </w:p>
        </w:tc>
        <w:tc>
          <w:tcPr>
            <w:tcW w:w="694" w:type="pct"/>
            <w:tcBorders>
              <w:top w:val="nil"/>
              <w:left w:val="nil"/>
              <w:bottom w:val="single" w:sz="4" w:space="0" w:color="auto"/>
              <w:right w:val="single" w:sz="4" w:space="0" w:color="auto"/>
            </w:tcBorders>
            <w:shd w:val="clear" w:color="auto" w:fill="auto"/>
            <w:noWrap/>
            <w:vAlign w:val="center"/>
            <w:hideMark/>
          </w:tcPr>
          <w:p w14:paraId="522E24FD" w14:textId="527B1ADA" w:rsidR="00766454" w:rsidRPr="00012445" w:rsidRDefault="00F21D24" w:rsidP="00312856">
            <w:pPr>
              <w:pStyle w:val="Tabletext"/>
              <w:jc w:val="center"/>
              <w:rPr>
                <w:lang w:eastAsia="en-AU"/>
              </w:rPr>
            </w:pPr>
            <w:r w:rsidRPr="00F5149D">
              <w:t>72</w:t>
            </w:r>
          </w:p>
        </w:tc>
        <w:tc>
          <w:tcPr>
            <w:tcW w:w="695" w:type="pct"/>
            <w:tcBorders>
              <w:top w:val="nil"/>
              <w:left w:val="nil"/>
              <w:bottom w:val="single" w:sz="4" w:space="0" w:color="auto"/>
              <w:right w:val="single" w:sz="4" w:space="0" w:color="auto"/>
            </w:tcBorders>
            <w:shd w:val="clear" w:color="auto" w:fill="auto"/>
            <w:noWrap/>
            <w:vAlign w:val="center"/>
            <w:hideMark/>
          </w:tcPr>
          <w:p w14:paraId="4F4DE982" w14:textId="49682356" w:rsidR="00766454" w:rsidRPr="00012445" w:rsidRDefault="00F21D24" w:rsidP="00312856">
            <w:pPr>
              <w:pStyle w:val="Tabletext"/>
              <w:jc w:val="center"/>
              <w:rPr>
                <w:lang w:eastAsia="en-AU"/>
              </w:rPr>
            </w:pPr>
            <w:r w:rsidRPr="00F5149D">
              <w:t>73</w:t>
            </w:r>
          </w:p>
        </w:tc>
        <w:tc>
          <w:tcPr>
            <w:tcW w:w="696" w:type="pct"/>
            <w:tcBorders>
              <w:top w:val="nil"/>
              <w:left w:val="nil"/>
              <w:bottom w:val="single" w:sz="4" w:space="0" w:color="auto"/>
              <w:right w:val="single" w:sz="4" w:space="0" w:color="auto"/>
            </w:tcBorders>
            <w:shd w:val="clear" w:color="auto" w:fill="auto"/>
            <w:noWrap/>
            <w:vAlign w:val="center"/>
            <w:hideMark/>
          </w:tcPr>
          <w:p w14:paraId="7B03F3C5" w14:textId="69D81B5B" w:rsidR="00766454" w:rsidRPr="00012445" w:rsidRDefault="00F21D24" w:rsidP="00312856">
            <w:pPr>
              <w:pStyle w:val="Tabletext"/>
              <w:jc w:val="center"/>
              <w:rPr>
                <w:lang w:eastAsia="en-AU"/>
              </w:rPr>
            </w:pPr>
            <w:r w:rsidRPr="00F5149D">
              <w:t>68</w:t>
            </w:r>
          </w:p>
        </w:tc>
        <w:tc>
          <w:tcPr>
            <w:tcW w:w="696" w:type="pct"/>
            <w:tcBorders>
              <w:top w:val="nil"/>
              <w:left w:val="nil"/>
              <w:bottom w:val="single" w:sz="4" w:space="0" w:color="auto"/>
              <w:right w:val="single" w:sz="4" w:space="0" w:color="auto"/>
            </w:tcBorders>
            <w:shd w:val="clear" w:color="auto" w:fill="auto"/>
            <w:noWrap/>
            <w:vAlign w:val="center"/>
            <w:hideMark/>
          </w:tcPr>
          <w:p w14:paraId="61ABBAB6" w14:textId="30704A18" w:rsidR="00766454" w:rsidRPr="00012445" w:rsidRDefault="00F21D24" w:rsidP="00312856">
            <w:pPr>
              <w:pStyle w:val="Tabletext"/>
              <w:jc w:val="center"/>
              <w:rPr>
                <w:lang w:eastAsia="en-AU"/>
              </w:rPr>
            </w:pPr>
            <w:r w:rsidRPr="00F5149D">
              <w:t>85</w:t>
            </w:r>
          </w:p>
        </w:tc>
        <w:tc>
          <w:tcPr>
            <w:tcW w:w="694" w:type="pct"/>
            <w:tcBorders>
              <w:top w:val="nil"/>
              <w:left w:val="nil"/>
              <w:bottom w:val="single" w:sz="4" w:space="0" w:color="auto"/>
              <w:right w:val="single" w:sz="4" w:space="0" w:color="auto"/>
            </w:tcBorders>
            <w:vAlign w:val="center"/>
          </w:tcPr>
          <w:p w14:paraId="259FEB30" w14:textId="05976657" w:rsidR="00766454" w:rsidRDefault="00F21D24" w:rsidP="00312856">
            <w:pPr>
              <w:pStyle w:val="Tabletext"/>
              <w:jc w:val="center"/>
            </w:pPr>
            <w:r w:rsidRPr="00F5149D">
              <w:t>82</w:t>
            </w:r>
          </w:p>
        </w:tc>
      </w:tr>
      <w:tr w:rsidR="00766454" w:rsidRPr="00012445" w14:paraId="0204C8E4" w14:textId="18D28C96" w:rsidTr="000F2B85">
        <w:trPr>
          <w:trHeight w:val="308"/>
        </w:trPr>
        <w:tc>
          <w:tcPr>
            <w:tcW w:w="1525" w:type="pct"/>
            <w:tcBorders>
              <w:top w:val="nil"/>
              <w:left w:val="single" w:sz="4" w:space="0" w:color="auto"/>
              <w:bottom w:val="single" w:sz="4" w:space="0" w:color="auto"/>
              <w:right w:val="single" w:sz="4" w:space="0" w:color="auto"/>
            </w:tcBorders>
            <w:shd w:val="clear" w:color="auto" w:fill="auto"/>
            <w:noWrap/>
            <w:hideMark/>
          </w:tcPr>
          <w:p w14:paraId="2B9CD4A5" w14:textId="0B0C0623" w:rsidR="00766454" w:rsidRPr="00012445" w:rsidRDefault="00766454" w:rsidP="000D0B9B">
            <w:pPr>
              <w:pStyle w:val="Tabletext"/>
              <w:rPr>
                <w:lang w:eastAsia="en-AU"/>
              </w:rPr>
            </w:pPr>
            <w:r w:rsidRPr="00F5149D">
              <w:t xml:space="preserve">≥ 45 </w:t>
            </w:r>
            <w:r w:rsidR="00F21D24" w:rsidRPr="00F5149D">
              <w:t>minutes</w:t>
            </w:r>
            <w:r w:rsidRPr="00F5149D">
              <w:t xml:space="preserve"> to &lt; 1 hour</w:t>
            </w:r>
          </w:p>
        </w:tc>
        <w:tc>
          <w:tcPr>
            <w:tcW w:w="694" w:type="pct"/>
            <w:tcBorders>
              <w:top w:val="nil"/>
              <w:left w:val="nil"/>
              <w:bottom w:val="single" w:sz="4" w:space="0" w:color="auto"/>
              <w:right w:val="single" w:sz="4" w:space="0" w:color="auto"/>
            </w:tcBorders>
            <w:shd w:val="clear" w:color="auto" w:fill="auto"/>
            <w:noWrap/>
            <w:vAlign w:val="center"/>
            <w:hideMark/>
          </w:tcPr>
          <w:p w14:paraId="39479F02" w14:textId="1AE90EC1" w:rsidR="00766454" w:rsidRPr="00012445" w:rsidRDefault="00F21D24" w:rsidP="00312856">
            <w:pPr>
              <w:pStyle w:val="Tabletext"/>
              <w:jc w:val="center"/>
              <w:rPr>
                <w:lang w:eastAsia="en-AU"/>
              </w:rPr>
            </w:pPr>
            <w:r w:rsidRPr="00F5149D">
              <w:t>38</w:t>
            </w:r>
          </w:p>
        </w:tc>
        <w:tc>
          <w:tcPr>
            <w:tcW w:w="695" w:type="pct"/>
            <w:tcBorders>
              <w:top w:val="nil"/>
              <w:left w:val="nil"/>
              <w:bottom w:val="single" w:sz="4" w:space="0" w:color="auto"/>
              <w:right w:val="single" w:sz="4" w:space="0" w:color="auto"/>
            </w:tcBorders>
            <w:shd w:val="clear" w:color="auto" w:fill="auto"/>
            <w:noWrap/>
            <w:vAlign w:val="center"/>
            <w:hideMark/>
          </w:tcPr>
          <w:p w14:paraId="0BABE5AC" w14:textId="4AD4C084" w:rsidR="00766454" w:rsidRPr="00012445" w:rsidRDefault="00F21D24" w:rsidP="00312856">
            <w:pPr>
              <w:pStyle w:val="Tabletext"/>
              <w:jc w:val="center"/>
              <w:rPr>
                <w:lang w:eastAsia="en-AU"/>
              </w:rPr>
            </w:pPr>
            <w:r w:rsidRPr="00F5149D">
              <w:t>45</w:t>
            </w:r>
          </w:p>
        </w:tc>
        <w:tc>
          <w:tcPr>
            <w:tcW w:w="696" w:type="pct"/>
            <w:tcBorders>
              <w:top w:val="nil"/>
              <w:left w:val="nil"/>
              <w:bottom w:val="single" w:sz="4" w:space="0" w:color="auto"/>
              <w:right w:val="single" w:sz="4" w:space="0" w:color="auto"/>
            </w:tcBorders>
            <w:shd w:val="clear" w:color="auto" w:fill="auto"/>
            <w:noWrap/>
            <w:vAlign w:val="center"/>
            <w:hideMark/>
          </w:tcPr>
          <w:p w14:paraId="5C96B812" w14:textId="61DBAD3A" w:rsidR="00766454" w:rsidRPr="00012445" w:rsidRDefault="00F21D24" w:rsidP="00312856">
            <w:pPr>
              <w:pStyle w:val="Tabletext"/>
              <w:jc w:val="center"/>
              <w:rPr>
                <w:lang w:eastAsia="en-AU"/>
              </w:rPr>
            </w:pPr>
            <w:r w:rsidRPr="00F5149D">
              <w:t>49</w:t>
            </w:r>
          </w:p>
        </w:tc>
        <w:tc>
          <w:tcPr>
            <w:tcW w:w="696" w:type="pct"/>
            <w:tcBorders>
              <w:top w:val="nil"/>
              <w:left w:val="nil"/>
              <w:bottom w:val="single" w:sz="4" w:space="0" w:color="auto"/>
              <w:right w:val="single" w:sz="4" w:space="0" w:color="auto"/>
            </w:tcBorders>
            <w:shd w:val="clear" w:color="auto" w:fill="auto"/>
            <w:noWrap/>
            <w:vAlign w:val="center"/>
            <w:hideMark/>
          </w:tcPr>
          <w:p w14:paraId="1D207A69" w14:textId="3BE0B13F" w:rsidR="00766454" w:rsidRPr="00012445" w:rsidRDefault="00F21D24" w:rsidP="00312856">
            <w:pPr>
              <w:pStyle w:val="Tabletext"/>
              <w:jc w:val="center"/>
              <w:rPr>
                <w:lang w:eastAsia="en-AU"/>
              </w:rPr>
            </w:pPr>
            <w:r w:rsidRPr="00F5149D">
              <w:t>66</w:t>
            </w:r>
          </w:p>
        </w:tc>
        <w:tc>
          <w:tcPr>
            <w:tcW w:w="694" w:type="pct"/>
            <w:tcBorders>
              <w:top w:val="nil"/>
              <w:left w:val="nil"/>
              <w:bottom w:val="single" w:sz="4" w:space="0" w:color="auto"/>
              <w:right w:val="single" w:sz="4" w:space="0" w:color="auto"/>
            </w:tcBorders>
            <w:vAlign w:val="center"/>
          </w:tcPr>
          <w:p w14:paraId="60681368" w14:textId="37E23A65" w:rsidR="00766454" w:rsidRDefault="00F21D24" w:rsidP="00312856">
            <w:pPr>
              <w:pStyle w:val="Tabletext"/>
              <w:jc w:val="center"/>
            </w:pPr>
            <w:r w:rsidRPr="00F5149D">
              <w:t>84</w:t>
            </w:r>
          </w:p>
        </w:tc>
      </w:tr>
      <w:tr w:rsidR="008D39FB" w:rsidRPr="00012445" w14:paraId="54563346" w14:textId="76F6A6FD" w:rsidTr="000F2B85">
        <w:trPr>
          <w:trHeight w:val="308"/>
        </w:trPr>
        <w:tc>
          <w:tcPr>
            <w:tcW w:w="1525" w:type="pct"/>
            <w:tcBorders>
              <w:top w:val="nil"/>
              <w:left w:val="single" w:sz="4" w:space="0" w:color="auto"/>
              <w:bottom w:val="single" w:sz="4" w:space="0" w:color="auto"/>
              <w:right w:val="single" w:sz="4" w:space="0" w:color="auto"/>
            </w:tcBorders>
            <w:shd w:val="clear" w:color="auto" w:fill="auto"/>
            <w:noWrap/>
            <w:hideMark/>
          </w:tcPr>
          <w:p w14:paraId="0C9B95E4" w14:textId="4816BE37" w:rsidR="008D39FB" w:rsidRPr="00012445" w:rsidRDefault="008D39FB" w:rsidP="000D0B9B">
            <w:pPr>
              <w:pStyle w:val="Tabletext"/>
              <w:rPr>
                <w:lang w:eastAsia="en-AU"/>
              </w:rPr>
            </w:pPr>
            <w:r w:rsidRPr="00F5149D">
              <w:t xml:space="preserve">≥ 1 to &lt; 4 </w:t>
            </w:r>
            <w:proofErr w:type="gramStart"/>
            <w:r w:rsidRPr="00F5149D">
              <w:t>hours</w:t>
            </w:r>
            <w:proofErr w:type="gramEnd"/>
          </w:p>
        </w:tc>
        <w:tc>
          <w:tcPr>
            <w:tcW w:w="694" w:type="pct"/>
            <w:tcBorders>
              <w:top w:val="nil"/>
              <w:left w:val="nil"/>
              <w:bottom w:val="single" w:sz="4" w:space="0" w:color="auto"/>
              <w:right w:val="single" w:sz="4" w:space="0" w:color="auto"/>
            </w:tcBorders>
            <w:shd w:val="clear" w:color="auto" w:fill="auto"/>
            <w:noWrap/>
            <w:vAlign w:val="center"/>
            <w:hideMark/>
          </w:tcPr>
          <w:p w14:paraId="6180B65E" w14:textId="5E86DD75" w:rsidR="008D39FB" w:rsidRPr="00012445" w:rsidRDefault="00F21D24" w:rsidP="00312856">
            <w:pPr>
              <w:pStyle w:val="Tabletext"/>
              <w:jc w:val="center"/>
              <w:rPr>
                <w:lang w:eastAsia="en-AU"/>
              </w:rPr>
            </w:pPr>
            <w:r w:rsidRPr="00F5149D">
              <w:t>161</w:t>
            </w:r>
          </w:p>
        </w:tc>
        <w:tc>
          <w:tcPr>
            <w:tcW w:w="695" w:type="pct"/>
            <w:tcBorders>
              <w:top w:val="nil"/>
              <w:left w:val="nil"/>
              <w:bottom w:val="single" w:sz="4" w:space="0" w:color="auto"/>
              <w:right w:val="single" w:sz="4" w:space="0" w:color="auto"/>
            </w:tcBorders>
            <w:shd w:val="clear" w:color="auto" w:fill="auto"/>
            <w:noWrap/>
            <w:vAlign w:val="center"/>
            <w:hideMark/>
          </w:tcPr>
          <w:p w14:paraId="21E11196" w14:textId="245199EB" w:rsidR="008D39FB" w:rsidRPr="00012445" w:rsidRDefault="00F21D24" w:rsidP="00312856">
            <w:pPr>
              <w:pStyle w:val="Tabletext"/>
              <w:jc w:val="center"/>
              <w:rPr>
                <w:lang w:eastAsia="en-AU"/>
              </w:rPr>
            </w:pPr>
            <w:r w:rsidRPr="00F5149D">
              <w:t>217</w:t>
            </w:r>
          </w:p>
        </w:tc>
        <w:tc>
          <w:tcPr>
            <w:tcW w:w="696" w:type="pct"/>
            <w:tcBorders>
              <w:top w:val="nil"/>
              <w:left w:val="nil"/>
              <w:bottom w:val="single" w:sz="4" w:space="0" w:color="auto"/>
              <w:right w:val="single" w:sz="4" w:space="0" w:color="auto"/>
            </w:tcBorders>
            <w:shd w:val="clear" w:color="auto" w:fill="auto"/>
            <w:noWrap/>
            <w:vAlign w:val="center"/>
            <w:hideMark/>
          </w:tcPr>
          <w:p w14:paraId="526C6E60" w14:textId="03AD5E9C" w:rsidR="008D39FB" w:rsidRPr="00012445" w:rsidRDefault="00F21D24" w:rsidP="00312856">
            <w:pPr>
              <w:pStyle w:val="Tabletext"/>
              <w:jc w:val="center"/>
              <w:rPr>
                <w:lang w:eastAsia="en-AU"/>
              </w:rPr>
            </w:pPr>
            <w:r w:rsidRPr="00F5149D">
              <w:t>202</w:t>
            </w:r>
          </w:p>
        </w:tc>
        <w:tc>
          <w:tcPr>
            <w:tcW w:w="696" w:type="pct"/>
            <w:tcBorders>
              <w:top w:val="nil"/>
              <w:left w:val="nil"/>
              <w:bottom w:val="single" w:sz="4" w:space="0" w:color="auto"/>
              <w:right w:val="single" w:sz="4" w:space="0" w:color="auto"/>
            </w:tcBorders>
            <w:shd w:val="clear" w:color="auto" w:fill="auto"/>
            <w:noWrap/>
            <w:vAlign w:val="center"/>
            <w:hideMark/>
          </w:tcPr>
          <w:p w14:paraId="24D32C46" w14:textId="539F6D03" w:rsidR="008D39FB" w:rsidRPr="00012445" w:rsidRDefault="00F21D24" w:rsidP="00312856">
            <w:pPr>
              <w:pStyle w:val="Tabletext"/>
              <w:jc w:val="center"/>
              <w:rPr>
                <w:lang w:eastAsia="en-AU"/>
              </w:rPr>
            </w:pPr>
            <w:r w:rsidRPr="00F5149D">
              <w:t>158</w:t>
            </w:r>
          </w:p>
        </w:tc>
        <w:tc>
          <w:tcPr>
            <w:tcW w:w="694" w:type="pct"/>
            <w:tcBorders>
              <w:top w:val="nil"/>
              <w:left w:val="nil"/>
              <w:bottom w:val="single" w:sz="4" w:space="0" w:color="auto"/>
              <w:right w:val="single" w:sz="4" w:space="0" w:color="auto"/>
            </w:tcBorders>
            <w:vAlign w:val="center"/>
          </w:tcPr>
          <w:p w14:paraId="6F713AA8" w14:textId="1A0C0971" w:rsidR="008D39FB" w:rsidRDefault="00F21D24" w:rsidP="00312856">
            <w:pPr>
              <w:pStyle w:val="Tabletext"/>
              <w:jc w:val="center"/>
            </w:pPr>
            <w:r w:rsidRPr="00F5149D">
              <w:t>243</w:t>
            </w:r>
          </w:p>
        </w:tc>
      </w:tr>
      <w:tr w:rsidR="008D39FB" w:rsidRPr="00012445" w14:paraId="6511DEE6" w14:textId="718CECD2" w:rsidTr="000F2B85">
        <w:trPr>
          <w:trHeight w:val="308"/>
        </w:trPr>
        <w:tc>
          <w:tcPr>
            <w:tcW w:w="1525" w:type="pct"/>
            <w:tcBorders>
              <w:top w:val="nil"/>
              <w:left w:val="single" w:sz="4" w:space="0" w:color="auto"/>
              <w:bottom w:val="single" w:sz="4" w:space="0" w:color="auto"/>
              <w:right w:val="single" w:sz="4" w:space="0" w:color="auto"/>
            </w:tcBorders>
            <w:shd w:val="clear" w:color="auto" w:fill="auto"/>
            <w:noWrap/>
            <w:hideMark/>
          </w:tcPr>
          <w:p w14:paraId="09F9E6F7" w14:textId="69FD2136" w:rsidR="008D39FB" w:rsidRPr="00012445" w:rsidRDefault="008D39FB" w:rsidP="000D0B9B">
            <w:pPr>
              <w:pStyle w:val="Tabletext"/>
              <w:rPr>
                <w:lang w:eastAsia="en-AU"/>
              </w:rPr>
            </w:pPr>
            <w:r w:rsidRPr="00F5149D">
              <w:t>≥ 4 to &lt; 12 hours</w:t>
            </w:r>
          </w:p>
        </w:tc>
        <w:tc>
          <w:tcPr>
            <w:tcW w:w="694" w:type="pct"/>
            <w:tcBorders>
              <w:top w:val="nil"/>
              <w:left w:val="nil"/>
              <w:bottom w:val="single" w:sz="4" w:space="0" w:color="auto"/>
              <w:right w:val="single" w:sz="4" w:space="0" w:color="auto"/>
            </w:tcBorders>
            <w:shd w:val="clear" w:color="auto" w:fill="auto"/>
            <w:noWrap/>
            <w:vAlign w:val="center"/>
            <w:hideMark/>
          </w:tcPr>
          <w:p w14:paraId="4A7FFD5E" w14:textId="2EE6EAB5" w:rsidR="008D39FB" w:rsidRPr="00012445" w:rsidRDefault="00F21D24" w:rsidP="00312856">
            <w:pPr>
              <w:pStyle w:val="Tabletext"/>
              <w:jc w:val="center"/>
              <w:rPr>
                <w:lang w:eastAsia="en-AU"/>
              </w:rPr>
            </w:pPr>
            <w:r w:rsidRPr="00F5149D">
              <w:t>66</w:t>
            </w:r>
          </w:p>
        </w:tc>
        <w:tc>
          <w:tcPr>
            <w:tcW w:w="695" w:type="pct"/>
            <w:tcBorders>
              <w:top w:val="nil"/>
              <w:left w:val="nil"/>
              <w:bottom w:val="single" w:sz="4" w:space="0" w:color="auto"/>
              <w:right w:val="single" w:sz="4" w:space="0" w:color="auto"/>
            </w:tcBorders>
            <w:shd w:val="clear" w:color="auto" w:fill="auto"/>
            <w:noWrap/>
            <w:vAlign w:val="center"/>
            <w:hideMark/>
          </w:tcPr>
          <w:p w14:paraId="2B27D278" w14:textId="49D75D1A" w:rsidR="008D39FB" w:rsidRPr="00012445" w:rsidRDefault="00F21D24" w:rsidP="00312856">
            <w:pPr>
              <w:pStyle w:val="Tabletext"/>
              <w:jc w:val="center"/>
              <w:rPr>
                <w:lang w:eastAsia="en-AU"/>
              </w:rPr>
            </w:pPr>
            <w:r w:rsidRPr="00F5149D">
              <w:t>46</w:t>
            </w:r>
          </w:p>
        </w:tc>
        <w:tc>
          <w:tcPr>
            <w:tcW w:w="696" w:type="pct"/>
            <w:tcBorders>
              <w:top w:val="nil"/>
              <w:left w:val="nil"/>
              <w:bottom w:val="single" w:sz="4" w:space="0" w:color="auto"/>
              <w:right w:val="single" w:sz="4" w:space="0" w:color="auto"/>
            </w:tcBorders>
            <w:shd w:val="clear" w:color="auto" w:fill="auto"/>
            <w:noWrap/>
            <w:vAlign w:val="center"/>
            <w:hideMark/>
          </w:tcPr>
          <w:p w14:paraId="31C21ED6" w14:textId="4709440E" w:rsidR="008D39FB" w:rsidRPr="00012445" w:rsidRDefault="00F21D24" w:rsidP="00312856">
            <w:pPr>
              <w:pStyle w:val="Tabletext"/>
              <w:jc w:val="center"/>
              <w:rPr>
                <w:lang w:eastAsia="en-AU"/>
              </w:rPr>
            </w:pPr>
            <w:r w:rsidRPr="00F5149D">
              <w:t>55</w:t>
            </w:r>
          </w:p>
        </w:tc>
        <w:tc>
          <w:tcPr>
            <w:tcW w:w="696" w:type="pct"/>
            <w:tcBorders>
              <w:top w:val="nil"/>
              <w:left w:val="nil"/>
              <w:bottom w:val="single" w:sz="4" w:space="0" w:color="auto"/>
              <w:right w:val="single" w:sz="4" w:space="0" w:color="auto"/>
            </w:tcBorders>
            <w:shd w:val="clear" w:color="auto" w:fill="auto"/>
            <w:noWrap/>
            <w:vAlign w:val="center"/>
            <w:hideMark/>
          </w:tcPr>
          <w:p w14:paraId="7F25B807" w14:textId="03BC447A" w:rsidR="008D39FB" w:rsidRPr="00012445" w:rsidRDefault="00F21D24" w:rsidP="00312856">
            <w:pPr>
              <w:pStyle w:val="Tabletext"/>
              <w:jc w:val="center"/>
              <w:rPr>
                <w:lang w:eastAsia="en-AU"/>
              </w:rPr>
            </w:pPr>
            <w:r w:rsidRPr="00F5149D">
              <w:t>45</w:t>
            </w:r>
          </w:p>
        </w:tc>
        <w:tc>
          <w:tcPr>
            <w:tcW w:w="694" w:type="pct"/>
            <w:tcBorders>
              <w:top w:val="nil"/>
              <w:left w:val="nil"/>
              <w:bottom w:val="single" w:sz="4" w:space="0" w:color="auto"/>
              <w:right w:val="single" w:sz="4" w:space="0" w:color="auto"/>
            </w:tcBorders>
            <w:vAlign w:val="center"/>
          </w:tcPr>
          <w:p w14:paraId="46661E04" w14:textId="37A8774D" w:rsidR="008D39FB" w:rsidRDefault="00F21D24" w:rsidP="00312856">
            <w:pPr>
              <w:pStyle w:val="Tabletext"/>
              <w:jc w:val="center"/>
            </w:pPr>
            <w:r w:rsidRPr="00F5149D">
              <w:t>57</w:t>
            </w:r>
          </w:p>
        </w:tc>
      </w:tr>
      <w:tr w:rsidR="008D39FB" w:rsidRPr="00012445" w14:paraId="3CCCF23B" w14:textId="00B08A22" w:rsidTr="000F2B85">
        <w:trPr>
          <w:trHeight w:val="308"/>
        </w:trPr>
        <w:tc>
          <w:tcPr>
            <w:tcW w:w="1525" w:type="pct"/>
            <w:tcBorders>
              <w:top w:val="nil"/>
              <w:left w:val="single" w:sz="4" w:space="0" w:color="auto"/>
              <w:bottom w:val="single" w:sz="4" w:space="0" w:color="auto"/>
              <w:right w:val="single" w:sz="4" w:space="0" w:color="auto"/>
            </w:tcBorders>
            <w:shd w:val="clear" w:color="auto" w:fill="auto"/>
            <w:noWrap/>
            <w:hideMark/>
          </w:tcPr>
          <w:p w14:paraId="79A10F38" w14:textId="6A81C9C5" w:rsidR="008D39FB" w:rsidRPr="00012445" w:rsidRDefault="008D39FB" w:rsidP="000D0B9B">
            <w:pPr>
              <w:pStyle w:val="Tabletext"/>
              <w:rPr>
                <w:lang w:eastAsia="en-AU"/>
              </w:rPr>
            </w:pPr>
            <w:r w:rsidRPr="00F5149D">
              <w:t>≥ 12 hours</w:t>
            </w:r>
          </w:p>
        </w:tc>
        <w:tc>
          <w:tcPr>
            <w:tcW w:w="694" w:type="pct"/>
            <w:tcBorders>
              <w:top w:val="nil"/>
              <w:left w:val="nil"/>
              <w:bottom w:val="single" w:sz="4" w:space="0" w:color="auto"/>
              <w:right w:val="single" w:sz="4" w:space="0" w:color="auto"/>
            </w:tcBorders>
            <w:shd w:val="clear" w:color="auto" w:fill="auto"/>
            <w:noWrap/>
            <w:vAlign w:val="center"/>
            <w:hideMark/>
          </w:tcPr>
          <w:p w14:paraId="34AEE568" w14:textId="5FB6D972" w:rsidR="008D39FB" w:rsidRPr="00012445" w:rsidRDefault="00F21D24" w:rsidP="00312856">
            <w:pPr>
              <w:pStyle w:val="Tabletext"/>
              <w:jc w:val="center"/>
              <w:rPr>
                <w:lang w:eastAsia="en-AU"/>
              </w:rPr>
            </w:pPr>
            <w:r w:rsidRPr="00F5149D">
              <w:t>42</w:t>
            </w:r>
          </w:p>
        </w:tc>
        <w:tc>
          <w:tcPr>
            <w:tcW w:w="695" w:type="pct"/>
            <w:tcBorders>
              <w:top w:val="nil"/>
              <w:left w:val="nil"/>
              <w:bottom w:val="single" w:sz="4" w:space="0" w:color="auto"/>
              <w:right w:val="single" w:sz="4" w:space="0" w:color="auto"/>
            </w:tcBorders>
            <w:shd w:val="clear" w:color="auto" w:fill="auto"/>
            <w:noWrap/>
            <w:vAlign w:val="center"/>
            <w:hideMark/>
          </w:tcPr>
          <w:p w14:paraId="34A3990E" w14:textId="75D91961" w:rsidR="008D39FB" w:rsidRPr="00012445" w:rsidRDefault="00F21D24" w:rsidP="00312856">
            <w:pPr>
              <w:pStyle w:val="Tabletext"/>
              <w:jc w:val="center"/>
              <w:rPr>
                <w:lang w:eastAsia="en-AU"/>
              </w:rPr>
            </w:pPr>
            <w:r w:rsidRPr="00F5149D">
              <w:t>26</w:t>
            </w:r>
          </w:p>
        </w:tc>
        <w:tc>
          <w:tcPr>
            <w:tcW w:w="696" w:type="pct"/>
            <w:tcBorders>
              <w:top w:val="nil"/>
              <w:left w:val="nil"/>
              <w:bottom w:val="single" w:sz="4" w:space="0" w:color="auto"/>
              <w:right w:val="single" w:sz="4" w:space="0" w:color="auto"/>
            </w:tcBorders>
            <w:shd w:val="clear" w:color="auto" w:fill="auto"/>
            <w:noWrap/>
            <w:vAlign w:val="center"/>
            <w:hideMark/>
          </w:tcPr>
          <w:p w14:paraId="03337280" w14:textId="016C5AA5" w:rsidR="008D39FB" w:rsidRPr="00012445" w:rsidRDefault="00F21D24" w:rsidP="00312856">
            <w:pPr>
              <w:pStyle w:val="Tabletext"/>
              <w:jc w:val="center"/>
              <w:rPr>
                <w:lang w:eastAsia="en-AU"/>
              </w:rPr>
            </w:pPr>
            <w:r w:rsidRPr="00F5149D">
              <w:t>35</w:t>
            </w:r>
          </w:p>
        </w:tc>
        <w:tc>
          <w:tcPr>
            <w:tcW w:w="696" w:type="pct"/>
            <w:tcBorders>
              <w:top w:val="nil"/>
              <w:left w:val="nil"/>
              <w:bottom w:val="single" w:sz="4" w:space="0" w:color="auto"/>
              <w:right w:val="single" w:sz="4" w:space="0" w:color="auto"/>
            </w:tcBorders>
            <w:shd w:val="clear" w:color="auto" w:fill="auto"/>
            <w:noWrap/>
            <w:vAlign w:val="center"/>
            <w:hideMark/>
          </w:tcPr>
          <w:p w14:paraId="67BC45C1" w14:textId="48D278C2" w:rsidR="008D39FB" w:rsidRPr="00012445" w:rsidRDefault="00F21D24" w:rsidP="00312856">
            <w:pPr>
              <w:pStyle w:val="Tabletext"/>
              <w:jc w:val="center"/>
              <w:rPr>
                <w:lang w:eastAsia="en-AU"/>
              </w:rPr>
            </w:pPr>
            <w:r w:rsidRPr="00F5149D">
              <w:t>18</w:t>
            </w:r>
          </w:p>
        </w:tc>
        <w:tc>
          <w:tcPr>
            <w:tcW w:w="694" w:type="pct"/>
            <w:tcBorders>
              <w:top w:val="nil"/>
              <w:left w:val="nil"/>
              <w:bottom w:val="single" w:sz="4" w:space="0" w:color="auto"/>
              <w:right w:val="single" w:sz="4" w:space="0" w:color="auto"/>
            </w:tcBorders>
            <w:vAlign w:val="center"/>
          </w:tcPr>
          <w:p w14:paraId="0FAFF014" w14:textId="4C01444E" w:rsidR="008D39FB" w:rsidRDefault="00F21D24" w:rsidP="00312856">
            <w:pPr>
              <w:pStyle w:val="Tabletext"/>
              <w:jc w:val="center"/>
            </w:pPr>
            <w:r w:rsidRPr="00F5149D">
              <w:t>22</w:t>
            </w:r>
          </w:p>
        </w:tc>
      </w:tr>
    </w:tbl>
    <w:p w14:paraId="40F87EF3" w14:textId="6458D4F9" w:rsidR="00381B2F" w:rsidRDefault="00381B2F" w:rsidP="00381B2F">
      <w:pPr>
        <w:pStyle w:val="Heading2"/>
      </w:pPr>
      <w:bookmarkStart w:id="40" w:name="_Toc118293976"/>
      <w:r>
        <w:t>S</w:t>
      </w:r>
      <w:r w:rsidRPr="00442A45">
        <w:t>ecure extended care units</w:t>
      </w:r>
      <w:bookmarkEnd w:id="40"/>
    </w:p>
    <w:p w14:paraId="1D1FF7AB" w14:textId="40B6CD09" w:rsidR="009B0FA8" w:rsidRPr="009B0FA8" w:rsidRDefault="0084712B" w:rsidP="008B4B58">
      <w:pPr>
        <w:pStyle w:val="Body"/>
      </w:pPr>
      <w:r>
        <w:t xml:space="preserve">Secure extended care units, or </w:t>
      </w:r>
      <w:r w:rsidR="544EA0D9">
        <w:t>SECUs</w:t>
      </w:r>
      <w:r>
        <w:t>,</w:t>
      </w:r>
      <w:r w:rsidR="29F65525">
        <w:t xml:space="preserve"> </w:t>
      </w:r>
      <w:r w:rsidR="4AA83B1B">
        <w:t xml:space="preserve">are inpatient bed </w:t>
      </w:r>
      <w:r w:rsidR="4A6F1497">
        <w:t xml:space="preserve">units </w:t>
      </w:r>
      <w:r w:rsidR="4AA83B1B">
        <w:t xml:space="preserve">that </w:t>
      </w:r>
      <w:r w:rsidR="79114AA7">
        <w:t xml:space="preserve">cater </w:t>
      </w:r>
      <w:r w:rsidR="29F65525">
        <w:t>to the needs of</w:t>
      </w:r>
      <w:r w:rsidR="79114AA7">
        <w:t xml:space="preserve"> consumers </w:t>
      </w:r>
      <w:r w:rsidR="29F65525">
        <w:t xml:space="preserve">facing complex </w:t>
      </w:r>
      <w:r w:rsidR="0BB605D2">
        <w:t>challenges</w:t>
      </w:r>
      <w:r w:rsidR="07C00866">
        <w:t xml:space="preserve"> </w:t>
      </w:r>
      <w:proofErr w:type="gramStart"/>
      <w:r w:rsidR="07C00866">
        <w:t xml:space="preserve">in </w:t>
      </w:r>
      <w:r w:rsidR="00EE08EB">
        <w:t>light</w:t>
      </w:r>
      <w:r w:rsidR="3BFCACD5">
        <w:t xml:space="preserve"> of</w:t>
      </w:r>
      <w:proofErr w:type="gramEnd"/>
      <w:r w:rsidR="3BFCACD5">
        <w:t xml:space="preserve"> </w:t>
      </w:r>
      <w:r w:rsidR="000D0664">
        <w:t>limited options for</w:t>
      </w:r>
      <w:r w:rsidR="2C7ED2E7">
        <w:t xml:space="preserve"> </w:t>
      </w:r>
      <w:r w:rsidR="6C7B8296">
        <w:t>community care</w:t>
      </w:r>
      <w:r w:rsidR="001F2CAA">
        <w:t>.</w:t>
      </w:r>
      <w:r w:rsidR="00927CD5">
        <w:t xml:space="preserve"> </w:t>
      </w:r>
      <w:r w:rsidR="001F0C67">
        <w:t>SECUs</w:t>
      </w:r>
      <w:r w:rsidR="00DF5389">
        <w:t xml:space="preserve"> </w:t>
      </w:r>
      <w:r w:rsidR="00EE08EB">
        <w:t xml:space="preserve">offer </w:t>
      </w:r>
      <w:r w:rsidR="00DF5389">
        <w:t xml:space="preserve">the means for </w:t>
      </w:r>
      <w:r w:rsidR="0079231E">
        <w:t>consumers facing complex challenges to</w:t>
      </w:r>
      <w:r w:rsidR="38148A91">
        <w:t xml:space="preserve"> benefit from a slower recovery course and longer length of stay</w:t>
      </w:r>
      <w:r w:rsidR="6C7B8296">
        <w:t xml:space="preserve">. </w:t>
      </w:r>
      <w:r w:rsidR="3DD7FFDD">
        <w:t xml:space="preserve">It is anticipated </w:t>
      </w:r>
      <w:r w:rsidR="021C0462">
        <w:t xml:space="preserve">that </w:t>
      </w:r>
      <w:r w:rsidR="46427C79">
        <w:t xml:space="preserve">increased community resources, including </w:t>
      </w:r>
      <w:r w:rsidR="008C739E">
        <w:t xml:space="preserve">other </w:t>
      </w:r>
      <w:r w:rsidR="27404BA5">
        <w:t>accommodation</w:t>
      </w:r>
      <w:r w:rsidR="008C739E">
        <w:t xml:space="preserve"> options and supports</w:t>
      </w:r>
      <w:r w:rsidR="1E8D2552">
        <w:t xml:space="preserve">, will </w:t>
      </w:r>
      <w:r w:rsidR="2E8B617F">
        <w:t xml:space="preserve">create </w:t>
      </w:r>
      <w:r w:rsidR="08EBEDC1">
        <w:t xml:space="preserve">a wider range of </w:t>
      </w:r>
      <w:r w:rsidR="35CFB970">
        <w:t xml:space="preserve">settings </w:t>
      </w:r>
      <w:r w:rsidR="00EE08EB">
        <w:t xml:space="preserve">for </w:t>
      </w:r>
      <w:r w:rsidR="0AC299EA">
        <w:t>recovery</w:t>
      </w:r>
      <w:r w:rsidR="3B21FC95">
        <w:t>-</w:t>
      </w:r>
      <w:r w:rsidR="0AC299EA">
        <w:t xml:space="preserve">oriented care. </w:t>
      </w:r>
    </w:p>
    <w:p w14:paraId="182B149C" w14:textId="50BECA1A" w:rsidR="00381B2F" w:rsidRPr="00521581" w:rsidRDefault="1CC23CA0" w:rsidP="7F4CE870">
      <w:pPr>
        <w:pStyle w:val="Heading3"/>
        <w:rPr>
          <w:sz w:val="22"/>
          <w:szCs w:val="22"/>
        </w:rPr>
      </w:pPr>
      <w:r w:rsidRPr="00521581">
        <w:t>Seclusion</w:t>
      </w:r>
      <w:r w:rsidR="42880F35" w:rsidRPr="00521581">
        <w:t xml:space="preserve"> – secure extended care units</w:t>
      </w:r>
    </w:p>
    <w:p w14:paraId="47C26077" w14:textId="42233A3D" w:rsidR="00381B2F" w:rsidRDefault="00381B2F" w:rsidP="008B4B58">
      <w:pPr>
        <w:pStyle w:val="Body"/>
      </w:pPr>
      <w:r>
        <w:t xml:space="preserve">Table </w:t>
      </w:r>
      <w:r w:rsidR="008E180F">
        <w:t>19</w:t>
      </w:r>
      <w:r>
        <w:t xml:space="preserve"> shows that seclusion episodes per 1,000 occupied bed days in SECUs </w:t>
      </w:r>
      <w:r w:rsidR="00A3439F">
        <w:t xml:space="preserve">decreased </w:t>
      </w:r>
      <w:r w:rsidR="006F19D1">
        <w:t>in 2021</w:t>
      </w:r>
      <w:r w:rsidR="00920F37">
        <w:t>–</w:t>
      </w:r>
      <w:r w:rsidR="006F19D1">
        <w:t xml:space="preserve">22 relative to the previous year but </w:t>
      </w:r>
      <w:r w:rsidR="00EE08EB">
        <w:t xml:space="preserve">were </w:t>
      </w:r>
      <w:r w:rsidR="006F19D1">
        <w:t xml:space="preserve">higher </w:t>
      </w:r>
      <w:r>
        <w:t xml:space="preserve">relative to 2018–19. </w:t>
      </w:r>
      <w:proofErr w:type="gramStart"/>
      <w:r w:rsidR="008E4E0C">
        <w:t>A number of</w:t>
      </w:r>
      <w:proofErr w:type="gramEnd"/>
      <w:r w:rsidR="008E4E0C">
        <w:t xml:space="preserve"> factors may </w:t>
      </w:r>
      <w:r w:rsidR="00262D47">
        <w:t>be</w:t>
      </w:r>
      <w:r w:rsidR="008E4E0C">
        <w:t xml:space="preserve"> contribut</w:t>
      </w:r>
      <w:r w:rsidR="00166797">
        <w:t>ing to this higher rate</w:t>
      </w:r>
      <w:r w:rsidR="00C95E2A">
        <w:t xml:space="preserve">, including </w:t>
      </w:r>
      <w:r w:rsidR="00011E7F">
        <w:t xml:space="preserve">changes to </w:t>
      </w:r>
      <w:r w:rsidR="00C95E2A">
        <w:t xml:space="preserve">staffing, </w:t>
      </w:r>
      <w:r w:rsidR="00756A36">
        <w:t>leave</w:t>
      </w:r>
      <w:r w:rsidR="008C79BC">
        <w:t xml:space="preserve"> and access to visitors</w:t>
      </w:r>
      <w:r w:rsidR="00E86F11">
        <w:t xml:space="preserve"> (including support staff)</w:t>
      </w:r>
      <w:r w:rsidR="00011E7F">
        <w:t xml:space="preserve"> brought about by the pandemic</w:t>
      </w:r>
      <w:r w:rsidR="008C79BC">
        <w:t xml:space="preserve">. </w:t>
      </w:r>
      <w:r>
        <w:t xml:space="preserve">The SECU program is included in all the </w:t>
      </w:r>
      <w:r w:rsidRPr="008B4B58">
        <w:t>initiatives</w:t>
      </w:r>
      <w:r>
        <w:t xml:space="preserve"> designed to bring a recovery focus to mental health treatments and to minimise the use of restrictive interventions. </w:t>
      </w:r>
    </w:p>
    <w:p w14:paraId="481B15BE" w14:textId="70A684D0" w:rsidR="00A419F2" w:rsidRDefault="00381B2F" w:rsidP="000D0B9B">
      <w:pPr>
        <w:pStyle w:val="Tablecaption"/>
      </w:pPr>
      <w:r w:rsidRPr="00ED4277">
        <w:t xml:space="preserve">Table </w:t>
      </w:r>
      <w:r w:rsidR="008E180F">
        <w:t>19</w:t>
      </w:r>
      <w:r w:rsidRPr="00ED4277">
        <w:t>: SECU seclusion episodes per 1,000 occupied bed days, 201</w:t>
      </w:r>
      <w:r w:rsidR="009A5698">
        <w:t>7</w:t>
      </w:r>
      <w:r w:rsidRPr="00ED4277">
        <w:t>–1</w:t>
      </w:r>
      <w:r w:rsidR="009A5698">
        <w:t>8</w:t>
      </w:r>
      <w:r w:rsidRPr="00ED4277">
        <w:t xml:space="preserve"> to </w:t>
      </w:r>
      <w:r w:rsidR="007B2175">
        <w:t>202</w:t>
      </w:r>
      <w:r w:rsidR="00795152">
        <w:t>1</w:t>
      </w:r>
      <w:r w:rsidR="007B2175">
        <w:t>–</w:t>
      </w:r>
      <w:r w:rsidR="007B2175" w:rsidRPr="00795152">
        <w:t>2</w:t>
      </w:r>
      <w:r w:rsidR="00795152">
        <w:t>2</w:t>
      </w:r>
    </w:p>
    <w:tbl>
      <w:tblPr>
        <w:tblStyle w:val="TableGrid"/>
        <w:tblW w:w="0" w:type="auto"/>
        <w:tblLook w:val="04A0" w:firstRow="1" w:lastRow="0" w:firstColumn="1" w:lastColumn="0" w:noHBand="0" w:noVBand="1"/>
      </w:tblPr>
      <w:tblGrid>
        <w:gridCol w:w="1597"/>
        <w:gridCol w:w="1710"/>
      </w:tblGrid>
      <w:tr w:rsidR="00A419F2" w14:paraId="396C7E5B" w14:textId="77777777" w:rsidTr="00312856">
        <w:trPr>
          <w:tblHeader/>
        </w:trPr>
        <w:tc>
          <w:tcPr>
            <w:tcW w:w="1597" w:type="dxa"/>
          </w:tcPr>
          <w:p w14:paraId="3BD06D90" w14:textId="6B9B61F8" w:rsidR="00A419F2" w:rsidRDefault="00A419F2" w:rsidP="000D0B9B">
            <w:pPr>
              <w:pStyle w:val="Tablecolhead"/>
            </w:pPr>
            <w:r>
              <w:t>Year</w:t>
            </w:r>
          </w:p>
        </w:tc>
        <w:tc>
          <w:tcPr>
            <w:tcW w:w="1710" w:type="dxa"/>
            <w:vAlign w:val="center"/>
          </w:tcPr>
          <w:p w14:paraId="4607EF19" w14:textId="6A13A7C0" w:rsidR="00A419F2" w:rsidRDefault="7EDE7C1C" w:rsidP="00312856">
            <w:pPr>
              <w:pStyle w:val="Tablecolhead"/>
              <w:jc w:val="center"/>
            </w:pPr>
            <w:r>
              <w:t>Rate</w:t>
            </w:r>
          </w:p>
        </w:tc>
      </w:tr>
      <w:tr w:rsidR="00241E33" w14:paraId="46A5F84A" w14:textId="77777777" w:rsidTr="00312856">
        <w:tc>
          <w:tcPr>
            <w:tcW w:w="1597" w:type="dxa"/>
          </w:tcPr>
          <w:p w14:paraId="13535325" w14:textId="5C7E16F7" w:rsidR="00241E33" w:rsidRDefault="00795152" w:rsidP="000D0B9B">
            <w:pPr>
              <w:pStyle w:val="Tabletext"/>
            </w:pPr>
            <w:r w:rsidRPr="000A70E5">
              <w:t>2017</w:t>
            </w:r>
            <w:r w:rsidR="00920F37">
              <w:t>–</w:t>
            </w:r>
            <w:r w:rsidRPr="000A70E5">
              <w:t>18</w:t>
            </w:r>
          </w:p>
        </w:tc>
        <w:tc>
          <w:tcPr>
            <w:tcW w:w="1710" w:type="dxa"/>
            <w:vAlign w:val="center"/>
          </w:tcPr>
          <w:p w14:paraId="7EA97978" w14:textId="48E5852B" w:rsidR="00241E33" w:rsidRDefault="00164F05" w:rsidP="00312856">
            <w:pPr>
              <w:pStyle w:val="Tabletext"/>
              <w:jc w:val="center"/>
            </w:pPr>
            <w:r>
              <w:t>2.</w:t>
            </w:r>
            <w:r w:rsidR="00795152" w:rsidRPr="000A70E5">
              <w:t>9</w:t>
            </w:r>
          </w:p>
        </w:tc>
      </w:tr>
      <w:tr w:rsidR="00241E33" w14:paraId="1BC40DC1" w14:textId="77777777" w:rsidTr="00312856">
        <w:tc>
          <w:tcPr>
            <w:tcW w:w="1597" w:type="dxa"/>
          </w:tcPr>
          <w:p w14:paraId="683306EC" w14:textId="6C43F5A4" w:rsidR="00241E33" w:rsidRDefault="00795152" w:rsidP="000D0B9B">
            <w:pPr>
              <w:pStyle w:val="Tabletext"/>
            </w:pPr>
            <w:r w:rsidRPr="000A70E5">
              <w:t>2018</w:t>
            </w:r>
            <w:r w:rsidR="00920F37">
              <w:t>–</w:t>
            </w:r>
            <w:r w:rsidRPr="000A70E5">
              <w:t>19</w:t>
            </w:r>
          </w:p>
        </w:tc>
        <w:tc>
          <w:tcPr>
            <w:tcW w:w="1710" w:type="dxa"/>
            <w:vAlign w:val="center"/>
          </w:tcPr>
          <w:p w14:paraId="089D75FD" w14:textId="71180616" w:rsidR="00241E33" w:rsidRDefault="00795152" w:rsidP="00312856">
            <w:pPr>
              <w:pStyle w:val="Tabletext"/>
              <w:jc w:val="center"/>
            </w:pPr>
            <w:r w:rsidRPr="000A70E5">
              <w:t>1.8</w:t>
            </w:r>
          </w:p>
        </w:tc>
      </w:tr>
      <w:tr w:rsidR="00241E33" w14:paraId="6C2A9E84" w14:textId="77777777" w:rsidTr="00312856">
        <w:tc>
          <w:tcPr>
            <w:tcW w:w="1597" w:type="dxa"/>
          </w:tcPr>
          <w:p w14:paraId="4B506A59" w14:textId="063394B6" w:rsidR="00241E33" w:rsidRDefault="00795152" w:rsidP="000D0B9B">
            <w:pPr>
              <w:pStyle w:val="Tabletext"/>
            </w:pPr>
            <w:r w:rsidRPr="000A70E5">
              <w:t>2019</w:t>
            </w:r>
            <w:r w:rsidR="00920F37">
              <w:t>–</w:t>
            </w:r>
            <w:r w:rsidRPr="000A70E5">
              <w:t>20</w:t>
            </w:r>
          </w:p>
        </w:tc>
        <w:tc>
          <w:tcPr>
            <w:tcW w:w="1710" w:type="dxa"/>
            <w:vAlign w:val="center"/>
          </w:tcPr>
          <w:p w14:paraId="670CABE0" w14:textId="036F252F" w:rsidR="00241E33" w:rsidRDefault="00795152" w:rsidP="00312856">
            <w:pPr>
              <w:pStyle w:val="Tabletext"/>
              <w:jc w:val="center"/>
            </w:pPr>
            <w:r w:rsidRPr="000A70E5">
              <w:t>3.7</w:t>
            </w:r>
          </w:p>
        </w:tc>
      </w:tr>
      <w:tr w:rsidR="00241E33" w14:paraId="2C1DAD7F" w14:textId="77777777" w:rsidTr="00312856">
        <w:tc>
          <w:tcPr>
            <w:tcW w:w="1597" w:type="dxa"/>
          </w:tcPr>
          <w:p w14:paraId="3A102E9B" w14:textId="03DCAE9C" w:rsidR="00241E33" w:rsidRDefault="00795152" w:rsidP="000D0B9B">
            <w:pPr>
              <w:pStyle w:val="Tabletext"/>
            </w:pPr>
            <w:r w:rsidRPr="000A70E5">
              <w:t>2020</w:t>
            </w:r>
            <w:r w:rsidR="00920F37">
              <w:t>–</w:t>
            </w:r>
            <w:r w:rsidRPr="000A70E5">
              <w:t>21</w:t>
            </w:r>
          </w:p>
        </w:tc>
        <w:tc>
          <w:tcPr>
            <w:tcW w:w="1710" w:type="dxa"/>
            <w:vAlign w:val="center"/>
          </w:tcPr>
          <w:p w14:paraId="19D8C581" w14:textId="66ABEAE5" w:rsidR="00241E33" w:rsidRDefault="00795152" w:rsidP="00312856">
            <w:pPr>
              <w:pStyle w:val="Tabletext"/>
              <w:jc w:val="center"/>
            </w:pPr>
            <w:r w:rsidRPr="000A70E5">
              <w:t>4</w:t>
            </w:r>
            <w:r w:rsidR="00846B4E">
              <w:t>.0</w:t>
            </w:r>
          </w:p>
        </w:tc>
      </w:tr>
      <w:tr w:rsidR="00DC0623" w14:paraId="1B7573C8" w14:textId="77777777" w:rsidTr="00312856">
        <w:tc>
          <w:tcPr>
            <w:tcW w:w="1597" w:type="dxa"/>
          </w:tcPr>
          <w:p w14:paraId="4BC269DB" w14:textId="44235BC1" w:rsidR="00DC0623" w:rsidRPr="006C4DD1" w:rsidRDefault="00795152" w:rsidP="000D0B9B">
            <w:pPr>
              <w:pStyle w:val="Tabletext"/>
            </w:pPr>
            <w:r w:rsidRPr="000A70E5">
              <w:t>2021</w:t>
            </w:r>
            <w:r w:rsidR="00920F37">
              <w:t>–</w:t>
            </w:r>
            <w:r w:rsidRPr="000A70E5">
              <w:t>22</w:t>
            </w:r>
          </w:p>
        </w:tc>
        <w:tc>
          <w:tcPr>
            <w:tcW w:w="1710" w:type="dxa"/>
            <w:vAlign w:val="center"/>
          </w:tcPr>
          <w:p w14:paraId="7C63CB26" w14:textId="29562F3F" w:rsidR="00DC0623" w:rsidRDefault="00795152" w:rsidP="00312856">
            <w:pPr>
              <w:pStyle w:val="Tabletext"/>
              <w:jc w:val="center"/>
            </w:pPr>
            <w:r w:rsidRPr="000A70E5">
              <w:t>3.5</w:t>
            </w:r>
          </w:p>
        </w:tc>
      </w:tr>
    </w:tbl>
    <w:p w14:paraId="4D763460" w14:textId="0521DB2B" w:rsidR="00381B2F" w:rsidRDefault="1CC23CA0" w:rsidP="7F4CE870">
      <w:pPr>
        <w:pStyle w:val="Heading3"/>
        <w:rPr>
          <w:sz w:val="22"/>
          <w:szCs w:val="22"/>
          <w:highlight w:val="green"/>
        </w:rPr>
      </w:pPr>
      <w:r>
        <w:t>Restraint</w:t>
      </w:r>
      <w:r w:rsidR="42880F35">
        <w:t xml:space="preserve"> – secure extended care units</w:t>
      </w:r>
    </w:p>
    <w:p w14:paraId="4AC437DE" w14:textId="3173D358" w:rsidR="00381B2F" w:rsidRPr="00A83DB5" w:rsidRDefault="00614795" w:rsidP="00563C62">
      <w:pPr>
        <w:pStyle w:val="Body"/>
      </w:pPr>
      <w:r>
        <w:t>There has been a d</w:t>
      </w:r>
      <w:r w:rsidR="00987673">
        <w:t>ownward trend</w:t>
      </w:r>
      <w:r w:rsidR="00381B2F">
        <w:t xml:space="preserve"> with respect to restraint episodes</w:t>
      </w:r>
      <w:r w:rsidR="001F555B">
        <w:t xml:space="preserve"> over the past </w:t>
      </w:r>
      <w:r w:rsidR="00092E96">
        <w:t>three</w:t>
      </w:r>
      <w:r w:rsidR="001F555B">
        <w:t xml:space="preserve"> years</w:t>
      </w:r>
      <w:r w:rsidR="00381B2F">
        <w:t xml:space="preserve"> (Table </w:t>
      </w:r>
      <w:r w:rsidR="3149B168">
        <w:t>2</w:t>
      </w:r>
      <w:r w:rsidR="00323A82">
        <w:t>0</w:t>
      </w:r>
      <w:r w:rsidR="00381B2F">
        <w:t>).</w:t>
      </w:r>
      <w:r w:rsidR="0079677B">
        <w:t xml:space="preserve"> </w:t>
      </w:r>
      <w:r w:rsidR="00CD5E67">
        <w:t xml:space="preserve">We </w:t>
      </w:r>
      <w:r w:rsidR="00FA7E07">
        <w:t>continue to</w:t>
      </w:r>
      <w:r w:rsidR="00CD5E67">
        <w:t xml:space="preserve"> </w:t>
      </w:r>
      <w:r w:rsidR="00893303">
        <w:t>work individually with services to reduce their rates of restrictive practice</w:t>
      </w:r>
      <w:r w:rsidR="00AC4A68">
        <w:t xml:space="preserve"> in conjunction with </w:t>
      </w:r>
      <w:r w:rsidR="0033473B">
        <w:t xml:space="preserve">the work undertaken by the Chief Psychiatrist’s </w:t>
      </w:r>
      <w:r w:rsidR="000A186A">
        <w:t xml:space="preserve">Restrictive Interventions </w:t>
      </w:r>
      <w:r w:rsidR="0033473B">
        <w:t>Committee</w:t>
      </w:r>
      <w:r w:rsidR="001F555B">
        <w:t>.</w:t>
      </w:r>
    </w:p>
    <w:p w14:paraId="3BD12BCC" w14:textId="00401EBE" w:rsidR="00A419F2" w:rsidRPr="000D0B9B" w:rsidRDefault="00381B2F" w:rsidP="000D0B9B">
      <w:pPr>
        <w:pStyle w:val="Tablecaption"/>
      </w:pPr>
      <w:r w:rsidRPr="000D0B9B">
        <w:t xml:space="preserve">Table </w:t>
      </w:r>
      <w:r w:rsidR="6B0B72A0" w:rsidRPr="000D0B9B">
        <w:t>2</w:t>
      </w:r>
      <w:r w:rsidR="00323A82">
        <w:t>0</w:t>
      </w:r>
      <w:r w:rsidRPr="000D0B9B">
        <w:t>: SECU bodily restraint episodes per 1,000 occupied bed days, 201</w:t>
      </w:r>
      <w:r w:rsidR="009A5698">
        <w:t>7</w:t>
      </w:r>
      <w:r w:rsidRPr="000D0B9B">
        <w:t>–1</w:t>
      </w:r>
      <w:r w:rsidR="009A5698">
        <w:t>8</w:t>
      </w:r>
      <w:r w:rsidRPr="000D0B9B">
        <w:t xml:space="preserve"> to </w:t>
      </w:r>
      <w:r w:rsidR="007B2175">
        <w:t>202</w:t>
      </w:r>
      <w:r w:rsidR="0057054A">
        <w:t>1</w:t>
      </w:r>
      <w:r w:rsidR="007B2175">
        <w:t>–2</w:t>
      </w:r>
      <w:r w:rsidR="0057054A">
        <w:t>2</w:t>
      </w:r>
    </w:p>
    <w:tbl>
      <w:tblPr>
        <w:tblStyle w:val="TableGrid"/>
        <w:tblW w:w="0" w:type="auto"/>
        <w:tblLook w:val="04A0" w:firstRow="1" w:lastRow="0" w:firstColumn="1" w:lastColumn="0" w:noHBand="0" w:noVBand="1"/>
      </w:tblPr>
      <w:tblGrid>
        <w:gridCol w:w="1597"/>
        <w:gridCol w:w="1710"/>
      </w:tblGrid>
      <w:tr w:rsidR="00A419F2" w14:paraId="6A3E9192" w14:textId="77777777" w:rsidTr="00312856">
        <w:trPr>
          <w:tblHeader/>
        </w:trPr>
        <w:tc>
          <w:tcPr>
            <w:tcW w:w="1597" w:type="dxa"/>
          </w:tcPr>
          <w:p w14:paraId="61AE0229" w14:textId="3C10E6FB" w:rsidR="00A419F2" w:rsidRPr="000D0B9B" w:rsidRDefault="00A419F2" w:rsidP="000D0B9B">
            <w:pPr>
              <w:pStyle w:val="Tablecolhead"/>
            </w:pPr>
            <w:r w:rsidRPr="000D0B9B">
              <w:t>Year</w:t>
            </w:r>
          </w:p>
        </w:tc>
        <w:tc>
          <w:tcPr>
            <w:tcW w:w="1710" w:type="dxa"/>
            <w:vAlign w:val="center"/>
          </w:tcPr>
          <w:p w14:paraId="6B95BB47" w14:textId="4222FF9E" w:rsidR="00A419F2" w:rsidRDefault="5C7293C2" w:rsidP="00312856">
            <w:pPr>
              <w:pStyle w:val="Tablecolhead"/>
              <w:jc w:val="center"/>
            </w:pPr>
            <w:r>
              <w:t>Rate</w:t>
            </w:r>
          </w:p>
        </w:tc>
      </w:tr>
      <w:tr w:rsidR="00241E33" w14:paraId="482E5A82" w14:textId="77777777" w:rsidTr="00312856">
        <w:tc>
          <w:tcPr>
            <w:tcW w:w="1597" w:type="dxa"/>
          </w:tcPr>
          <w:p w14:paraId="5404ADB0" w14:textId="1B83E716" w:rsidR="00241E33" w:rsidRDefault="0057054A" w:rsidP="000D0B9B">
            <w:pPr>
              <w:pStyle w:val="Tabletext"/>
            </w:pPr>
            <w:r w:rsidRPr="00C6531D">
              <w:t>2017</w:t>
            </w:r>
            <w:r w:rsidR="00920F37">
              <w:t>–</w:t>
            </w:r>
            <w:r w:rsidRPr="00C6531D">
              <w:t>18</w:t>
            </w:r>
          </w:p>
        </w:tc>
        <w:tc>
          <w:tcPr>
            <w:tcW w:w="1710" w:type="dxa"/>
            <w:vAlign w:val="center"/>
          </w:tcPr>
          <w:p w14:paraId="52880B82" w14:textId="1509049C" w:rsidR="00241E33" w:rsidRDefault="002B7656" w:rsidP="00312856">
            <w:pPr>
              <w:pStyle w:val="Tabletext"/>
              <w:jc w:val="center"/>
            </w:pPr>
            <w:r>
              <w:t>2.</w:t>
            </w:r>
            <w:r w:rsidR="0057054A" w:rsidRPr="00C6531D">
              <w:t>9</w:t>
            </w:r>
          </w:p>
        </w:tc>
      </w:tr>
      <w:tr w:rsidR="00241E33" w14:paraId="2268195F" w14:textId="77777777" w:rsidTr="00312856">
        <w:tc>
          <w:tcPr>
            <w:tcW w:w="1597" w:type="dxa"/>
          </w:tcPr>
          <w:p w14:paraId="355316BA" w14:textId="2E450704" w:rsidR="00241E33" w:rsidRDefault="0057054A" w:rsidP="000D0B9B">
            <w:pPr>
              <w:pStyle w:val="Tabletext"/>
            </w:pPr>
            <w:r w:rsidRPr="00C6531D">
              <w:t>2018</w:t>
            </w:r>
            <w:r w:rsidR="00920F37">
              <w:t>–</w:t>
            </w:r>
            <w:r w:rsidRPr="00C6531D">
              <w:t>19</w:t>
            </w:r>
          </w:p>
        </w:tc>
        <w:tc>
          <w:tcPr>
            <w:tcW w:w="1710" w:type="dxa"/>
            <w:vAlign w:val="center"/>
          </w:tcPr>
          <w:p w14:paraId="4F9BADD1" w14:textId="5CAD9D78" w:rsidR="00241E33" w:rsidRDefault="002B7656" w:rsidP="00312856">
            <w:pPr>
              <w:pStyle w:val="Tabletext"/>
              <w:jc w:val="center"/>
            </w:pPr>
            <w:r>
              <w:t>2.</w:t>
            </w:r>
            <w:r w:rsidR="0057054A" w:rsidRPr="00C6531D">
              <w:t>6</w:t>
            </w:r>
          </w:p>
        </w:tc>
      </w:tr>
      <w:tr w:rsidR="00241E33" w14:paraId="6E749B30" w14:textId="77777777" w:rsidTr="00312856">
        <w:tc>
          <w:tcPr>
            <w:tcW w:w="1597" w:type="dxa"/>
          </w:tcPr>
          <w:p w14:paraId="0EA22150" w14:textId="292AFDFF" w:rsidR="00241E33" w:rsidRDefault="0057054A" w:rsidP="000D0B9B">
            <w:pPr>
              <w:pStyle w:val="Tabletext"/>
            </w:pPr>
            <w:r w:rsidRPr="00C6531D">
              <w:lastRenderedPageBreak/>
              <w:t>2019</w:t>
            </w:r>
            <w:r w:rsidR="00920F37">
              <w:t>–</w:t>
            </w:r>
            <w:r w:rsidRPr="00C6531D">
              <w:t>20</w:t>
            </w:r>
          </w:p>
        </w:tc>
        <w:tc>
          <w:tcPr>
            <w:tcW w:w="1710" w:type="dxa"/>
            <w:vAlign w:val="center"/>
          </w:tcPr>
          <w:p w14:paraId="7CE4BEB2" w14:textId="0A9F90A8" w:rsidR="00241E33" w:rsidRDefault="0057054A" w:rsidP="00312856">
            <w:pPr>
              <w:pStyle w:val="Tabletext"/>
              <w:jc w:val="center"/>
            </w:pPr>
            <w:r w:rsidRPr="00C6531D">
              <w:t>3.7</w:t>
            </w:r>
          </w:p>
        </w:tc>
      </w:tr>
      <w:tr w:rsidR="00241E33" w14:paraId="5B42739F" w14:textId="77777777" w:rsidTr="00312856">
        <w:tc>
          <w:tcPr>
            <w:tcW w:w="1597" w:type="dxa"/>
          </w:tcPr>
          <w:p w14:paraId="0A726944" w14:textId="715ED56F" w:rsidR="00241E33" w:rsidRDefault="0057054A" w:rsidP="000D0B9B">
            <w:pPr>
              <w:pStyle w:val="Tabletext"/>
            </w:pPr>
            <w:r w:rsidRPr="00C6531D">
              <w:t>2020</w:t>
            </w:r>
            <w:r w:rsidR="00920F37">
              <w:t>–</w:t>
            </w:r>
            <w:r w:rsidRPr="00C6531D">
              <w:t>21</w:t>
            </w:r>
          </w:p>
        </w:tc>
        <w:tc>
          <w:tcPr>
            <w:tcW w:w="1710" w:type="dxa"/>
            <w:vAlign w:val="center"/>
          </w:tcPr>
          <w:p w14:paraId="623D0DAC" w14:textId="23CB4098" w:rsidR="00241E33" w:rsidRDefault="002B7656" w:rsidP="00312856">
            <w:pPr>
              <w:pStyle w:val="Tabletext"/>
              <w:jc w:val="center"/>
            </w:pPr>
            <w:r>
              <w:t>3.</w:t>
            </w:r>
            <w:r w:rsidR="0057054A" w:rsidRPr="00C6531D">
              <w:t>3</w:t>
            </w:r>
          </w:p>
        </w:tc>
      </w:tr>
      <w:tr w:rsidR="00724EFE" w14:paraId="058975B9" w14:textId="77777777" w:rsidTr="00312856">
        <w:tc>
          <w:tcPr>
            <w:tcW w:w="1597" w:type="dxa"/>
          </w:tcPr>
          <w:p w14:paraId="5BDFF6E5" w14:textId="5E2EED32" w:rsidR="00724EFE" w:rsidRPr="006C4DD1" w:rsidRDefault="0057054A" w:rsidP="000D0B9B">
            <w:pPr>
              <w:pStyle w:val="Tabletext"/>
            </w:pPr>
            <w:r w:rsidRPr="00C6531D">
              <w:t>2021</w:t>
            </w:r>
            <w:r w:rsidR="00920F37">
              <w:t>–</w:t>
            </w:r>
            <w:r w:rsidRPr="00C6531D">
              <w:t>22</w:t>
            </w:r>
          </w:p>
        </w:tc>
        <w:tc>
          <w:tcPr>
            <w:tcW w:w="1710" w:type="dxa"/>
            <w:vAlign w:val="center"/>
          </w:tcPr>
          <w:p w14:paraId="3A0FA714" w14:textId="65BFBE12" w:rsidR="00724EFE" w:rsidRDefault="0057054A" w:rsidP="00312856">
            <w:pPr>
              <w:pStyle w:val="Tabletext"/>
              <w:jc w:val="center"/>
            </w:pPr>
            <w:r w:rsidRPr="00C6531D">
              <w:t>2.9</w:t>
            </w:r>
          </w:p>
        </w:tc>
      </w:tr>
    </w:tbl>
    <w:p w14:paraId="7E341130" w14:textId="3B8FD2B4" w:rsidR="006B3F7E" w:rsidRDefault="006B3F7E" w:rsidP="009A5423">
      <w:pPr>
        <w:pStyle w:val="Body"/>
      </w:pPr>
    </w:p>
    <w:tbl>
      <w:tblPr>
        <w:tblStyle w:val="TableGrid"/>
        <w:tblW w:w="0" w:type="auto"/>
        <w:tblLook w:val="04A0" w:firstRow="1" w:lastRow="0" w:firstColumn="1" w:lastColumn="0" w:noHBand="0" w:noVBand="1"/>
      </w:tblPr>
      <w:tblGrid>
        <w:gridCol w:w="9180"/>
      </w:tblGrid>
      <w:tr w:rsidR="00301E87" w14:paraId="44D4F755" w14:textId="77777777" w:rsidTr="7F4CE870">
        <w:tc>
          <w:tcPr>
            <w:tcW w:w="9288" w:type="dxa"/>
            <w:shd w:val="clear" w:color="auto" w:fill="DBE5F1" w:themeFill="accent1" w:themeFillTint="33"/>
          </w:tcPr>
          <w:p w14:paraId="6ECA29D0" w14:textId="1337958E" w:rsidR="00250D85" w:rsidRPr="00005C60" w:rsidRDefault="0001587F" w:rsidP="00AF17EE">
            <w:pPr>
              <w:pStyle w:val="Boxtitle"/>
              <w:rPr>
                <w:b w:val="0"/>
                <w:bCs w:val="0"/>
                <w:color w:val="FF0000"/>
              </w:rPr>
            </w:pPr>
            <w:r>
              <w:t>R</w:t>
            </w:r>
            <w:r w:rsidR="00753356">
              <w:t>estrictive practices</w:t>
            </w:r>
            <w:r>
              <w:t xml:space="preserve">: Contributing factors </w:t>
            </w:r>
            <w:r w:rsidR="00927090">
              <w:t xml:space="preserve">and </w:t>
            </w:r>
            <w:r w:rsidR="00F65CC8">
              <w:t>positive change</w:t>
            </w:r>
          </w:p>
          <w:p w14:paraId="30151905" w14:textId="6FA6CA2B" w:rsidR="00155658" w:rsidRDefault="00155658" w:rsidP="0083103A">
            <w:pPr>
              <w:pStyle w:val="Body"/>
            </w:pPr>
            <w:r w:rsidRPr="00155658">
              <w:t xml:space="preserve">A cornerstone recommendation of the </w:t>
            </w:r>
            <w:r w:rsidR="009D39F8" w:rsidRPr="00155658">
              <w:t xml:space="preserve">Royal Commission </w:t>
            </w:r>
            <w:r w:rsidR="009D39F8">
              <w:t xml:space="preserve">into Victoria’s </w:t>
            </w:r>
            <w:r>
              <w:t xml:space="preserve">Mental Health </w:t>
            </w:r>
            <w:r w:rsidR="009D39F8">
              <w:t xml:space="preserve">System </w:t>
            </w:r>
            <w:r w:rsidRPr="00155658">
              <w:t xml:space="preserve">is </w:t>
            </w:r>
            <w:r w:rsidR="009D39F8">
              <w:t xml:space="preserve">to </w:t>
            </w:r>
            <w:r w:rsidRPr="00155658">
              <w:t>reduc</w:t>
            </w:r>
            <w:r w:rsidR="009D39F8">
              <w:t>e</w:t>
            </w:r>
            <w:r w:rsidRPr="00155658">
              <w:t xml:space="preserve"> seclusion and restraint in mental health and wellbeing service delivery, with the aim to eliminate these practices within 10 years. This recommendation was handed down with the purpose of upholding the rights of consumers and responding to the service failure rel</w:t>
            </w:r>
            <w:r w:rsidR="009D39F8">
              <w:t>ying</w:t>
            </w:r>
            <w:r w:rsidRPr="00155658">
              <w:t xml:space="preserve"> on restrictive practices embodies.</w:t>
            </w:r>
          </w:p>
          <w:p w14:paraId="3A1FA4C5" w14:textId="52B529E4" w:rsidR="00262D80" w:rsidRDefault="009F7244" w:rsidP="0083103A">
            <w:pPr>
              <w:pStyle w:val="Body"/>
            </w:pPr>
            <w:r>
              <w:t xml:space="preserve">The </w:t>
            </w:r>
            <w:r w:rsidR="009D39F8">
              <w:t xml:space="preserve">rate </w:t>
            </w:r>
            <w:r w:rsidR="00FC5386">
              <w:t xml:space="preserve">of restrictive practices </w:t>
            </w:r>
            <w:r w:rsidR="00687205">
              <w:t xml:space="preserve">and how they are used </w:t>
            </w:r>
            <w:r w:rsidR="00120B7C">
              <w:t xml:space="preserve">can vary significantly </w:t>
            </w:r>
            <w:r w:rsidR="003817BA">
              <w:t xml:space="preserve">from one </w:t>
            </w:r>
            <w:r w:rsidR="00433BB5">
              <w:t>mental health service</w:t>
            </w:r>
            <w:r w:rsidR="006C4EBB">
              <w:t xml:space="preserve"> </w:t>
            </w:r>
            <w:r w:rsidR="00D13435">
              <w:t>to the next</w:t>
            </w:r>
            <w:r w:rsidR="004B14B0">
              <w:t>. Understanding why this variation exists is key to</w:t>
            </w:r>
            <w:r w:rsidR="00D13435">
              <w:t xml:space="preserve"> </w:t>
            </w:r>
            <w:r w:rsidR="00117CFD">
              <w:t xml:space="preserve">determining </w:t>
            </w:r>
            <w:r w:rsidR="00E43147">
              <w:t>which</w:t>
            </w:r>
            <w:r w:rsidR="00117CFD">
              <w:t xml:space="preserve"> interventions </w:t>
            </w:r>
            <w:r w:rsidR="00E43147">
              <w:t xml:space="preserve">are most effective </w:t>
            </w:r>
            <w:r w:rsidR="00830F28">
              <w:t xml:space="preserve">at </w:t>
            </w:r>
            <w:r w:rsidR="00117CFD">
              <w:t>reduc</w:t>
            </w:r>
            <w:r w:rsidR="00830F28">
              <w:t>ing</w:t>
            </w:r>
            <w:r w:rsidR="00117CFD">
              <w:t xml:space="preserve"> and eventually eliminat</w:t>
            </w:r>
            <w:r w:rsidR="00830F28">
              <w:t>ing</w:t>
            </w:r>
            <w:r w:rsidR="00117CFD">
              <w:t xml:space="preserve"> </w:t>
            </w:r>
            <w:r w:rsidR="00CF2502">
              <w:t>the</w:t>
            </w:r>
            <w:r w:rsidR="003E6902">
              <w:t>ir</w:t>
            </w:r>
            <w:r w:rsidR="00CF2502">
              <w:t xml:space="preserve"> use.</w:t>
            </w:r>
          </w:p>
          <w:p w14:paraId="5188E038" w14:textId="3C499750" w:rsidR="000C1347" w:rsidRDefault="007465A6" w:rsidP="0083103A">
            <w:pPr>
              <w:pStyle w:val="Body"/>
            </w:pPr>
            <w:r>
              <w:t xml:space="preserve">The Royal Commission </w:t>
            </w:r>
            <w:r w:rsidR="00FC7C87">
              <w:t>identifie</w:t>
            </w:r>
            <w:r w:rsidR="001B4589">
              <w:t>d</w:t>
            </w:r>
            <w:r w:rsidR="002358DB">
              <w:t xml:space="preserve"> </w:t>
            </w:r>
            <w:r w:rsidR="00FF1D63">
              <w:t>several</w:t>
            </w:r>
            <w:r w:rsidR="002358DB">
              <w:t xml:space="preserve"> factors </w:t>
            </w:r>
            <w:r w:rsidR="00FF1D63">
              <w:t xml:space="preserve">that contribute to </w:t>
            </w:r>
            <w:r w:rsidR="001B4589">
              <w:t>restrictive practices</w:t>
            </w:r>
            <w:r w:rsidR="00FA36C3">
              <w:t>:</w:t>
            </w:r>
          </w:p>
          <w:p w14:paraId="610D393A" w14:textId="72E32320" w:rsidR="00F02704" w:rsidRPr="003471B7" w:rsidRDefault="00CA3589" w:rsidP="0083103A">
            <w:pPr>
              <w:pStyle w:val="Bullet1"/>
            </w:pPr>
            <w:r w:rsidRPr="003471B7">
              <w:rPr>
                <w:i/>
                <w:iCs/>
              </w:rPr>
              <w:t>Resourcing</w:t>
            </w:r>
            <w:r w:rsidR="00DF5901" w:rsidRPr="003471B7">
              <w:rPr>
                <w:i/>
                <w:iCs/>
              </w:rPr>
              <w:t>:</w:t>
            </w:r>
            <w:r w:rsidR="00D65FC0" w:rsidRPr="003471B7">
              <w:t xml:space="preserve"> </w:t>
            </w:r>
            <w:r w:rsidR="00BF17B6">
              <w:t xml:space="preserve">Staffing levels and </w:t>
            </w:r>
            <w:r w:rsidR="00CD602B">
              <w:t>bed</w:t>
            </w:r>
            <w:r w:rsidR="00F734B7">
              <w:t xml:space="preserve"> </w:t>
            </w:r>
            <w:r w:rsidR="00ED4EB0">
              <w:t>vacancies</w:t>
            </w:r>
            <w:r w:rsidR="00CD602B">
              <w:t xml:space="preserve"> </w:t>
            </w:r>
            <w:r w:rsidR="005317EA">
              <w:t>that do not meet demand</w:t>
            </w:r>
            <w:r w:rsidR="00D501BB">
              <w:t xml:space="preserve"> for</w:t>
            </w:r>
            <w:r w:rsidR="005674EE">
              <w:t xml:space="preserve"> care and treatment</w:t>
            </w:r>
            <w:r w:rsidR="003C4C56">
              <w:t xml:space="preserve"> leads to an</w:t>
            </w:r>
            <w:r w:rsidR="005317EA">
              <w:t xml:space="preserve"> </w:t>
            </w:r>
            <w:r w:rsidR="00E367D0">
              <w:t>increase</w:t>
            </w:r>
            <w:r w:rsidR="003C4C56">
              <w:t>d</w:t>
            </w:r>
            <w:r w:rsidR="00E367D0">
              <w:t xml:space="preserve"> threshold </w:t>
            </w:r>
            <w:r w:rsidR="00C94B05">
              <w:t>for access</w:t>
            </w:r>
            <w:r w:rsidR="000A0584">
              <w:t xml:space="preserve">. This </w:t>
            </w:r>
            <w:r w:rsidR="00D336F6">
              <w:t>results</w:t>
            </w:r>
            <w:r w:rsidR="008B5778">
              <w:t xml:space="preserve"> in</w:t>
            </w:r>
            <w:r w:rsidR="00C51583">
              <w:t xml:space="preserve"> </w:t>
            </w:r>
            <w:r w:rsidR="00F94307">
              <w:t>more</w:t>
            </w:r>
            <w:r w:rsidR="00441995">
              <w:t xml:space="preserve"> </w:t>
            </w:r>
            <w:r w:rsidR="00A40FC4">
              <w:t>people coming to a service in severe distress or crisis</w:t>
            </w:r>
            <w:r w:rsidR="005674EE">
              <w:t xml:space="preserve"> and </w:t>
            </w:r>
            <w:r w:rsidR="009D39F8">
              <w:t xml:space="preserve">fewer </w:t>
            </w:r>
            <w:r w:rsidR="005674EE">
              <w:t>people receiving treatment at an earlier stage of their illness</w:t>
            </w:r>
            <w:r w:rsidR="00C94B05">
              <w:t>.</w:t>
            </w:r>
            <w:r w:rsidR="008028FF">
              <w:t xml:space="preserve"> </w:t>
            </w:r>
          </w:p>
          <w:p w14:paraId="5389D7D9" w14:textId="7A78A5B1" w:rsidR="00B96D5D" w:rsidRPr="002F1E31" w:rsidRDefault="00207FF6" w:rsidP="0083103A">
            <w:pPr>
              <w:pStyle w:val="Bullet1"/>
            </w:pPr>
            <w:r w:rsidRPr="002F1E31">
              <w:rPr>
                <w:i/>
                <w:iCs/>
              </w:rPr>
              <w:t>Workforce</w:t>
            </w:r>
            <w:r w:rsidR="002F1E31" w:rsidRPr="002F1E31">
              <w:rPr>
                <w:i/>
                <w:iCs/>
              </w:rPr>
              <w:t xml:space="preserve"> </w:t>
            </w:r>
            <w:r w:rsidR="002F1E31">
              <w:rPr>
                <w:i/>
                <w:iCs/>
              </w:rPr>
              <w:t>s</w:t>
            </w:r>
            <w:r w:rsidR="007C3430" w:rsidRPr="002F1E31">
              <w:rPr>
                <w:i/>
                <w:iCs/>
              </w:rPr>
              <w:t>kill</w:t>
            </w:r>
            <w:r w:rsidR="002F1E31">
              <w:rPr>
                <w:i/>
                <w:iCs/>
              </w:rPr>
              <w:t xml:space="preserve"> levels</w:t>
            </w:r>
            <w:r w:rsidR="007C3430" w:rsidRPr="002F1E31">
              <w:rPr>
                <w:i/>
                <w:iCs/>
              </w:rPr>
              <w:t xml:space="preserve"> and experience</w:t>
            </w:r>
            <w:r w:rsidR="007C3430" w:rsidRPr="002F1E31">
              <w:t xml:space="preserve">: </w:t>
            </w:r>
            <w:r w:rsidR="00E5128D" w:rsidRPr="00E5128D">
              <w:t>Services lacking experienced and skilled staff with the ability to provide trauma</w:t>
            </w:r>
            <w:r w:rsidR="009D39F8">
              <w:t>-</w:t>
            </w:r>
            <w:r w:rsidR="00E5128D" w:rsidRPr="00E5128D">
              <w:t xml:space="preserve">informed care, </w:t>
            </w:r>
            <w:r w:rsidR="009D39F8">
              <w:t xml:space="preserve">to </w:t>
            </w:r>
            <w:r w:rsidR="00E5128D" w:rsidRPr="00E5128D">
              <w:t xml:space="preserve">apply conflict resolution techniques and </w:t>
            </w:r>
            <w:r w:rsidR="009D39F8">
              <w:t xml:space="preserve">to </w:t>
            </w:r>
            <w:r w:rsidR="00E5128D" w:rsidRPr="00E5128D">
              <w:t xml:space="preserve">support junior staff who are responding to people in crisis and distress </w:t>
            </w:r>
            <w:r w:rsidR="00E07D7D">
              <w:t>will</w:t>
            </w:r>
            <w:r w:rsidR="002C2B55">
              <w:t xml:space="preserve"> </w:t>
            </w:r>
            <w:r w:rsidR="00D336F6">
              <w:t xml:space="preserve">have less capacity to </w:t>
            </w:r>
            <w:r w:rsidR="007837A6">
              <w:t xml:space="preserve">avoid </w:t>
            </w:r>
            <w:r w:rsidR="00E5128D" w:rsidRPr="00E5128D">
              <w:t>restrictive practices</w:t>
            </w:r>
            <w:r w:rsidR="007837A6">
              <w:t>.</w:t>
            </w:r>
          </w:p>
          <w:p w14:paraId="043542B0" w14:textId="6ACEEA50" w:rsidR="00446CE4" w:rsidRDefault="009A0FD9" w:rsidP="0083103A">
            <w:pPr>
              <w:pStyle w:val="Bullet1"/>
            </w:pPr>
            <w:r w:rsidRPr="0029196D">
              <w:rPr>
                <w:i/>
                <w:iCs/>
              </w:rPr>
              <w:t>P</w:t>
            </w:r>
            <w:r w:rsidR="00D75882" w:rsidRPr="0029196D">
              <w:rPr>
                <w:i/>
                <w:iCs/>
              </w:rPr>
              <w:t>hysica</w:t>
            </w:r>
            <w:r w:rsidR="00A66A43" w:rsidRPr="0029196D">
              <w:rPr>
                <w:i/>
                <w:iCs/>
              </w:rPr>
              <w:t>l</w:t>
            </w:r>
            <w:r w:rsidR="00A22C2E" w:rsidRPr="0029196D">
              <w:rPr>
                <w:i/>
                <w:iCs/>
              </w:rPr>
              <w:t xml:space="preserve"> environment</w:t>
            </w:r>
            <w:r w:rsidRPr="0029196D">
              <w:t xml:space="preserve">: </w:t>
            </w:r>
            <w:r w:rsidR="007D3044" w:rsidRPr="007D3044">
              <w:t xml:space="preserve">Shared bedrooms and overcrowding in inpatient units can make it difficult to respond to consumer distress and agitation. </w:t>
            </w:r>
            <w:r w:rsidR="00C2179B">
              <w:t>Noisy spaces and c</w:t>
            </w:r>
            <w:r w:rsidR="007D3044" w:rsidRPr="007D3044">
              <w:t xml:space="preserve">ustodial features that </w:t>
            </w:r>
            <w:r w:rsidR="001C6AE5">
              <w:t>create</w:t>
            </w:r>
            <w:r w:rsidR="007D3044" w:rsidRPr="007D3044">
              <w:t xml:space="preserve"> a sense of disempowerment </w:t>
            </w:r>
            <w:r w:rsidR="0069250F">
              <w:t>can contribute to</w:t>
            </w:r>
            <w:r w:rsidR="00316888">
              <w:t xml:space="preserve"> consumer</w:t>
            </w:r>
            <w:r w:rsidR="007D3044" w:rsidRPr="007D3044">
              <w:t xml:space="preserve"> distress and agitation, increasing the </w:t>
            </w:r>
            <w:r w:rsidR="00567AB0">
              <w:t>potential</w:t>
            </w:r>
            <w:r w:rsidR="00BA2B48">
              <w:t xml:space="preserve"> for</w:t>
            </w:r>
            <w:r w:rsidR="007D3044" w:rsidRPr="007D3044">
              <w:t xml:space="preserve"> restrictive practices</w:t>
            </w:r>
            <w:r w:rsidR="00E0653B">
              <w:t xml:space="preserve"> to be used</w:t>
            </w:r>
            <w:r w:rsidR="007D3044" w:rsidRPr="007D3044">
              <w:t>.</w:t>
            </w:r>
          </w:p>
          <w:p w14:paraId="69E7696D" w14:textId="229C9973" w:rsidR="00440E0B" w:rsidRPr="008C635E" w:rsidRDefault="00440E0B" w:rsidP="0083103A">
            <w:pPr>
              <w:pStyle w:val="Bullet1"/>
            </w:pPr>
            <w:r w:rsidRPr="00440E0B">
              <w:rPr>
                <w:i/>
                <w:iCs/>
              </w:rPr>
              <w:t>Patient characteristics</w:t>
            </w:r>
            <w:r w:rsidRPr="00440E0B">
              <w:t xml:space="preserve">: </w:t>
            </w:r>
            <w:r w:rsidR="00FB6ACC">
              <w:t>P</w:t>
            </w:r>
            <w:r w:rsidR="00BD7E81" w:rsidRPr="00BD7E81">
              <w:t xml:space="preserve">atients with </w:t>
            </w:r>
            <w:r w:rsidR="00BD7E81">
              <w:t>severe behavioural disturbances</w:t>
            </w:r>
            <w:r w:rsidR="00BD7E81" w:rsidRPr="00BD7E81">
              <w:t xml:space="preserve"> that pose a high risk of harm to </w:t>
            </w:r>
            <w:proofErr w:type="gramStart"/>
            <w:r w:rsidR="00BD7E81" w:rsidRPr="00BD7E81">
              <w:t>themselves</w:t>
            </w:r>
            <w:proofErr w:type="gramEnd"/>
            <w:r w:rsidR="00BD7E81" w:rsidRPr="00BD7E81">
              <w:t xml:space="preserve"> or others are more likely to </w:t>
            </w:r>
            <w:r w:rsidR="009D39F8">
              <w:t xml:space="preserve">be </w:t>
            </w:r>
            <w:r w:rsidR="00FB6ACC">
              <w:t>restrained and sedated</w:t>
            </w:r>
            <w:r w:rsidR="00AF3BCE">
              <w:t xml:space="preserve"> compared </w:t>
            </w:r>
            <w:r w:rsidR="009D39F8">
              <w:t>with</w:t>
            </w:r>
            <w:r w:rsidR="00AF3BCE">
              <w:t xml:space="preserve"> other patients.</w:t>
            </w:r>
          </w:p>
          <w:p w14:paraId="2DA1590A" w14:textId="5C5ADF79" w:rsidR="0074032A" w:rsidRDefault="00073854" w:rsidP="00B65986">
            <w:pPr>
              <w:pStyle w:val="Bodyafterbullets"/>
            </w:pPr>
            <w:r>
              <w:t>Furthermore,</w:t>
            </w:r>
            <w:r w:rsidR="00571EC4">
              <w:t xml:space="preserve"> </w:t>
            </w:r>
            <w:r w:rsidR="00D6219B">
              <w:t>reporting culture</w:t>
            </w:r>
            <w:r w:rsidR="00571EC4">
              <w:t xml:space="preserve"> </w:t>
            </w:r>
            <w:r w:rsidR="00A22C2E">
              <w:t>influences</w:t>
            </w:r>
            <w:r w:rsidR="00E21039">
              <w:t xml:space="preserve"> </w:t>
            </w:r>
            <w:r w:rsidR="002B42CA">
              <w:t>th</w:t>
            </w:r>
            <w:r w:rsidR="00956CDD">
              <w:t xml:space="preserve">e extent to which </w:t>
            </w:r>
            <w:r w:rsidR="00704DD7">
              <w:t>services</w:t>
            </w:r>
            <w:r w:rsidR="005A55F5">
              <w:t xml:space="preserve"> can be monitored and</w:t>
            </w:r>
            <w:r w:rsidR="00F70B33">
              <w:t xml:space="preserve"> areas in </w:t>
            </w:r>
            <w:r w:rsidR="00BB4D18">
              <w:t>need of change</w:t>
            </w:r>
            <w:r w:rsidR="00F70B33">
              <w:t xml:space="preserve"> identi</w:t>
            </w:r>
            <w:r w:rsidR="0095438C">
              <w:t>f</w:t>
            </w:r>
            <w:r w:rsidR="003629FF">
              <w:t>i</w:t>
            </w:r>
            <w:r w:rsidR="00F70B33">
              <w:t>ed</w:t>
            </w:r>
            <w:r w:rsidR="007D0ADD">
              <w:t>. W</w:t>
            </w:r>
            <w:r w:rsidR="003B0D9D">
              <w:t>he</w:t>
            </w:r>
            <w:r w:rsidR="00FB1AAE">
              <w:t>n</w:t>
            </w:r>
            <w:r w:rsidR="003B0D9D">
              <w:t xml:space="preserve"> </w:t>
            </w:r>
            <w:r w:rsidR="00FB1AAE">
              <w:t xml:space="preserve">a service is </w:t>
            </w:r>
            <w:r w:rsidR="002856DC">
              <w:t xml:space="preserve">transparent about </w:t>
            </w:r>
            <w:r w:rsidR="00FB1AAE">
              <w:t>its</w:t>
            </w:r>
            <w:r w:rsidR="002856DC">
              <w:t xml:space="preserve"> use of restrictive prac</w:t>
            </w:r>
            <w:r w:rsidR="00E61E59">
              <w:t xml:space="preserve">tices, </w:t>
            </w:r>
            <w:r w:rsidR="000436A9">
              <w:t>the</w:t>
            </w:r>
            <w:r w:rsidR="004C5228">
              <w:t xml:space="preserve"> data</w:t>
            </w:r>
            <w:r w:rsidR="000436A9">
              <w:t xml:space="preserve"> that is collected</w:t>
            </w:r>
            <w:r w:rsidR="004C5228">
              <w:t xml:space="preserve"> </w:t>
            </w:r>
            <w:r w:rsidR="00083069">
              <w:t xml:space="preserve">will more accurately </w:t>
            </w:r>
            <w:r w:rsidR="00A15242">
              <w:t>reflect</w:t>
            </w:r>
            <w:r w:rsidR="00233032">
              <w:t xml:space="preserve"> </w:t>
            </w:r>
            <w:r w:rsidR="003C71A7">
              <w:t>practice</w:t>
            </w:r>
            <w:r w:rsidR="007D0ADD">
              <w:t>. B</w:t>
            </w:r>
            <w:r w:rsidR="0076093D">
              <w:t xml:space="preserve">y contrast, where </w:t>
            </w:r>
            <w:r w:rsidR="00CD4B5C">
              <w:t>a</w:t>
            </w:r>
            <w:r w:rsidR="0076093D">
              <w:t xml:space="preserve"> commitment</w:t>
            </w:r>
            <w:r w:rsidR="00CD4B5C">
              <w:t xml:space="preserve"> to transparency</w:t>
            </w:r>
            <w:r w:rsidR="0076093D">
              <w:t xml:space="preserve"> is wea</w:t>
            </w:r>
            <w:r w:rsidR="004952F2">
              <w:t>k</w:t>
            </w:r>
            <w:r w:rsidR="000A354C">
              <w:t xml:space="preserve">, </w:t>
            </w:r>
            <w:r w:rsidR="00D55959">
              <w:t>the</w:t>
            </w:r>
            <w:r w:rsidR="004B453C">
              <w:t xml:space="preserve"> dat</w:t>
            </w:r>
            <w:r w:rsidR="00E703B8">
              <w:t>a</w:t>
            </w:r>
            <w:r w:rsidR="004B453C">
              <w:t xml:space="preserve"> will understate the</w:t>
            </w:r>
            <w:r w:rsidR="00D55959">
              <w:t xml:space="preserve"> true </w:t>
            </w:r>
            <w:r w:rsidR="00160B0B">
              <w:t>extent</w:t>
            </w:r>
            <w:r w:rsidR="004952F2">
              <w:t xml:space="preserve"> of restrictive practices</w:t>
            </w:r>
            <w:r w:rsidR="00886DE0">
              <w:t xml:space="preserve">, </w:t>
            </w:r>
            <w:r w:rsidR="00E703B8">
              <w:t>limiting opportunities</w:t>
            </w:r>
            <w:r w:rsidR="00C75176">
              <w:t xml:space="preserve"> </w:t>
            </w:r>
            <w:r w:rsidR="00C03100">
              <w:t xml:space="preserve">to </w:t>
            </w:r>
            <w:r w:rsidR="00D56DB0">
              <w:t xml:space="preserve">improve </w:t>
            </w:r>
            <w:r w:rsidR="003F774A">
              <w:t xml:space="preserve">a service’s </w:t>
            </w:r>
            <w:r w:rsidR="000913F9">
              <w:t>quality</w:t>
            </w:r>
            <w:r w:rsidR="0090158E">
              <w:t xml:space="preserve"> of care</w:t>
            </w:r>
            <w:r w:rsidR="00307A26">
              <w:t>.</w:t>
            </w:r>
            <w:r w:rsidR="00DD7C3E">
              <w:t xml:space="preserve"> </w:t>
            </w:r>
            <w:r w:rsidR="00F45C0B">
              <w:t xml:space="preserve">Underreporting </w:t>
            </w:r>
            <w:r w:rsidR="00531410">
              <w:t>does not appear to be</w:t>
            </w:r>
            <w:r w:rsidR="00F45C0B">
              <w:t xml:space="preserve"> widesp</w:t>
            </w:r>
            <w:r w:rsidR="0006030A">
              <w:t xml:space="preserve">read in Victoria. However, where it does occur, it can </w:t>
            </w:r>
            <w:r w:rsidR="00665127">
              <w:t>skew data on restrictive practices.</w:t>
            </w:r>
          </w:p>
          <w:p w14:paraId="5D86F5D4" w14:textId="041BC5FF" w:rsidR="00C8138E" w:rsidRDefault="008842E3" w:rsidP="00B65986">
            <w:pPr>
              <w:pStyle w:val="Body"/>
            </w:pPr>
            <w:r>
              <w:t xml:space="preserve">The </w:t>
            </w:r>
            <w:r w:rsidR="00745214">
              <w:t>multiple</w:t>
            </w:r>
            <w:r w:rsidR="00633B9C">
              <w:t xml:space="preserve"> factors that </w:t>
            </w:r>
            <w:r w:rsidR="004819E3">
              <w:t>contribute to</w:t>
            </w:r>
            <w:r w:rsidR="0099456A">
              <w:t xml:space="preserve"> </w:t>
            </w:r>
            <w:r w:rsidR="004819E3">
              <w:t>restrictive practices, and the varying significance</w:t>
            </w:r>
            <w:r w:rsidR="0099456A">
              <w:t xml:space="preserve"> of those factors</w:t>
            </w:r>
            <w:r w:rsidR="004819E3">
              <w:t xml:space="preserve"> </w:t>
            </w:r>
            <w:r w:rsidR="00355F45">
              <w:t>across</w:t>
            </w:r>
            <w:r w:rsidR="004819E3">
              <w:t xml:space="preserve"> </w:t>
            </w:r>
            <w:r w:rsidR="00355F45">
              <w:t xml:space="preserve">contexts, </w:t>
            </w:r>
            <w:r w:rsidR="003025A0">
              <w:t xml:space="preserve">points to </w:t>
            </w:r>
            <w:r w:rsidR="00D61804">
              <w:t>the importan</w:t>
            </w:r>
            <w:r w:rsidR="000926C8">
              <w:t>ce</w:t>
            </w:r>
            <w:r w:rsidR="002F492C">
              <w:t xml:space="preserve"> </w:t>
            </w:r>
            <w:r w:rsidR="006D4976">
              <w:t xml:space="preserve">of </w:t>
            </w:r>
            <w:proofErr w:type="gramStart"/>
            <w:r w:rsidR="006D4976">
              <w:t xml:space="preserve">taking </w:t>
            </w:r>
            <w:r w:rsidR="002F492C">
              <w:t>act</w:t>
            </w:r>
            <w:r w:rsidR="005B520E">
              <w:t>i</w:t>
            </w:r>
            <w:r w:rsidR="006D4976">
              <w:t>on</w:t>
            </w:r>
            <w:proofErr w:type="gramEnd"/>
            <w:r w:rsidR="00D61804">
              <w:t xml:space="preserve"> </w:t>
            </w:r>
            <w:r w:rsidR="009F375B">
              <w:t>at both a system</w:t>
            </w:r>
            <w:r w:rsidR="00606416">
              <w:t>-</w:t>
            </w:r>
            <w:r w:rsidR="000926C8">
              <w:t xml:space="preserve"> </w:t>
            </w:r>
            <w:r w:rsidR="009F375B">
              <w:t xml:space="preserve">and </w:t>
            </w:r>
            <w:r w:rsidR="0069680D">
              <w:t>individual service</w:t>
            </w:r>
            <w:r w:rsidR="0036050B">
              <w:t xml:space="preserve"> level</w:t>
            </w:r>
            <w:r w:rsidR="0099456A">
              <w:t xml:space="preserve"> to</w:t>
            </w:r>
            <w:r w:rsidR="0069680D">
              <w:t xml:space="preserve"> </w:t>
            </w:r>
            <w:r w:rsidR="009D39F8">
              <w:t xml:space="preserve">bring about </w:t>
            </w:r>
            <w:r w:rsidR="00F1512F">
              <w:t xml:space="preserve">positive </w:t>
            </w:r>
            <w:r w:rsidR="0069680D">
              <w:t>change</w:t>
            </w:r>
            <w:r w:rsidR="00F1512F">
              <w:t>. Th</w:t>
            </w:r>
            <w:r w:rsidR="00CD0134">
              <w:t xml:space="preserve">is </w:t>
            </w:r>
            <w:r w:rsidR="0099456A">
              <w:t xml:space="preserve">multifaceted approach </w:t>
            </w:r>
            <w:r w:rsidR="00C00309">
              <w:t xml:space="preserve">underpins </w:t>
            </w:r>
            <w:r w:rsidR="00B22BCB">
              <w:t>the</w:t>
            </w:r>
            <w:r w:rsidR="004D7D57">
              <w:t xml:space="preserve"> </w:t>
            </w:r>
            <w:r w:rsidR="00C43A87">
              <w:t xml:space="preserve">Royal Commission </w:t>
            </w:r>
            <w:r w:rsidR="00B22BCB">
              <w:t>reforms</w:t>
            </w:r>
            <w:r w:rsidR="006A1B55">
              <w:t xml:space="preserve"> </w:t>
            </w:r>
            <w:r w:rsidR="00CE54DB">
              <w:t xml:space="preserve">currently underway </w:t>
            </w:r>
            <w:r w:rsidR="006A1B55">
              <w:t>to</w:t>
            </w:r>
            <w:r w:rsidR="00E6493B">
              <w:t xml:space="preserve"> progressively</w:t>
            </w:r>
            <w:r w:rsidR="006A1B55">
              <w:t xml:space="preserve"> </w:t>
            </w:r>
            <w:r w:rsidR="00C43A87">
              <w:t>eliminate</w:t>
            </w:r>
            <w:r w:rsidR="006A1B55">
              <w:t xml:space="preserve"> restrictive practices in Victoria</w:t>
            </w:r>
            <w:r w:rsidR="00657C0A">
              <w:t xml:space="preserve"> </w:t>
            </w:r>
            <w:r w:rsidR="00C63046">
              <w:t xml:space="preserve">over a </w:t>
            </w:r>
            <w:r w:rsidR="008D4757">
              <w:t>10-year</w:t>
            </w:r>
            <w:r w:rsidR="00C63046">
              <w:t xml:space="preserve"> perio</w:t>
            </w:r>
            <w:r w:rsidR="00163760">
              <w:t>d</w:t>
            </w:r>
            <w:r w:rsidR="00CE54DB">
              <w:t>.</w:t>
            </w:r>
          </w:p>
          <w:p w14:paraId="6E22A9DB" w14:textId="14BD9FC0" w:rsidR="00C8138E" w:rsidRDefault="00CE54DB" w:rsidP="00B65986">
            <w:pPr>
              <w:pStyle w:val="Body"/>
            </w:pPr>
            <w:r>
              <w:lastRenderedPageBreak/>
              <w:t>These reforms encompass</w:t>
            </w:r>
            <w:r w:rsidR="00C8138E">
              <w:t>:</w:t>
            </w:r>
          </w:p>
          <w:p w14:paraId="3BC49357" w14:textId="77777777" w:rsidR="00845C1F" w:rsidRDefault="00E95EED" w:rsidP="00C02112">
            <w:pPr>
              <w:pStyle w:val="Bullet1"/>
            </w:pPr>
            <w:r>
              <w:t xml:space="preserve">revised legislation and policy </w:t>
            </w:r>
            <w:r w:rsidR="00795E85">
              <w:t>on rules and expectations around restrictive interventions</w:t>
            </w:r>
          </w:p>
          <w:p w14:paraId="4E4010D7" w14:textId="1AEED452" w:rsidR="00845C1F" w:rsidRDefault="00795E85" w:rsidP="00C02112">
            <w:pPr>
              <w:pStyle w:val="Bullet1"/>
            </w:pPr>
            <w:r>
              <w:t xml:space="preserve">new </w:t>
            </w:r>
            <w:r w:rsidR="00B3657D">
              <w:t xml:space="preserve">governance bodies </w:t>
            </w:r>
            <w:r w:rsidR="00A55547">
              <w:t xml:space="preserve">to strengthen </w:t>
            </w:r>
            <w:r w:rsidR="00356097">
              <w:t>enforcement o</w:t>
            </w:r>
            <w:r w:rsidR="007635C0">
              <w:t>f</w:t>
            </w:r>
            <w:r w:rsidR="00356097">
              <w:t xml:space="preserve"> rules and accountability over the use of restrictive interventions</w:t>
            </w:r>
          </w:p>
          <w:p w14:paraId="405880A4" w14:textId="6C92CB60" w:rsidR="004C3F29" w:rsidRDefault="00174761" w:rsidP="00C02112">
            <w:pPr>
              <w:pStyle w:val="Bullet1"/>
            </w:pPr>
            <w:r>
              <w:t>increased consumer participation and leadership in decision</w:t>
            </w:r>
            <w:r w:rsidR="009D39F8">
              <w:t xml:space="preserve"> </w:t>
            </w:r>
            <w:r>
              <w:t>making at the clinical and governance level</w:t>
            </w:r>
            <w:r w:rsidR="009D39F8">
              <w:t>s</w:t>
            </w:r>
          </w:p>
          <w:p w14:paraId="2416FF71" w14:textId="77777777" w:rsidR="00845C1F" w:rsidRDefault="00F70064" w:rsidP="00C02112">
            <w:pPr>
              <w:pStyle w:val="Bullet1"/>
            </w:pPr>
            <w:r>
              <w:t xml:space="preserve">a recruitment drive </w:t>
            </w:r>
            <w:r w:rsidR="00CC1270">
              <w:t>to boost the size of the mental health workforce</w:t>
            </w:r>
          </w:p>
          <w:p w14:paraId="531F646B" w14:textId="77777777" w:rsidR="00845C1F" w:rsidRDefault="00A70C53" w:rsidP="00C02112">
            <w:pPr>
              <w:pStyle w:val="Bullet1"/>
            </w:pPr>
            <w:r>
              <w:t>education and training programs to</w:t>
            </w:r>
            <w:r w:rsidR="00390440">
              <w:t xml:space="preserve"> equip mental</w:t>
            </w:r>
            <w:r w:rsidR="006B09D5">
              <w:t xml:space="preserve"> health workers with the skills and knowledge to provide</w:t>
            </w:r>
            <w:r w:rsidR="0045397B">
              <w:t xml:space="preserve"> </w:t>
            </w:r>
            <w:r w:rsidR="00DD6F2D">
              <w:t>compassionate care</w:t>
            </w:r>
          </w:p>
          <w:p w14:paraId="6DB4A848" w14:textId="0CBFA596" w:rsidR="00945908" w:rsidRPr="00174761" w:rsidRDefault="0036465A" w:rsidP="00C02112">
            <w:pPr>
              <w:pStyle w:val="Bullet1"/>
            </w:pPr>
            <w:r w:rsidRPr="00174761">
              <w:t xml:space="preserve">infrastructure upgrades </w:t>
            </w:r>
            <w:r w:rsidR="00147A1F" w:rsidRPr="00174761">
              <w:t>that embody therapeutic design principles</w:t>
            </w:r>
          </w:p>
          <w:p w14:paraId="72B92BDF" w14:textId="3E348CF3" w:rsidR="000238B9" w:rsidRPr="00262D80" w:rsidRDefault="00DD0DA5" w:rsidP="00C02112">
            <w:pPr>
              <w:pStyle w:val="Bullet1"/>
            </w:pPr>
            <w:r>
              <w:t xml:space="preserve">continued engagement with services to encourage consistent reporting </w:t>
            </w:r>
            <w:r w:rsidR="00C8138E">
              <w:t>on the use of restrictive interventions.</w:t>
            </w:r>
            <w:r w:rsidR="009B1D0D">
              <w:t xml:space="preserve"> </w:t>
            </w:r>
          </w:p>
        </w:tc>
      </w:tr>
    </w:tbl>
    <w:p w14:paraId="4A528DF0" w14:textId="39215251" w:rsidR="00381B2F" w:rsidRDefault="00301E87" w:rsidP="00563C62">
      <w:pPr>
        <w:pStyle w:val="Body"/>
      </w:pPr>
      <w:r>
        <w:lastRenderedPageBreak/>
        <w:t xml:space="preserve"> </w:t>
      </w:r>
      <w:r w:rsidR="00381B2F">
        <w:br w:type="page"/>
      </w:r>
    </w:p>
    <w:p w14:paraId="3DF0C0B5" w14:textId="041706CA" w:rsidR="00381B2F" w:rsidRPr="00182DBC" w:rsidRDefault="00381B2F" w:rsidP="0012686C">
      <w:pPr>
        <w:pStyle w:val="Heading1"/>
        <w:rPr>
          <w:b/>
        </w:rPr>
      </w:pPr>
      <w:bookmarkStart w:id="41" w:name="_Toc118293977"/>
      <w:r w:rsidRPr="00182DBC">
        <w:lastRenderedPageBreak/>
        <w:t>2</w:t>
      </w:r>
      <w:r w:rsidR="0049615B">
        <w:t>.</w:t>
      </w:r>
      <w:r w:rsidRPr="00182DBC">
        <w:t xml:space="preserve"> Leadership </w:t>
      </w:r>
      <w:r w:rsidR="0076616B">
        <w:t>in clinical mental health</w:t>
      </w:r>
      <w:bookmarkEnd w:id="41"/>
    </w:p>
    <w:p w14:paraId="068B57B9" w14:textId="49507E18" w:rsidR="00381B2F" w:rsidRPr="000F3963" w:rsidRDefault="00381B2F" w:rsidP="00381B2F">
      <w:pPr>
        <w:pStyle w:val="Heading2"/>
      </w:pPr>
      <w:bookmarkStart w:id="42" w:name="_Toc118293978"/>
      <w:r>
        <w:t xml:space="preserve">Quality and </w:t>
      </w:r>
      <w:r w:rsidR="0095545B">
        <w:t>s</w:t>
      </w:r>
      <w:r>
        <w:t>afety initiatives</w:t>
      </w:r>
      <w:bookmarkEnd w:id="42"/>
    </w:p>
    <w:p w14:paraId="2AB10D87" w14:textId="59D2CB96" w:rsidR="00381B2F" w:rsidRPr="00D2177F" w:rsidRDefault="004F1D84" w:rsidP="00381B2F">
      <w:pPr>
        <w:pStyle w:val="Heading3"/>
        <w:rPr>
          <w:color w:val="FF0000"/>
        </w:rPr>
      </w:pPr>
      <w:r w:rsidRPr="33B77389">
        <w:t xml:space="preserve">Electroconvulsive treatment </w:t>
      </w:r>
      <w:r w:rsidR="0095545B" w:rsidRPr="00846B4E">
        <w:t>a</w:t>
      </w:r>
      <w:r w:rsidR="00381B2F" w:rsidRPr="00846B4E">
        <w:t>udits</w:t>
      </w:r>
    </w:p>
    <w:p w14:paraId="6560CC28" w14:textId="7BE95D59" w:rsidR="00381B2F" w:rsidRDefault="00381B2F" w:rsidP="00563C62">
      <w:pPr>
        <w:pStyle w:val="Body"/>
      </w:pPr>
      <w:r>
        <w:t xml:space="preserve">Over the </w:t>
      </w:r>
      <w:r w:rsidR="004F1D84">
        <w:t>p</w:t>
      </w:r>
      <w:r>
        <w:t xml:space="preserve">ast </w:t>
      </w:r>
      <w:r w:rsidR="006A4E07">
        <w:t>three</w:t>
      </w:r>
      <w:r>
        <w:t xml:space="preserve"> years, all ECT services in Victoria have been audited to ensure </w:t>
      </w:r>
      <w:r w:rsidR="00C42FB7">
        <w:t xml:space="preserve">they </w:t>
      </w:r>
      <w:r>
        <w:t xml:space="preserve">adhere to the Chief Psychiatrist’s guideline on ECT. Audit teams have included a deputy </w:t>
      </w:r>
      <w:r w:rsidR="004F1D84">
        <w:t>c</w:t>
      </w:r>
      <w:r>
        <w:t xml:space="preserve">hief </w:t>
      </w:r>
      <w:r w:rsidR="004F1D84">
        <w:t>p</w:t>
      </w:r>
      <w:r>
        <w:t xml:space="preserve">sychiatrist, senior clinical advisor, an ECT director and </w:t>
      </w:r>
      <w:r w:rsidR="00C42FB7">
        <w:t xml:space="preserve">a </w:t>
      </w:r>
      <w:r>
        <w:t>nurse coordinator from other services, and consumer and carer representatives. During their visits,</w:t>
      </w:r>
      <w:r w:rsidR="00A81F8F">
        <w:t xml:space="preserve"> which </w:t>
      </w:r>
      <w:r w:rsidR="000C6F48">
        <w:t>are typically daylong,</w:t>
      </w:r>
      <w:r>
        <w:t xml:space="preserve"> team members me</w:t>
      </w:r>
      <w:r w:rsidR="000C6F48">
        <w:t>e</w:t>
      </w:r>
      <w:r>
        <w:t xml:space="preserve">t with senior clinicians, inspect ECT treatment facilities and review services’ clinical policies and practices, educational </w:t>
      </w:r>
      <w:proofErr w:type="gramStart"/>
      <w:r>
        <w:t>programs</w:t>
      </w:r>
      <w:proofErr w:type="gramEnd"/>
      <w:r>
        <w:t xml:space="preserve"> and quality improvement activities. As a result of the</w:t>
      </w:r>
      <w:r w:rsidR="00413237">
        <w:t>se</w:t>
      </w:r>
      <w:r>
        <w:t xml:space="preserve"> audit</w:t>
      </w:r>
      <w:r w:rsidR="00413237">
        <w:t>s</w:t>
      </w:r>
      <w:r>
        <w:t>, treatment practices have become more consistent across the state. Important improvements have included better assessments of people’s capacity to give informed consent to ECT</w:t>
      </w:r>
      <w:r w:rsidR="004F1D84">
        <w:t>,</w:t>
      </w:r>
      <w:r>
        <w:t xml:space="preserve"> strategies to minimise cognitive impairment, and regular checks of clinical progress.</w:t>
      </w:r>
    </w:p>
    <w:p w14:paraId="367FE0F2" w14:textId="4915849C" w:rsidR="002F2CE7" w:rsidRDefault="00D00EC3" w:rsidP="00D00EC3">
      <w:pPr>
        <w:pStyle w:val="Body"/>
      </w:pPr>
      <w:r>
        <w:t xml:space="preserve">In </w:t>
      </w:r>
      <w:r w:rsidR="0079109F">
        <w:t xml:space="preserve">2021 the </w:t>
      </w:r>
      <w:r>
        <w:t>Chief Psychiatrist</w:t>
      </w:r>
      <w:r w:rsidR="00C42FB7">
        <w:t>’</w:t>
      </w:r>
      <w:r>
        <w:t xml:space="preserve">s ECT </w:t>
      </w:r>
      <w:r w:rsidR="0079109F">
        <w:t>C</w:t>
      </w:r>
      <w:r>
        <w:t xml:space="preserve">ommittee was renamed </w:t>
      </w:r>
      <w:r w:rsidR="0079109F">
        <w:t>the</w:t>
      </w:r>
      <w:r>
        <w:t xml:space="preserve"> Neurostimulation Committee. The committee now includes newer neurostimulation therapies</w:t>
      </w:r>
      <w:r w:rsidR="00ED61B2">
        <w:t xml:space="preserve"> within </w:t>
      </w:r>
      <w:r w:rsidR="00940A98">
        <w:t xml:space="preserve">its </w:t>
      </w:r>
      <w:r w:rsidR="00BE0B5B">
        <w:t>scope</w:t>
      </w:r>
      <w:r w:rsidR="00940A98">
        <w:t>,</w:t>
      </w:r>
      <w:r>
        <w:t xml:space="preserve"> such as </w:t>
      </w:r>
      <w:r w:rsidR="00C42FB7">
        <w:t>t</w:t>
      </w:r>
      <w:r>
        <w:t xml:space="preserve">ranscranial </w:t>
      </w:r>
      <w:r w:rsidR="00C42FB7">
        <w:t>m</w:t>
      </w:r>
      <w:r>
        <w:t xml:space="preserve">agnetic </w:t>
      </w:r>
      <w:r w:rsidR="00C42FB7">
        <w:t>s</w:t>
      </w:r>
      <w:r>
        <w:t xml:space="preserve">timulation (TMS) and </w:t>
      </w:r>
      <w:r w:rsidR="00C42FB7">
        <w:t>d</w:t>
      </w:r>
      <w:r>
        <w:t xml:space="preserve">eep </w:t>
      </w:r>
      <w:r w:rsidR="00C42FB7">
        <w:t>b</w:t>
      </w:r>
      <w:r>
        <w:t xml:space="preserve">rain </w:t>
      </w:r>
      <w:r w:rsidR="00C42FB7">
        <w:t>s</w:t>
      </w:r>
      <w:r>
        <w:t>timulation (DBS).</w:t>
      </w:r>
      <w:r w:rsidR="00072653">
        <w:t xml:space="preserve"> </w:t>
      </w:r>
      <w:r w:rsidR="00C42FB7">
        <w:t xml:space="preserve">Overseeing </w:t>
      </w:r>
      <w:r>
        <w:t>ECT</w:t>
      </w:r>
      <w:r w:rsidR="00BC5880">
        <w:t xml:space="preserve"> will continue to be the primary function of the committee</w:t>
      </w:r>
      <w:r w:rsidR="00AF4957">
        <w:t xml:space="preserve">. However, </w:t>
      </w:r>
      <w:r w:rsidR="008857AB">
        <w:t>the committee</w:t>
      </w:r>
      <w:r w:rsidR="00AF4957">
        <w:t xml:space="preserve"> </w:t>
      </w:r>
      <w:r w:rsidR="000810D7">
        <w:t xml:space="preserve">will </w:t>
      </w:r>
      <w:r w:rsidR="00AF4957">
        <w:t xml:space="preserve">also </w:t>
      </w:r>
      <w:r w:rsidR="000810D7">
        <w:t xml:space="preserve">keep pace </w:t>
      </w:r>
      <w:r w:rsidR="00C42FB7">
        <w:t xml:space="preserve">with </w:t>
      </w:r>
      <w:r w:rsidR="00B33D81">
        <w:t>new</w:t>
      </w:r>
      <w:r>
        <w:t xml:space="preserve"> developments in </w:t>
      </w:r>
      <w:r w:rsidR="00700D13">
        <w:t xml:space="preserve">TMS and </w:t>
      </w:r>
      <w:r>
        <w:t xml:space="preserve">DBS </w:t>
      </w:r>
      <w:r w:rsidR="00325590">
        <w:t>to</w:t>
      </w:r>
      <w:r w:rsidR="008857AB">
        <w:t xml:space="preserve"> </w:t>
      </w:r>
      <w:r w:rsidR="00072653">
        <w:t xml:space="preserve">ensure </w:t>
      </w:r>
      <w:r w:rsidR="00251EDF">
        <w:t>t</w:t>
      </w:r>
      <w:r w:rsidR="00C051D6">
        <w:t>he</w:t>
      </w:r>
      <w:r w:rsidR="008857AB">
        <w:t xml:space="preserve">se </w:t>
      </w:r>
      <w:r w:rsidR="008A2692">
        <w:t xml:space="preserve">therapies </w:t>
      </w:r>
      <w:r w:rsidR="00C051D6">
        <w:t xml:space="preserve">are </w:t>
      </w:r>
      <w:r w:rsidR="00251EDF">
        <w:t>administered safely</w:t>
      </w:r>
      <w:r>
        <w:t>.</w:t>
      </w:r>
    </w:p>
    <w:p w14:paraId="23251D8E" w14:textId="1379BAD6" w:rsidR="008A2692" w:rsidRDefault="00626CDD" w:rsidP="00D00EC3">
      <w:pPr>
        <w:pStyle w:val="Body"/>
      </w:pPr>
      <w:r>
        <w:t>The OC</w:t>
      </w:r>
      <w:r w:rsidR="001934FD">
        <w:t xml:space="preserve">P also </w:t>
      </w:r>
      <w:r w:rsidR="00C42FB7">
        <w:t xml:space="preserve">set </w:t>
      </w:r>
      <w:r w:rsidR="00DC04D4">
        <w:t>up</w:t>
      </w:r>
      <w:r w:rsidR="001934FD">
        <w:t xml:space="preserve"> the ECT Complex Consultation Expert Panel</w:t>
      </w:r>
      <w:r w:rsidR="00564211">
        <w:t>. This</w:t>
      </w:r>
      <w:r w:rsidR="00316A38">
        <w:t xml:space="preserve"> </w:t>
      </w:r>
      <w:r w:rsidR="00267345" w:rsidRPr="00267345">
        <w:t xml:space="preserve">will advise the Chief Psychiatrist </w:t>
      </w:r>
      <w:r w:rsidR="00DC04D4">
        <w:t>on matters</w:t>
      </w:r>
      <w:r w:rsidR="0031598D">
        <w:t xml:space="preserve"> involving extreme</w:t>
      </w:r>
      <w:r w:rsidR="00267345" w:rsidRPr="00267345">
        <w:t xml:space="preserve"> clinical</w:t>
      </w:r>
      <w:r w:rsidR="00746741">
        <w:t xml:space="preserve">, </w:t>
      </w:r>
      <w:proofErr w:type="gramStart"/>
      <w:r w:rsidR="00746741">
        <w:t>ethical</w:t>
      </w:r>
      <w:proofErr w:type="gramEnd"/>
      <w:r w:rsidR="00746741">
        <w:t xml:space="preserve"> and legal</w:t>
      </w:r>
      <w:r w:rsidR="00267345" w:rsidRPr="00267345">
        <w:t xml:space="preserve"> complexity with</w:t>
      </w:r>
      <w:r w:rsidR="00564211">
        <w:t xml:space="preserve"> </w:t>
      </w:r>
      <w:r w:rsidR="00267345" w:rsidRPr="00267345">
        <w:t>respect to</w:t>
      </w:r>
      <w:r w:rsidR="009864DA">
        <w:t xml:space="preserve"> </w:t>
      </w:r>
      <w:r w:rsidR="00267345" w:rsidRPr="00267345">
        <w:t>administ</w:t>
      </w:r>
      <w:r w:rsidR="00C42FB7">
        <w:t>ering</w:t>
      </w:r>
      <w:r w:rsidR="00267345" w:rsidRPr="00267345">
        <w:t xml:space="preserve"> ECT.</w:t>
      </w:r>
      <w:r w:rsidR="00EB2FA6">
        <w:t xml:space="preserve"> Such matters</w:t>
      </w:r>
      <w:r w:rsidR="00DF2810">
        <w:t xml:space="preserve"> typically sit outside existing guidelines, standard </w:t>
      </w:r>
      <w:proofErr w:type="gramStart"/>
      <w:r w:rsidR="00DF2810">
        <w:t>practices</w:t>
      </w:r>
      <w:proofErr w:type="gramEnd"/>
      <w:r w:rsidR="00DF2810">
        <w:t xml:space="preserve"> and statuary protections</w:t>
      </w:r>
      <w:r w:rsidR="008E395F">
        <w:t>,</w:t>
      </w:r>
      <w:r w:rsidR="00DF2810">
        <w:t xml:space="preserve"> and </w:t>
      </w:r>
      <w:r w:rsidR="00C42FB7">
        <w:t xml:space="preserve">need to consider </w:t>
      </w:r>
      <w:r w:rsidR="00DF2810">
        <w:t>alternative</w:t>
      </w:r>
      <w:r w:rsidR="0086194D">
        <w:t>,</w:t>
      </w:r>
      <w:r w:rsidR="00DF2810">
        <w:t xml:space="preserve"> individualised models of care.</w:t>
      </w:r>
      <w:r w:rsidR="008533AD">
        <w:t xml:space="preserve"> </w:t>
      </w:r>
      <w:r w:rsidR="000F0E46">
        <w:t xml:space="preserve">As part of this new arrangement, </w:t>
      </w:r>
      <w:r w:rsidR="001B2DF3">
        <w:t>p</w:t>
      </w:r>
      <w:r w:rsidR="00DF2810">
        <w:t xml:space="preserve">ublic mental health services </w:t>
      </w:r>
      <w:r w:rsidR="000F0E46">
        <w:t xml:space="preserve">must </w:t>
      </w:r>
      <w:r w:rsidR="00413B18">
        <w:t>refer</w:t>
      </w:r>
      <w:r w:rsidR="00DF2810">
        <w:t xml:space="preserve"> complex clinical</w:t>
      </w:r>
      <w:r w:rsidR="00E73812">
        <w:t>,</w:t>
      </w:r>
      <w:r w:rsidR="00DF2810">
        <w:t xml:space="preserve"> </w:t>
      </w:r>
      <w:proofErr w:type="gramStart"/>
      <w:r w:rsidR="00DF2810">
        <w:t>ethical</w:t>
      </w:r>
      <w:proofErr w:type="gramEnd"/>
      <w:r w:rsidR="00DF2810">
        <w:t xml:space="preserve"> and legal matters </w:t>
      </w:r>
      <w:r w:rsidR="00E73812">
        <w:t xml:space="preserve">to the </w:t>
      </w:r>
      <w:r w:rsidR="0087185A">
        <w:t>OCP</w:t>
      </w:r>
      <w:r w:rsidR="000F0E46">
        <w:t xml:space="preserve"> for the panel</w:t>
      </w:r>
      <w:r w:rsidR="00C42FB7">
        <w:t>’s review</w:t>
      </w:r>
      <w:r w:rsidR="00DF2810">
        <w:t>.</w:t>
      </w:r>
      <w:r w:rsidR="00577243">
        <w:t xml:space="preserve"> Upon receiving the panel</w:t>
      </w:r>
      <w:r w:rsidR="00CA33B9">
        <w:t>’s advice</w:t>
      </w:r>
      <w:r w:rsidR="00577243">
        <w:t xml:space="preserve">, the </w:t>
      </w:r>
      <w:r w:rsidR="00DF2810">
        <w:t xml:space="preserve">Chief Psychiatrist </w:t>
      </w:r>
      <w:r w:rsidR="00CA33B9">
        <w:t>may</w:t>
      </w:r>
      <w:r w:rsidR="00DF2810">
        <w:t xml:space="preserve"> seek further expert </w:t>
      </w:r>
      <w:r w:rsidR="00CA33B9">
        <w:t>opinion</w:t>
      </w:r>
      <w:r w:rsidR="00DF2810">
        <w:t xml:space="preserve"> </w:t>
      </w:r>
      <w:r w:rsidR="009340AE">
        <w:t xml:space="preserve">where necessary </w:t>
      </w:r>
      <w:r w:rsidR="008D060F">
        <w:t xml:space="preserve">before </w:t>
      </w:r>
      <w:r w:rsidR="00073650">
        <w:t xml:space="preserve">offering direction </w:t>
      </w:r>
      <w:r w:rsidR="00B76539">
        <w:t xml:space="preserve">to </w:t>
      </w:r>
      <w:r w:rsidR="008D060F">
        <w:t>mental health services</w:t>
      </w:r>
      <w:r w:rsidR="00B76539">
        <w:t xml:space="preserve"> </w:t>
      </w:r>
      <w:r w:rsidR="002D08C6">
        <w:t>on how to</w:t>
      </w:r>
      <w:r w:rsidR="00071918">
        <w:t xml:space="preserve"> proceed with the </w:t>
      </w:r>
      <w:r w:rsidR="00AB6ADB">
        <w:t>ECT</w:t>
      </w:r>
      <w:r w:rsidR="00DF2810">
        <w:t xml:space="preserve">. </w:t>
      </w:r>
    </w:p>
    <w:p w14:paraId="28F7CA6C" w14:textId="0A25B566" w:rsidR="009504BC" w:rsidRDefault="00A26517" w:rsidP="009504BC">
      <w:pPr>
        <w:pStyle w:val="Body"/>
      </w:pPr>
      <w:r>
        <w:t>I</w:t>
      </w:r>
      <w:r w:rsidR="00C851A5">
        <w:t>n April 2022 a</w:t>
      </w:r>
      <w:r w:rsidR="00400E87">
        <w:t xml:space="preserve"> </w:t>
      </w:r>
      <w:r w:rsidR="009504BC">
        <w:t xml:space="preserve">Chief Psychiatrist’s Neurostimulation Forum </w:t>
      </w:r>
      <w:r w:rsidR="00C851A5">
        <w:t xml:space="preserve">was held, </w:t>
      </w:r>
      <w:r w:rsidR="009504BC">
        <w:t>attract</w:t>
      </w:r>
      <w:r w:rsidR="00C42FB7">
        <w:t>ing</w:t>
      </w:r>
      <w:r w:rsidR="009504BC">
        <w:t xml:space="preserve"> mental health service</w:t>
      </w:r>
      <w:r w:rsidR="00C42FB7">
        <w:t xml:space="preserve"> representatives from</w:t>
      </w:r>
      <w:r w:rsidR="00387398">
        <w:t xml:space="preserve"> across Victoria</w:t>
      </w:r>
      <w:r w:rsidR="009504BC">
        <w:t xml:space="preserve">. </w:t>
      </w:r>
      <w:r w:rsidR="00940555">
        <w:t>P</w:t>
      </w:r>
      <w:r w:rsidR="009504BC">
        <w:t xml:space="preserve">articipants and presenters included people with </w:t>
      </w:r>
      <w:r w:rsidR="00B43239">
        <w:t>lived experience</w:t>
      </w:r>
      <w:r w:rsidR="009504BC">
        <w:t xml:space="preserve">, their family and carers, clinicians, </w:t>
      </w:r>
      <w:proofErr w:type="gramStart"/>
      <w:r w:rsidR="009504BC">
        <w:t>researchers</w:t>
      </w:r>
      <w:proofErr w:type="gramEnd"/>
      <w:r w:rsidR="009504BC">
        <w:t xml:space="preserve"> and experts in the field on </w:t>
      </w:r>
      <w:r w:rsidR="00B43239">
        <w:t>n</w:t>
      </w:r>
      <w:r w:rsidR="009504BC">
        <w:t>eurostimulation. Prof</w:t>
      </w:r>
      <w:r w:rsidR="00B43239">
        <w:t>essor</w:t>
      </w:r>
      <w:r w:rsidR="009504BC">
        <w:t xml:space="preserve"> Colle</w:t>
      </w:r>
      <w:r w:rsidR="00A32F13">
        <w:t>e</w:t>
      </w:r>
      <w:r w:rsidR="009504BC">
        <w:t>n Loo and D</w:t>
      </w:r>
      <w:r w:rsidR="00B43239">
        <w:t>octor</w:t>
      </w:r>
      <w:r w:rsidR="009504BC">
        <w:t xml:space="preserve"> </w:t>
      </w:r>
      <w:proofErr w:type="spellStart"/>
      <w:r w:rsidR="009504BC">
        <w:t>Donel</w:t>
      </w:r>
      <w:proofErr w:type="spellEnd"/>
      <w:r w:rsidR="009504BC">
        <w:t xml:space="preserve"> Martin from N</w:t>
      </w:r>
      <w:r w:rsidR="00B43239">
        <w:t xml:space="preserve">ew </w:t>
      </w:r>
      <w:r w:rsidR="009504BC">
        <w:t>S</w:t>
      </w:r>
      <w:r w:rsidR="00B43239">
        <w:t xml:space="preserve">outh </w:t>
      </w:r>
      <w:r w:rsidR="009504BC">
        <w:t>W</w:t>
      </w:r>
      <w:r w:rsidR="00B43239">
        <w:t>ales</w:t>
      </w:r>
      <w:r w:rsidR="009504BC">
        <w:t xml:space="preserve"> provided important insights </w:t>
      </w:r>
      <w:r w:rsidR="00B43239">
        <w:t>on</w:t>
      </w:r>
      <w:r w:rsidR="009504BC">
        <w:t xml:space="preserve"> neurostimulation therapies. Craig Wallace</w:t>
      </w:r>
      <w:r w:rsidR="00B43239">
        <w:t xml:space="preserve">, </w:t>
      </w:r>
      <w:r w:rsidR="009504BC">
        <w:t>CEO of VMIAC</w:t>
      </w:r>
      <w:r w:rsidR="000D4F55">
        <w:t>,</w:t>
      </w:r>
      <w:r w:rsidR="009504BC">
        <w:t xml:space="preserve"> and</w:t>
      </w:r>
      <w:r w:rsidR="000D4F55">
        <w:t xml:space="preserve"> </w:t>
      </w:r>
      <w:r w:rsidR="009504BC">
        <w:t>Andrew Tomlinson</w:t>
      </w:r>
      <w:r w:rsidR="00C42FB7">
        <w:t>,</w:t>
      </w:r>
      <w:r w:rsidR="009504BC">
        <w:t xml:space="preserve"> from Tandem</w:t>
      </w:r>
      <w:r w:rsidR="00C42FB7">
        <w:t>,</w:t>
      </w:r>
      <w:r w:rsidR="009504BC">
        <w:t xml:space="preserve"> provided </w:t>
      </w:r>
      <w:r w:rsidR="000D4F55">
        <w:t>lived experience</w:t>
      </w:r>
      <w:r w:rsidR="009504BC">
        <w:t xml:space="preserve"> perspectives on ECT. Kate Thwaites and Jodie Ten-Hoeve </w:t>
      </w:r>
      <w:r w:rsidR="003008DC">
        <w:t>from</w:t>
      </w:r>
      <w:r w:rsidR="009504BC">
        <w:t xml:space="preserve"> S</w:t>
      </w:r>
      <w:r w:rsidR="003008DC">
        <w:t xml:space="preserve">afer </w:t>
      </w:r>
      <w:r w:rsidR="009504BC">
        <w:t>C</w:t>
      </w:r>
      <w:r w:rsidR="003008DC">
        <w:t xml:space="preserve">are </w:t>
      </w:r>
      <w:r w:rsidR="009504BC">
        <w:t>V</w:t>
      </w:r>
      <w:r w:rsidR="003008DC">
        <w:t xml:space="preserve">ictoria highlighted </w:t>
      </w:r>
      <w:r w:rsidR="009504BC">
        <w:t>nursing perspectives</w:t>
      </w:r>
      <w:r w:rsidR="005D0EE3">
        <w:t>, and Doctors</w:t>
      </w:r>
      <w:r w:rsidR="009504BC">
        <w:t xml:space="preserve"> </w:t>
      </w:r>
      <w:proofErr w:type="spellStart"/>
      <w:r w:rsidR="009504BC">
        <w:t>Ashu</w:t>
      </w:r>
      <w:proofErr w:type="spellEnd"/>
      <w:r w:rsidR="009504BC">
        <w:t xml:space="preserve"> Gandhi and Vivek </w:t>
      </w:r>
      <w:proofErr w:type="spellStart"/>
      <w:r w:rsidR="009504BC">
        <w:t>Phutane</w:t>
      </w:r>
      <w:proofErr w:type="spellEnd"/>
      <w:r w:rsidR="009504BC">
        <w:t xml:space="preserve"> shared experience</w:t>
      </w:r>
      <w:r w:rsidR="000613C3">
        <w:t>s</w:t>
      </w:r>
      <w:r w:rsidR="009504BC">
        <w:t xml:space="preserve"> of ECT and TMS.</w:t>
      </w:r>
    </w:p>
    <w:p w14:paraId="4D850BBF" w14:textId="122FF824" w:rsidR="00381B2F" w:rsidRPr="00D2177F" w:rsidRDefault="00381B2F" w:rsidP="00381B2F">
      <w:pPr>
        <w:pStyle w:val="Heading3"/>
        <w:rPr>
          <w:rStyle w:val="normaltextrun"/>
          <w:color w:val="000000" w:themeColor="text1"/>
          <w:sz w:val="20"/>
          <w:szCs w:val="20"/>
          <w:highlight w:val="green"/>
          <w:lang w:val="en-US"/>
        </w:rPr>
      </w:pPr>
      <w:r w:rsidRPr="10DC7BF4">
        <w:rPr>
          <w:rStyle w:val="normaltextrun"/>
          <w:lang w:val="en-US"/>
        </w:rPr>
        <w:t>Sentinel event reviews</w:t>
      </w:r>
    </w:p>
    <w:p w14:paraId="042089D6" w14:textId="63ACC6D2" w:rsidR="00381B2F" w:rsidRDefault="00381B2F" w:rsidP="00563C62">
      <w:pPr>
        <w:pStyle w:val="Body"/>
      </w:pPr>
      <w:r>
        <w:t xml:space="preserve">Sentinel events are wholly or largely preventable adverse health incidents that result in serious harm or death. Health services </w:t>
      </w:r>
      <w:r w:rsidR="00360184">
        <w:t>must</w:t>
      </w:r>
      <w:r>
        <w:t xml:space="preserve"> report such incidents to Safer Care Victoria in </w:t>
      </w:r>
      <w:r w:rsidR="00DE08BB">
        <w:t xml:space="preserve">line </w:t>
      </w:r>
      <w:r>
        <w:t xml:space="preserve">with the Australian </w:t>
      </w:r>
      <w:r w:rsidR="00D6537D">
        <w:t>National Sentinel Event Protocol</w:t>
      </w:r>
      <w:r>
        <w:t>. They must also conduct a detailed analysis of the circumstances leading to the event and make recommendations where applicable to reduce the likelihood of a recurrence. In the case of mental health services, suicides in acute inpatient units and small numbers of unexpected incidents with catastrophic consequences must be reported in this way.</w:t>
      </w:r>
      <w:r w:rsidR="0057779F">
        <w:t xml:space="preserve"> </w:t>
      </w:r>
    </w:p>
    <w:p w14:paraId="6F549C59" w14:textId="3AB16DF5" w:rsidR="00381B2F" w:rsidRDefault="00381B2F" w:rsidP="00563C62">
      <w:pPr>
        <w:pStyle w:val="Body"/>
      </w:pPr>
      <w:r>
        <w:lastRenderedPageBreak/>
        <w:t xml:space="preserve">The </w:t>
      </w:r>
      <w:r w:rsidR="001F7590">
        <w:t>OCP</w:t>
      </w:r>
      <w:r>
        <w:t xml:space="preserve"> and members of </w:t>
      </w:r>
      <w:r w:rsidR="00C15211">
        <w:t xml:space="preserve">the Chief Psychiatrist’s </w:t>
      </w:r>
      <w:r>
        <w:t>Morbidity and Mortality</w:t>
      </w:r>
      <w:r w:rsidR="00155658">
        <w:t xml:space="preserve"> Subc</w:t>
      </w:r>
      <w:r>
        <w:t>ommittee</w:t>
      </w:r>
      <w:r w:rsidR="00155658">
        <w:t>, Sentinel Event Review Committee,</w:t>
      </w:r>
      <w:r>
        <w:t xml:space="preserve"> including representatives of consumer and carer peak bodies</w:t>
      </w:r>
      <w:r w:rsidR="00155658">
        <w:t>,</w:t>
      </w:r>
      <w:r>
        <w:t xml:space="preserve"> work with Safer Care Victoria to give feedback to mental health services </w:t>
      </w:r>
      <w:r w:rsidR="00360184">
        <w:t xml:space="preserve">about </w:t>
      </w:r>
      <w:r>
        <w:t xml:space="preserve">their analyses of events and their recommendations for action. Sentinel events are uncommon, and this extra level of scrutiny and support ensures </w:t>
      </w:r>
      <w:r w:rsidR="00155658">
        <w:t xml:space="preserve">the </w:t>
      </w:r>
      <w:r w:rsidR="00DE08BB">
        <w:t xml:space="preserve">services’ </w:t>
      </w:r>
      <w:r w:rsidR="00155658">
        <w:t xml:space="preserve">reviews </w:t>
      </w:r>
      <w:r>
        <w:t>are comprehensive and lead to practical action to identify and remediate risk for future consumers and carers.</w:t>
      </w:r>
    </w:p>
    <w:p w14:paraId="1BFEF8B9" w14:textId="06907D42" w:rsidR="00381B2F" w:rsidRDefault="00381B2F" w:rsidP="00381B2F">
      <w:pPr>
        <w:pStyle w:val="Heading3"/>
      </w:pPr>
      <w:r>
        <w:t>Inspire report</w:t>
      </w:r>
    </w:p>
    <w:p w14:paraId="1F988463" w14:textId="4ACE9E6C" w:rsidR="00381B2F" w:rsidRPr="00730FFB" w:rsidRDefault="08850547" w:rsidP="00563C62">
      <w:pPr>
        <w:pStyle w:val="Body"/>
      </w:pPr>
      <w:r>
        <w:t xml:space="preserve">The Victorian Agency for Health Information collaborates with the Chief Psychiatrist to prepare the </w:t>
      </w:r>
      <w:r w:rsidRPr="320FDCCA">
        <w:rPr>
          <w:i/>
          <w:iCs/>
        </w:rPr>
        <w:t xml:space="preserve">Inspire </w:t>
      </w:r>
      <w:r w:rsidR="282D356F" w:rsidRPr="320FDCCA">
        <w:rPr>
          <w:i/>
          <w:iCs/>
        </w:rPr>
        <w:t>m</w:t>
      </w:r>
      <w:r w:rsidRPr="320FDCCA">
        <w:rPr>
          <w:i/>
          <w:iCs/>
        </w:rPr>
        <w:t xml:space="preserve">ental </w:t>
      </w:r>
      <w:r w:rsidR="282D356F" w:rsidRPr="320FDCCA">
        <w:rPr>
          <w:i/>
          <w:iCs/>
        </w:rPr>
        <w:t>h</w:t>
      </w:r>
      <w:r w:rsidRPr="320FDCCA">
        <w:rPr>
          <w:i/>
          <w:iCs/>
        </w:rPr>
        <w:t>ealth</w:t>
      </w:r>
      <w:r>
        <w:t xml:space="preserve"> benchmarking report for distribution to mental health services every six months. Each report compares services on a varying range of indicators extracted from data </w:t>
      </w:r>
      <w:r w:rsidR="00DE08BB">
        <w:t xml:space="preserve">routinely </w:t>
      </w:r>
      <w:r>
        <w:t xml:space="preserve">submitted to the </w:t>
      </w:r>
      <w:r w:rsidR="282D356F">
        <w:t>d</w:t>
      </w:r>
      <w:r>
        <w:t xml:space="preserve">epartment. Indicators are selected by an expert advisory group </w:t>
      </w:r>
      <w:r w:rsidR="282D356F">
        <w:t>based on</w:t>
      </w:r>
      <w:r>
        <w:t xml:space="preserve"> their clinical relevance and strategic importance. The purpose of the report is to highlight variance in practice (including variance between services’ various inpatient units and community teams) and</w:t>
      </w:r>
      <w:r w:rsidR="282D356F">
        <w:t xml:space="preserve"> to</w:t>
      </w:r>
      <w:r>
        <w:t xml:space="preserve"> encourage debate within and between services about the clinical, </w:t>
      </w:r>
      <w:proofErr w:type="gramStart"/>
      <w:r>
        <w:t>cultural</w:t>
      </w:r>
      <w:proofErr w:type="gramEnd"/>
      <w:r>
        <w:t xml:space="preserve"> and operational factors that contribute to these differences. The Chief Psychiatrist then engages in discussion with ‘outlier’ services to promote action to address unexplained variance in clinical practices that might </w:t>
      </w:r>
      <w:r w:rsidR="2A452A06">
        <w:t xml:space="preserve">have an </w:t>
      </w:r>
      <w:r>
        <w:t>adverse</w:t>
      </w:r>
      <w:r w:rsidR="2A452A06">
        <w:t xml:space="preserve"> effect</w:t>
      </w:r>
      <w:r>
        <w:t xml:space="preserve"> on consumers’ experiences. </w:t>
      </w:r>
    </w:p>
    <w:p w14:paraId="391B7FC4" w14:textId="3CC89D7B" w:rsidR="00381B2F" w:rsidRPr="00D2177F" w:rsidRDefault="00381B2F" w:rsidP="00381B2F">
      <w:pPr>
        <w:pStyle w:val="Heading3"/>
        <w:rPr>
          <w:color w:val="FF0000"/>
        </w:rPr>
      </w:pPr>
      <w:r>
        <w:t>Quality and safety bulletin</w:t>
      </w:r>
    </w:p>
    <w:p w14:paraId="6F0145B6" w14:textId="6F81F7F3" w:rsidR="00381B2F" w:rsidRDefault="00EC6A26" w:rsidP="00563C62">
      <w:pPr>
        <w:pStyle w:val="Body"/>
      </w:pPr>
      <w:r>
        <w:t>The Chief Psychiatrist publish</w:t>
      </w:r>
      <w:r w:rsidR="00C37750">
        <w:t>es</w:t>
      </w:r>
      <w:r>
        <w:t xml:space="preserve"> a</w:t>
      </w:r>
      <w:r w:rsidR="00381B2F">
        <w:t xml:space="preserve"> quality and safety bulletin </w:t>
      </w:r>
      <w:r w:rsidR="00C37750">
        <w:t xml:space="preserve">that </w:t>
      </w:r>
      <w:r w:rsidR="00381B2F">
        <w:t>highlight</w:t>
      </w:r>
      <w:r w:rsidR="00C37750">
        <w:t>s</w:t>
      </w:r>
      <w:r w:rsidR="00381B2F">
        <w:t xml:space="preserve"> issues </w:t>
      </w:r>
      <w:r w:rsidR="0031073D">
        <w:t>affecting</w:t>
      </w:r>
      <w:r w:rsidR="00381B2F">
        <w:t xml:space="preserve"> consumer safety. The bulletins, which are </w:t>
      </w:r>
      <w:r w:rsidR="00722B55">
        <w:t xml:space="preserve">available </w:t>
      </w:r>
      <w:r w:rsidR="00381B2F">
        <w:t xml:space="preserve">on the </w:t>
      </w:r>
      <w:hyperlink r:id="rId19">
        <w:r w:rsidR="00381B2F" w:rsidRPr="66FBA0A5">
          <w:rPr>
            <w:rStyle w:val="Hyperlink"/>
          </w:rPr>
          <w:t>Chief Psychiatrist’s website</w:t>
        </w:r>
      </w:hyperlink>
      <w:r w:rsidR="00DE08BB">
        <w:t xml:space="preserve"> &lt;</w:t>
      </w:r>
      <w:r w:rsidR="00BA7D8D" w:rsidRPr="00BA7D8D">
        <w:t>https://www.health.vic.gov.au/publications/chief-psychiatrist-quality-and-safety-bulletins</w:t>
      </w:r>
      <w:r w:rsidR="00DE08BB">
        <w:t>&gt;,</w:t>
      </w:r>
      <w:r w:rsidR="00D75C1D">
        <w:t xml:space="preserve"> </w:t>
      </w:r>
      <w:r w:rsidR="00381B2F">
        <w:t xml:space="preserve">describe de-identified cases </w:t>
      </w:r>
      <w:r w:rsidR="00360184">
        <w:t xml:space="preserve">found </w:t>
      </w:r>
      <w:r w:rsidR="00381B2F">
        <w:t xml:space="preserve">through </w:t>
      </w:r>
      <w:r w:rsidR="00360184">
        <w:t>c</w:t>
      </w:r>
      <w:r w:rsidR="00381B2F">
        <w:t>oroners</w:t>
      </w:r>
      <w:r w:rsidR="00360184">
        <w:t>’</w:t>
      </w:r>
      <w:r w:rsidR="00381B2F">
        <w:t xml:space="preserve"> reports, notifications to Safer Care Victoria and other means. The purpose of the bulletin is to alert service providers to issues of grave clinical risk and to provide advice about strategies to mitigate these risks. This provides a useful opportunity to remind providers of existing guidelines and clinical practice advisory notices and of the need to embed these guidelines and notices within their policy and procedure documents. Matters of importance are </w:t>
      </w:r>
      <w:r w:rsidR="00360184">
        <w:t xml:space="preserve">also </w:t>
      </w:r>
      <w:r w:rsidR="00381B2F">
        <w:t>raised in meetings with clinical and operational leaders and in other relevant settings to ensure safety alerts are received and enacted within services.</w:t>
      </w:r>
    </w:p>
    <w:p w14:paraId="1EDC4A36" w14:textId="50547AB9" w:rsidR="00381B2F" w:rsidRDefault="00381B2F" w:rsidP="00381B2F">
      <w:pPr>
        <w:pStyle w:val="Heading3"/>
        <w:rPr>
          <w:sz w:val="20"/>
          <w:szCs w:val="20"/>
        </w:rPr>
      </w:pPr>
      <w:r w:rsidRPr="3D86FC7D">
        <w:rPr>
          <w:rStyle w:val="normaltextrun"/>
        </w:rPr>
        <w:t>New Chief Psychiatrist’s guideline</w:t>
      </w:r>
      <w:r w:rsidR="00D2177F">
        <w:rPr>
          <w:rStyle w:val="normaltextrun"/>
        </w:rPr>
        <w:t>s</w:t>
      </w:r>
    </w:p>
    <w:p w14:paraId="0639AD8A" w14:textId="6D0B7AFC" w:rsidR="4E196DE9" w:rsidRPr="00833FFA" w:rsidRDefault="4E196DE9" w:rsidP="00833FFA">
      <w:pPr>
        <w:pStyle w:val="Body"/>
      </w:pPr>
      <w:r w:rsidRPr="00833FFA">
        <w:t xml:space="preserve">The pace of Chief Psychiatrist </w:t>
      </w:r>
      <w:r w:rsidR="003E180B">
        <w:t>g</w:t>
      </w:r>
      <w:r w:rsidRPr="00833FFA">
        <w:t xml:space="preserve">uideline development, review and updates slowed from March 2020, acknowledging the pressures on the </w:t>
      </w:r>
      <w:r w:rsidR="0052084D" w:rsidRPr="00833FFA">
        <w:t xml:space="preserve">mental </w:t>
      </w:r>
      <w:r w:rsidRPr="00833FFA">
        <w:t xml:space="preserve">health sector of meeting the needs of consumers and the families, </w:t>
      </w:r>
      <w:proofErr w:type="gramStart"/>
      <w:r w:rsidRPr="00833FFA">
        <w:t>carers</w:t>
      </w:r>
      <w:proofErr w:type="gramEnd"/>
      <w:r w:rsidRPr="00833FFA">
        <w:t xml:space="preserve"> and supporters during the coronavirus pandemic. </w:t>
      </w:r>
    </w:p>
    <w:p w14:paraId="21E7E106" w14:textId="188F78A1" w:rsidR="4E196DE9" w:rsidRPr="00833FFA" w:rsidRDefault="4E196DE9" w:rsidP="00833FFA">
      <w:pPr>
        <w:pStyle w:val="Body"/>
      </w:pPr>
      <w:r w:rsidRPr="00833FFA">
        <w:t xml:space="preserve">As Victoria </w:t>
      </w:r>
      <w:r w:rsidR="003E4D88">
        <w:t xml:space="preserve">has </w:t>
      </w:r>
      <w:r w:rsidRPr="00833FFA">
        <w:t>move</w:t>
      </w:r>
      <w:r w:rsidR="003E4D88">
        <w:t>d</w:t>
      </w:r>
      <w:r w:rsidRPr="00833FFA">
        <w:t xml:space="preserve"> </w:t>
      </w:r>
      <w:r w:rsidR="003E4D88">
        <w:t>into</w:t>
      </w:r>
      <w:r w:rsidRPr="00833FFA">
        <w:t xml:space="preserve"> a new phase of the pandemic, it has been possible to renew the </w:t>
      </w:r>
      <w:r w:rsidR="00EC6273">
        <w:t>OCP</w:t>
      </w:r>
      <w:r w:rsidRPr="00833FFA">
        <w:t xml:space="preserve">’s focus on providing clinical leadership, </w:t>
      </w:r>
      <w:proofErr w:type="gramStart"/>
      <w:r w:rsidRPr="00833FFA">
        <w:t>guidance</w:t>
      </w:r>
      <w:proofErr w:type="gramEnd"/>
      <w:r w:rsidRPr="00833FFA">
        <w:t xml:space="preserve"> and advice through </w:t>
      </w:r>
      <w:r w:rsidR="6968C930" w:rsidRPr="00833FFA">
        <w:t xml:space="preserve">Chief Psychiatrist </w:t>
      </w:r>
      <w:r w:rsidR="003E180B">
        <w:t>g</w:t>
      </w:r>
      <w:r w:rsidR="6968C930" w:rsidRPr="00833FFA">
        <w:t>uidelines</w:t>
      </w:r>
      <w:r w:rsidRPr="00833FFA">
        <w:t xml:space="preserve">. This guidance is informed by recommendations from the Royal Commission. Central to the Royal Commission’s recommendations is the need to partner with consumers, </w:t>
      </w:r>
      <w:proofErr w:type="gramStart"/>
      <w:r w:rsidRPr="00833FFA">
        <w:t>carers</w:t>
      </w:r>
      <w:proofErr w:type="gramEnd"/>
      <w:r w:rsidRPr="00833FFA">
        <w:t xml:space="preserve"> and families, supporting them to make decision</w:t>
      </w:r>
      <w:r w:rsidR="00DE08BB">
        <w:t>s</w:t>
      </w:r>
      <w:r w:rsidRPr="00833FFA">
        <w:t xml:space="preserve"> in their treatment</w:t>
      </w:r>
      <w:r w:rsidR="5AF05B06" w:rsidRPr="00833FFA">
        <w:t>,</w:t>
      </w:r>
      <w:r w:rsidRPr="00833FFA">
        <w:t xml:space="preserve"> care and support. To this end, the Chief Psychiatrist’s </w:t>
      </w:r>
      <w:r w:rsidR="003E180B">
        <w:t>g</w:t>
      </w:r>
      <w:r w:rsidRPr="00833FFA">
        <w:t>uidelines are being</w:t>
      </w:r>
      <w:r w:rsidR="30468F3A" w:rsidRPr="00833FFA">
        <w:t xml:space="preserve"> co-designed with lived experience consultants and</w:t>
      </w:r>
      <w:r w:rsidRPr="00833FFA">
        <w:t xml:space="preserve"> revised to integrate language that promotes cultural reform through an approach that is trauma</w:t>
      </w:r>
      <w:r w:rsidR="00DE08BB">
        <w:t>-</w:t>
      </w:r>
      <w:r w:rsidRPr="00833FFA">
        <w:t xml:space="preserve">informed, least restrictive, </w:t>
      </w:r>
      <w:proofErr w:type="gramStart"/>
      <w:r w:rsidRPr="00833FFA">
        <w:t>culturally</w:t>
      </w:r>
      <w:proofErr w:type="gramEnd"/>
      <w:r w:rsidRPr="00833FFA">
        <w:t xml:space="preserve"> and psychologically safe and is delivered seamlessly in collaboration with carers and families.</w:t>
      </w:r>
    </w:p>
    <w:p w14:paraId="5C449AE1" w14:textId="13A42910" w:rsidR="4E196DE9" w:rsidRPr="00833FFA" w:rsidRDefault="4E196DE9" w:rsidP="00833FFA">
      <w:pPr>
        <w:pStyle w:val="Body"/>
      </w:pPr>
      <w:r w:rsidRPr="00833FFA">
        <w:t>In addition to partnering with lived experience consultants</w:t>
      </w:r>
      <w:r w:rsidR="3372BDDF" w:rsidRPr="00833FFA">
        <w:t>,</w:t>
      </w:r>
      <w:r w:rsidRPr="00833FFA">
        <w:t xml:space="preserve"> the strategic partnerships between the </w:t>
      </w:r>
      <w:r w:rsidR="00252E23">
        <w:t>OCP</w:t>
      </w:r>
      <w:r w:rsidRPr="00833FFA">
        <w:t>, Safer Care Victoria and the Mental Health Improvement Unit place</w:t>
      </w:r>
      <w:r w:rsidR="6C10C5B3" w:rsidRPr="00833FFA">
        <w:t>s</w:t>
      </w:r>
      <w:r w:rsidRPr="00833FFA">
        <w:t xml:space="preserve"> greater focus on </w:t>
      </w:r>
      <w:r w:rsidRPr="00833FFA">
        <w:lastRenderedPageBreak/>
        <w:t>supporting the sector to implement the guidelines</w:t>
      </w:r>
      <w:r w:rsidR="749BA712" w:rsidRPr="00833FFA">
        <w:t>,</w:t>
      </w:r>
      <w:r w:rsidRPr="00833FFA">
        <w:t xml:space="preserve"> to optimise improvements in the quality and safety in mental health treatment, </w:t>
      </w:r>
      <w:proofErr w:type="gramStart"/>
      <w:r w:rsidRPr="00833FFA">
        <w:t>care</w:t>
      </w:r>
      <w:proofErr w:type="gramEnd"/>
      <w:r w:rsidRPr="00833FFA">
        <w:t xml:space="preserve"> and support.</w:t>
      </w:r>
    </w:p>
    <w:p w14:paraId="703231F3" w14:textId="253651DA" w:rsidR="4878F127" w:rsidRPr="00833FFA" w:rsidRDefault="067C35D2" w:rsidP="00833FFA">
      <w:pPr>
        <w:pStyle w:val="Body"/>
      </w:pPr>
      <w:r w:rsidRPr="00833FFA">
        <w:t xml:space="preserve">The </w:t>
      </w:r>
      <w:r w:rsidR="00252E23">
        <w:t>OCP</w:t>
      </w:r>
      <w:r w:rsidRPr="00833FFA">
        <w:t xml:space="preserve"> aims to publish updated </w:t>
      </w:r>
      <w:r w:rsidR="5DB3104F" w:rsidRPr="00833FFA">
        <w:t>guidelines for gender-based safety</w:t>
      </w:r>
      <w:r w:rsidR="37231EA6" w:rsidRPr="00833FFA">
        <w:t xml:space="preserve"> (sexual safety)</w:t>
      </w:r>
      <w:r w:rsidR="5DB3104F" w:rsidRPr="00833FFA">
        <w:t xml:space="preserve">, </w:t>
      </w:r>
      <w:r w:rsidR="00DE08BB">
        <w:t>ECT</w:t>
      </w:r>
      <w:r w:rsidR="5DB3104F" w:rsidRPr="00833FFA">
        <w:t>, transfer of ca</w:t>
      </w:r>
      <w:r w:rsidR="15F15F1D" w:rsidRPr="00833FFA">
        <w:t>re (discharge planning</w:t>
      </w:r>
      <w:r w:rsidR="29A307E7" w:rsidRPr="00833FFA">
        <w:t>)</w:t>
      </w:r>
      <w:r w:rsidR="20FA97BE" w:rsidRPr="00833FFA">
        <w:t>, criteria for searches and supporting smoke</w:t>
      </w:r>
      <w:r w:rsidR="00DE08BB">
        <w:t>-</w:t>
      </w:r>
      <w:r w:rsidR="20FA97BE" w:rsidRPr="00833FFA">
        <w:t xml:space="preserve">free environments early in 2023. </w:t>
      </w:r>
    </w:p>
    <w:p w14:paraId="0EF1073E" w14:textId="1252A356" w:rsidR="00381B2F" w:rsidRPr="00695B36" w:rsidRDefault="1CC23CA0" w:rsidP="00381B2F">
      <w:pPr>
        <w:pStyle w:val="Heading2"/>
        <w:rPr>
          <w:color w:val="FF0000"/>
        </w:rPr>
      </w:pPr>
      <w:bookmarkStart w:id="43" w:name="_Toc118293979"/>
      <w:r>
        <w:t>Sexual safety</w:t>
      </w:r>
      <w:bookmarkEnd w:id="43"/>
    </w:p>
    <w:p w14:paraId="014EFE61" w14:textId="77777777" w:rsidR="00DE08BB" w:rsidRDefault="00381B2F" w:rsidP="00563C62">
      <w:pPr>
        <w:pStyle w:val="Body"/>
      </w:pPr>
      <w:r>
        <w:t xml:space="preserve">The Chief Psychiatrist </w:t>
      </w:r>
      <w:r w:rsidR="003B24E3">
        <w:t xml:space="preserve">continues </w:t>
      </w:r>
      <w:r>
        <w:t xml:space="preserve">to </w:t>
      </w:r>
      <w:r w:rsidR="00EE1CA3">
        <w:t xml:space="preserve">carry out </w:t>
      </w:r>
      <w:r>
        <w:t xml:space="preserve">work to improve sexual safety in </w:t>
      </w:r>
      <w:r w:rsidR="00817F3D">
        <w:t>m</w:t>
      </w:r>
      <w:r>
        <w:t xml:space="preserve">ental </w:t>
      </w:r>
      <w:r w:rsidR="00817F3D">
        <w:t>h</w:t>
      </w:r>
      <w:r>
        <w:t xml:space="preserve">ealth </w:t>
      </w:r>
      <w:r w:rsidR="00817F3D">
        <w:t>s</w:t>
      </w:r>
      <w:r>
        <w:t>ervices</w:t>
      </w:r>
      <w:r w:rsidR="00F82748">
        <w:t xml:space="preserve">. </w:t>
      </w:r>
      <w:r w:rsidR="03F942CE">
        <w:t xml:space="preserve">The sexual safety </w:t>
      </w:r>
      <w:r w:rsidR="27643630">
        <w:t xml:space="preserve">program </w:t>
      </w:r>
      <w:r w:rsidR="001C4030">
        <w:t xml:space="preserve">of work </w:t>
      </w:r>
      <w:r w:rsidR="0097211B">
        <w:t>see</w:t>
      </w:r>
      <w:r w:rsidR="003F4194">
        <w:t>ks</w:t>
      </w:r>
      <w:r w:rsidR="7FAB4CFB">
        <w:t xml:space="preserve"> to</w:t>
      </w:r>
      <w:r w:rsidR="00DE08BB">
        <w:t>:</w:t>
      </w:r>
      <w:r w:rsidR="7FAB4CFB">
        <w:t xml:space="preserve"> </w:t>
      </w:r>
    </w:p>
    <w:p w14:paraId="43ABA74F" w14:textId="5E7FE83E" w:rsidR="00DE08BB" w:rsidRDefault="7FAB4CFB" w:rsidP="00DE08BB">
      <w:pPr>
        <w:pStyle w:val="Bullet1"/>
      </w:pPr>
      <w:r>
        <w:t>raise awareness around sexual safety incidents in inpatient settings</w:t>
      </w:r>
    </w:p>
    <w:p w14:paraId="705686D4" w14:textId="339E49EF" w:rsidR="00DE08BB" w:rsidRDefault="4B3DF23C" w:rsidP="00DE08BB">
      <w:pPr>
        <w:pStyle w:val="Bullet1"/>
      </w:pPr>
      <w:r>
        <w:t xml:space="preserve">monitor </w:t>
      </w:r>
      <w:r w:rsidR="00F3582E">
        <w:t xml:space="preserve">mental health service </w:t>
      </w:r>
      <w:r>
        <w:t>program</w:t>
      </w:r>
      <w:r w:rsidR="00F3582E">
        <w:t>s</w:t>
      </w:r>
      <w:r>
        <w:t xml:space="preserve"> support</w:t>
      </w:r>
      <w:r w:rsidR="00F3582E">
        <w:t>ing</w:t>
      </w:r>
      <w:r>
        <w:t xml:space="preserve"> s</w:t>
      </w:r>
      <w:r w:rsidR="2274CCBA">
        <w:t xml:space="preserve">exual safety interventions </w:t>
      </w:r>
    </w:p>
    <w:p w14:paraId="0672AD91" w14:textId="49219AFB" w:rsidR="00A23003" w:rsidRDefault="4B3DF23C" w:rsidP="003539A3">
      <w:pPr>
        <w:pStyle w:val="Bullet1"/>
      </w:pPr>
      <w:r>
        <w:t>increase the</w:t>
      </w:r>
      <w:r w:rsidR="00DE08BB">
        <w:t xml:space="preserve"> overall</w:t>
      </w:r>
      <w:r>
        <w:t xml:space="preserve"> safety of consumers </w:t>
      </w:r>
      <w:r w:rsidR="0400732C">
        <w:t xml:space="preserve">in inpatient settings. </w:t>
      </w:r>
    </w:p>
    <w:p w14:paraId="4FAF882D" w14:textId="46A09AA6" w:rsidR="00381B2F" w:rsidRDefault="00A23003" w:rsidP="003539A3">
      <w:pPr>
        <w:pStyle w:val="Bodyafterbullets"/>
      </w:pPr>
      <w:r>
        <w:t>The work</w:t>
      </w:r>
      <w:r w:rsidR="00303095">
        <w:t xml:space="preserve"> has included</w:t>
      </w:r>
      <w:r w:rsidR="00381B2F">
        <w:t>:</w:t>
      </w:r>
    </w:p>
    <w:p w14:paraId="1C07F819" w14:textId="3EE0DABD" w:rsidR="00381B2F" w:rsidRPr="00563C62" w:rsidRDefault="00381B2F" w:rsidP="00563C62">
      <w:pPr>
        <w:pStyle w:val="Bullet1"/>
      </w:pPr>
      <w:r w:rsidRPr="00563C62">
        <w:t xml:space="preserve">reporting to mental health services on sexual safety notifications </w:t>
      </w:r>
      <w:r w:rsidR="00603579" w:rsidRPr="00563C62">
        <w:t xml:space="preserve">that were </w:t>
      </w:r>
      <w:r w:rsidRPr="00563C62">
        <w:t>received</w:t>
      </w:r>
    </w:p>
    <w:p w14:paraId="78C59113" w14:textId="62B40178" w:rsidR="00381B2F" w:rsidRPr="00967C46" w:rsidRDefault="14188A4E" w:rsidP="00563C62">
      <w:pPr>
        <w:pStyle w:val="Bullet1"/>
      </w:pPr>
      <w:r>
        <w:t xml:space="preserve">conducting </w:t>
      </w:r>
      <w:r w:rsidR="00381B2F">
        <w:t xml:space="preserve">high-level analysis of the incidents reported, as well as information </w:t>
      </w:r>
      <w:r w:rsidR="3EEF4BB6">
        <w:t xml:space="preserve">for </w:t>
      </w:r>
      <w:proofErr w:type="spellStart"/>
      <w:r w:rsidR="1DD7286A">
        <w:t>s</w:t>
      </w:r>
      <w:r w:rsidR="00381B2F">
        <w:t>tatewide</w:t>
      </w:r>
      <w:proofErr w:type="spellEnd"/>
      <w:r w:rsidR="00381B2F">
        <w:t xml:space="preserve"> reporting</w:t>
      </w:r>
    </w:p>
    <w:p w14:paraId="4E5B765F" w14:textId="4C5D6EB5" w:rsidR="00381B2F" w:rsidRPr="00967C46" w:rsidRDefault="00381B2F" w:rsidP="00563C62">
      <w:pPr>
        <w:pStyle w:val="Bullet1"/>
      </w:pPr>
      <w:r w:rsidRPr="00967C46">
        <w:t xml:space="preserve">supporting the workplan for the Chief Psychiatrist’s </w:t>
      </w:r>
      <w:proofErr w:type="spellStart"/>
      <w:r w:rsidRPr="00967C46">
        <w:t>Statewide</w:t>
      </w:r>
      <w:proofErr w:type="spellEnd"/>
      <w:r w:rsidRPr="00967C46">
        <w:t xml:space="preserve"> Sexual Safety Committee</w:t>
      </w:r>
      <w:r w:rsidR="00F60B53" w:rsidRPr="00967C46">
        <w:t>,</w:t>
      </w:r>
      <w:r w:rsidRPr="00967C46">
        <w:t xml:space="preserve"> comp</w:t>
      </w:r>
      <w:r w:rsidR="00F60B53" w:rsidRPr="00967C46">
        <w:t>o</w:t>
      </w:r>
      <w:r w:rsidRPr="00967C46">
        <w:t xml:space="preserve">sed of consumers, </w:t>
      </w:r>
      <w:proofErr w:type="gramStart"/>
      <w:r w:rsidRPr="00967C46">
        <w:t>carers</w:t>
      </w:r>
      <w:proofErr w:type="gramEnd"/>
      <w:r w:rsidRPr="00967C46">
        <w:t xml:space="preserve"> and clinical leaders</w:t>
      </w:r>
      <w:r w:rsidR="0057779F" w:rsidRPr="00967C46">
        <w:t xml:space="preserve"> </w:t>
      </w:r>
    </w:p>
    <w:p w14:paraId="0D17C9E8" w14:textId="42A1C338" w:rsidR="00381B2F" w:rsidRPr="00967C46" w:rsidRDefault="00381B2F" w:rsidP="00563C62">
      <w:pPr>
        <w:pStyle w:val="Bullet1"/>
      </w:pPr>
      <w:r w:rsidRPr="00967C46">
        <w:t xml:space="preserve">overseeing </w:t>
      </w:r>
      <w:r w:rsidR="00EC0B98" w:rsidRPr="00967C46">
        <w:t xml:space="preserve">the </w:t>
      </w:r>
      <w:r w:rsidRPr="00967C46">
        <w:t xml:space="preserve">revision of the Chief Psychiatrist’s guideline for sexual safety in acute mental health inpatient units and of the department’s </w:t>
      </w:r>
      <w:r w:rsidRPr="00967C46">
        <w:rPr>
          <w:i/>
          <w:iCs/>
        </w:rPr>
        <w:t>Service guideline on gender sensitivity and safety</w:t>
      </w:r>
      <w:r w:rsidRPr="00967C46">
        <w:t>.</w:t>
      </w:r>
    </w:p>
    <w:p w14:paraId="3120B35B" w14:textId="670FF297" w:rsidR="00381B2F" w:rsidRDefault="1CC23CA0" w:rsidP="00563C62">
      <w:pPr>
        <w:pStyle w:val="Bodyafterbullets"/>
      </w:pPr>
      <w:r>
        <w:t>The Victorian Mental Health Interprofessional Leadership Network was engaged to coordinate the consultation and rewrite the Chief Psychiatrist</w:t>
      </w:r>
      <w:r w:rsidR="1E1A2C52">
        <w:t xml:space="preserve"> guideline on sexual safety in mental health inpatient units</w:t>
      </w:r>
      <w:r>
        <w:t xml:space="preserve">. </w:t>
      </w:r>
      <w:r w:rsidR="12B1F3FF">
        <w:t>T</w:t>
      </w:r>
      <w:r>
        <w:t xml:space="preserve">he new guideline will </w:t>
      </w:r>
      <w:r w:rsidR="003E76B7">
        <w:t xml:space="preserve">give </w:t>
      </w:r>
      <w:r>
        <w:t>up</w:t>
      </w:r>
      <w:r w:rsidR="0ED2E1E8">
        <w:t>-</w:t>
      </w:r>
      <w:r>
        <w:t>to</w:t>
      </w:r>
      <w:r w:rsidR="0ED2E1E8">
        <w:t>-</w:t>
      </w:r>
      <w:r>
        <w:t xml:space="preserve">date information </w:t>
      </w:r>
      <w:r w:rsidR="7FAD4D20">
        <w:t xml:space="preserve">on </w:t>
      </w:r>
      <w:r>
        <w:t xml:space="preserve">legislation, </w:t>
      </w:r>
      <w:proofErr w:type="gramStart"/>
      <w:r>
        <w:t>policies</w:t>
      </w:r>
      <w:proofErr w:type="gramEnd"/>
      <w:r>
        <w:t xml:space="preserve"> and procedures to support services to deliver safe, consumer</w:t>
      </w:r>
      <w:r w:rsidR="26FC55D0">
        <w:t>-</w:t>
      </w:r>
      <w:r>
        <w:t>centred care within all acute inpatient units, including adult, child and youth, aged, forensic</w:t>
      </w:r>
      <w:r w:rsidR="5C75525D">
        <w:t>,</w:t>
      </w:r>
      <w:r>
        <w:t xml:space="preserve"> SECU</w:t>
      </w:r>
      <w:r w:rsidR="07C67AFF">
        <w:t>s</w:t>
      </w:r>
      <w:r w:rsidR="5C75525D">
        <w:t xml:space="preserve"> and community bed</w:t>
      </w:r>
      <w:r w:rsidR="72B23497">
        <w:t>-</w:t>
      </w:r>
      <w:r w:rsidR="5C75525D">
        <w:t>based services</w:t>
      </w:r>
      <w:r w:rsidR="72B23497">
        <w:t xml:space="preserve">, such as </w:t>
      </w:r>
      <w:r w:rsidR="7FAD4D20">
        <w:t>p</w:t>
      </w:r>
      <w:r w:rsidR="0EB8D59D">
        <w:t xml:space="preserve">revention and </w:t>
      </w:r>
      <w:r w:rsidR="7FAD4D20">
        <w:t>r</w:t>
      </w:r>
      <w:r w:rsidR="0EB8D59D">
        <w:t xml:space="preserve">ecovery </w:t>
      </w:r>
      <w:r w:rsidR="7FAD4D20">
        <w:t>c</w:t>
      </w:r>
      <w:r w:rsidR="0EB8D59D">
        <w:t xml:space="preserve">are </w:t>
      </w:r>
      <w:r w:rsidR="7FAD4D20">
        <w:t>s</w:t>
      </w:r>
      <w:r w:rsidR="73EEE517">
        <w:t>ervices</w:t>
      </w:r>
      <w:r w:rsidR="72B23497">
        <w:t xml:space="preserve"> and </w:t>
      </w:r>
      <w:r w:rsidR="7FAD4D20">
        <w:t>c</w:t>
      </w:r>
      <w:r w:rsidR="73EEE517">
        <w:t xml:space="preserve">ommunity </w:t>
      </w:r>
      <w:r w:rsidR="7FAD4D20">
        <w:t>c</w:t>
      </w:r>
      <w:r w:rsidR="73EEE517">
        <w:t xml:space="preserve">are </w:t>
      </w:r>
      <w:r w:rsidR="7FAD4D20">
        <w:t>u</w:t>
      </w:r>
      <w:r w:rsidR="00B23E40">
        <w:t>nits</w:t>
      </w:r>
      <w:r>
        <w:t xml:space="preserve">. The guideline </w:t>
      </w:r>
      <w:r w:rsidR="20F8B97D">
        <w:t xml:space="preserve">will </w:t>
      </w:r>
      <w:r w:rsidR="3A5CA2D0">
        <w:t>outline</w:t>
      </w:r>
      <w:r>
        <w:t xml:space="preserve"> the process</w:t>
      </w:r>
      <w:r w:rsidR="3F125413">
        <w:t xml:space="preserve"> for reporting</w:t>
      </w:r>
      <w:r>
        <w:t xml:space="preserve"> sexual safety incidents</w:t>
      </w:r>
      <w:r w:rsidR="67D57F09">
        <w:t xml:space="preserve"> to the Chief Psychiatrist</w:t>
      </w:r>
      <w:r>
        <w:t xml:space="preserve">. </w:t>
      </w:r>
      <w:r w:rsidR="26FC55D0">
        <w:t>It</w:t>
      </w:r>
      <w:r>
        <w:t xml:space="preserve"> aims to help units and staff protect against sexual safety incidents, minimise harm and provide access to support and justice options if incidents do occur. The guide</w:t>
      </w:r>
      <w:r w:rsidR="68461C8A">
        <w:t>line</w:t>
      </w:r>
      <w:r>
        <w:t xml:space="preserve"> reinforces that people receiving care in inpatient units, as well as staff and visitors, have a right to feel and be safe. </w:t>
      </w:r>
      <w:r w:rsidR="2C1E4FDB">
        <w:t xml:space="preserve">In this sense, it </w:t>
      </w:r>
      <w:r>
        <w:t xml:space="preserve">promotes safety for all. </w:t>
      </w:r>
    </w:p>
    <w:p w14:paraId="18ACF34E" w14:textId="642841A4" w:rsidR="003E76B7" w:rsidRDefault="001F8896" w:rsidP="00563C62">
      <w:pPr>
        <w:pStyle w:val="Body"/>
      </w:pPr>
      <w:r>
        <w:t xml:space="preserve">Deidentified information </w:t>
      </w:r>
      <w:r w:rsidR="009C177E">
        <w:t xml:space="preserve">about </w:t>
      </w:r>
      <w:r>
        <w:t>s</w:t>
      </w:r>
      <w:r w:rsidR="00CD4C45">
        <w:t>exual</w:t>
      </w:r>
      <w:r w:rsidR="00943AEC">
        <w:t xml:space="preserve"> </w:t>
      </w:r>
      <w:r w:rsidR="00214295">
        <w:t>s</w:t>
      </w:r>
      <w:r w:rsidR="00CD4C45">
        <w:t>afety</w:t>
      </w:r>
      <w:r w:rsidR="00943AEC">
        <w:t xml:space="preserve"> </w:t>
      </w:r>
      <w:r w:rsidR="00CD4C45">
        <w:t>notifications</w:t>
      </w:r>
      <w:r w:rsidR="00D169BC">
        <w:t xml:space="preserve"> will </w:t>
      </w:r>
      <w:r w:rsidR="002A0FB0">
        <w:t xml:space="preserve">continue to </w:t>
      </w:r>
      <w:r w:rsidR="00D169BC">
        <w:t xml:space="preserve">be </w:t>
      </w:r>
      <w:r w:rsidR="009C177E">
        <w:t xml:space="preserve">regularly </w:t>
      </w:r>
      <w:r w:rsidR="00E163D5">
        <w:t xml:space="preserve">collated </w:t>
      </w:r>
      <w:r w:rsidR="00214295">
        <w:t>and</w:t>
      </w:r>
      <w:r w:rsidR="0015466C">
        <w:t xml:space="preserve"> reported to </w:t>
      </w:r>
      <w:r w:rsidR="008C3B06">
        <w:t>health</w:t>
      </w:r>
      <w:r w:rsidR="0015466C">
        <w:t xml:space="preserve"> services</w:t>
      </w:r>
      <w:r w:rsidR="00381B2F">
        <w:t xml:space="preserve">. Services </w:t>
      </w:r>
      <w:r w:rsidR="00CD4C45">
        <w:t>will be</w:t>
      </w:r>
      <w:r w:rsidR="008C3B06">
        <w:t xml:space="preserve"> </w:t>
      </w:r>
      <w:r w:rsidR="00381B2F">
        <w:t xml:space="preserve">encouraged to </w:t>
      </w:r>
      <w:r w:rsidR="003E76B7">
        <w:t>distribute</w:t>
      </w:r>
      <w:r w:rsidR="00381B2F">
        <w:t xml:space="preserve"> this information for quality improvement to</w:t>
      </w:r>
      <w:r w:rsidR="003E76B7">
        <w:t>:</w:t>
      </w:r>
      <w:r w:rsidR="00381B2F">
        <w:t xml:space="preserve"> </w:t>
      </w:r>
    </w:p>
    <w:p w14:paraId="113934C0" w14:textId="776B1A13" w:rsidR="003E76B7" w:rsidRDefault="00381B2F" w:rsidP="003E76B7">
      <w:pPr>
        <w:pStyle w:val="Bullet1"/>
      </w:pPr>
      <w:r>
        <w:t>inpatient nurse unit managers</w:t>
      </w:r>
    </w:p>
    <w:p w14:paraId="708458C5" w14:textId="62D44FE6" w:rsidR="003E76B7" w:rsidRDefault="00381B2F" w:rsidP="003E76B7">
      <w:pPr>
        <w:pStyle w:val="Bullet1"/>
      </w:pPr>
      <w:r>
        <w:t>assistant nurse unit managers</w:t>
      </w:r>
    </w:p>
    <w:p w14:paraId="15F4E313" w14:textId="060A1448" w:rsidR="003E76B7" w:rsidRDefault="00381B2F" w:rsidP="003E76B7">
      <w:pPr>
        <w:pStyle w:val="Bullet1"/>
      </w:pPr>
      <w:r>
        <w:t>relevant medical staff</w:t>
      </w:r>
    </w:p>
    <w:p w14:paraId="2967BB06" w14:textId="4BB8CCF2" w:rsidR="003E76B7" w:rsidRDefault="00381B2F" w:rsidP="003E76B7">
      <w:pPr>
        <w:pStyle w:val="Bullet1"/>
      </w:pPr>
      <w:r>
        <w:t xml:space="preserve">quality managers </w:t>
      </w:r>
    </w:p>
    <w:p w14:paraId="4E8D68EC" w14:textId="139DD7AD" w:rsidR="00381B2F" w:rsidRDefault="00381B2F" w:rsidP="00A9001C">
      <w:pPr>
        <w:pStyle w:val="Bullet1"/>
      </w:pPr>
      <w:r>
        <w:t>consumer and carer consultants.</w:t>
      </w:r>
    </w:p>
    <w:p w14:paraId="7476C71F" w14:textId="1CFF8D0C" w:rsidR="003E76B7" w:rsidRDefault="36560B2D" w:rsidP="003E76B7">
      <w:pPr>
        <w:pStyle w:val="Bodyafterbullets"/>
      </w:pPr>
      <w:r>
        <w:t>T</w:t>
      </w:r>
      <w:r w:rsidR="2BE2E5A8">
        <w:t>his project</w:t>
      </w:r>
      <w:r>
        <w:t xml:space="preserve"> entered its final </w:t>
      </w:r>
      <w:r w:rsidR="5C9B282D">
        <w:t>phase</w:t>
      </w:r>
      <w:r w:rsidR="2A06F774">
        <w:t xml:space="preserve"> in 2021, with </w:t>
      </w:r>
      <w:r w:rsidR="003E4D88">
        <w:t>a focus on standardising the reporting of</w:t>
      </w:r>
      <w:r w:rsidR="0C27C45B">
        <w:t xml:space="preserve"> sexual safety incidents</w:t>
      </w:r>
      <w:r w:rsidR="76CD1029">
        <w:t xml:space="preserve">. </w:t>
      </w:r>
      <w:r w:rsidR="2A5BCFE7">
        <w:t>Once implemented, t</w:t>
      </w:r>
      <w:r w:rsidR="4B44A800">
        <w:t>he new approach</w:t>
      </w:r>
      <w:r w:rsidR="2615D27F">
        <w:t xml:space="preserve"> will </w:t>
      </w:r>
      <w:r w:rsidR="57DDB14F">
        <w:t xml:space="preserve">serve as </w:t>
      </w:r>
      <w:r w:rsidR="2A5BCFE7">
        <w:t>a</w:t>
      </w:r>
      <w:r w:rsidR="57DDB14F">
        <w:t xml:space="preserve"> foundation for </w:t>
      </w:r>
      <w:r w:rsidR="7584261C">
        <w:t xml:space="preserve">monitoring and promoting </w:t>
      </w:r>
      <w:r w:rsidR="0A14DEE1">
        <w:t>sexual safety</w:t>
      </w:r>
      <w:r w:rsidR="46721E9A">
        <w:t xml:space="preserve"> </w:t>
      </w:r>
      <w:r w:rsidR="1C2FDFCC">
        <w:t>across Victoria</w:t>
      </w:r>
      <w:r w:rsidR="46721E9A">
        <w:t xml:space="preserve"> by</w:t>
      </w:r>
      <w:r w:rsidR="003E76B7">
        <w:t>:</w:t>
      </w:r>
      <w:r w:rsidR="46721E9A">
        <w:t xml:space="preserve"> </w:t>
      </w:r>
    </w:p>
    <w:p w14:paraId="6D321FE9" w14:textId="460F8DE1" w:rsidR="003E76B7" w:rsidRDefault="486B3CAF" w:rsidP="003E76B7">
      <w:pPr>
        <w:pStyle w:val="Bullet1"/>
      </w:pPr>
      <w:r>
        <w:t xml:space="preserve">providing </w:t>
      </w:r>
      <w:r w:rsidR="039D89D0">
        <w:t xml:space="preserve">guidance </w:t>
      </w:r>
      <w:r w:rsidR="003E76B7">
        <w:t>for</w:t>
      </w:r>
      <w:r w:rsidR="039D89D0">
        <w:t xml:space="preserve"> classif</w:t>
      </w:r>
      <w:r w:rsidR="003E76B7">
        <w:t>ying</w:t>
      </w:r>
      <w:r w:rsidR="039D89D0">
        <w:t xml:space="preserve"> sexual safety incidents</w:t>
      </w:r>
    </w:p>
    <w:p w14:paraId="67BEB0B2" w14:textId="1C27EDB1" w:rsidR="003E76B7" w:rsidRDefault="003E76B7" w:rsidP="003E76B7">
      <w:pPr>
        <w:pStyle w:val="Bullet1"/>
      </w:pPr>
      <w:r>
        <w:lastRenderedPageBreak/>
        <w:t xml:space="preserve">specifying </w:t>
      </w:r>
      <w:r w:rsidR="486B3CAF">
        <w:t xml:space="preserve">a threshold for incident reporting </w:t>
      </w:r>
    </w:p>
    <w:p w14:paraId="7559A277" w14:textId="77777777" w:rsidR="003E76B7" w:rsidRDefault="486B3CAF" w:rsidP="003E76B7">
      <w:pPr>
        <w:pStyle w:val="Bullet1"/>
      </w:pPr>
      <w:r>
        <w:t>easing the administrative burden and duplication of data entry</w:t>
      </w:r>
      <w:r w:rsidR="679DBDAE">
        <w:t xml:space="preserve">. </w:t>
      </w:r>
    </w:p>
    <w:p w14:paraId="18C2353B" w14:textId="77777777" w:rsidR="003E76B7" w:rsidRDefault="4598F25A" w:rsidP="003E76B7">
      <w:pPr>
        <w:pStyle w:val="Bodyafterbullets"/>
      </w:pPr>
      <w:r>
        <w:t>The</w:t>
      </w:r>
      <w:r w:rsidR="679DBDAE">
        <w:t xml:space="preserve"> standardised reporting structure </w:t>
      </w:r>
      <w:r w:rsidR="55EE5E14">
        <w:t>will</w:t>
      </w:r>
      <w:r w:rsidR="003E76B7">
        <w:t>:</w:t>
      </w:r>
      <w:r w:rsidR="55EE5E14">
        <w:t xml:space="preserve"> </w:t>
      </w:r>
    </w:p>
    <w:p w14:paraId="5655AA4B" w14:textId="42D662A9" w:rsidR="003E76B7" w:rsidRDefault="4598F25A" w:rsidP="000C1D69">
      <w:pPr>
        <w:pStyle w:val="Bullet1"/>
      </w:pPr>
      <w:r>
        <w:t xml:space="preserve">strengthen the reliability of </w:t>
      </w:r>
      <w:r w:rsidR="55EE5E14">
        <w:t>sexual safety incident data</w:t>
      </w:r>
    </w:p>
    <w:p w14:paraId="1453D1C2" w14:textId="5E3FBC79" w:rsidR="003E76B7" w:rsidRDefault="55EE5E14" w:rsidP="000C1D69">
      <w:pPr>
        <w:pStyle w:val="Bullet1"/>
      </w:pPr>
      <w:r>
        <w:t>enable proper comparisons between services and across periods</w:t>
      </w:r>
      <w:r w:rsidR="138B632E">
        <w:t xml:space="preserve"> to detect trends and variations</w:t>
      </w:r>
    </w:p>
    <w:p w14:paraId="352824E4" w14:textId="4E2E4E64" w:rsidR="00000B72" w:rsidRDefault="6A71D0AE" w:rsidP="000C1D69">
      <w:pPr>
        <w:pStyle w:val="Bullet1"/>
      </w:pPr>
      <w:r>
        <w:t>establish</w:t>
      </w:r>
      <w:r w:rsidR="55EE5E14">
        <w:t xml:space="preserve"> staff confidence in</w:t>
      </w:r>
      <w:r>
        <w:t xml:space="preserve"> reporting through clari</w:t>
      </w:r>
      <w:r w:rsidR="003E76B7">
        <w:t>fying</w:t>
      </w:r>
      <w:r>
        <w:t xml:space="preserve"> what </w:t>
      </w:r>
      <w:r w:rsidR="12767F54">
        <w:t>qualifies as</w:t>
      </w:r>
      <w:r>
        <w:t xml:space="preserve"> a reportable incident</w:t>
      </w:r>
      <w:r w:rsidR="138B632E">
        <w:t>.</w:t>
      </w:r>
    </w:p>
    <w:p w14:paraId="1D11365B" w14:textId="3BA985E2" w:rsidR="58CF41BA" w:rsidRPr="00155658" w:rsidRDefault="003E76B7" w:rsidP="000C1D69">
      <w:pPr>
        <w:pStyle w:val="Bodyafterbullets"/>
      </w:pPr>
      <w:r>
        <w:t>Also</w:t>
      </w:r>
      <w:r w:rsidR="71AA87C9" w:rsidRPr="00155658">
        <w:t xml:space="preserve">, there is </w:t>
      </w:r>
      <w:r w:rsidR="1B5E4ADF" w:rsidRPr="00155658">
        <w:t>ongoing work</w:t>
      </w:r>
      <w:r w:rsidR="71AA87C9" w:rsidRPr="00155658">
        <w:t xml:space="preserve"> on realising sexual safety goals through, for example, </w:t>
      </w:r>
      <w:r w:rsidR="1B5E4ADF" w:rsidRPr="00155658">
        <w:t>capital upgrades to units, as well as improving reliability and reporting of clinical incident (inclu</w:t>
      </w:r>
      <w:r>
        <w:t>ding</w:t>
      </w:r>
      <w:r w:rsidR="1B5E4ADF" w:rsidRPr="00155658">
        <w:t xml:space="preserve"> sexual safety incidents) data. This will lead to </w:t>
      </w:r>
      <w:r>
        <w:t xml:space="preserve">better </w:t>
      </w:r>
      <w:r w:rsidR="1B5E4ADF" w:rsidRPr="00155658">
        <w:t>local service clinical governance and review processes</w:t>
      </w:r>
      <w:r w:rsidR="00155658" w:rsidRPr="00155658">
        <w:t>. It</w:t>
      </w:r>
      <w:r w:rsidR="1B5E4ADF" w:rsidRPr="00155658">
        <w:t xml:space="preserve"> will </w:t>
      </w:r>
      <w:r w:rsidR="00155658" w:rsidRPr="00155658">
        <w:t xml:space="preserve">also </w:t>
      </w:r>
      <w:r w:rsidR="003E4D88">
        <w:t>inform the</w:t>
      </w:r>
      <w:r w:rsidR="1B5E4ADF" w:rsidRPr="00155658">
        <w:t xml:space="preserve"> improvement work that is concurrently being undertaken by S</w:t>
      </w:r>
      <w:r w:rsidR="00FE66EE">
        <w:t xml:space="preserve">afer </w:t>
      </w:r>
      <w:r w:rsidR="1B5E4ADF" w:rsidRPr="00155658">
        <w:t>C</w:t>
      </w:r>
      <w:r w:rsidR="00FE66EE">
        <w:t xml:space="preserve">are </w:t>
      </w:r>
      <w:r w:rsidR="1B5E4ADF" w:rsidRPr="00155658">
        <w:t>V</w:t>
      </w:r>
      <w:r w:rsidR="00FE66EE">
        <w:t>ictoria</w:t>
      </w:r>
      <w:r w:rsidR="1B5E4ADF" w:rsidRPr="00155658">
        <w:t>.</w:t>
      </w:r>
    </w:p>
    <w:p w14:paraId="50E701D2" w14:textId="42A8D53D" w:rsidR="00381B2F" w:rsidRPr="00F47950" w:rsidRDefault="00F33FC1" w:rsidP="00991BDE">
      <w:pPr>
        <w:pStyle w:val="Heading2"/>
      </w:pPr>
      <w:bookmarkStart w:id="44" w:name="_Toc118293980"/>
      <w:r>
        <w:t>Promoting the rights of mental health consumers</w:t>
      </w:r>
      <w:bookmarkEnd w:id="44"/>
    </w:p>
    <w:p w14:paraId="35594FB9" w14:textId="77777777" w:rsidR="003E76B7" w:rsidRDefault="004674CA" w:rsidP="00277D3A">
      <w:pPr>
        <w:pStyle w:val="Body"/>
      </w:pPr>
      <w:r w:rsidRPr="00277D3A">
        <w:t>The OCP promotes the rights of mental health consumers by</w:t>
      </w:r>
      <w:r w:rsidR="003E76B7">
        <w:t>:</w:t>
      </w:r>
      <w:r w:rsidRPr="00277D3A">
        <w:t xml:space="preserve"> </w:t>
      </w:r>
    </w:p>
    <w:p w14:paraId="54C8184F" w14:textId="4B48DC27" w:rsidR="003E76B7" w:rsidRDefault="004674CA" w:rsidP="003E76B7">
      <w:pPr>
        <w:pStyle w:val="Bullet1"/>
      </w:pPr>
      <w:r w:rsidRPr="00277D3A">
        <w:t xml:space="preserve">enforcing the </w:t>
      </w:r>
      <w:r w:rsidR="00876A9E">
        <w:t>Mental Health Act</w:t>
      </w:r>
    </w:p>
    <w:p w14:paraId="3D4CEAAA" w14:textId="45329637" w:rsidR="003E76B7" w:rsidRDefault="004674CA" w:rsidP="003E76B7">
      <w:pPr>
        <w:pStyle w:val="Bullet1"/>
      </w:pPr>
      <w:r w:rsidRPr="00277D3A">
        <w:t>developing and embedding standards of clinical best practice</w:t>
      </w:r>
    </w:p>
    <w:p w14:paraId="456029C7" w14:textId="12C57CAE" w:rsidR="004674CA" w:rsidRPr="00277D3A" w:rsidRDefault="004674CA" w:rsidP="00FA5719">
      <w:pPr>
        <w:pStyle w:val="Bullet1"/>
      </w:pPr>
      <w:r w:rsidRPr="00277D3A">
        <w:t>supporting Royal Commission reforms that empower consumers to exercise their rights.</w:t>
      </w:r>
    </w:p>
    <w:p w14:paraId="5AEB3B49" w14:textId="6AF2F3D8" w:rsidR="0041760E" w:rsidRDefault="00C82964" w:rsidP="003E76B7">
      <w:pPr>
        <w:pStyle w:val="Bodyafterbullets"/>
      </w:pPr>
      <w:r>
        <w:t xml:space="preserve">The </w:t>
      </w:r>
      <w:r w:rsidRPr="00277D3A">
        <w:t>OCP detect</w:t>
      </w:r>
      <w:r>
        <w:t>s</w:t>
      </w:r>
      <w:r w:rsidRPr="00277D3A">
        <w:t xml:space="preserve"> clinical practice that falls short of contemporary safety and quality standards or that constitutes a breach of the </w:t>
      </w:r>
      <w:r w:rsidR="00876A9E">
        <w:t>Act</w:t>
      </w:r>
      <w:r w:rsidR="00876A9E" w:rsidRPr="00277D3A">
        <w:t xml:space="preserve"> </w:t>
      </w:r>
      <w:r>
        <w:t>through s</w:t>
      </w:r>
      <w:r w:rsidR="004674CA" w:rsidRPr="00277D3A">
        <w:t>ystem-wide monitoring</w:t>
      </w:r>
      <w:r w:rsidR="0041760E">
        <w:t xml:space="preserve">. This monitoring </w:t>
      </w:r>
      <w:r>
        <w:t>involv</w:t>
      </w:r>
      <w:r w:rsidR="0041760E">
        <w:t>es</w:t>
      </w:r>
      <w:r w:rsidR="004674CA" w:rsidRPr="00277D3A">
        <w:t xml:space="preserve"> analysi</w:t>
      </w:r>
      <w:r w:rsidR="0041760E">
        <w:t>ng</w:t>
      </w:r>
      <w:r w:rsidR="004674CA" w:rsidRPr="00277D3A">
        <w:t xml:space="preserve"> data on restrictive interventions, </w:t>
      </w:r>
      <w:r w:rsidR="0041760E">
        <w:t xml:space="preserve">ECT </w:t>
      </w:r>
      <w:r w:rsidR="004674CA" w:rsidRPr="00277D3A">
        <w:t xml:space="preserve">and inpatient deaths. </w:t>
      </w:r>
      <w:r w:rsidR="0041760E">
        <w:t>Also</w:t>
      </w:r>
      <w:r w:rsidR="009F1E81">
        <w:t>, s</w:t>
      </w:r>
      <w:r w:rsidR="004674CA" w:rsidRPr="00277D3A">
        <w:t>erious incidents and hazardous practices are reported to the OCP by consumers, carers, family members, mental health staff and advocacy groups. The</w:t>
      </w:r>
      <w:r w:rsidR="0041760E">
        <w:t xml:space="preserve"> OCP uses the</w:t>
      </w:r>
      <w:r w:rsidR="004674CA" w:rsidRPr="00277D3A">
        <w:t>se</w:t>
      </w:r>
      <w:r w:rsidR="00C263DE">
        <w:t xml:space="preserve"> data and</w:t>
      </w:r>
      <w:r w:rsidR="004674CA" w:rsidRPr="00277D3A">
        <w:t xml:space="preserve"> first-hand insights to drive positive change at the system level and to compel individual services to meet their obligations around the rights of consumers. In the </w:t>
      </w:r>
      <w:r w:rsidR="00876A9E">
        <w:t>Act</w:t>
      </w:r>
      <w:r w:rsidR="004674CA" w:rsidRPr="00277D3A">
        <w:t>, these obligations consist in a requirement to</w:t>
      </w:r>
      <w:r w:rsidR="0041760E">
        <w:t>:</w:t>
      </w:r>
      <w:r w:rsidR="004674CA" w:rsidRPr="00277D3A">
        <w:t xml:space="preserve"> </w:t>
      </w:r>
    </w:p>
    <w:p w14:paraId="7727C368" w14:textId="05819484" w:rsidR="0041760E" w:rsidRDefault="004674CA" w:rsidP="0041760E">
      <w:pPr>
        <w:pStyle w:val="Bullet1"/>
      </w:pPr>
      <w:r w:rsidRPr="00277D3A">
        <w:t>provide treatment in the least restrictive way possible</w:t>
      </w:r>
    </w:p>
    <w:p w14:paraId="5B1060F3" w14:textId="572B46EC" w:rsidR="0041760E" w:rsidRDefault="004674CA" w:rsidP="0041760E">
      <w:pPr>
        <w:pStyle w:val="Bullet1"/>
      </w:pPr>
      <w:r w:rsidRPr="00277D3A">
        <w:t xml:space="preserve">allow consumers to make decisions about their assessment, </w:t>
      </w:r>
      <w:proofErr w:type="gramStart"/>
      <w:r w:rsidRPr="00277D3A">
        <w:t>treatment</w:t>
      </w:r>
      <w:proofErr w:type="gramEnd"/>
      <w:r w:rsidRPr="00277D3A">
        <w:t xml:space="preserve"> and recovery</w:t>
      </w:r>
    </w:p>
    <w:p w14:paraId="1F64BE09" w14:textId="324CA3B4" w:rsidR="0041760E" w:rsidRDefault="004674CA" w:rsidP="0041760E">
      <w:pPr>
        <w:pStyle w:val="Bullet1"/>
      </w:pPr>
      <w:r w:rsidRPr="00277D3A">
        <w:t>respond to the individual, cultural and medical needs of consumers</w:t>
      </w:r>
    </w:p>
    <w:p w14:paraId="02C2088B" w14:textId="4130ED4F" w:rsidR="0041760E" w:rsidRDefault="004674CA" w:rsidP="002C2F75">
      <w:pPr>
        <w:pStyle w:val="Bullet1"/>
      </w:pPr>
      <w:r w:rsidRPr="00277D3A">
        <w:t>include carers in decision</w:t>
      </w:r>
      <w:r w:rsidR="0041760E">
        <w:t xml:space="preserve"> </w:t>
      </w:r>
      <w:r w:rsidRPr="00277D3A">
        <w:t xml:space="preserve">making. </w:t>
      </w:r>
    </w:p>
    <w:p w14:paraId="5A0857BE" w14:textId="6DC1EF43" w:rsidR="004674CA" w:rsidRPr="00277D3A" w:rsidRDefault="004674CA" w:rsidP="002C2F75">
      <w:pPr>
        <w:pStyle w:val="Bodyafterbullets"/>
      </w:pPr>
      <w:r w:rsidRPr="00277D3A">
        <w:t xml:space="preserve">Where these consumer rights have been violated, the OCP approaches services to understand the contributing systemic, cultural, </w:t>
      </w:r>
      <w:proofErr w:type="gramStart"/>
      <w:r w:rsidRPr="00277D3A">
        <w:t>environmental</w:t>
      </w:r>
      <w:proofErr w:type="gramEnd"/>
      <w:r w:rsidRPr="00277D3A">
        <w:t xml:space="preserve"> and staffing-related factors</w:t>
      </w:r>
      <w:r w:rsidR="007910BE">
        <w:t>.</w:t>
      </w:r>
      <w:r w:rsidRPr="00277D3A">
        <w:t xml:space="preserve"> </w:t>
      </w:r>
      <w:r w:rsidR="007910BE">
        <w:t>I</w:t>
      </w:r>
      <w:r w:rsidRPr="00277D3A">
        <w:t xml:space="preserve">nstructions </w:t>
      </w:r>
      <w:r w:rsidR="007910BE">
        <w:t xml:space="preserve">are issued </w:t>
      </w:r>
      <w:r w:rsidRPr="00277D3A">
        <w:t xml:space="preserve">on remedial actions that must be taken to comply with principles set out in the </w:t>
      </w:r>
      <w:r w:rsidR="00876A9E">
        <w:t>Act</w:t>
      </w:r>
      <w:r w:rsidR="00876A9E" w:rsidRPr="00277D3A">
        <w:t xml:space="preserve"> </w:t>
      </w:r>
      <w:r w:rsidRPr="00277D3A">
        <w:t>and Chief Psychiatrist guidelines.</w:t>
      </w:r>
    </w:p>
    <w:p w14:paraId="67D9A119" w14:textId="6E4B087D" w:rsidR="004674CA" w:rsidRPr="00277D3A" w:rsidRDefault="004674CA" w:rsidP="00277D3A">
      <w:pPr>
        <w:pStyle w:val="Body"/>
      </w:pPr>
      <w:r w:rsidRPr="00277D3A">
        <w:t>Alongside th</w:t>
      </w:r>
      <w:r w:rsidR="00C263DE">
        <w:t>e</w:t>
      </w:r>
      <w:r w:rsidRPr="00277D3A">
        <w:t>s</w:t>
      </w:r>
      <w:r w:rsidR="00C263DE">
        <w:t>e</w:t>
      </w:r>
      <w:r w:rsidRPr="00277D3A">
        <w:t xml:space="preserve"> routine oversight </w:t>
      </w:r>
      <w:r w:rsidR="00C263DE">
        <w:t>activities</w:t>
      </w:r>
      <w:r w:rsidRPr="00277D3A">
        <w:t>, the OCP engage</w:t>
      </w:r>
      <w:r w:rsidR="00A94457">
        <w:t>s</w:t>
      </w:r>
      <w:r w:rsidRPr="00277D3A">
        <w:t xml:space="preserve"> proactively with the sector in other ways to promote the rights of consumers. </w:t>
      </w:r>
      <w:r w:rsidR="00A94457">
        <w:t>In</w:t>
      </w:r>
      <w:r w:rsidR="00433CB1">
        <w:t xml:space="preserve"> May</w:t>
      </w:r>
      <w:r w:rsidR="00BD3DC5">
        <w:t xml:space="preserve"> 2022</w:t>
      </w:r>
      <w:r w:rsidR="00474272">
        <w:t xml:space="preserve"> the OCP hosted </w:t>
      </w:r>
      <w:r w:rsidRPr="00277D3A">
        <w:t xml:space="preserve">a forum on the use of personal electronic devices by consumers in inpatient units. The forum brought together mental health services and consumer and carer representatives to raise awareness </w:t>
      </w:r>
      <w:r w:rsidR="007910BE">
        <w:t xml:space="preserve">about </w:t>
      </w:r>
      <w:r w:rsidRPr="00277D3A">
        <w:t xml:space="preserve">the rights of patients to communicate with mobile phones, tablet devices and computers under the </w:t>
      </w:r>
      <w:r w:rsidR="007910BE">
        <w:t xml:space="preserve">Mental Health </w:t>
      </w:r>
      <w:r w:rsidR="00876A9E">
        <w:t>Act</w:t>
      </w:r>
      <w:r w:rsidR="00876A9E" w:rsidRPr="00277D3A">
        <w:t xml:space="preserve"> </w:t>
      </w:r>
      <w:r w:rsidRPr="00277D3A">
        <w:t xml:space="preserve">and </w:t>
      </w:r>
      <w:r w:rsidRPr="000C5E15">
        <w:rPr>
          <w:i/>
          <w:iCs/>
        </w:rPr>
        <w:t>Charter of Human Rights and Responsibilities Act 2001</w:t>
      </w:r>
      <w:r w:rsidRPr="00277D3A">
        <w:t xml:space="preserve">. The forum also highlighted the therapeutic benefits </w:t>
      </w:r>
      <w:r w:rsidR="00220B8D">
        <w:t xml:space="preserve">associated with </w:t>
      </w:r>
      <w:r w:rsidRPr="00277D3A">
        <w:t>electronic communication devices (</w:t>
      </w:r>
      <w:r w:rsidR="00220B8D">
        <w:t xml:space="preserve">such as when </w:t>
      </w:r>
      <w:r w:rsidRPr="00277D3A">
        <w:t xml:space="preserve">they are a means to staying connected with family and friends and accessing music, </w:t>
      </w:r>
      <w:proofErr w:type="gramStart"/>
      <w:r w:rsidRPr="00277D3A">
        <w:t>games</w:t>
      </w:r>
      <w:proofErr w:type="gramEnd"/>
      <w:r w:rsidRPr="00277D3A">
        <w:t xml:space="preserve"> and self-help apps)</w:t>
      </w:r>
      <w:r w:rsidR="007910BE">
        <w:t>. The forum</w:t>
      </w:r>
      <w:r w:rsidRPr="00277D3A">
        <w:t xml:space="preserve"> </w:t>
      </w:r>
      <w:r w:rsidR="007910BE">
        <w:t xml:space="preserve">also </w:t>
      </w:r>
      <w:r w:rsidRPr="00277D3A">
        <w:t>clarified the specific circumstances when access to electronic communication devices can be legitimately restricted (most significantly, when they pose a risk of harm or breach</w:t>
      </w:r>
      <w:r w:rsidR="006F0897">
        <w:t xml:space="preserve"> privacy</w:t>
      </w:r>
      <w:r w:rsidRPr="00277D3A">
        <w:t xml:space="preserve">). The exchange of ideas and lessons shared provided </w:t>
      </w:r>
      <w:r w:rsidR="002056CA">
        <w:t xml:space="preserve">practical </w:t>
      </w:r>
      <w:r w:rsidRPr="00277D3A">
        <w:t xml:space="preserve">knowledge around how </w:t>
      </w:r>
      <w:r w:rsidR="002056CA">
        <w:t>services can</w:t>
      </w:r>
      <w:r w:rsidRPr="00277D3A">
        <w:t xml:space="preserve"> align rules on patient use of electronic devices with legislation on patient rights. </w:t>
      </w:r>
      <w:r w:rsidR="002F2F52">
        <w:t>The</w:t>
      </w:r>
      <w:r w:rsidRPr="00277D3A">
        <w:t xml:space="preserve"> </w:t>
      </w:r>
      <w:r w:rsidRPr="00277D3A">
        <w:lastRenderedPageBreak/>
        <w:t xml:space="preserve">OCP </w:t>
      </w:r>
      <w:r w:rsidR="002F2F52">
        <w:t>also gained an</w:t>
      </w:r>
      <w:r w:rsidR="000300F7">
        <w:t xml:space="preserve"> </w:t>
      </w:r>
      <w:r w:rsidRPr="00277D3A">
        <w:t>understand</w:t>
      </w:r>
      <w:r w:rsidR="002F2F52">
        <w:t>ing</w:t>
      </w:r>
      <w:r w:rsidRPr="00277D3A">
        <w:t xml:space="preserve"> </w:t>
      </w:r>
      <w:r w:rsidR="000300F7">
        <w:t>of the</w:t>
      </w:r>
      <w:r w:rsidRPr="00277D3A">
        <w:t xml:space="preserve"> kind of support individual services require in their efforts to implement changes and create a safe environment for </w:t>
      </w:r>
      <w:r w:rsidR="007910BE">
        <w:t xml:space="preserve">using </w:t>
      </w:r>
      <w:r w:rsidRPr="00277D3A">
        <w:t xml:space="preserve">electronic communication devices. </w:t>
      </w:r>
    </w:p>
    <w:p w14:paraId="3E8BED7D" w14:textId="48492D9F" w:rsidR="004674CA" w:rsidRPr="00277D3A" w:rsidRDefault="02DBD20A" w:rsidP="00277D3A">
      <w:pPr>
        <w:pStyle w:val="Body"/>
      </w:pPr>
      <w:r>
        <w:t xml:space="preserve">The collaborative work that the OCP undertakes with consumers and carers continued to be an </w:t>
      </w:r>
      <w:r w:rsidR="0FBA605A">
        <w:t>important avenue for promoting</w:t>
      </w:r>
      <w:r>
        <w:t xml:space="preserve"> consumer rights. Consumers and carers were represented on OCP statutory committees and </w:t>
      </w:r>
      <w:r w:rsidR="007910BE">
        <w:t xml:space="preserve">took </w:t>
      </w:r>
      <w:r>
        <w:t xml:space="preserve">part in OCP investigation panels and audit teams. </w:t>
      </w:r>
      <w:r w:rsidR="007910BE">
        <w:t>Also</w:t>
      </w:r>
      <w:r>
        <w:t xml:space="preserve">, the OCP met with peak bodies and advocacy </w:t>
      </w:r>
      <w:r w:rsidR="5AFB1797">
        <w:t>groups</w:t>
      </w:r>
      <w:r>
        <w:t xml:space="preserve"> to </w:t>
      </w:r>
      <w:r w:rsidR="007910BE">
        <w:t xml:space="preserve">better </w:t>
      </w:r>
      <w:r>
        <w:t xml:space="preserve">understand consumer and carer </w:t>
      </w:r>
      <w:r w:rsidR="007910BE">
        <w:t xml:space="preserve">views </w:t>
      </w:r>
      <w:r>
        <w:t xml:space="preserve">on Victoria’s mental health and wellbeing system. This partnering with consumers and carers </w:t>
      </w:r>
      <w:r w:rsidR="007910BE">
        <w:t xml:space="preserve">helped </w:t>
      </w:r>
      <w:r>
        <w:t xml:space="preserve">the OCP to detect quality, </w:t>
      </w:r>
      <w:proofErr w:type="gramStart"/>
      <w:r>
        <w:t>safety</w:t>
      </w:r>
      <w:proofErr w:type="gramEnd"/>
      <w:r>
        <w:t xml:space="preserve"> and human rights issues, and to find the right solutions to address them. </w:t>
      </w:r>
    </w:p>
    <w:p w14:paraId="626C9FF4" w14:textId="1C3B8EED" w:rsidR="004674CA" w:rsidRPr="00277D3A" w:rsidRDefault="004674CA" w:rsidP="00277D3A">
      <w:pPr>
        <w:pStyle w:val="Body"/>
      </w:pPr>
      <w:r w:rsidRPr="00277D3A">
        <w:t xml:space="preserve">The OCP </w:t>
      </w:r>
      <w:r w:rsidR="001A1FC7">
        <w:t xml:space="preserve">began </w:t>
      </w:r>
      <w:r w:rsidRPr="00277D3A">
        <w:t>a review of the Chief Psychiatrist’s guidelines,</w:t>
      </w:r>
      <w:r w:rsidR="00AA52D2">
        <w:t xml:space="preserve"> with a</w:t>
      </w:r>
      <w:r w:rsidRPr="00277D3A">
        <w:t xml:space="preserve"> particular emphasis on </w:t>
      </w:r>
      <w:r w:rsidR="00BA33B0">
        <w:t>incorporating</w:t>
      </w:r>
      <w:r w:rsidR="003B67E7">
        <w:t xml:space="preserve"> </w:t>
      </w:r>
      <w:r w:rsidRPr="00277D3A">
        <w:t xml:space="preserve">human rights </w:t>
      </w:r>
      <w:r w:rsidR="0078217D">
        <w:t xml:space="preserve">as foundational </w:t>
      </w:r>
      <w:r w:rsidRPr="00277D3A">
        <w:t>principles</w:t>
      </w:r>
      <w:r w:rsidR="0078217D">
        <w:t xml:space="preserve"> of clinical practice</w:t>
      </w:r>
      <w:r w:rsidR="00197B7D">
        <w:t xml:space="preserve">. </w:t>
      </w:r>
      <w:r w:rsidR="001A1FC7">
        <w:t xml:space="preserve">When </w:t>
      </w:r>
      <w:r w:rsidR="00ED0060">
        <w:t>the review</w:t>
      </w:r>
      <w:r w:rsidR="001A1FC7">
        <w:t xml:space="preserve"> is finished</w:t>
      </w:r>
      <w:r w:rsidR="00ED0060">
        <w:t>, t</w:t>
      </w:r>
      <w:r w:rsidR="0027452F">
        <w:t>he</w:t>
      </w:r>
      <w:r w:rsidRPr="00277D3A">
        <w:t xml:space="preserve"> guidelines </w:t>
      </w:r>
      <w:r w:rsidR="0027452F">
        <w:t xml:space="preserve">will contain </w:t>
      </w:r>
      <w:r w:rsidRPr="00277D3A">
        <w:t xml:space="preserve">explicit statements </w:t>
      </w:r>
      <w:r w:rsidR="001A1FC7">
        <w:t xml:space="preserve">about </w:t>
      </w:r>
      <w:r w:rsidRPr="00277D3A">
        <w:t>meaningful</w:t>
      </w:r>
      <w:r w:rsidR="005E264D">
        <w:t xml:space="preserve"> participation by</w:t>
      </w:r>
      <w:r w:rsidRPr="00277D3A">
        <w:t xml:space="preserve"> patients in decisions about their treatment and care. </w:t>
      </w:r>
      <w:r w:rsidR="001A1FC7">
        <w:t>C</w:t>
      </w:r>
      <w:r w:rsidRPr="00277D3A">
        <w:t xml:space="preserve">hanges are </w:t>
      </w:r>
      <w:r w:rsidR="001A1FC7">
        <w:t xml:space="preserve">also </w:t>
      </w:r>
      <w:r w:rsidRPr="00277D3A">
        <w:t>being made to the language of the guidelines to better embody the dignity and autonomy of mental health consumers. Insofar as the Chief Psychiatrist’s guidelines are an authoritative benchmark for best practice</w:t>
      </w:r>
      <w:r w:rsidR="00FD2061" w:rsidRPr="00FD2061">
        <w:t xml:space="preserve"> on wide-ranging aspects of clinical treatment and care</w:t>
      </w:r>
      <w:r w:rsidRPr="00277D3A">
        <w:t xml:space="preserve">, these updates will have a significant impact on culture and practice. They will underpin learning and training in the workforce and </w:t>
      </w:r>
      <w:r w:rsidR="00762429">
        <w:t xml:space="preserve">serve as </w:t>
      </w:r>
      <w:r w:rsidR="0053302F">
        <w:t>a</w:t>
      </w:r>
      <w:r w:rsidRPr="00277D3A">
        <w:t xml:space="preserve"> </w:t>
      </w:r>
      <w:r w:rsidR="00F528D4">
        <w:t xml:space="preserve">normative </w:t>
      </w:r>
      <w:r w:rsidRPr="00277D3A">
        <w:t xml:space="preserve">framework </w:t>
      </w:r>
      <w:r w:rsidR="00B23CB6">
        <w:t xml:space="preserve">for holding </w:t>
      </w:r>
      <w:r w:rsidRPr="00277D3A">
        <w:t>services to account</w:t>
      </w:r>
      <w:r w:rsidR="001555D7">
        <w:t>.</w:t>
      </w:r>
    </w:p>
    <w:p w14:paraId="79B54219" w14:textId="158ACB6D" w:rsidR="00347FF3" w:rsidRDefault="004674CA" w:rsidP="00277D3A">
      <w:pPr>
        <w:pStyle w:val="Body"/>
      </w:pPr>
      <w:r w:rsidRPr="00277D3A">
        <w:t>The OCP continues to promote human rights through initiatives aimed at reducing and eventually eliminating restrictive practices.</w:t>
      </w:r>
      <w:r w:rsidR="003E7159">
        <w:t xml:space="preserve"> It</w:t>
      </w:r>
      <w:r w:rsidRPr="00277D3A">
        <w:t xml:space="preserve"> has been contributing to this program of work</w:t>
      </w:r>
      <w:r w:rsidR="003E7159">
        <w:t xml:space="preserve"> in the Mental Health and Wellbeing Division</w:t>
      </w:r>
      <w:r w:rsidRPr="00277D3A">
        <w:t xml:space="preserve"> through the </w:t>
      </w:r>
      <w:r w:rsidR="00FF5455">
        <w:t>specialist knowledge</w:t>
      </w:r>
      <w:r w:rsidRPr="00277D3A">
        <w:t xml:space="preserve"> of its </w:t>
      </w:r>
      <w:r w:rsidR="00FF5455">
        <w:t xml:space="preserve">clinical adviser and </w:t>
      </w:r>
      <w:r w:rsidR="00D70CB3">
        <w:t xml:space="preserve">psychiatrist </w:t>
      </w:r>
      <w:r w:rsidRPr="00277D3A">
        <w:t xml:space="preserve">staff and </w:t>
      </w:r>
      <w:r w:rsidR="00F52581">
        <w:t>its longstanding</w:t>
      </w:r>
      <w:r w:rsidRPr="00277D3A">
        <w:t xml:space="preserve"> partnerships with mental health services, consumers</w:t>
      </w:r>
      <w:r w:rsidR="000515F5">
        <w:t xml:space="preserve">, </w:t>
      </w:r>
      <w:proofErr w:type="gramStart"/>
      <w:r w:rsidRPr="00277D3A">
        <w:t>carers</w:t>
      </w:r>
      <w:proofErr w:type="gramEnd"/>
      <w:r w:rsidRPr="00277D3A">
        <w:t xml:space="preserve"> and industrial bodies.</w:t>
      </w:r>
      <w:r w:rsidR="00601605">
        <w:t xml:space="preserve"> </w:t>
      </w:r>
      <w:r w:rsidR="00F11EF2">
        <w:t xml:space="preserve">An important aspect </w:t>
      </w:r>
      <w:r w:rsidR="00922BE2">
        <w:t xml:space="preserve">of this work is the </w:t>
      </w:r>
      <w:r w:rsidR="00C55557">
        <w:t>Chief Psychiatrist</w:t>
      </w:r>
      <w:r w:rsidR="00187C49">
        <w:t>’s</w:t>
      </w:r>
      <w:r w:rsidR="00F84AF9">
        <w:t xml:space="preserve"> membership</w:t>
      </w:r>
      <w:r w:rsidR="00C55557">
        <w:t xml:space="preserve"> </w:t>
      </w:r>
      <w:r w:rsidR="005176C7">
        <w:t>on</w:t>
      </w:r>
      <w:r w:rsidR="00C55557">
        <w:t xml:space="preserve"> the Human Rights </w:t>
      </w:r>
      <w:r w:rsidR="002163E6">
        <w:t xml:space="preserve">Project </w:t>
      </w:r>
      <w:r w:rsidR="00C55557">
        <w:t>Advisory Group</w:t>
      </w:r>
      <w:r w:rsidR="002163E6">
        <w:t xml:space="preserve"> </w:t>
      </w:r>
      <w:r w:rsidR="00A31374">
        <w:t>in the</w:t>
      </w:r>
      <w:r w:rsidR="006A4E53">
        <w:t xml:space="preserve"> Department of Health</w:t>
      </w:r>
      <w:r w:rsidR="002163E6">
        <w:t>. This body</w:t>
      </w:r>
      <w:r w:rsidR="006A4E53">
        <w:t xml:space="preserve"> </w:t>
      </w:r>
      <w:r w:rsidR="006A4E53" w:rsidRPr="006A4E53">
        <w:t>design</w:t>
      </w:r>
      <w:r w:rsidR="006A4E53">
        <w:t>s</w:t>
      </w:r>
      <w:r w:rsidR="006A4E53" w:rsidRPr="006A4E53">
        <w:t xml:space="preserve"> and implemen</w:t>
      </w:r>
      <w:r w:rsidR="006A4E53">
        <w:t>ts</w:t>
      </w:r>
      <w:r w:rsidR="006A4E53" w:rsidRPr="006A4E53">
        <w:t xml:space="preserve"> projects that </w:t>
      </w:r>
      <w:r w:rsidR="006A4E53">
        <w:t>promote</w:t>
      </w:r>
      <w:r w:rsidR="006A4E53" w:rsidRPr="006A4E53">
        <w:t xml:space="preserve"> the human rights of people living with mental illness or psychological distress </w:t>
      </w:r>
      <w:r w:rsidR="00ED1922">
        <w:t>through</w:t>
      </w:r>
      <w:r w:rsidR="006A4E53" w:rsidRPr="006A4E53">
        <w:t xml:space="preserve"> a coordinated and collaborative approach</w:t>
      </w:r>
      <w:r w:rsidR="00ED1922">
        <w:t xml:space="preserve"> with Safer Care Victoria</w:t>
      </w:r>
      <w:r w:rsidR="005B1814">
        <w:t>, with a particular focus on implementing the</w:t>
      </w:r>
      <w:r w:rsidR="002163E6">
        <w:t xml:space="preserve"> Royal Commission’s recommendations</w:t>
      </w:r>
      <w:r w:rsidR="006A4E53" w:rsidRPr="006A4E53">
        <w:t>.</w:t>
      </w:r>
      <w:r w:rsidR="00490EF3">
        <w:t xml:space="preserve"> </w:t>
      </w:r>
      <w:r w:rsidRPr="00277D3A">
        <w:t xml:space="preserve">The OCP’s involvement in these Royal Commission reforms is an extension of </w:t>
      </w:r>
      <w:r w:rsidR="00DF1E42">
        <w:t xml:space="preserve">previous </w:t>
      </w:r>
      <w:r w:rsidRPr="00277D3A">
        <w:t xml:space="preserve">work it has </w:t>
      </w:r>
      <w:r w:rsidR="00DF1E42">
        <w:t xml:space="preserve">been undertaking </w:t>
      </w:r>
      <w:r w:rsidRPr="00277D3A">
        <w:t xml:space="preserve">over </w:t>
      </w:r>
      <w:r w:rsidR="00A479CF">
        <w:t>many</w:t>
      </w:r>
      <w:r w:rsidRPr="00277D3A">
        <w:t xml:space="preserve"> years with the Office of the Chief Mental Health </w:t>
      </w:r>
      <w:r w:rsidR="009D164E">
        <w:t>N</w:t>
      </w:r>
      <w:r w:rsidRPr="00277D3A">
        <w:t xml:space="preserve">urse to reduce restrictive interventions. This includes the </w:t>
      </w:r>
      <w:r w:rsidRPr="00277D3A">
        <w:rPr>
          <w:i/>
          <w:iCs/>
        </w:rPr>
        <w:t>Creating safety: addressing restraint and seclusion practices</w:t>
      </w:r>
      <w:r w:rsidRPr="00277D3A">
        <w:t xml:space="preserve"> project of 2006, the </w:t>
      </w:r>
      <w:r w:rsidRPr="00277D3A">
        <w:rPr>
          <w:i/>
          <w:iCs/>
        </w:rPr>
        <w:t>Providing a safe environment for all: Framework for reducing restrictive interventions</w:t>
      </w:r>
      <w:r w:rsidRPr="00277D3A">
        <w:t xml:space="preserve"> project of 2013, and the </w:t>
      </w:r>
      <w:proofErr w:type="spellStart"/>
      <w:r w:rsidRPr="00E6385D">
        <w:t>Safewards</w:t>
      </w:r>
      <w:proofErr w:type="spellEnd"/>
      <w:r w:rsidRPr="00277D3A">
        <w:t xml:space="preserve"> program trialled from 2019 to 2021 to encourage alternative clinical practices that avoid rel</w:t>
      </w:r>
      <w:r w:rsidR="005176C7">
        <w:t>ying</w:t>
      </w:r>
      <w:r w:rsidRPr="00277D3A">
        <w:t xml:space="preserve"> on restrictive interventions.</w:t>
      </w:r>
    </w:p>
    <w:p w14:paraId="08AADAA9" w14:textId="77777777" w:rsidR="00CA52DA" w:rsidRDefault="00CA52DA" w:rsidP="00277D3A">
      <w:pPr>
        <w:pStyle w:val="Body"/>
      </w:pPr>
    </w:p>
    <w:p w14:paraId="4217CF10" w14:textId="77777777" w:rsidR="00CA52DA" w:rsidRDefault="00CA52DA" w:rsidP="00277D3A">
      <w:pPr>
        <w:pStyle w:val="Body"/>
      </w:pPr>
    </w:p>
    <w:tbl>
      <w:tblPr>
        <w:tblStyle w:val="TableGrid"/>
        <w:tblW w:w="0" w:type="auto"/>
        <w:tblLook w:val="04A0" w:firstRow="1" w:lastRow="0" w:firstColumn="1" w:lastColumn="0" w:noHBand="0" w:noVBand="1"/>
      </w:tblPr>
      <w:tblGrid>
        <w:gridCol w:w="9180"/>
      </w:tblGrid>
      <w:tr w:rsidR="00155658" w14:paraId="5D19D96C" w14:textId="77777777" w:rsidTr="002C0314">
        <w:tc>
          <w:tcPr>
            <w:tcW w:w="9288" w:type="dxa"/>
            <w:shd w:val="clear" w:color="auto" w:fill="DBE5F1" w:themeFill="accent1" w:themeFillTint="33"/>
          </w:tcPr>
          <w:p w14:paraId="3D2BAE90" w14:textId="0F881A18" w:rsidR="00155658" w:rsidRPr="00870F30" w:rsidRDefault="00870F30" w:rsidP="002C0314">
            <w:pPr>
              <w:pStyle w:val="Boxtitle"/>
              <w:rPr>
                <w:b w:val="0"/>
                <w:bCs w:val="0"/>
              </w:rPr>
            </w:pPr>
            <w:r>
              <w:t xml:space="preserve">Supporting </w:t>
            </w:r>
            <w:r w:rsidR="0094577C">
              <w:t>consumers to</w:t>
            </w:r>
            <w:r w:rsidR="005276D2">
              <w:t xml:space="preserve"> understand and</w:t>
            </w:r>
            <w:r w:rsidR="0094577C">
              <w:t xml:space="preserve"> </w:t>
            </w:r>
            <w:r w:rsidR="00527545">
              <w:t>exercise</w:t>
            </w:r>
            <w:r w:rsidR="0094577C">
              <w:t xml:space="preserve"> their rights</w:t>
            </w:r>
          </w:p>
          <w:p w14:paraId="4FD49816" w14:textId="712C0E25" w:rsidR="00155658" w:rsidRPr="0026798B" w:rsidRDefault="00155658" w:rsidP="002C0314">
            <w:pPr>
              <w:pStyle w:val="Body"/>
            </w:pPr>
            <w:r w:rsidRPr="0026798B">
              <w:t>Sarah</w:t>
            </w:r>
            <w:r w:rsidR="00DE4465">
              <w:t>*</w:t>
            </w:r>
            <w:r w:rsidRPr="0026798B">
              <w:t xml:space="preserve"> rang the OCP enquiry line requesting to be discharged from a mental health inpatient unit. She explained that it was her first admission and </w:t>
            </w:r>
            <w:r w:rsidR="00DF23A2">
              <w:t>that she was</w:t>
            </w:r>
            <w:r w:rsidRPr="0026798B">
              <w:t xml:space="preserve"> overwhelmed by the experience. She described being on an inpatient treatment order</w:t>
            </w:r>
            <w:r w:rsidR="00370D67">
              <w:t>,</w:t>
            </w:r>
            <w:r w:rsidRPr="0026798B">
              <w:t xml:space="preserve"> which she </w:t>
            </w:r>
            <w:r w:rsidR="00740F41">
              <w:t>believed</w:t>
            </w:r>
            <w:r w:rsidRPr="0026798B">
              <w:t xml:space="preserve"> was unnecessary because she felt she could be treated in the community. She was distressed and teary and concerned about her safety. Sarah had spoken to her treating team but </w:t>
            </w:r>
            <w:r w:rsidR="003806C8">
              <w:t xml:space="preserve">was left with the impression </w:t>
            </w:r>
            <w:r w:rsidRPr="0026798B">
              <w:t>that they weren’t listening to her.</w:t>
            </w:r>
          </w:p>
          <w:p w14:paraId="29DB72AA" w14:textId="6E8173E5" w:rsidR="00155658" w:rsidRPr="0026798B" w:rsidRDefault="00F40E58" w:rsidP="002C0314">
            <w:pPr>
              <w:pStyle w:val="Body"/>
            </w:pPr>
            <w:r>
              <w:t>There are several key m</w:t>
            </w:r>
            <w:r w:rsidR="00155658" w:rsidRPr="0026798B">
              <w:t xml:space="preserve">ental </w:t>
            </w:r>
            <w:r>
              <w:t>h</w:t>
            </w:r>
            <w:r w:rsidR="00155658" w:rsidRPr="0026798B">
              <w:t>ealth principles</w:t>
            </w:r>
            <w:r>
              <w:t xml:space="preserve"> </w:t>
            </w:r>
            <w:r w:rsidR="00203556">
              <w:t>that are relevant to Sarah’s situation</w:t>
            </w:r>
            <w:r w:rsidR="00516D4D">
              <w:t xml:space="preserve">, </w:t>
            </w:r>
            <w:r w:rsidR="006E7A48">
              <w:t>articulated</w:t>
            </w:r>
            <w:r w:rsidR="00430E5B">
              <w:t xml:space="preserve"> in the </w:t>
            </w:r>
            <w:r w:rsidR="00876A9E">
              <w:t xml:space="preserve">Mental Health Act </w:t>
            </w:r>
            <w:r w:rsidR="00430E5B">
              <w:t>and Chief Psychiatrist’s guidelines</w:t>
            </w:r>
            <w:r w:rsidR="00155658" w:rsidRPr="0026798B">
              <w:t>:</w:t>
            </w:r>
          </w:p>
          <w:p w14:paraId="62CAA219" w14:textId="204A9591" w:rsidR="00155658" w:rsidRPr="0026798B" w:rsidRDefault="005176C7" w:rsidP="00BA5CDA">
            <w:pPr>
              <w:pStyle w:val="Bullet1"/>
            </w:pPr>
            <w:r>
              <w:lastRenderedPageBreak/>
              <w:t>People</w:t>
            </w:r>
            <w:r w:rsidRPr="0026798B">
              <w:t xml:space="preserve"> </w:t>
            </w:r>
            <w:r w:rsidR="00155658" w:rsidRPr="0026798B">
              <w:t>receiving mental health services should be provided assessment and treatment in the least restrictive way possible</w:t>
            </w:r>
            <w:r w:rsidR="00B87C23">
              <w:t>,</w:t>
            </w:r>
            <w:r w:rsidR="00155658" w:rsidRPr="0026798B">
              <w:t xml:space="preserve"> with voluntary assessment and treatment preferred.</w:t>
            </w:r>
          </w:p>
          <w:p w14:paraId="12B977B8" w14:textId="52E41A9F" w:rsidR="00155658" w:rsidRPr="0026798B" w:rsidRDefault="005176C7" w:rsidP="00BA5CDA">
            <w:pPr>
              <w:pStyle w:val="Bullet1"/>
            </w:pPr>
            <w:r>
              <w:t>People</w:t>
            </w:r>
            <w:r w:rsidRPr="0026798B">
              <w:t xml:space="preserve"> </w:t>
            </w:r>
            <w:r w:rsidR="00155658" w:rsidRPr="0026798B">
              <w:t xml:space="preserve">receiving mental health services should be provided </w:t>
            </w:r>
            <w:r w:rsidR="00606416">
              <w:t xml:space="preserve">by </w:t>
            </w:r>
            <w:r w:rsidR="00155658" w:rsidRPr="0026798B">
              <w:t xml:space="preserve">those services with the aim of </w:t>
            </w:r>
            <w:r w:rsidR="00CF31B5" w:rsidRPr="0026798B">
              <w:t>bringing</w:t>
            </w:r>
            <w:r w:rsidR="00155658" w:rsidRPr="0026798B">
              <w:t xml:space="preserve"> about the best possible therapeutic outcomes and promoting recovery and full participation in community life</w:t>
            </w:r>
            <w:r w:rsidR="00EA6FB9">
              <w:t>.</w:t>
            </w:r>
          </w:p>
          <w:p w14:paraId="70329120" w14:textId="1190C1D6" w:rsidR="00155658" w:rsidRPr="0026798B" w:rsidRDefault="005176C7" w:rsidP="00BA5CDA">
            <w:pPr>
              <w:pStyle w:val="Bullet1"/>
            </w:pPr>
            <w:r>
              <w:t>People</w:t>
            </w:r>
            <w:r w:rsidRPr="0026798B">
              <w:t xml:space="preserve"> </w:t>
            </w:r>
            <w:r w:rsidR="00155658" w:rsidRPr="0026798B">
              <w:t xml:space="preserve">receiving mental health services should be involved in all decisions about their assessment, treatment and recovery and be supported to make, or </w:t>
            </w:r>
            <w:r>
              <w:t>take part</w:t>
            </w:r>
            <w:r w:rsidRPr="0026798B">
              <w:t xml:space="preserve"> </w:t>
            </w:r>
            <w:r w:rsidR="00155658" w:rsidRPr="0026798B">
              <w:t>in, those decisions, and their views and preferences should be respected.</w:t>
            </w:r>
          </w:p>
          <w:p w14:paraId="5EF67D2C" w14:textId="47E94DF2" w:rsidR="00155658" w:rsidRPr="0026798B" w:rsidRDefault="005176C7" w:rsidP="00BA5CDA">
            <w:pPr>
              <w:pStyle w:val="Bullet1"/>
            </w:pPr>
            <w:r>
              <w:t>People</w:t>
            </w:r>
            <w:r w:rsidRPr="0026798B">
              <w:t xml:space="preserve"> </w:t>
            </w:r>
            <w:r w:rsidR="00155658" w:rsidRPr="0026798B">
              <w:t>receiving mental health services should be allowed to make decisions about their assessment, treatment and recovery that involve a degree of risk</w:t>
            </w:r>
            <w:r w:rsidR="00EA6FB9">
              <w:t>.</w:t>
            </w:r>
          </w:p>
          <w:p w14:paraId="312CE743" w14:textId="50A351D5" w:rsidR="00155658" w:rsidRPr="0026798B" w:rsidRDefault="005176C7" w:rsidP="00BA5CDA">
            <w:pPr>
              <w:pStyle w:val="Bullet1"/>
            </w:pPr>
            <w:r>
              <w:t>People</w:t>
            </w:r>
            <w:r w:rsidRPr="0026798B">
              <w:t xml:space="preserve"> </w:t>
            </w:r>
            <w:r w:rsidR="00155658" w:rsidRPr="0026798B">
              <w:t>receiving mental health services should have their rights, dignity and autonomy respected and promoted.</w:t>
            </w:r>
          </w:p>
          <w:p w14:paraId="1FF74A06" w14:textId="1EF260AD" w:rsidR="007678FB" w:rsidRDefault="00E77726" w:rsidP="00BA5CDA">
            <w:pPr>
              <w:pStyle w:val="Bodyafterbullets"/>
            </w:pPr>
            <w:r>
              <w:t>The OCP took t</w:t>
            </w:r>
            <w:r w:rsidR="005465D7">
              <w:t>hese principles</w:t>
            </w:r>
            <w:r w:rsidR="008D5F4D">
              <w:t xml:space="preserve"> </w:t>
            </w:r>
            <w:r>
              <w:t xml:space="preserve">into account </w:t>
            </w:r>
            <w:r w:rsidR="00AD16AA">
              <w:t>when responding</w:t>
            </w:r>
            <w:r w:rsidR="00470D6F">
              <w:t xml:space="preserve"> to Sarah’s </w:t>
            </w:r>
            <w:r w:rsidR="0066795C">
              <w:t>enqu</w:t>
            </w:r>
            <w:r w:rsidR="007779AF">
              <w:t>iry</w:t>
            </w:r>
            <w:r w:rsidR="00CC40EB">
              <w:t xml:space="preserve"> and </w:t>
            </w:r>
            <w:r w:rsidR="00BA17AF">
              <w:t>determini</w:t>
            </w:r>
            <w:r w:rsidR="00D95B8E">
              <w:t xml:space="preserve">ng the course of action </w:t>
            </w:r>
            <w:r w:rsidR="00E41059">
              <w:t>that best</w:t>
            </w:r>
            <w:r w:rsidR="00BF5B87">
              <w:t xml:space="preserve"> protect</w:t>
            </w:r>
            <w:r w:rsidR="000C2356">
              <w:t>ed</w:t>
            </w:r>
            <w:r w:rsidR="00BF5B87">
              <w:t xml:space="preserve"> her</w:t>
            </w:r>
            <w:r w:rsidR="00D75C39">
              <w:t xml:space="preserve"> </w:t>
            </w:r>
            <w:r w:rsidR="00CC40EB">
              <w:t>rights</w:t>
            </w:r>
            <w:r w:rsidR="007779AF">
              <w:t xml:space="preserve">. </w:t>
            </w:r>
          </w:p>
          <w:p w14:paraId="3A675B62" w14:textId="7D639355" w:rsidR="00155658" w:rsidRPr="0026798B" w:rsidRDefault="00663686" w:rsidP="007C1518">
            <w:pPr>
              <w:pStyle w:val="Body"/>
            </w:pPr>
            <w:r>
              <w:t>As a first step, a</w:t>
            </w:r>
            <w:r w:rsidR="00534109">
              <w:t xml:space="preserve"> </w:t>
            </w:r>
            <w:r w:rsidR="00155658" w:rsidRPr="0026798B">
              <w:t>senior clinical adviser</w:t>
            </w:r>
            <w:r w:rsidR="008074C9">
              <w:t xml:space="preserve"> from the OCP</w:t>
            </w:r>
            <w:r w:rsidR="00155658" w:rsidRPr="0026798B">
              <w:t xml:space="preserve"> listened to Sarah’s story and </w:t>
            </w:r>
            <w:r w:rsidR="00A468CA">
              <w:t>validated her</w:t>
            </w:r>
            <w:r w:rsidR="00155658" w:rsidRPr="0026798B">
              <w:t xml:space="preserve"> experience. </w:t>
            </w:r>
            <w:r w:rsidR="007C1518">
              <w:t xml:space="preserve">The clinical adviser asked </w:t>
            </w:r>
            <w:r w:rsidR="00155658" w:rsidRPr="0026798B">
              <w:t xml:space="preserve">Sarah </w:t>
            </w:r>
            <w:r w:rsidR="005A2A28">
              <w:t>about the</w:t>
            </w:r>
            <w:r w:rsidR="00155658" w:rsidRPr="0026798B">
              <w:t xml:space="preserve"> supports</w:t>
            </w:r>
            <w:r w:rsidR="005A2A28">
              <w:t xml:space="preserve"> available to her</w:t>
            </w:r>
            <w:r w:rsidR="00155658" w:rsidRPr="0026798B">
              <w:t xml:space="preserve">. </w:t>
            </w:r>
            <w:r w:rsidR="007C1518">
              <w:t xml:space="preserve">Sarah </w:t>
            </w:r>
            <w:r w:rsidR="00926292">
              <w:t>said</w:t>
            </w:r>
            <w:r w:rsidR="00155658" w:rsidRPr="0026798B">
              <w:t xml:space="preserve"> that she </w:t>
            </w:r>
            <w:r w:rsidR="00D635F6">
              <w:t>wished to avoid</w:t>
            </w:r>
            <w:r w:rsidR="00155658" w:rsidRPr="0026798B">
              <w:t xml:space="preserve"> contact with family </w:t>
            </w:r>
            <w:r w:rsidR="00F03DFC">
              <w:t xml:space="preserve">but that she sees a </w:t>
            </w:r>
            <w:r w:rsidR="00155658" w:rsidRPr="0026798B">
              <w:t>private psychologist in the community.</w:t>
            </w:r>
          </w:p>
          <w:p w14:paraId="4F437FBF" w14:textId="77777777" w:rsidR="000B1ED1" w:rsidRDefault="00E95B04" w:rsidP="000525EE">
            <w:pPr>
              <w:pStyle w:val="Body"/>
            </w:pPr>
            <w:r>
              <w:t>The senior clinical adviser asked</w:t>
            </w:r>
            <w:r w:rsidR="00155658" w:rsidRPr="0026798B">
              <w:t xml:space="preserve"> Sarah </w:t>
            </w:r>
            <w:r w:rsidR="00B3331D">
              <w:t>if</w:t>
            </w:r>
            <w:r w:rsidR="00155658" w:rsidRPr="0026798B">
              <w:t xml:space="preserve"> there were any staff on the unit that she </w:t>
            </w:r>
            <w:r w:rsidR="00816C27">
              <w:t>could</w:t>
            </w:r>
            <w:r w:rsidR="00155658" w:rsidRPr="0026798B">
              <w:t xml:space="preserve"> share her concerns</w:t>
            </w:r>
            <w:r w:rsidR="00FE2CDB">
              <w:t xml:space="preserve"> with, such as </w:t>
            </w:r>
            <w:r w:rsidR="00155658" w:rsidRPr="0026798B">
              <w:t xml:space="preserve">a peer worker. Sarah </w:t>
            </w:r>
            <w:r w:rsidR="00DD4F15">
              <w:t>said</w:t>
            </w:r>
            <w:r w:rsidR="00155658" w:rsidRPr="0026798B">
              <w:t xml:space="preserve"> that she could speak to her treating </w:t>
            </w:r>
            <w:r w:rsidR="00C9498B">
              <w:t xml:space="preserve">team </w:t>
            </w:r>
            <w:r w:rsidR="00D20E74">
              <w:t xml:space="preserve">with the </w:t>
            </w:r>
            <w:r w:rsidR="008E24A6">
              <w:t>support</w:t>
            </w:r>
            <w:r w:rsidR="00D20E74">
              <w:t xml:space="preserve"> of </w:t>
            </w:r>
            <w:r w:rsidR="0011765E">
              <w:t>a third party</w:t>
            </w:r>
            <w:r w:rsidR="00155658" w:rsidRPr="0026798B">
              <w:t>.</w:t>
            </w:r>
            <w:r w:rsidR="007657F8">
              <w:t xml:space="preserve"> </w:t>
            </w:r>
          </w:p>
          <w:p w14:paraId="1554A08F" w14:textId="6C59E217" w:rsidR="00155658" w:rsidRPr="0026798B" w:rsidRDefault="00F41322" w:rsidP="000525EE">
            <w:pPr>
              <w:pStyle w:val="Body"/>
            </w:pPr>
            <w:proofErr w:type="gramStart"/>
            <w:r>
              <w:t>In order to</w:t>
            </w:r>
            <w:proofErr w:type="gramEnd"/>
            <w:r>
              <w:t xml:space="preserve"> </w:t>
            </w:r>
            <w:r w:rsidR="00DD0246">
              <w:t>facilitate</w:t>
            </w:r>
            <w:r>
              <w:t xml:space="preserve"> this</w:t>
            </w:r>
            <w:r w:rsidR="00DD0246">
              <w:t xml:space="preserve"> arrangement</w:t>
            </w:r>
            <w:r>
              <w:t xml:space="preserve">, the senior clinical adviser gave </w:t>
            </w:r>
            <w:r w:rsidR="0085580A">
              <w:t>Sarah</w:t>
            </w:r>
            <w:r w:rsidR="008E24A6">
              <w:t xml:space="preserve"> the</w:t>
            </w:r>
            <w:r w:rsidR="0085580A">
              <w:t xml:space="preserve"> </w:t>
            </w:r>
            <w:r w:rsidR="00155658" w:rsidRPr="0026798B">
              <w:t>contact details</w:t>
            </w:r>
            <w:r w:rsidR="008E24A6">
              <w:t xml:space="preserve"> of</w:t>
            </w:r>
            <w:r w:rsidR="00155658" w:rsidRPr="0026798B">
              <w:t xml:space="preserve"> Independent Mental Health Advocacy</w:t>
            </w:r>
            <w:r w:rsidR="00EF6031">
              <w:t xml:space="preserve">, </w:t>
            </w:r>
            <w:r w:rsidR="00C7730F">
              <w:t xml:space="preserve">an organisation </w:t>
            </w:r>
            <w:r w:rsidR="00CD7031">
              <w:t xml:space="preserve">that </w:t>
            </w:r>
            <w:r w:rsidR="005176C7">
              <w:t xml:space="preserve">helps </w:t>
            </w:r>
            <w:r w:rsidR="00CD7031" w:rsidRPr="00CD7031">
              <w:t>people who are receiving, or at risk of receiving, compulsory mental health treatment</w:t>
            </w:r>
            <w:r w:rsidR="009C5502">
              <w:t>.</w:t>
            </w:r>
            <w:r w:rsidR="00380270">
              <w:t xml:space="preserve"> </w:t>
            </w:r>
            <w:r w:rsidR="005E0F3F">
              <w:t xml:space="preserve">Through </w:t>
            </w:r>
            <w:r w:rsidR="00876A9E" w:rsidRPr="0026798B">
              <w:t>Independent Mental Health Advocacy</w:t>
            </w:r>
            <w:r w:rsidR="005176C7">
              <w:t>’s</w:t>
            </w:r>
            <w:r w:rsidR="005E0F3F">
              <w:t xml:space="preserve"> </w:t>
            </w:r>
            <w:r w:rsidR="005176C7">
              <w:t xml:space="preserve">involvement, </w:t>
            </w:r>
            <w:r w:rsidR="00517E69">
              <w:t xml:space="preserve">there was a better </w:t>
            </w:r>
            <w:r w:rsidR="005E0F3F">
              <w:t xml:space="preserve">chance </w:t>
            </w:r>
            <w:r w:rsidR="00517E69">
              <w:t xml:space="preserve">that </w:t>
            </w:r>
            <w:r w:rsidR="00D739DE">
              <w:t>Sarah</w:t>
            </w:r>
            <w:r w:rsidR="00801F5B">
              <w:t>’s preferences would be taken</w:t>
            </w:r>
            <w:r w:rsidR="009E2E39">
              <w:t xml:space="preserve"> into consideration</w:t>
            </w:r>
            <w:r w:rsidR="00EA6EFF">
              <w:t xml:space="preserve"> </w:t>
            </w:r>
            <w:r w:rsidR="00235B78">
              <w:t>d</w:t>
            </w:r>
            <w:r w:rsidR="00A91F19">
              <w:t>uring her</w:t>
            </w:r>
            <w:r w:rsidR="00BB527A">
              <w:t xml:space="preserve"> </w:t>
            </w:r>
            <w:r w:rsidR="000B6900">
              <w:t>communicat</w:t>
            </w:r>
            <w:r w:rsidR="00A91F19">
              <w:t>ion</w:t>
            </w:r>
            <w:r w:rsidR="00AB2514">
              <w:t xml:space="preserve"> </w:t>
            </w:r>
            <w:r w:rsidR="00307083" w:rsidRPr="009E166E">
              <w:t xml:space="preserve">with the treating psychiatrist and </w:t>
            </w:r>
            <w:r w:rsidR="005176C7">
              <w:t xml:space="preserve">in developing </w:t>
            </w:r>
            <w:r w:rsidR="00A91F19">
              <w:t>an</w:t>
            </w:r>
            <w:r w:rsidR="00307083" w:rsidRPr="009E166E">
              <w:t xml:space="preserve"> advance statement</w:t>
            </w:r>
            <w:r w:rsidR="005A4664">
              <w:t>.</w:t>
            </w:r>
            <w:r w:rsidR="00155658" w:rsidRPr="0026798B">
              <w:t xml:space="preserve"> </w:t>
            </w:r>
          </w:p>
          <w:p w14:paraId="06FE1427" w14:textId="737ADE3D" w:rsidR="002A3528" w:rsidRDefault="00642700" w:rsidP="00642700">
            <w:pPr>
              <w:pStyle w:val="Body"/>
            </w:pPr>
            <w:r>
              <w:t xml:space="preserve">Sarah was also given </w:t>
            </w:r>
            <w:r w:rsidR="00155658" w:rsidRPr="0026798B">
              <w:t>information about the Mental Health Tribunal</w:t>
            </w:r>
            <w:r w:rsidR="00B02F9F">
              <w:t xml:space="preserve">. By learning about </w:t>
            </w:r>
            <w:r w:rsidR="00486A32">
              <w:t>the tribunal’s</w:t>
            </w:r>
            <w:r w:rsidR="00B02F9F">
              <w:t xml:space="preserve"> role</w:t>
            </w:r>
            <w:r w:rsidR="00665178">
              <w:t xml:space="preserve"> in</w:t>
            </w:r>
            <w:r w:rsidR="00CF6B0B">
              <w:t xml:space="preserve"> decisions </w:t>
            </w:r>
            <w:r w:rsidR="00A4411F">
              <w:t>on</w:t>
            </w:r>
            <w:r w:rsidR="00CF6B0B">
              <w:t xml:space="preserve"> treatment orders</w:t>
            </w:r>
            <w:r w:rsidR="00486A32">
              <w:t xml:space="preserve">, Sarah would be able to </w:t>
            </w:r>
            <w:r w:rsidR="00DB0D3D">
              <w:t xml:space="preserve">determine whether </w:t>
            </w:r>
            <w:r w:rsidR="008126CF">
              <w:t>recourse t</w:t>
            </w:r>
            <w:r w:rsidR="0061066E">
              <w:t xml:space="preserve">o </w:t>
            </w:r>
            <w:r w:rsidR="00A10FA9">
              <w:t>the tribunal</w:t>
            </w:r>
            <w:r w:rsidR="00880D58">
              <w:t xml:space="preserve"> </w:t>
            </w:r>
            <w:r w:rsidR="00990157">
              <w:t>was</w:t>
            </w:r>
            <w:r w:rsidR="006C3194">
              <w:t xml:space="preserve"> a</w:t>
            </w:r>
            <w:r w:rsidR="0060610C">
              <w:t xml:space="preserve"> </w:t>
            </w:r>
            <w:r w:rsidR="00C12D76">
              <w:t>viable</w:t>
            </w:r>
            <w:r w:rsidR="006C3194">
              <w:t xml:space="preserve"> option</w:t>
            </w:r>
            <w:r w:rsidR="00E60CB2">
              <w:t xml:space="preserve"> in her situation</w:t>
            </w:r>
            <w:r w:rsidR="005C244E">
              <w:t xml:space="preserve">. </w:t>
            </w:r>
          </w:p>
          <w:p w14:paraId="6AA04445" w14:textId="5E95ECC3" w:rsidR="00155658" w:rsidRDefault="00295C0A" w:rsidP="00642700">
            <w:pPr>
              <w:pStyle w:val="Body"/>
            </w:pPr>
            <w:r>
              <w:t xml:space="preserve">Sarah was also </w:t>
            </w:r>
            <w:r w:rsidR="00313F17">
              <w:t>made aware of</w:t>
            </w:r>
            <w:r w:rsidR="0060610C">
              <w:t xml:space="preserve"> </w:t>
            </w:r>
            <w:r w:rsidR="003849ED">
              <w:t>legal representation</w:t>
            </w:r>
            <w:r w:rsidR="000970DE">
              <w:t xml:space="preserve"> </w:t>
            </w:r>
            <w:r w:rsidR="00313F17">
              <w:t xml:space="preserve">that </w:t>
            </w:r>
            <w:r w:rsidR="00C56BD4">
              <w:t>she is entitled to</w:t>
            </w:r>
            <w:r w:rsidR="00865BC6">
              <w:t xml:space="preserve"> </w:t>
            </w:r>
            <w:r w:rsidR="008146F8">
              <w:t xml:space="preserve">were she to appear </w:t>
            </w:r>
            <w:r w:rsidR="00F9782E">
              <w:t xml:space="preserve">at a </w:t>
            </w:r>
            <w:r w:rsidR="00876A9E" w:rsidRPr="0026798B">
              <w:t>Mental Health Tribunal</w:t>
            </w:r>
            <w:r w:rsidR="00876A9E">
              <w:t xml:space="preserve"> </w:t>
            </w:r>
            <w:r w:rsidR="00F9782E">
              <w:t>hearing</w:t>
            </w:r>
            <w:r w:rsidR="008146F8">
              <w:t xml:space="preserve"> about her treatment order</w:t>
            </w:r>
            <w:r w:rsidR="001C442A">
              <w:t xml:space="preserve">. </w:t>
            </w:r>
            <w:r w:rsidR="00155658" w:rsidRPr="0026798B">
              <w:t xml:space="preserve">Victoria </w:t>
            </w:r>
            <w:r w:rsidR="00B057F1">
              <w:t>L</w:t>
            </w:r>
            <w:r w:rsidR="00155658" w:rsidRPr="0026798B">
              <w:t>egal Aid</w:t>
            </w:r>
            <w:r w:rsidR="001C442A">
              <w:t xml:space="preserve"> </w:t>
            </w:r>
            <w:r w:rsidR="00115A9D">
              <w:t xml:space="preserve">was </w:t>
            </w:r>
            <w:r w:rsidR="00F1094A">
              <w:t>recommended</w:t>
            </w:r>
            <w:r w:rsidR="00115A9D">
              <w:t xml:space="preserve"> as </w:t>
            </w:r>
            <w:r w:rsidR="005616CC">
              <w:t>a suitable</w:t>
            </w:r>
            <w:r w:rsidR="00033350">
              <w:t xml:space="preserve"> organisation </w:t>
            </w:r>
            <w:r w:rsidR="007175F7">
              <w:t>for such</w:t>
            </w:r>
            <w:r w:rsidR="00F1094A">
              <w:t xml:space="preserve"> representation</w:t>
            </w:r>
            <w:r w:rsidR="00A42A73">
              <w:t xml:space="preserve">, and its contact details were </w:t>
            </w:r>
            <w:r w:rsidR="00447C46">
              <w:t>forwarded</w:t>
            </w:r>
            <w:r w:rsidR="005B40F7">
              <w:t xml:space="preserve"> to Sarah.</w:t>
            </w:r>
          </w:p>
          <w:p w14:paraId="312D0692" w14:textId="46183B5F" w:rsidR="00B966BE" w:rsidRDefault="005B40F7" w:rsidP="008F2F64">
            <w:pPr>
              <w:pStyle w:val="Body"/>
            </w:pPr>
            <w:r>
              <w:t xml:space="preserve">Sarah was also given information about the </w:t>
            </w:r>
            <w:r w:rsidR="00155658" w:rsidRPr="0026798B">
              <w:t xml:space="preserve">Second Psychiatric </w:t>
            </w:r>
            <w:r w:rsidR="004577E8">
              <w:t>O</w:t>
            </w:r>
            <w:r w:rsidR="00155658" w:rsidRPr="0026798B">
              <w:t>pinion Service</w:t>
            </w:r>
            <w:r w:rsidR="00B00D2E">
              <w:t xml:space="preserve">. By engaging this service, Sarah would be able to </w:t>
            </w:r>
            <w:r w:rsidR="00D82A98">
              <w:t>e</w:t>
            </w:r>
            <w:r w:rsidR="00FD22EB">
              <w:t>xercis</w:t>
            </w:r>
            <w:r w:rsidR="00B00D2E">
              <w:t>e</w:t>
            </w:r>
            <w:r w:rsidR="00FD22EB">
              <w:t xml:space="preserve"> her right </w:t>
            </w:r>
            <w:r w:rsidR="000438AC">
              <w:t xml:space="preserve">to a second opinion about </w:t>
            </w:r>
            <w:r w:rsidR="00131ED3">
              <w:t xml:space="preserve">her mental </w:t>
            </w:r>
            <w:r w:rsidR="00B43D6A">
              <w:t>illness and treatment options.</w:t>
            </w:r>
          </w:p>
          <w:p w14:paraId="2DBC1C4D" w14:textId="42F04E23" w:rsidR="00155658" w:rsidRPr="0026798B" w:rsidRDefault="00B43D6A" w:rsidP="008F2F64">
            <w:pPr>
              <w:pStyle w:val="Body"/>
            </w:pPr>
            <w:r>
              <w:t xml:space="preserve">The </w:t>
            </w:r>
            <w:r w:rsidR="00195492">
              <w:t xml:space="preserve">senior clinical adviser offered to </w:t>
            </w:r>
            <w:r w:rsidR="00155658" w:rsidRPr="0026798B">
              <w:t xml:space="preserve">contact </w:t>
            </w:r>
            <w:r w:rsidR="00195492">
              <w:t>Sarah’s</w:t>
            </w:r>
            <w:r w:rsidR="00155658" w:rsidRPr="0026798B">
              <w:t xml:space="preserve"> treating team </w:t>
            </w:r>
            <w:r w:rsidR="008F2F64">
              <w:t xml:space="preserve">to </w:t>
            </w:r>
            <w:r w:rsidR="00C25854">
              <w:t xml:space="preserve">inform them </w:t>
            </w:r>
            <w:r w:rsidR="003F5099">
              <w:t>about</w:t>
            </w:r>
            <w:r w:rsidR="00C25854">
              <w:t xml:space="preserve"> Sarah</w:t>
            </w:r>
            <w:r w:rsidR="003F5099">
              <w:t>’s</w:t>
            </w:r>
            <w:r w:rsidR="00C25854">
              <w:t xml:space="preserve"> </w:t>
            </w:r>
            <w:r w:rsidR="003F5099">
              <w:t>experience of</w:t>
            </w:r>
            <w:r w:rsidR="00155658" w:rsidRPr="0026798B">
              <w:t xml:space="preserve"> feeling distressed and unsafe</w:t>
            </w:r>
            <w:r w:rsidR="007D1C35">
              <w:t xml:space="preserve"> in their care</w:t>
            </w:r>
            <w:r w:rsidR="00155658" w:rsidRPr="0026798B">
              <w:t>. Sarah agreed</w:t>
            </w:r>
            <w:r w:rsidR="00C25854">
              <w:t xml:space="preserve"> to </w:t>
            </w:r>
            <w:r w:rsidR="00052C3D">
              <w:t xml:space="preserve">this, </w:t>
            </w:r>
            <w:r w:rsidR="00A10FA9">
              <w:t xml:space="preserve">seeing </w:t>
            </w:r>
            <w:r w:rsidR="00777EB1">
              <w:t xml:space="preserve">it </w:t>
            </w:r>
            <w:r w:rsidR="00A10FA9">
              <w:t xml:space="preserve">as </w:t>
            </w:r>
            <w:r w:rsidR="00777EB1">
              <w:t xml:space="preserve">a helpful </w:t>
            </w:r>
            <w:r w:rsidR="004C6FB8">
              <w:t xml:space="preserve">intervention </w:t>
            </w:r>
            <w:r w:rsidR="00575BEC">
              <w:t>in her circumstances</w:t>
            </w:r>
            <w:r w:rsidR="00155658" w:rsidRPr="0026798B">
              <w:t xml:space="preserve">. </w:t>
            </w:r>
          </w:p>
          <w:p w14:paraId="24969270" w14:textId="333A5AA5" w:rsidR="00155658" w:rsidRPr="0026798B" w:rsidRDefault="00DC7D60" w:rsidP="008F2F64">
            <w:pPr>
              <w:pStyle w:val="Body"/>
            </w:pPr>
            <w:r>
              <w:t xml:space="preserve">When the </w:t>
            </w:r>
            <w:r w:rsidR="008F2F64">
              <w:t>s</w:t>
            </w:r>
            <w:r w:rsidR="00155658" w:rsidRPr="0026798B">
              <w:t xml:space="preserve">enior clinical adviser contacted Sarah’s </w:t>
            </w:r>
            <w:r w:rsidR="00B87ED7">
              <w:t xml:space="preserve">treating team, it responded positively. The </w:t>
            </w:r>
            <w:r w:rsidR="00155658" w:rsidRPr="0026798B">
              <w:t>mental health nurse</w:t>
            </w:r>
            <w:r w:rsidR="00B87ED7">
              <w:t xml:space="preserve"> </w:t>
            </w:r>
            <w:r w:rsidR="00FF6AC9">
              <w:t xml:space="preserve">said </w:t>
            </w:r>
            <w:r w:rsidR="00F071D8">
              <w:t xml:space="preserve">she </w:t>
            </w:r>
            <w:r w:rsidR="00155658" w:rsidRPr="0026798B">
              <w:t xml:space="preserve">would talk to Sarah about her concerns and </w:t>
            </w:r>
            <w:r w:rsidR="00746F7F">
              <w:t xml:space="preserve">take steps to </w:t>
            </w:r>
            <w:r w:rsidR="00FF6AC9">
              <w:t xml:space="preserve">ensure </w:t>
            </w:r>
            <w:r w:rsidR="00746F7F">
              <w:t>Sarah</w:t>
            </w:r>
            <w:r w:rsidR="00155658" w:rsidRPr="0026798B">
              <w:t xml:space="preserve"> felt safe and supported on the unit.</w:t>
            </w:r>
          </w:p>
          <w:p w14:paraId="2808815C" w14:textId="17F267AA" w:rsidR="00155658" w:rsidRDefault="00746F7F" w:rsidP="00746F7F">
            <w:pPr>
              <w:pStyle w:val="Body"/>
            </w:pPr>
            <w:r>
              <w:lastRenderedPageBreak/>
              <w:t xml:space="preserve">In the end, </w:t>
            </w:r>
            <w:r w:rsidR="00155658" w:rsidRPr="0026798B">
              <w:t>Sarah did not wish to make a complaint about her treatment.</w:t>
            </w:r>
            <w:r>
              <w:t xml:space="preserve"> </w:t>
            </w:r>
            <w:r w:rsidR="00784EDD">
              <w:t>She</w:t>
            </w:r>
            <w:r w:rsidR="00155658" w:rsidRPr="0026798B">
              <w:t xml:space="preserve"> was encouraged to </w:t>
            </w:r>
            <w:r w:rsidR="00B05D7E">
              <w:t>contact the OCP again</w:t>
            </w:r>
            <w:r w:rsidR="00155658" w:rsidRPr="0026798B">
              <w:t xml:space="preserve"> </w:t>
            </w:r>
            <w:r w:rsidR="00784EDD">
              <w:t xml:space="preserve">if </w:t>
            </w:r>
            <w:r w:rsidR="000A249F">
              <w:t xml:space="preserve">she </w:t>
            </w:r>
            <w:r w:rsidR="00155658" w:rsidRPr="0026798B">
              <w:t>needed</w:t>
            </w:r>
            <w:r w:rsidR="000A249F">
              <w:t xml:space="preserve"> </w:t>
            </w:r>
            <w:r w:rsidR="00A10FA9">
              <w:t>more help</w:t>
            </w:r>
            <w:r w:rsidR="00155658" w:rsidRPr="0026798B">
              <w:t>.</w:t>
            </w:r>
          </w:p>
          <w:p w14:paraId="695781C2" w14:textId="4BE581B8" w:rsidR="00155658" w:rsidRPr="00CC0ED7" w:rsidRDefault="004B3B9E" w:rsidP="002D6FC1">
            <w:pPr>
              <w:pStyle w:val="Body"/>
              <w:ind w:left="720" w:hanging="720"/>
            </w:pPr>
            <w:r w:rsidRPr="00111F92">
              <w:t>Note:</w:t>
            </w:r>
            <w:r>
              <w:t xml:space="preserve"> </w:t>
            </w:r>
            <w:r w:rsidR="00DE4465">
              <w:t>*</w:t>
            </w:r>
            <w:r w:rsidR="00645356" w:rsidRPr="00645356">
              <w:rPr>
                <w:i/>
                <w:iCs/>
              </w:rPr>
              <w:t>Sarah</w:t>
            </w:r>
            <w:r w:rsidR="00DE5751">
              <w:rPr>
                <w:i/>
                <w:iCs/>
              </w:rPr>
              <w:t xml:space="preserve"> is a pseudonym</w:t>
            </w:r>
            <w:r w:rsidR="00D5419D">
              <w:rPr>
                <w:i/>
                <w:iCs/>
              </w:rPr>
              <w:t xml:space="preserve">. It </w:t>
            </w:r>
            <w:r w:rsidR="00E14365">
              <w:rPr>
                <w:i/>
                <w:iCs/>
              </w:rPr>
              <w:t xml:space="preserve">has been adopted to protect the </w:t>
            </w:r>
            <w:r w:rsidR="00F22EB5">
              <w:rPr>
                <w:i/>
                <w:iCs/>
              </w:rPr>
              <w:t>consumer’s</w:t>
            </w:r>
            <w:r w:rsidR="008F4FBE">
              <w:rPr>
                <w:i/>
                <w:iCs/>
              </w:rPr>
              <w:t xml:space="preserve"> </w:t>
            </w:r>
            <w:r w:rsidR="002D01E2">
              <w:rPr>
                <w:i/>
                <w:iCs/>
              </w:rPr>
              <w:t>privacy</w:t>
            </w:r>
            <w:r w:rsidR="008F4FBE">
              <w:rPr>
                <w:i/>
                <w:iCs/>
              </w:rPr>
              <w:t>.</w:t>
            </w:r>
          </w:p>
        </w:tc>
      </w:tr>
    </w:tbl>
    <w:p w14:paraId="0778FD1C" w14:textId="77777777" w:rsidR="00563C62" w:rsidRDefault="00563C62" w:rsidP="00563C62">
      <w:pPr>
        <w:pStyle w:val="Body"/>
        <w:rPr>
          <w:color w:val="004EA8"/>
          <w:sz w:val="44"/>
          <w:szCs w:val="44"/>
        </w:rPr>
      </w:pPr>
      <w:r>
        <w:lastRenderedPageBreak/>
        <w:br w:type="page"/>
      </w:r>
    </w:p>
    <w:p w14:paraId="1C4E12DB" w14:textId="17472189" w:rsidR="00A771FC" w:rsidRPr="00E74C07" w:rsidRDefault="00862231" w:rsidP="00E74C07">
      <w:pPr>
        <w:pStyle w:val="Heading1"/>
        <w:rPr>
          <w:b/>
          <w:sz w:val="21"/>
          <w:szCs w:val="21"/>
        </w:rPr>
      </w:pPr>
      <w:bookmarkStart w:id="45" w:name="_Toc118293981"/>
      <w:r>
        <w:lastRenderedPageBreak/>
        <w:t>3</w:t>
      </w:r>
      <w:r w:rsidR="0049615B">
        <w:t>.</w:t>
      </w:r>
      <w:r w:rsidR="00381B2F" w:rsidRPr="00182DBC">
        <w:t xml:space="preserve"> </w:t>
      </w:r>
      <w:r w:rsidR="00381B2F">
        <w:t>A</w:t>
      </w:r>
      <w:r w:rsidR="00381B2F" w:rsidRPr="00182DBC">
        <w:t xml:space="preserve"> final word</w:t>
      </w:r>
      <w:r w:rsidR="0008728D">
        <w:t xml:space="preserve">: </w:t>
      </w:r>
      <w:r w:rsidR="003C5480">
        <w:t>mental health as a shared responsibility</w:t>
      </w:r>
      <w:bookmarkEnd w:id="45"/>
    </w:p>
    <w:p w14:paraId="18ACA7AC" w14:textId="490A9348" w:rsidR="00EE6B69" w:rsidRPr="00EE6B69" w:rsidRDefault="00EE6B69" w:rsidP="00E34C88">
      <w:pPr>
        <w:pStyle w:val="Body"/>
      </w:pPr>
      <w:r w:rsidRPr="00EE6B69">
        <w:t xml:space="preserve">The Royal Commission described mental health as a </w:t>
      </w:r>
      <w:r w:rsidR="00B7134C">
        <w:t>‘</w:t>
      </w:r>
      <w:r w:rsidRPr="00EE6B69">
        <w:t>shared responsibility of society</w:t>
      </w:r>
      <w:r w:rsidR="00B7134C">
        <w:t>’</w:t>
      </w:r>
      <w:r w:rsidRPr="00EE6B69">
        <w:t>. It envisaged a future where collaboration and communication take place within and beyond the mental health system and at all levels of government.</w:t>
      </w:r>
    </w:p>
    <w:p w14:paraId="32A92F9A" w14:textId="36BF2446" w:rsidR="00EE6B69" w:rsidRPr="00EE6B69" w:rsidRDefault="00EE6B69" w:rsidP="00EE6B69">
      <w:pPr>
        <w:pStyle w:val="Body"/>
      </w:pPr>
      <w:r w:rsidRPr="00EE6B69">
        <w:t>The Royal Commission</w:t>
      </w:r>
      <w:r w:rsidR="00006609">
        <w:t>’s vision</w:t>
      </w:r>
      <w:r w:rsidRPr="00EE6B69">
        <w:t xml:space="preserve"> recognises that building and sustaining a mental health system that benefits all Victorians can only ever be a collective endeavour. It is our different efforts, strengths and relationships that make it possible to create a system that is integrated, efficient, easy to navigate</w:t>
      </w:r>
      <w:r w:rsidR="00CA59FC">
        <w:t>,</w:t>
      </w:r>
      <w:r w:rsidRPr="00EE6B69">
        <w:t xml:space="preserve"> and allows people to receive care when it makes the most difference to their recovery. Social and institutional connections are an essential </w:t>
      </w:r>
      <w:r w:rsidR="00B7233F">
        <w:t>part</w:t>
      </w:r>
      <w:r w:rsidR="00B7233F" w:rsidRPr="00EE6B69">
        <w:t xml:space="preserve"> </w:t>
      </w:r>
      <w:r w:rsidRPr="00EE6B69">
        <w:t>of this</w:t>
      </w:r>
      <w:r w:rsidR="00954A3F">
        <w:t xml:space="preserve">. They </w:t>
      </w:r>
      <w:r w:rsidR="001D799F">
        <w:t>link</w:t>
      </w:r>
      <w:r w:rsidRPr="00EE6B69">
        <w:t xml:space="preserve"> together dispersed initiatives to drive improvements and serv</w:t>
      </w:r>
      <w:r w:rsidR="001D799F">
        <w:t>e</w:t>
      </w:r>
      <w:r w:rsidRPr="00EE6B69">
        <w:t xml:space="preserve"> as the very basis for building momentum, learning</w:t>
      </w:r>
      <w:r w:rsidR="000E27CE">
        <w:t>, s</w:t>
      </w:r>
      <w:r w:rsidRPr="00EE6B69">
        <w:t>hared decision</w:t>
      </w:r>
      <w:r w:rsidR="00FB0435">
        <w:t xml:space="preserve"> </w:t>
      </w:r>
      <w:r w:rsidRPr="00EE6B69">
        <w:t>making, and align</w:t>
      </w:r>
      <w:r w:rsidR="00B7233F">
        <w:t>ing</w:t>
      </w:r>
      <w:r w:rsidRPr="00EE6B69">
        <w:t xml:space="preserve"> actions </w:t>
      </w:r>
      <w:r w:rsidR="00106DDF" w:rsidRPr="00106DDF">
        <w:t xml:space="preserve">towards a common purpose </w:t>
      </w:r>
      <w:r w:rsidR="00106DDF">
        <w:t>among</w:t>
      </w:r>
      <w:r w:rsidRPr="00EE6B69">
        <w:t xml:space="preserve"> those who regulate, fund, use and work in the mental health system. </w:t>
      </w:r>
    </w:p>
    <w:p w14:paraId="1F93F0AD" w14:textId="459A9FE7" w:rsidR="00EE6B69" w:rsidRPr="00EE6B69" w:rsidRDefault="00EE6B69" w:rsidP="00EE6B69">
      <w:pPr>
        <w:pStyle w:val="Body"/>
      </w:pPr>
      <w:r w:rsidRPr="00EE6B69">
        <w:t xml:space="preserve">One year </w:t>
      </w:r>
      <w:r w:rsidR="00BC7157">
        <w:t>on</w:t>
      </w:r>
      <w:r w:rsidR="00FA799F">
        <w:t xml:space="preserve"> since </w:t>
      </w:r>
      <w:r w:rsidRPr="00EE6B69">
        <w:t>the Royal Commission released its final report,</w:t>
      </w:r>
      <w:r w:rsidR="00FA799F">
        <w:t xml:space="preserve"> </w:t>
      </w:r>
      <w:r w:rsidRPr="00EE6B69">
        <w:t>a reform landscape has emerged that takes this interdependence seriously. There is a mobilisation of collective power to address major mental health problems, with government departments and agencies, legislators, mental health services, consumers, carers, peak bodies and community organisations</w:t>
      </w:r>
      <w:r w:rsidR="00D13691">
        <w:t xml:space="preserve"> and leaders</w:t>
      </w:r>
      <w:r w:rsidRPr="00EE6B69">
        <w:t xml:space="preserve"> coming together with </w:t>
      </w:r>
      <w:r w:rsidR="00A10AAA">
        <w:t xml:space="preserve">the shared goal of </w:t>
      </w:r>
      <w:r w:rsidRPr="00EE6B69">
        <w:t>transform</w:t>
      </w:r>
      <w:r w:rsidR="00A10AAA">
        <w:t>ing</w:t>
      </w:r>
      <w:r w:rsidRPr="00EE6B69">
        <w:t xml:space="preserve"> the way mental health care is provided in Victoria.</w:t>
      </w:r>
      <w:r w:rsidR="00E20B98">
        <w:t xml:space="preserve"> </w:t>
      </w:r>
      <w:r w:rsidRPr="00EE6B69">
        <w:t xml:space="preserve">Through various forums, workshops and meetings across the state, system-wide changes are being </w:t>
      </w:r>
      <w:r w:rsidR="00AB68A4">
        <w:t>enacted</w:t>
      </w:r>
      <w:r w:rsidRPr="00EE6B69">
        <w:t xml:space="preserve"> that are increasing capacity for accountability, service monitoring and service provision</w:t>
      </w:r>
      <w:r w:rsidR="00F639A8">
        <w:t>. This will equip</w:t>
      </w:r>
      <w:r w:rsidRPr="00EE6B69">
        <w:t xml:space="preserve"> the system to keep </w:t>
      </w:r>
      <w:r w:rsidR="003B18F8">
        <w:t>pace</w:t>
      </w:r>
      <w:r w:rsidRPr="00EE6B69">
        <w:t xml:space="preserve"> with the significant demand that is placed on it and </w:t>
      </w:r>
      <w:r w:rsidR="0046098E">
        <w:t xml:space="preserve">to </w:t>
      </w:r>
      <w:r w:rsidRPr="00EE6B69">
        <w:t>improv</w:t>
      </w:r>
      <w:r w:rsidR="002F3DE3">
        <w:t>e</w:t>
      </w:r>
      <w:r w:rsidR="00EF7B22">
        <w:t xml:space="preserve"> the </w:t>
      </w:r>
      <w:r w:rsidRPr="00EE6B69">
        <w:t>experiences and outcomes</w:t>
      </w:r>
      <w:r w:rsidR="00EF7B22">
        <w:t xml:space="preserve"> of people who </w:t>
      </w:r>
      <w:r w:rsidR="00123BD6">
        <w:t>use it</w:t>
      </w:r>
      <w:r w:rsidRPr="00EE6B69">
        <w:t xml:space="preserve">. </w:t>
      </w:r>
    </w:p>
    <w:p w14:paraId="3A4B6ED9" w14:textId="6B724445" w:rsidR="00FD4E0C" w:rsidRDefault="00EE6B69" w:rsidP="00EE6B69">
      <w:pPr>
        <w:pStyle w:val="Body"/>
      </w:pPr>
      <w:r w:rsidRPr="00EE6B69">
        <w:t>The OCP is at the centre of this expansion and intensification of cooperation and collaboration</w:t>
      </w:r>
      <w:r w:rsidR="007E344A">
        <w:t>. It is deepening already existing partnerships and forging new ones</w:t>
      </w:r>
      <w:r w:rsidR="00862896">
        <w:t xml:space="preserve"> </w:t>
      </w:r>
      <w:r w:rsidR="003E3796">
        <w:t>that will prepare it to</w:t>
      </w:r>
      <w:r w:rsidR="00D2214C">
        <w:t xml:space="preserve"> </w:t>
      </w:r>
      <w:r w:rsidR="005F3584">
        <w:t>continue</w:t>
      </w:r>
      <w:r w:rsidR="003E3796">
        <w:t xml:space="preserve"> </w:t>
      </w:r>
      <w:r w:rsidR="005F3584">
        <w:t>uphold</w:t>
      </w:r>
      <w:r w:rsidR="003E3796">
        <w:t>ing</w:t>
      </w:r>
      <w:r w:rsidR="00692CD9">
        <w:t xml:space="preserve"> </w:t>
      </w:r>
      <w:r w:rsidR="005F3584">
        <w:t xml:space="preserve">quality and safety </w:t>
      </w:r>
      <w:r w:rsidR="00E169ED">
        <w:t>in</w:t>
      </w:r>
      <w:r w:rsidR="00BF6DE5">
        <w:t xml:space="preserve"> a</w:t>
      </w:r>
      <w:r w:rsidR="002C6A55">
        <w:t xml:space="preserve"> </w:t>
      </w:r>
      <w:r w:rsidR="00BC76D8">
        <w:t>system being changed from the ground up</w:t>
      </w:r>
      <w:r w:rsidR="00D235EC">
        <w:t>.</w:t>
      </w:r>
    </w:p>
    <w:p w14:paraId="7F0D6AFA" w14:textId="304FA26C" w:rsidR="00AC1426" w:rsidRDefault="00906BF8" w:rsidP="00EE6B69">
      <w:pPr>
        <w:pStyle w:val="Body"/>
      </w:pPr>
      <w:r>
        <w:t xml:space="preserve">The OCP meets regularly with </w:t>
      </w:r>
      <w:r w:rsidR="00BA166D">
        <w:t xml:space="preserve">members of the Mental Health Improvement Program at </w:t>
      </w:r>
      <w:r>
        <w:t>S</w:t>
      </w:r>
      <w:r w:rsidR="00BA166D">
        <w:t xml:space="preserve">afer </w:t>
      </w:r>
      <w:r>
        <w:t>C</w:t>
      </w:r>
      <w:r w:rsidR="00BA166D">
        <w:t xml:space="preserve">are </w:t>
      </w:r>
      <w:r>
        <w:t>V</w:t>
      </w:r>
      <w:r w:rsidR="00BA166D">
        <w:t xml:space="preserve">ictoria </w:t>
      </w:r>
      <w:r>
        <w:t xml:space="preserve">to coordinate actions and ensure </w:t>
      </w:r>
      <w:r w:rsidR="00C33AAD">
        <w:t>they lead</w:t>
      </w:r>
      <w:r>
        <w:t xml:space="preserve"> to continuous improvements in clinical practice.</w:t>
      </w:r>
      <w:r w:rsidR="006C0B6D">
        <w:t xml:space="preserve"> </w:t>
      </w:r>
      <w:r w:rsidR="00330021">
        <w:t>As part of assuming oversight responsibilities o</w:t>
      </w:r>
      <w:r w:rsidR="00ED5073">
        <w:t>ver</w:t>
      </w:r>
      <w:r w:rsidR="00330021">
        <w:t xml:space="preserve"> mental health</w:t>
      </w:r>
      <w:r w:rsidR="00341351">
        <w:t xml:space="preserve"> services in custodial settings, the OCP has </w:t>
      </w:r>
      <w:r w:rsidR="003516FB">
        <w:t xml:space="preserve">started discussions with the Department of Justice and Community Safety to determine </w:t>
      </w:r>
      <w:r w:rsidR="00D624C2">
        <w:t>effective ways of working</w:t>
      </w:r>
      <w:r w:rsidR="00446111">
        <w:t xml:space="preserve"> together </w:t>
      </w:r>
      <w:r w:rsidR="003C0473">
        <w:t xml:space="preserve">in this new arrangement of governance. </w:t>
      </w:r>
      <w:r w:rsidR="00FA6E4F">
        <w:t>The OCP maintains its</w:t>
      </w:r>
      <w:r w:rsidR="00681955">
        <w:t xml:space="preserve"> </w:t>
      </w:r>
      <w:r w:rsidR="00FA6E4F">
        <w:t xml:space="preserve">longstanding </w:t>
      </w:r>
      <w:r w:rsidR="00681955">
        <w:t>collaborative relationship with Tandem and the Victorian Mental Illness Awareness Council</w:t>
      </w:r>
      <w:r w:rsidR="001B3AC1">
        <w:t xml:space="preserve">, </w:t>
      </w:r>
      <w:r w:rsidR="00FA6E4F">
        <w:t>giving it</w:t>
      </w:r>
      <w:r w:rsidR="0003349D">
        <w:t xml:space="preserve"> </w:t>
      </w:r>
      <w:r w:rsidR="00736472">
        <w:t xml:space="preserve">access </w:t>
      </w:r>
      <w:r w:rsidR="0003349D">
        <w:t xml:space="preserve">to </w:t>
      </w:r>
      <w:r w:rsidR="00680910">
        <w:t xml:space="preserve">people with </w:t>
      </w:r>
      <w:r w:rsidR="007A7C50">
        <w:t xml:space="preserve">consumer and carer </w:t>
      </w:r>
      <w:r w:rsidR="00680910">
        <w:t>lived experience</w:t>
      </w:r>
      <w:r w:rsidR="0017458F">
        <w:t xml:space="preserve"> </w:t>
      </w:r>
      <w:r w:rsidR="00680910">
        <w:t xml:space="preserve">to support </w:t>
      </w:r>
      <w:r w:rsidR="0017458F">
        <w:t xml:space="preserve">its </w:t>
      </w:r>
      <w:r w:rsidR="00D47355">
        <w:t>core activities</w:t>
      </w:r>
      <w:r w:rsidR="0017458F">
        <w:t>.</w:t>
      </w:r>
      <w:r w:rsidR="00A81858">
        <w:t xml:space="preserve"> </w:t>
      </w:r>
      <w:r w:rsidR="00613A23">
        <w:t xml:space="preserve">In the Mental Health and Wellbeing Division, the OCP </w:t>
      </w:r>
      <w:r w:rsidR="00CD3465">
        <w:t>works with</w:t>
      </w:r>
      <w:r w:rsidR="00117F93">
        <w:t xml:space="preserve"> colleagues in</w:t>
      </w:r>
      <w:r w:rsidR="00C04F00">
        <w:t xml:space="preserve"> the Lived Experience </w:t>
      </w:r>
      <w:r w:rsidR="000B1ED1">
        <w:t>Branch</w:t>
      </w:r>
      <w:r w:rsidR="00C04F00">
        <w:t xml:space="preserve"> to </w:t>
      </w:r>
      <w:r w:rsidR="00117F93">
        <w:t xml:space="preserve">find ways of </w:t>
      </w:r>
      <w:r w:rsidR="009C2526">
        <w:t>embed</w:t>
      </w:r>
      <w:r w:rsidR="00CD3465">
        <w:t>ding</w:t>
      </w:r>
      <w:r w:rsidR="009C2526">
        <w:t xml:space="preserve"> consumer and ca</w:t>
      </w:r>
      <w:r w:rsidR="00CD3465">
        <w:t>r</w:t>
      </w:r>
      <w:r w:rsidR="009C2526">
        <w:t>er perspectives in</w:t>
      </w:r>
      <w:r w:rsidR="00935E2D">
        <w:t xml:space="preserve"> </w:t>
      </w:r>
      <w:r w:rsidR="00A17E7C">
        <w:t>the OCP’s</w:t>
      </w:r>
      <w:r w:rsidR="00BD618B">
        <w:t xml:space="preserve"> project</w:t>
      </w:r>
      <w:r w:rsidR="00570AB2">
        <w:t xml:space="preserve">s. It also works with </w:t>
      </w:r>
      <w:r w:rsidR="0027527A">
        <w:t>colleagues in</w:t>
      </w:r>
      <w:r w:rsidR="00E05F32">
        <w:t xml:space="preserve"> the Clinical Advisory Hub to</w:t>
      </w:r>
      <w:r w:rsidR="00C213A1">
        <w:t xml:space="preserve"> </w:t>
      </w:r>
      <w:r w:rsidR="00570AB2">
        <w:t>pool</w:t>
      </w:r>
      <w:r w:rsidR="00C213A1">
        <w:t xml:space="preserve"> specialist knowledge </w:t>
      </w:r>
      <w:r w:rsidR="00095D3D">
        <w:t>around</w:t>
      </w:r>
      <w:r w:rsidR="00BF6585">
        <w:t xml:space="preserve"> clinical mental health</w:t>
      </w:r>
      <w:r w:rsidR="00B80A42">
        <w:t xml:space="preserve"> </w:t>
      </w:r>
      <w:r w:rsidR="00C318E6">
        <w:t>in support of Royal Commission reforms</w:t>
      </w:r>
      <w:r w:rsidR="00B80A42">
        <w:t>.</w:t>
      </w:r>
      <w:r w:rsidR="00FB5A5C">
        <w:t xml:space="preserve"> </w:t>
      </w:r>
      <w:r w:rsidR="0027527A">
        <w:t xml:space="preserve">The </w:t>
      </w:r>
      <w:r w:rsidR="00293FC4">
        <w:t xml:space="preserve">Chief Psychiatrist chairs the </w:t>
      </w:r>
      <w:r w:rsidR="0027527A">
        <w:t>Complex Needs Advisory Panel</w:t>
      </w:r>
      <w:r w:rsidR="0000658C">
        <w:t xml:space="preserve">, which </w:t>
      </w:r>
      <w:r w:rsidR="00486C17">
        <w:t xml:space="preserve">brings together </w:t>
      </w:r>
      <w:r w:rsidR="0034035B">
        <w:t xml:space="preserve">multidisciplinary and multiagency expertise </w:t>
      </w:r>
      <w:r w:rsidR="0084693D">
        <w:t>to support</w:t>
      </w:r>
      <w:r w:rsidR="0034035B">
        <w:t xml:space="preserve"> people with complex needs who are subject to the Crimes Mental Impairment and Unfitness to Plead Act</w:t>
      </w:r>
      <w:r w:rsidR="00293FC4">
        <w:t xml:space="preserve">. </w:t>
      </w:r>
      <w:r w:rsidR="007B484F">
        <w:t>A</w:t>
      </w:r>
      <w:r w:rsidR="00B525C2">
        <w:t xml:space="preserve"> protocol with the Mental Health Complaints Commission</w:t>
      </w:r>
      <w:r w:rsidR="00E7244F">
        <w:t xml:space="preserve"> outlin</w:t>
      </w:r>
      <w:r w:rsidR="009C3123">
        <w:t>ing</w:t>
      </w:r>
      <w:r w:rsidR="00E7244F">
        <w:t xml:space="preserve"> </w:t>
      </w:r>
      <w:r w:rsidR="00B04D48">
        <w:t xml:space="preserve">information sharing and referring arrangements </w:t>
      </w:r>
      <w:r w:rsidR="007B484F">
        <w:t>with the OCP</w:t>
      </w:r>
      <w:r w:rsidR="007D7D99">
        <w:t xml:space="preserve"> has </w:t>
      </w:r>
      <w:r w:rsidR="00193DAC">
        <w:t>strengthen</w:t>
      </w:r>
      <w:r w:rsidR="007D7D99">
        <w:t>ed</w:t>
      </w:r>
      <w:r w:rsidR="00193DAC">
        <w:t xml:space="preserve"> coordination around </w:t>
      </w:r>
      <w:r w:rsidR="00C562BD">
        <w:t>resol</w:t>
      </w:r>
      <w:r w:rsidR="00B7233F">
        <w:t>ving</w:t>
      </w:r>
      <w:r w:rsidR="00193DAC">
        <w:t xml:space="preserve"> complaints and </w:t>
      </w:r>
      <w:r w:rsidR="00B7233F">
        <w:t xml:space="preserve">putting forward </w:t>
      </w:r>
      <w:r w:rsidR="00193DAC">
        <w:t>recommendations for improving service</w:t>
      </w:r>
      <w:r w:rsidR="00B7233F">
        <w:t>s</w:t>
      </w:r>
      <w:r w:rsidR="00193DAC">
        <w:t xml:space="preserve">. </w:t>
      </w:r>
      <w:r w:rsidR="007733D8">
        <w:t xml:space="preserve">Regular </w:t>
      </w:r>
      <w:r w:rsidR="00612CF6">
        <w:t xml:space="preserve">meetings with authorised </w:t>
      </w:r>
      <w:r w:rsidR="0065132A">
        <w:t>psychiatrists and</w:t>
      </w:r>
      <w:r w:rsidR="00134C23">
        <w:t xml:space="preserve"> </w:t>
      </w:r>
      <w:r w:rsidR="00DA6F38">
        <w:t xml:space="preserve">the </w:t>
      </w:r>
      <w:r w:rsidR="0084274C">
        <w:t>Royal Australian and New Zealand College of Psychiatr</w:t>
      </w:r>
      <w:r w:rsidR="00CC7C0A">
        <w:t>ists</w:t>
      </w:r>
      <w:r w:rsidR="00275B83">
        <w:t xml:space="preserve"> </w:t>
      </w:r>
      <w:r w:rsidR="00394AC7">
        <w:t xml:space="preserve">allows the </w:t>
      </w:r>
      <w:r w:rsidR="003047FC">
        <w:t xml:space="preserve">OCP </w:t>
      </w:r>
      <w:r w:rsidR="00394AC7">
        <w:t xml:space="preserve">to </w:t>
      </w:r>
      <w:r w:rsidR="00A65E58">
        <w:t>stay attuned to the</w:t>
      </w:r>
      <w:r w:rsidR="00BD605A">
        <w:t xml:space="preserve"> </w:t>
      </w:r>
      <w:r w:rsidR="00770150">
        <w:t>challenges and opportunities</w:t>
      </w:r>
      <w:r w:rsidR="00B87AB6">
        <w:t xml:space="preserve"> in</w:t>
      </w:r>
      <w:r w:rsidR="00232DFF">
        <w:t xml:space="preserve"> the mental health system</w:t>
      </w:r>
      <w:r w:rsidR="00770150">
        <w:t xml:space="preserve"> from the standpoint of </w:t>
      </w:r>
      <w:r w:rsidR="00C675A9">
        <w:t>the psychiatrist workforce.</w:t>
      </w:r>
    </w:p>
    <w:p w14:paraId="5F41F94D" w14:textId="286F6874" w:rsidR="000414D6" w:rsidRDefault="000414D6" w:rsidP="00EE6B69">
      <w:pPr>
        <w:pStyle w:val="Body"/>
      </w:pPr>
      <w:r>
        <w:lastRenderedPageBreak/>
        <w:t xml:space="preserve">The OCP </w:t>
      </w:r>
      <w:r w:rsidR="00BC17C0">
        <w:t xml:space="preserve">will continue to </w:t>
      </w:r>
      <w:r>
        <w:t xml:space="preserve">invest in these </w:t>
      </w:r>
      <w:r w:rsidR="00636E0F">
        <w:t>relationships and foster new ones</w:t>
      </w:r>
      <w:r w:rsidR="00ED589A">
        <w:t>,</w:t>
      </w:r>
      <w:r w:rsidR="00BC17C0">
        <w:t xml:space="preserve"> consi</w:t>
      </w:r>
      <w:r w:rsidR="00006F3B">
        <w:t xml:space="preserve">dering them </w:t>
      </w:r>
      <w:r w:rsidR="008D1281">
        <w:t>vital for</w:t>
      </w:r>
      <w:r w:rsidR="001868ED">
        <w:t xml:space="preserve"> fulfilling its </w:t>
      </w:r>
      <w:r w:rsidR="0064471C">
        <w:t xml:space="preserve">shared responsibility to promote mental health and wellbeing </w:t>
      </w:r>
      <w:r w:rsidR="00002BD8">
        <w:t>in Victoria</w:t>
      </w:r>
      <w:r w:rsidR="0064471C">
        <w:t>.</w:t>
      </w:r>
    </w:p>
    <w:p w14:paraId="6CFB7F44" w14:textId="77777777" w:rsidR="00381B2F" w:rsidRDefault="00381B2F" w:rsidP="005003A0">
      <w:pPr>
        <w:pStyle w:val="Heading2"/>
      </w:pPr>
      <w:bookmarkStart w:id="46" w:name="_Toc118293982"/>
      <w:r w:rsidRPr="005003A0">
        <w:t>Feedback</w:t>
      </w:r>
      <w:r>
        <w:t xml:space="preserve"> on this report</w:t>
      </w:r>
      <w:bookmarkEnd w:id="46"/>
    </w:p>
    <w:p w14:paraId="074E4380" w14:textId="16F6A140" w:rsidR="00381B2F" w:rsidRPr="00B925AF" w:rsidRDefault="00381B2F" w:rsidP="00643556">
      <w:pPr>
        <w:pStyle w:val="Bodyaftertable"/>
      </w:pPr>
      <w:r>
        <w:t xml:space="preserve">If you have any feedback on this report, either wanting to respond to the content or requiring more detail, please </w:t>
      </w:r>
      <w:hyperlink r:id="rId20" w:history="1">
        <w:r w:rsidR="00CD3E14" w:rsidRPr="00CD3E14">
          <w:rPr>
            <w:rStyle w:val="Hyperlink"/>
          </w:rPr>
          <w:t>email the OCP</w:t>
        </w:r>
      </w:hyperlink>
      <w:r>
        <w:t xml:space="preserve"> </w:t>
      </w:r>
      <w:r w:rsidR="00CD3E14">
        <w:t>&lt;</w:t>
      </w:r>
      <w:r w:rsidR="00CD3E14" w:rsidRPr="00BC7F2F">
        <w:t>ocp@</w:t>
      </w:r>
      <w:r w:rsidR="008952F6">
        <w:t>health</w:t>
      </w:r>
      <w:r w:rsidR="00CD3E14" w:rsidRPr="00BC7F2F">
        <w:t>.vic.gov.au</w:t>
      </w:r>
      <w:r w:rsidR="00CD3E14">
        <w:t>&gt;</w:t>
      </w:r>
      <w:r w:rsidR="0057779F">
        <w:t xml:space="preserve"> </w:t>
      </w:r>
      <w:r>
        <w:t xml:space="preserve">and </w:t>
      </w:r>
      <w:r w:rsidR="0068785A">
        <w:t>we</w:t>
      </w:r>
      <w:r>
        <w:t xml:space="preserve"> will respond </w:t>
      </w:r>
      <w:r w:rsidR="0068785A">
        <w:t>as soon as we can</w:t>
      </w:r>
      <w:r>
        <w:t>.</w:t>
      </w:r>
    </w:p>
    <w:p w14:paraId="32221FFA" w14:textId="77777777" w:rsidR="00381B2F" w:rsidRDefault="00381B2F" w:rsidP="00381B2F">
      <w:pPr>
        <w:pStyle w:val="Heading2"/>
        <w:rPr>
          <w:b w:val="0"/>
          <w:bCs/>
        </w:rPr>
      </w:pPr>
      <w:bookmarkStart w:id="47" w:name="_Toc118293983"/>
      <w:r>
        <w:rPr>
          <w:bCs/>
        </w:rPr>
        <w:t>Notes on data</w:t>
      </w:r>
      <w:bookmarkEnd w:id="47"/>
    </w:p>
    <w:p w14:paraId="623182B9" w14:textId="317A73D5" w:rsidR="00381B2F" w:rsidRDefault="00381B2F" w:rsidP="00563C62">
      <w:pPr>
        <w:pStyle w:val="Body"/>
        <w:rPr>
          <w:iCs/>
        </w:rPr>
      </w:pPr>
      <w:r w:rsidRPr="0084319B">
        <w:t xml:space="preserve">Please note that not all percentages </w:t>
      </w:r>
      <w:r w:rsidR="0068785A">
        <w:t xml:space="preserve">in graphs and tables </w:t>
      </w:r>
      <w:r w:rsidRPr="0084319B">
        <w:t>may add to 100</w:t>
      </w:r>
      <w:r w:rsidR="008F74B0">
        <w:t xml:space="preserve"> per cent</w:t>
      </w:r>
      <w:r w:rsidRPr="0084319B">
        <w:t xml:space="preserve"> because of rounding</w:t>
      </w:r>
      <w:r>
        <w:rPr>
          <w:iCs/>
        </w:rPr>
        <w:t>. For</w:t>
      </w:r>
      <w:r w:rsidRPr="0084319B">
        <w:t xml:space="preserve"> some tables, categories were further aggregated to protect the privacy and confidentiality of individuals.</w:t>
      </w:r>
    </w:p>
    <w:p w14:paraId="26B2C647" w14:textId="4AB5272E" w:rsidR="00381B2F" w:rsidRDefault="00381B2F" w:rsidP="00563C62">
      <w:pPr>
        <w:pStyle w:val="Body"/>
        <w:rPr>
          <w:iCs/>
        </w:rPr>
      </w:pPr>
      <w:r w:rsidRPr="0084319B">
        <w:t xml:space="preserve">The data </w:t>
      </w:r>
      <w:r w:rsidR="0068785A">
        <w:t xml:space="preserve">in this </w:t>
      </w:r>
      <w:r w:rsidRPr="0084319B">
        <w:t>report is extracted from live databases</w:t>
      </w:r>
      <w:r w:rsidR="0068785A">
        <w:t>.</w:t>
      </w:r>
      <w:r w:rsidRPr="0084319B">
        <w:t xml:space="preserve"> </w:t>
      </w:r>
      <w:r w:rsidR="0068785A">
        <w:t>T</w:t>
      </w:r>
      <w:r w:rsidRPr="0084319B">
        <w:t xml:space="preserve">his means there may be slight </w:t>
      </w:r>
      <w:r>
        <w:rPr>
          <w:iCs/>
        </w:rPr>
        <w:t>variations</w:t>
      </w:r>
      <w:r w:rsidRPr="0084319B">
        <w:t xml:space="preserve"> in the numbers when </w:t>
      </w:r>
      <w:r w:rsidRPr="0084319B">
        <w:rPr>
          <w:iCs/>
        </w:rPr>
        <w:t>compa</w:t>
      </w:r>
      <w:r>
        <w:rPr>
          <w:iCs/>
        </w:rPr>
        <w:t xml:space="preserve">red </w:t>
      </w:r>
      <w:r w:rsidR="00A424DB">
        <w:rPr>
          <w:iCs/>
        </w:rPr>
        <w:t>with</w:t>
      </w:r>
      <w:r w:rsidR="00A424DB" w:rsidRPr="0084319B">
        <w:t xml:space="preserve"> </w:t>
      </w:r>
      <w:r w:rsidRPr="0084319B">
        <w:t>previous annual reports.</w:t>
      </w:r>
    </w:p>
    <w:p w14:paraId="7E4366A2" w14:textId="419FB09E" w:rsidR="003B1035" w:rsidRDefault="00381B2F" w:rsidP="00563C62">
      <w:pPr>
        <w:pStyle w:val="Body"/>
      </w:pPr>
      <w:r w:rsidRPr="0084319B">
        <w:t xml:space="preserve">The </w:t>
      </w:r>
      <w:r w:rsidR="001F7590">
        <w:t>OCP</w:t>
      </w:r>
      <w:r w:rsidRPr="0084319B">
        <w:t xml:space="preserve"> kindly thanks the Victorian Agency for Health Information for extracti</w:t>
      </w:r>
      <w:r w:rsidR="0068785A">
        <w:t>ng</w:t>
      </w:r>
      <w:r w:rsidRPr="0084319B">
        <w:t xml:space="preserve"> ECT and </w:t>
      </w:r>
      <w:r w:rsidR="0068785A">
        <w:rPr>
          <w:iCs/>
        </w:rPr>
        <w:t>r</w:t>
      </w:r>
      <w:r w:rsidRPr="0084319B">
        <w:rPr>
          <w:iCs/>
        </w:rPr>
        <w:t xml:space="preserve">estrictive </w:t>
      </w:r>
      <w:r w:rsidR="0068785A">
        <w:rPr>
          <w:iCs/>
        </w:rPr>
        <w:t>i</w:t>
      </w:r>
      <w:r w:rsidRPr="0084319B">
        <w:rPr>
          <w:iCs/>
        </w:rPr>
        <w:t>nterventions</w:t>
      </w:r>
      <w:r w:rsidRPr="0084319B">
        <w:t xml:space="preserve"> data from the </w:t>
      </w:r>
      <w:proofErr w:type="spellStart"/>
      <w:r w:rsidR="63449B61">
        <w:t>statewide</w:t>
      </w:r>
      <w:proofErr w:type="spellEnd"/>
      <w:r w:rsidRPr="0084319B">
        <w:t xml:space="preserve"> mental health database. </w:t>
      </w:r>
    </w:p>
    <w:sectPr w:rsidR="003B1035" w:rsidSect="00BA5E47">
      <w:headerReference w:type="even" r:id="rId21"/>
      <w:headerReference w:type="default" r:id="rId22"/>
      <w:footerReference w:type="even" r:id="rId23"/>
      <w:footerReference w:type="default" r:id="rId24"/>
      <w:footerReference w:type="first" r:id="rId25"/>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850DD" w14:textId="77777777" w:rsidR="00DA28FE" w:rsidRDefault="00DA28FE">
      <w:r>
        <w:separator/>
      </w:r>
    </w:p>
  </w:endnote>
  <w:endnote w:type="continuationSeparator" w:id="0">
    <w:p w14:paraId="1618E17E" w14:textId="77777777" w:rsidR="00DA28FE" w:rsidRDefault="00DA28FE">
      <w:r>
        <w:continuationSeparator/>
      </w:r>
    </w:p>
  </w:endnote>
  <w:endnote w:type="continuationNotice" w:id="1">
    <w:p w14:paraId="3EA91806" w14:textId="77777777" w:rsidR="00DA28FE" w:rsidRDefault="00DA28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Ebrima"/>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48C16" w14:textId="1DC02189" w:rsidR="00F33284" w:rsidRDefault="00F33284">
    <w:pPr>
      <w:pStyle w:val="Footer"/>
    </w:pPr>
    <w:r>
      <w:rPr>
        <w:noProof/>
      </w:rPr>
      <mc:AlternateContent>
        <mc:Choice Requires="wps">
          <w:drawing>
            <wp:anchor distT="0" distB="0" distL="114300" distR="114300" simplePos="0" relativeHeight="251658241" behindDoc="0" locked="0" layoutInCell="0" allowOverlap="1" wp14:anchorId="6ED338FE" wp14:editId="08A28BB1">
              <wp:simplePos x="0" y="0"/>
              <wp:positionH relativeFrom="page">
                <wp:posOffset>0</wp:posOffset>
              </wp:positionH>
              <wp:positionV relativeFrom="page">
                <wp:posOffset>10189210</wp:posOffset>
              </wp:positionV>
              <wp:extent cx="7560310" cy="311785"/>
              <wp:effectExtent l="0" t="0" r="0" b="12065"/>
              <wp:wrapNone/>
              <wp:docPr id="4" name="MSIPCM8b554064852c03f1d26374a0"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F35C3F" w14:textId="7DA10E6C" w:rsidR="00F33284" w:rsidRPr="00F861AC" w:rsidRDefault="00F33284" w:rsidP="00F861AC">
                          <w:pPr>
                            <w:jc w:val="center"/>
                            <w:rPr>
                              <w:rFonts w:ascii="Arial Black" w:hAnsi="Arial Black"/>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D338FE" id="_x0000_t202" coordsize="21600,21600" o:spt="202" path="m,l,21600r21600,l21600,xe">
              <v:stroke joinstyle="miter"/>
              <v:path gradientshapeok="t" o:connecttype="rect"/>
            </v:shapetype>
            <v:shape id="MSIPCM8b554064852c03f1d26374a0" o:spid="_x0000_s1027" type="#_x0000_t202" alt="{&quot;HashCode&quot;:904758361,&quot;Height&quot;:841.0,&quot;Width&quot;:595.0,&quot;Placement&quot;:&quot;Footer&quot;,&quot;Index&quot;:&quot;OddAndEven&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AF35C3F" w14:textId="7DA10E6C" w:rsidR="00F33284" w:rsidRPr="00F861AC" w:rsidRDefault="00F33284" w:rsidP="00F861AC">
                    <w:pPr>
                      <w:jc w:val="center"/>
                      <w:rPr>
                        <w:rFonts w:ascii="Arial Black" w:hAnsi="Arial Black"/>
                        <w:color w:val="00000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47E7" w14:textId="14EA5824" w:rsidR="00F33284" w:rsidRDefault="00F33284">
    <w:pPr>
      <w:pStyle w:val="Footer"/>
    </w:pPr>
    <w:r>
      <w:rPr>
        <w:noProof/>
      </w:rPr>
      <mc:AlternateContent>
        <mc:Choice Requires="wps">
          <w:drawing>
            <wp:anchor distT="0" distB="0" distL="114300" distR="114300" simplePos="0" relativeHeight="251658240" behindDoc="0" locked="0" layoutInCell="0" allowOverlap="1" wp14:anchorId="7D442AA0" wp14:editId="76746DD9">
              <wp:simplePos x="0" y="0"/>
              <wp:positionH relativeFrom="page">
                <wp:posOffset>0</wp:posOffset>
              </wp:positionH>
              <wp:positionV relativeFrom="page">
                <wp:posOffset>10189210</wp:posOffset>
              </wp:positionV>
              <wp:extent cx="7560310" cy="311785"/>
              <wp:effectExtent l="0" t="0" r="0" b="12065"/>
              <wp:wrapNone/>
              <wp:docPr id="1" name="MSIPCM240641de86b548ccb091be80"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285477" w14:textId="53AAEA07" w:rsidR="00F33284" w:rsidRPr="00F861AC" w:rsidRDefault="00F33284" w:rsidP="00F861AC">
                          <w:pPr>
                            <w:jc w:val="center"/>
                            <w:rPr>
                              <w:rFonts w:ascii="Arial Black" w:hAnsi="Arial Black"/>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D442AA0" id="_x0000_t202" coordsize="21600,21600" o:spt="202" path="m,l,21600r21600,l21600,xe">
              <v:stroke joinstyle="miter"/>
              <v:path gradientshapeok="t" o:connecttype="rect"/>
            </v:shapetype>
            <v:shape id="MSIPCM240641de86b548ccb091be80" o:sp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8285477" w14:textId="53AAEA07" w:rsidR="00F33284" w:rsidRPr="00F861AC" w:rsidRDefault="00F33284" w:rsidP="00F861AC">
                    <w:pPr>
                      <w:jc w:val="center"/>
                      <w:rPr>
                        <w:rFonts w:ascii="Arial Black" w:hAnsi="Arial Black"/>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EE30" w14:textId="4554FA2D" w:rsidR="00F33284" w:rsidRPr="008114D1" w:rsidRDefault="00F33284" w:rsidP="00E969B1">
    <w:pPr>
      <w:pStyle w:val="DHHSfooter"/>
    </w:pPr>
    <w:r>
      <w:rPr>
        <w:noProof/>
      </w:rPr>
      <mc:AlternateContent>
        <mc:Choice Requires="wps">
          <w:drawing>
            <wp:anchor distT="0" distB="0" distL="114300" distR="114300" simplePos="0" relativeHeight="251658243" behindDoc="0" locked="0" layoutInCell="0" allowOverlap="1" wp14:anchorId="295A85A6" wp14:editId="72C422E5">
              <wp:simplePos x="0" y="0"/>
              <wp:positionH relativeFrom="page">
                <wp:posOffset>0</wp:posOffset>
              </wp:positionH>
              <wp:positionV relativeFrom="page">
                <wp:posOffset>10189210</wp:posOffset>
              </wp:positionV>
              <wp:extent cx="7560310" cy="311785"/>
              <wp:effectExtent l="0" t="0" r="0" b="12065"/>
              <wp:wrapNone/>
              <wp:docPr id="7" name="MSIPCMad25485fa8c62693cb66760c"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5356E3" w14:textId="77B82CD2" w:rsidR="00F33284" w:rsidRPr="00F861AC" w:rsidRDefault="00F33284" w:rsidP="00F861AC">
                          <w:pPr>
                            <w:jc w:val="center"/>
                            <w:rPr>
                              <w:rFonts w:ascii="Arial Black" w:hAnsi="Arial Black"/>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5A85A6" id="_x0000_t202" coordsize="21600,21600" o:spt="202" path="m,l,21600r21600,l21600,xe">
              <v:stroke joinstyle="miter"/>
              <v:path gradientshapeok="t" o:connecttype="rect"/>
            </v:shapetype>
            <v:shape id="MSIPCMad25485fa8c62693cb66760c"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65356E3" w14:textId="77B82CD2" w:rsidR="00F33284" w:rsidRPr="00F861AC" w:rsidRDefault="00F33284" w:rsidP="00F861AC">
                    <w:pPr>
                      <w:jc w:val="center"/>
                      <w:rPr>
                        <w:rFonts w:ascii="Arial Black" w:hAnsi="Arial Black"/>
                        <w:color w:val="000000"/>
                      </w:rPr>
                    </w:pPr>
                  </w:p>
                </w:txbxContent>
              </v:textbox>
              <w10:wrap anchorx="page" anchory="page"/>
            </v:shape>
          </w:pict>
        </mc:Fallback>
      </mc:AlternateContent>
    </w:r>
    <w:r>
      <w:t xml:space="preserve">Page </w:t>
    </w:r>
    <w:r w:rsidRPr="005A39EC">
      <w:fldChar w:fldCharType="begin"/>
    </w:r>
    <w:r w:rsidRPr="005A39EC">
      <w:instrText xml:space="preserve"> PAGE </w:instrText>
    </w:r>
    <w:r w:rsidRPr="005A39EC">
      <w:fldChar w:fldCharType="separate"/>
    </w:r>
    <w:r>
      <w:rPr>
        <w:noProof/>
      </w:rPr>
      <w:t>8</w:t>
    </w:r>
    <w:r w:rsidRPr="005A39EC">
      <w:fldChar w:fldCharType="end"/>
    </w:r>
    <w:r>
      <w:tab/>
    </w:r>
    <w:r w:rsidRPr="00381B2F">
      <w:t>Chief Psychiatrist’s annual report 20</w:t>
    </w:r>
    <w:r>
      <w:t>2</w:t>
    </w:r>
    <w:r w:rsidR="00322722">
      <w:t>1</w:t>
    </w:r>
    <w:r w:rsidRPr="00381B2F">
      <w:t>–2</w:t>
    </w:r>
    <w:r w:rsidR="00322722">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EFD76" w14:textId="533C2CD9" w:rsidR="00F33284" w:rsidRPr="0031753A" w:rsidRDefault="00F33284" w:rsidP="00E969B1">
    <w:pPr>
      <w:pStyle w:val="DHHSfooter"/>
    </w:pPr>
    <w:r>
      <w:rPr>
        <w:noProof/>
      </w:rPr>
      <mc:AlternateContent>
        <mc:Choice Requires="wps">
          <w:drawing>
            <wp:anchor distT="0" distB="0" distL="114300" distR="114300" simplePos="0" relativeHeight="251658242" behindDoc="0" locked="0" layoutInCell="0" allowOverlap="1" wp14:anchorId="087ED57A" wp14:editId="71A33A70">
              <wp:simplePos x="0" y="0"/>
              <wp:positionH relativeFrom="page">
                <wp:posOffset>0</wp:posOffset>
              </wp:positionH>
              <wp:positionV relativeFrom="page">
                <wp:posOffset>10189210</wp:posOffset>
              </wp:positionV>
              <wp:extent cx="7560310" cy="311785"/>
              <wp:effectExtent l="0" t="0" r="0" b="12065"/>
              <wp:wrapNone/>
              <wp:docPr id="6" name="MSIPCM9cf24ec78242be993745388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17692F" w14:textId="5EE0F8DD" w:rsidR="00F33284" w:rsidRPr="00F861AC" w:rsidRDefault="00F33284" w:rsidP="00F861AC">
                          <w:pPr>
                            <w:jc w:val="center"/>
                            <w:rPr>
                              <w:rFonts w:ascii="Arial Black" w:hAnsi="Arial Black"/>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7ED57A" id="_x0000_t202" coordsize="21600,21600" o:spt="202" path="m,l,21600r21600,l21600,xe">
              <v:stroke joinstyle="miter"/>
              <v:path gradientshapeok="t" o:connecttype="rect"/>
            </v:shapetype>
            <v:shape id="MSIPCM9cf24ec78242be9937453880" o:spid="_x0000_s1030" type="#_x0000_t202" alt="{&quot;HashCode&quot;:904758361,&quot;Height&quot;:841.0,&quot;Width&quot;:595.0,&quot;Placement&quot;:&quot;Footer&quot;,&quot;Index&quot;:&quot;Primary&quot;,&quot;Section&quot;:3,&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4917692F" w14:textId="5EE0F8DD" w:rsidR="00F33284" w:rsidRPr="00F861AC" w:rsidRDefault="00F33284" w:rsidP="00F861AC">
                    <w:pPr>
                      <w:jc w:val="center"/>
                      <w:rPr>
                        <w:rFonts w:ascii="Arial Black" w:hAnsi="Arial Black"/>
                        <w:color w:val="000000"/>
                      </w:rPr>
                    </w:pPr>
                  </w:p>
                </w:txbxContent>
              </v:textbox>
              <w10:wrap anchorx="page" anchory="page"/>
            </v:shape>
          </w:pict>
        </mc:Fallback>
      </mc:AlternateContent>
    </w:r>
    <w:r w:rsidRPr="00381B2F">
      <w:t>Chief Psychiatrist’s annual report 20</w:t>
    </w:r>
    <w:r>
      <w:t>2</w:t>
    </w:r>
    <w:r w:rsidR="00A61B25">
      <w:t>1</w:t>
    </w:r>
    <w:r w:rsidRPr="00381B2F">
      <w:t>–2</w:t>
    </w:r>
    <w:r w:rsidR="00A61B25">
      <w:t>2</w:t>
    </w:r>
    <w:r w:rsidRPr="0031753A">
      <w:tab/>
      <w:t xml:space="preserve">Page </w:t>
    </w:r>
    <w:r w:rsidRPr="0031753A">
      <w:fldChar w:fldCharType="begin"/>
    </w:r>
    <w:r w:rsidRPr="0031753A">
      <w:instrText xml:space="preserve"> PAGE </w:instrText>
    </w:r>
    <w:r w:rsidRPr="0031753A">
      <w:fldChar w:fldCharType="separate"/>
    </w:r>
    <w:r>
      <w:rPr>
        <w:noProof/>
      </w:rPr>
      <w:t>9</w:t>
    </w:r>
    <w:r w:rsidRPr="0031753A">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C98C0" w14:textId="77777777" w:rsidR="00F33284" w:rsidRPr="001A7E04" w:rsidRDefault="00F33284"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3F8CA" w14:textId="77777777" w:rsidR="00DA28FE" w:rsidRDefault="00DA28FE">
      <w:r>
        <w:separator/>
      </w:r>
    </w:p>
  </w:footnote>
  <w:footnote w:type="continuationSeparator" w:id="0">
    <w:p w14:paraId="35F07BA6" w14:textId="77777777" w:rsidR="00DA28FE" w:rsidRDefault="00DA28FE">
      <w:r>
        <w:continuationSeparator/>
      </w:r>
    </w:p>
  </w:footnote>
  <w:footnote w:type="continuationNotice" w:id="1">
    <w:p w14:paraId="38538106" w14:textId="77777777" w:rsidR="00DA28FE" w:rsidRDefault="00DA28FE"/>
  </w:footnote>
  <w:footnote w:id="2">
    <w:p w14:paraId="48E62AF9" w14:textId="7A21D12F" w:rsidR="000D7830" w:rsidRDefault="000D7830">
      <w:pPr>
        <w:pStyle w:val="FootnoteText"/>
      </w:pPr>
      <w:r>
        <w:rPr>
          <w:rStyle w:val="FootnoteReference"/>
        </w:rPr>
        <w:footnoteRef/>
      </w:r>
      <w:r>
        <w:t xml:space="preserve"> At the time of this report’s publication, the </w:t>
      </w:r>
      <w:r w:rsidR="00C818B2">
        <w:t xml:space="preserve">new Mental Health and Wellbeing Act </w:t>
      </w:r>
      <w:r w:rsidR="00B106CF">
        <w:t>was</w:t>
      </w:r>
      <w:r w:rsidR="00C818B2">
        <w:t xml:space="preserve"> passed in </w:t>
      </w:r>
      <w:r w:rsidR="00920F37">
        <w:t>p</w:t>
      </w:r>
      <w:r w:rsidR="00C818B2">
        <w:t>arliament.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3B9C8" w14:textId="77777777" w:rsidR="00F33284" w:rsidRPr="0069374A" w:rsidRDefault="00F33284" w:rsidP="00E969B1">
    <w:pPr>
      <w:pStyle w:val="DHHS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96D24" w14:textId="77777777" w:rsidR="00F33284" w:rsidRDefault="00F33284" w:rsidP="00E969B1">
    <w:pPr>
      <w:pStyle w:val="DHHSheader"/>
    </w:pPr>
  </w:p>
</w:hdr>
</file>

<file path=word/intelligence2.xml><?xml version="1.0" encoding="utf-8"?>
<int2:intelligence xmlns:int2="http://schemas.microsoft.com/office/intelligence/2020/intelligence" xmlns:oel="http://schemas.microsoft.com/office/2019/extlst">
  <int2:observations>
    <int2:textHash int2:hashCode="MqKi+oYQwIA1A3" int2:id="rQF4wLLf">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D78"/>
    <w:multiLevelType w:val="hybridMultilevel"/>
    <w:tmpl w:val="AADAE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C11D5E"/>
    <w:multiLevelType w:val="hybridMultilevel"/>
    <w:tmpl w:val="FFFFFFFF"/>
    <w:lvl w:ilvl="0" w:tplc="C318F398">
      <w:start w:val="1"/>
      <w:numFmt w:val="bullet"/>
      <w:lvlText w:val="•"/>
      <w:lvlJc w:val="left"/>
      <w:pPr>
        <w:ind w:left="1800" w:hanging="360"/>
      </w:pPr>
      <w:rPr>
        <w:rFonts w:ascii="Calibri" w:hAnsi="Calibri" w:hint="default"/>
      </w:rPr>
    </w:lvl>
    <w:lvl w:ilvl="1" w:tplc="D870FCD6">
      <w:start w:val="1"/>
      <w:numFmt w:val="bullet"/>
      <w:lvlText w:val="o"/>
      <w:lvlJc w:val="left"/>
      <w:pPr>
        <w:ind w:left="2520" w:hanging="360"/>
      </w:pPr>
      <w:rPr>
        <w:rFonts w:ascii="&quot;Courier New&quot;" w:hAnsi="&quot;Courier New&quot;" w:hint="default"/>
      </w:rPr>
    </w:lvl>
    <w:lvl w:ilvl="2" w:tplc="6002C90A">
      <w:start w:val="1"/>
      <w:numFmt w:val="bullet"/>
      <w:lvlText w:val=""/>
      <w:lvlJc w:val="left"/>
      <w:pPr>
        <w:ind w:left="2520" w:hanging="360"/>
      </w:pPr>
      <w:rPr>
        <w:rFonts w:ascii="Wingdings" w:hAnsi="Wingdings" w:hint="default"/>
      </w:rPr>
    </w:lvl>
    <w:lvl w:ilvl="3" w:tplc="193C8586">
      <w:start w:val="1"/>
      <w:numFmt w:val="bullet"/>
      <w:lvlText w:val=""/>
      <w:lvlJc w:val="left"/>
      <w:pPr>
        <w:ind w:left="3240" w:hanging="360"/>
      </w:pPr>
      <w:rPr>
        <w:rFonts w:ascii="Symbol" w:hAnsi="Symbol" w:hint="default"/>
      </w:rPr>
    </w:lvl>
    <w:lvl w:ilvl="4" w:tplc="D424E204">
      <w:start w:val="1"/>
      <w:numFmt w:val="bullet"/>
      <w:lvlText w:val="o"/>
      <w:lvlJc w:val="left"/>
      <w:pPr>
        <w:ind w:left="3960" w:hanging="360"/>
      </w:pPr>
      <w:rPr>
        <w:rFonts w:ascii="Courier New" w:hAnsi="Courier New" w:hint="default"/>
      </w:rPr>
    </w:lvl>
    <w:lvl w:ilvl="5" w:tplc="68725622">
      <w:start w:val="1"/>
      <w:numFmt w:val="bullet"/>
      <w:lvlText w:val=""/>
      <w:lvlJc w:val="left"/>
      <w:pPr>
        <w:ind w:left="4680" w:hanging="360"/>
      </w:pPr>
      <w:rPr>
        <w:rFonts w:ascii="Wingdings" w:hAnsi="Wingdings" w:hint="default"/>
      </w:rPr>
    </w:lvl>
    <w:lvl w:ilvl="6" w:tplc="E2AA457A">
      <w:start w:val="1"/>
      <w:numFmt w:val="bullet"/>
      <w:lvlText w:val=""/>
      <w:lvlJc w:val="left"/>
      <w:pPr>
        <w:ind w:left="5400" w:hanging="360"/>
      </w:pPr>
      <w:rPr>
        <w:rFonts w:ascii="Symbol" w:hAnsi="Symbol" w:hint="default"/>
      </w:rPr>
    </w:lvl>
    <w:lvl w:ilvl="7" w:tplc="BD587AF2">
      <w:start w:val="1"/>
      <w:numFmt w:val="bullet"/>
      <w:lvlText w:val="o"/>
      <w:lvlJc w:val="left"/>
      <w:pPr>
        <w:ind w:left="6120" w:hanging="360"/>
      </w:pPr>
      <w:rPr>
        <w:rFonts w:ascii="Courier New" w:hAnsi="Courier New" w:hint="default"/>
      </w:rPr>
    </w:lvl>
    <w:lvl w:ilvl="8" w:tplc="F51A912A">
      <w:start w:val="1"/>
      <w:numFmt w:val="bullet"/>
      <w:lvlText w:val=""/>
      <w:lvlJc w:val="left"/>
      <w:pPr>
        <w:ind w:left="6840" w:hanging="360"/>
      </w:pPr>
      <w:rPr>
        <w:rFonts w:ascii="Wingdings" w:hAnsi="Wingdings" w:hint="default"/>
      </w:rPr>
    </w:lvl>
  </w:abstractNum>
  <w:abstractNum w:abstractNumId="2" w15:restartNumberingAfterBreak="0">
    <w:nsid w:val="190A4038"/>
    <w:multiLevelType w:val="hybridMultilevel"/>
    <w:tmpl w:val="CCAC5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9027B1"/>
    <w:multiLevelType w:val="hybridMultilevel"/>
    <w:tmpl w:val="F0827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0704CF"/>
    <w:multiLevelType w:val="hybridMultilevel"/>
    <w:tmpl w:val="3538F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D51B47"/>
    <w:multiLevelType w:val="hybridMultilevel"/>
    <w:tmpl w:val="4B4E7622"/>
    <w:styleLink w:val="ZZNumbers"/>
    <w:lvl w:ilvl="0" w:tplc="F522C1C6">
      <w:start w:val="1"/>
      <w:numFmt w:val="decimal"/>
      <w:lvlText w:val="%1."/>
      <w:lvlJc w:val="left"/>
      <w:pPr>
        <w:tabs>
          <w:tab w:val="num" w:pos="681"/>
        </w:tabs>
        <w:ind w:left="681" w:hanging="397"/>
      </w:pPr>
      <w:rPr>
        <w:rFonts w:hint="default"/>
      </w:rPr>
    </w:lvl>
    <w:lvl w:ilvl="1" w:tplc="858E3FA0">
      <w:start w:val="1"/>
      <w:numFmt w:val="decimal"/>
      <w:lvlRestart w:val="0"/>
      <w:lvlText w:val="%2."/>
      <w:lvlJc w:val="left"/>
      <w:pPr>
        <w:tabs>
          <w:tab w:val="num" w:pos="794"/>
        </w:tabs>
        <w:ind w:left="794" w:hanging="397"/>
      </w:pPr>
      <w:rPr>
        <w:rFonts w:hint="default"/>
      </w:rPr>
    </w:lvl>
    <w:lvl w:ilvl="2" w:tplc="45C62204">
      <w:start w:val="1"/>
      <w:numFmt w:val="lowerLetter"/>
      <w:lvlRestart w:val="0"/>
      <w:lvlText w:val="(%3)"/>
      <w:lvlJc w:val="left"/>
      <w:pPr>
        <w:tabs>
          <w:tab w:val="num" w:pos="397"/>
        </w:tabs>
        <w:ind w:left="397" w:hanging="397"/>
      </w:pPr>
      <w:rPr>
        <w:rFonts w:hint="default"/>
      </w:rPr>
    </w:lvl>
    <w:lvl w:ilvl="3" w:tplc="58D20942">
      <w:start w:val="1"/>
      <w:numFmt w:val="lowerLetter"/>
      <w:lvlRestart w:val="0"/>
      <w:lvlText w:val="(%4)"/>
      <w:lvlJc w:val="left"/>
      <w:pPr>
        <w:tabs>
          <w:tab w:val="num" w:pos="794"/>
        </w:tabs>
        <w:ind w:left="794" w:hanging="397"/>
      </w:pPr>
      <w:rPr>
        <w:rFonts w:hint="default"/>
      </w:rPr>
    </w:lvl>
    <w:lvl w:ilvl="4" w:tplc="68108F40">
      <w:start w:val="1"/>
      <w:numFmt w:val="lowerRoman"/>
      <w:lvlRestart w:val="0"/>
      <w:lvlText w:val="(%5)"/>
      <w:lvlJc w:val="left"/>
      <w:pPr>
        <w:tabs>
          <w:tab w:val="num" w:pos="397"/>
        </w:tabs>
        <w:ind w:left="397" w:hanging="397"/>
      </w:pPr>
      <w:rPr>
        <w:rFonts w:hint="default"/>
      </w:rPr>
    </w:lvl>
    <w:lvl w:ilvl="5" w:tplc="32EA8940">
      <w:start w:val="1"/>
      <w:numFmt w:val="lowerRoman"/>
      <w:lvlRestart w:val="0"/>
      <w:lvlText w:val="(%6)"/>
      <w:lvlJc w:val="left"/>
      <w:pPr>
        <w:tabs>
          <w:tab w:val="num" w:pos="794"/>
        </w:tabs>
        <w:ind w:left="794" w:hanging="397"/>
      </w:pPr>
      <w:rPr>
        <w:rFonts w:hint="default"/>
      </w:rPr>
    </w:lvl>
    <w:lvl w:ilvl="6" w:tplc="BE6A8BA0">
      <w:start w:val="1"/>
      <w:numFmt w:val="none"/>
      <w:lvlRestart w:val="0"/>
      <w:lvlText w:val=""/>
      <w:lvlJc w:val="left"/>
      <w:pPr>
        <w:ind w:left="0" w:firstLine="0"/>
      </w:pPr>
      <w:rPr>
        <w:rFonts w:hint="default"/>
      </w:rPr>
    </w:lvl>
    <w:lvl w:ilvl="7" w:tplc="EC5AE78C">
      <w:start w:val="1"/>
      <w:numFmt w:val="none"/>
      <w:lvlRestart w:val="0"/>
      <w:lvlText w:val=""/>
      <w:lvlJc w:val="left"/>
      <w:pPr>
        <w:ind w:left="0" w:firstLine="0"/>
      </w:pPr>
      <w:rPr>
        <w:rFonts w:hint="default"/>
      </w:rPr>
    </w:lvl>
    <w:lvl w:ilvl="8" w:tplc="9F120FCA">
      <w:start w:val="1"/>
      <w:numFmt w:val="none"/>
      <w:lvlRestart w:val="0"/>
      <w:lvlText w:val=""/>
      <w:lvlJc w:val="right"/>
      <w:pPr>
        <w:ind w:left="0" w:firstLine="0"/>
      </w:pPr>
      <w:rPr>
        <w:rFonts w:hint="default"/>
      </w:rPr>
    </w:lvl>
  </w:abstractNum>
  <w:abstractNum w:abstractNumId="6" w15:restartNumberingAfterBreak="0">
    <w:nsid w:val="3C4303A5"/>
    <w:multiLevelType w:val="hybridMultilevel"/>
    <w:tmpl w:val="4B4E7622"/>
    <w:lvl w:ilvl="0" w:tplc="9C667276">
      <w:start w:val="1"/>
      <w:numFmt w:val="decimal"/>
      <w:pStyle w:val="DHHSnumberdigit"/>
      <w:lvlText w:val="%1."/>
      <w:lvlJc w:val="left"/>
      <w:pPr>
        <w:tabs>
          <w:tab w:val="num" w:pos="681"/>
        </w:tabs>
        <w:ind w:left="681" w:hanging="397"/>
      </w:pPr>
      <w:rPr>
        <w:rFonts w:hint="default"/>
      </w:rPr>
    </w:lvl>
    <w:lvl w:ilvl="1" w:tplc="BD806162">
      <w:start w:val="1"/>
      <w:numFmt w:val="decimal"/>
      <w:lvlRestart w:val="0"/>
      <w:pStyle w:val="DHHSnumberdigitindent"/>
      <w:lvlText w:val="%2."/>
      <w:lvlJc w:val="left"/>
      <w:pPr>
        <w:tabs>
          <w:tab w:val="num" w:pos="794"/>
        </w:tabs>
        <w:ind w:left="794" w:hanging="397"/>
      </w:pPr>
      <w:rPr>
        <w:rFonts w:hint="default"/>
      </w:rPr>
    </w:lvl>
    <w:lvl w:ilvl="2" w:tplc="5074EC1E">
      <w:start w:val="1"/>
      <w:numFmt w:val="lowerLetter"/>
      <w:lvlRestart w:val="0"/>
      <w:pStyle w:val="DHHSnumberloweralpha"/>
      <w:lvlText w:val="(%3)"/>
      <w:lvlJc w:val="left"/>
      <w:pPr>
        <w:tabs>
          <w:tab w:val="num" w:pos="397"/>
        </w:tabs>
        <w:ind w:left="397" w:hanging="397"/>
      </w:pPr>
      <w:rPr>
        <w:rFonts w:hint="default"/>
      </w:rPr>
    </w:lvl>
    <w:lvl w:ilvl="3" w:tplc="F022128E">
      <w:start w:val="1"/>
      <w:numFmt w:val="lowerLetter"/>
      <w:lvlRestart w:val="0"/>
      <w:pStyle w:val="DHHSnumberloweralphaindent"/>
      <w:lvlText w:val="(%4)"/>
      <w:lvlJc w:val="left"/>
      <w:pPr>
        <w:tabs>
          <w:tab w:val="num" w:pos="794"/>
        </w:tabs>
        <w:ind w:left="794" w:hanging="397"/>
      </w:pPr>
      <w:rPr>
        <w:rFonts w:hint="default"/>
      </w:rPr>
    </w:lvl>
    <w:lvl w:ilvl="4" w:tplc="4D7AA572">
      <w:start w:val="1"/>
      <w:numFmt w:val="lowerRoman"/>
      <w:lvlRestart w:val="0"/>
      <w:pStyle w:val="DHHSnumberlowerroman"/>
      <w:lvlText w:val="(%5)"/>
      <w:lvlJc w:val="left"/>
      <w:pPr>
        <w:tabs>
          <w:tab w:val="num" w:pos="397"/>
        </w:tabs>
        <w:ind w:left="397" w:hanging="397"/>
      </w:pPr>
      <w:rPr>
        <w:rFonts w:hint="default"/>
      </w:rPr>
    </w:lvl>
    <w:lvl w:ilvl="5" w:tplc="8A185C8C">
      <w:start w:val="1"/>
      <w:numFmt w:val="lowerRoman"/>
      <w:lvlRestart w:val="0"/>
      <w:pStyle w:val="DHHSnumberlowerromanindent"/>
      <w:lvlText w:val="(%6)"/>
      <w:lvlJc w:val="left"/>
      <w:pPr>
        <w:tabs>
          <w:tab w:val="num" w:pos="794"/>
        </w:tabs>
        <w:ind w:left="794" w:hanging="397"/>
      </w:pPr>
      <w:rPr>
        <w:rFonts w:hint="default"/>
      </w:rPr>
    </w:lvl>
    <w:lvl w:ilvl="6" w:tplc="C79C30B6">
      <w:start w:val="1"/>
      <w:numFmt w:val="none"/>
      <w:lvlRestart w:val="0"/>
      <w:pStyle w:val="DHHStablebullet"/>
      <w:lvlText w:val=""/>
      <w:lvlJc w:val="left"/>
      <w:pPr>
        <w:ind w:left="0" w:firstLine="0"/>
      </w:pPr>
      <w:rPr>
        <w:rFonts w:hint="default"/>
      </w:rPr>
    </w:lvl>
    <w:lvl w:ilvl="7" w:tplc="2FA06AB8">
      <w:start w:val="1"/>
      <w:numFmt w:val="none"/>
      <w:lvlRestart w:val="0"/>
      <w:lvlText w:val=""/>
      <w:lvlJc w:val="left"/>
      <w:pPr>
        <w:ind w:left="0" w:firstLine="0"/>
      </w:pPr>
      <w:rPr>
        <w:rFonts w:hint="default"/>
      </w:rPr>
    </w:lvl>
    <w:lvl w:ilvl="8" w:tplc="8B245E40">
      <w:start w:val="1"/>
      <w:numFmt w:val="none"/>
      <w:lvlRestart w:val="0"/>
      <w:lvlText w:val=""/>
      <w:lvlJc w:val="right"/>
      <w:pPr>
        <w:ind w:left="0" w:firstLine="0"/>
      </w:pPr>
      <w:rPr>
        <w:rFonts w:hint="default"/>
      </w:rPr>
    </w:lvl>
  </w:abstractNum>
  <w:abstractNum w:abstractNumId="7" w15:restartNumberingAfterBreak="0">
    <w:nsid w:val="54BA1E5A"/>
    <w:multiLevelType w:val="hybridMultilevel"/>
    <w:tmpl w:val="6C6E1E62"/>
    <w:styleLink w:val="ZZBullets"/>
    <w:lvl w:ilvl="0" w:tplc="F90CC8E8">
      <w:start w:val="1"/>
      <w:numFmt w:val="bullet"/>
      <w:pStyle w:val="DHHSbullet1"/>
      <w:lvlText w:val="•"/>
      <w:lvlJc w:val="left"/>
      <w:pPr>
        <w:ind w:left="284" w:hanging="284"/>
      </w:pPr>
      <w:rPr>
        <w:rFonts w:ascii="Calibri" w:hAnsi="Calibri" w:hint="default"/>
      </w:rPr>
    </w:lvl>
    <w:lvl w:ilvl="1" w:tplc="36167C9E">
      <w:start w:val="1"/>
      <w:numFmt w:val="bullet"/>
      <w:lvlRestart w:val="0"/>
      <w:lvlText w:val="•"/>
      <w:lvlJc w:val="left"/>
      <w:pPr>
        <w:ind w:left="284" w:hanging="284"/>
      </w:pPr>
      <w:rPr>
        <w:rFonts w:ascii="Calibri" w:hAnsi="Calibri" w:hint="default"/>
      </w:rPr>
    </w:lvl>
    <w:lvl w:ilvl="2" w:tplc="3848A12C">
      <w:start w:val="1"/>
      <w:numFmt w:val="bullet"/>
      <w:lvlRestart w:val="0"/>
      <w:lvlText w:val="–"/>
      <w:lvlJc w:val="left"/>
      <w:pPr>
        <w:ind w:left="567" w:hanging="283"/>
      </w:pPr>
      <w:rPr>
        <w:rFonts w:ascii="Arial" w:hAnsi="Arial" w:hint="default"/>
      </w:rPr>
    </w:lvl>
    <w:lvl w:ilvl="3" w:tplc="B778FFF4">
      <w:start w:val="1"/>
      <w:numFmt w:val="bullet"/>
      <w:lvlRestart w:val="0"/>
      <w:lvlText w:val="–"/>
      <w:lvlJc w:val="left"/>
      <w:pPr>
        <w:ind w:left="567" w:hanging="283"/>
      </w:pPr>
      <w:rPr>
        <w:rFonts w:ascii="Arial" w:hAnsi="Arial" w:hint="default"/>
      </w:rPr>
    </w:lvl>
    <w:lvl w:ilvl="4" w:tplc="F0847C9A">
      <w:start w:val="1"/>
      <w:numFmt w:val="bullet"/>
      <w:lvlRestart w:val="0"/>
      <w:pStyle w:val="DHHSbulletindent"/>
      <w:lvlText w:val="•"/>
      <w:lvlJc w:val="left"/>
      <w:pPr>
        <w:ind w:left="680" w:hanging="283"/>
      </w:pPr>
      <w:rPr>
        <w:rFonts w:ascii="Calibri" w:hAnsi="Calibri" w:hint="default"/>
      </w:rPr>
    </w:lvl>
    <w:lvl w:ilvl="5" w:tplc="B22CE23C">
      <w:start w:val="1"/>
      <w:numFmt w:val="bullet"/>
      <w:lvlRestart w:val="0"/>
      <w:pStyle w:val="DHHSbulletindentlastline"/>
      <w:lvlText w:val="•"/>
      <w:lvlJc w:val="left"/>
      <w:pPr>
        <w:ind w:left="680" w:hanging="283"/>
      </w:pPr>
      <w:rPr>
        <w:rFonts w:ascii="Calibri" w:hAnsi="Calibri" w:hint="default"/>
      </w:rPr>
    </w:lvl>
    <w:lvl w:ilvl="6" w:tplc="D7127AD4">
      <w:start w:val="1"/>
      <w:numFmt w:val="bullet"/>
      <w:lvlRestart w:val="0"/>
      <w:lvlText w:val="•"/>
      <w:lvlJc w:val="left"/>
      <w:pPr>
        <w:ind w:left="227" w:hanging="227"/>
      </w:pPr>
      <w:rPr>
        <w:rFonts w:ascii="Calibri" w:hAnsi="Calibri" w:hint="default"/>
      </w:rPr>
    </w:lvl>
    <w:lvl w:ilvl="7" w:tplc="A5CE7F6A">
      <w:start w:val="1"/>
      <w:numFmt w:val="none"/>
      <w:lvlRestart w:val="0"/>
      <w:lvlText w:val=""/>
      <w:lvlJc w:val="left"/>
      <w:pPr>
        <w:ind w:left="0" w:firstLine="0"/>
      </w:pPr>
      <w:rPr>
        <w:rFonts w:hint="default"/>
      </w:rPr>
    </w:lvl>
    <w:lvl w:ilvl="8" w:tplc="6C0A3690">
      <w:start w:val="1"/>
      <w:numFmt w:val="none"/>
      <w:lvlRestart w:val="0"/>
      <w:lvlText w:val=""/>
      <w:lvlJc w:val="left"/>
      <w:pPr>
        <w:ind w:left="0" w:firstLine="0"/>
      </w:pPr>
      <w:rPr>
        <w:rFonts w:hint="default"/>
      </w:rPr>
    </w:lvl>
  </w:abstractNum>
  <w:abstractNum w:abstractNumId="8" w15:restartNumberingAfterBreak="0">
    <w:nsid w:val="56082B53"/>
    <w:multiLevelType w:val="hybridMultilevel"/>
    <w:tmpl w:val="8CC87C14"/>
    <w:lvl w:ilvl="0" w:tplc="0C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quot;Courier New&quot;" w:hAnsi="&quot;Courier New&quot;"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9" w15:restartNumberingAfterBreak="0">
    <w:nsid w:val="5F0FD076"/>
    <w:multiLevelType w:val="hybridMultilevel"/>
    <w:tmpl w:val="50CC1692"/>
    <w:lvl w:ilvl="0" w:tplc="2F44C6F0">
      <w:start w:val="1"/>
      <w:numFmt w:val="bullet"/>
      <w:lvlText w:val="·"/>
      <w:lvlJc w:val="left"/>
      <w:pPr>
        <w:ind w:left="720" w:hanging="360"/>
      </w:pPr>
      <w:rPr>
        <w:rFonts w:ascii="Symbol" w:hAnsi="Symbol" w:hint="default"/>
      </w:rPr>
    </w:lvl>
    <w:lvl w:ilvl="1" w:tplc="7376D286">
      <w:start w:val="1"/>
      <w:numFmt w:val="bullet"/>
      <w:lvlText w:val="o"/>
      <w:lvlJc w:val="left"/>
      <w:pPr>
        <w:ind w:left="1440" w:hanging="360"/>
      </w:pPr>
      <w:rPr>
        <w:rFonts w:ascii="Courier New" w:hAnsi="Courier New" w:hint="default"/>
      </w:rPr>
    </w:lvl>
    <w:lvl w:ilvl="2" w:tplc="DAC44416">
      <w:start w:val="1"/>
      <w:numFmt w:val="bullet"/>
      <w:lvlText w:val=""/>
      <w:lvlJc w:val="left"/>
      <w:pPr>
        <w:ind w:left="2160" w:hanging="360"/>
      </w:pPr>
      <w:rPr>
        <w:rFonts w:ascii="Wingdings" w:hAnsi="Wingdings" w:hint="default"/>
      </w:rPr>
    </w:lvl>
    <w:lvl w:ilvl="3" w:tplc="76841124">
      <w:start w:val="1"/>
      <w:numFmt w:val="bullet"/>
      <w:lvlText w:val=""/>
      <w:lvlJc w:val="left"/>
      <w:pPr>
        <w:ind w:left="2880" w:hanging="360"/>
      </w:pPr>
      <w:rPr>
        <w:rFonts w:ascii="Symbol" w:hAnsi="Symbol" w:hint="default"/>
      </w:rPr>
    </w:lvl>
    <w:lvl w:ilvl="4" w:tplc="0A409E66">
      <w:start w:val="1"/>
      <w:numFmt w:val="bullet"/>
      <w:lvlText w:val="o"/>
      <w:lvlJc w:val="left"/>
      <w:pPr>
        <w:ind w:left="3600" w:hanging="360"/>
      </w:pPr>
      <w:rPr>
        <w:rFonts w:ascii="Courier New" w:hAnsi="Courier New" w:hint="default"/>
      </w:rPr>
    </w:lvl>
    <w:lvl w:ilvl="5" w:tplc="5CFCCD16">
      <w:start w:val="1"/>
      <w:numFmt w:val="bullet"/>
      <w:lvlText w:val=""/>
      <w:lvlJc w:val="left"/>
      <w:pPr>
        <w:ind w:left="4320" w:hanging="360"/>
      </w:pPr>
      <w:rPr>
        <w:rFonts w:ascii="Wingdings" w:hAnsi="Wingdings" w:hint="default"/>
      </w:rPr>
    </w:lvl>
    <w:lvl w:ilvl="6" w:tplc="6BD8C214">
      <w:start w:val="1"/>
      <w:numFmt w:val="bullet"/>
      <w:lvlText w:val=""/>
      <w:lvlJc w:val="left"/>
      <w:pPr>
        <w:ind w:left="5040" w:hanging="360"/>
      </w:pPr>
      <w:rPr>
        <w:rFonts w:ascii="Symbol" w:hAnsi="Symbol" w:hint="default"/>
      </w:rPr>
    </w:lvl>
    <w:lvl w:ilvl="7" w:tplc="24ECC01C">
      <w:start w:val="1"/>
      <w:numFmt w:val="bullet"/>
      <w:lvlText w:val="o"/>
      <w:lvlJc w:val="left"/>
      <w:pPr>
        <w:ind w:left="5760" w:hanging="360"/>
      </w:pPr>
      <w:rPr>
        <w:rFonts w:ascii="Courier New" w:hAnsi="Courier New" w:hint="default"/>
      </w:rPr>
    </w:lvl>
    <w:lvl w:ilvl="8" w:tplc="7628516A">
      <w:start w:val="1"/>
      <w:numFmt w:val="bullet"/>
      <w:lvlText w:val=""/>
      <w:lvlJc w:val="left"/>
      <w:pPr>
        <w:ind w:left="6480" w:hanging="360"/>
      </w:pPr>
      <w:rPr>
        <w:rFonts w:ascii="Wingdings" w:hAnsi="Wingdings" w:hint="default"/>
      </w:rPr>
    </w:lvl>
  </w:abstractNum>
  <w:abstractNum w:abstractNumId="10" w15:restartNumberingAfterBreak="0">
    <w:nsid w:val="6BBD0F83"/>
    <w:multiLevelType w:val="hybridMultilevel"/>
    <w:tmpl w:val="717E5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BEF0F76"/>
    <w:multiLevelType w:val="hybridMultilevel"/>
    <w:tmpl w:val="9FD89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E0D3C32"/>
    <w:multiLevelType w:val="hybridMultilevel"/>
    <w:tmpl w:val="1A78C6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787F667B"/>
    <w:multiLevelType w:val="hybridMultilevel"/>
    <w:tmpl w:val="9DE26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8649F3"/>
    <w:multiLevelType w:val="hybridMultilevel"/>
    <w:tmpl w:val="4E1CE7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7A3F5C59"/>
    <w:multiLevelType w:val="hybridMultilevel"/>
    <w:tmpl w:val="FB00B764"/>
    <w:lvl w:ilvl="0" w:tplc="03A41B60">
      <w:start w:val="1"/>
      <w:numFmt w:val="bullet"/>
      <w:lvlText w:val=""/>
      <w:lvlJc w:val="left"/>
      <w:pPr>
        <w:ind w:left="720" w:hanging="360"/>
      </w:pPr>
      <w:rPr>
        <w:rFonts w:ascii="Symbol" w:hAnsi="Symbol" w:hint="default"/>
      </w:rPr>
    </w:lvl>
    <w:lvl w:ilvl="1" w:tplc="8948F232">
      <w:start w:val="1"/>
      <w:numFmt w:val="bullet"/>
      <w:lvlText w:val="o"/>
      <w:lvlJc w:val="left"/>
      <w:pPr>
        <w:ind w:left="1440" w:hanging="360"/>
      </w:pPr>
      <w:rPr>
        <w:rFonts w:ascii="Courier New" w:hAnsi="Courier New" w:hint="default"/>
      </w:rPr>
    </w:lvl>
    <w:lvl w:ilvl="2" w:tplc="ECCCF13A">
      <w:start w:val="1"/>
      <w:numFmt w:val="bullet"/>
      <w:lvlText w:val=""/>
      <w:lvlJc w:val="left"/>
      <w:pPr>
        <w:ind w:left="2160" w:hanging="360"/>
      </w:pPr>
      <w:rPr>
        <w:rFonts w:ascii="Wingdings" w:hAnsi="Wingdings" w:hint="default"/>
      </w:rPr>
    </w:lvl>
    <w:lvl w:ilvl="3" w:tplc="ED76653A">
      <w:start w:val="1"/>
      <w:numFmt w:val="bullet"/>
      <w:lvlText w:val=""/>
      <w:lvlJc w:val="left"/>
      <w:pPr>
        <w:ind w:left="2880" w:hanging="360"/>
      </w:pPr>
      <w:rPr>
        <w:rFonts w:ascii="Symbol" w:hAnsi="Symbol" w:hint="default"/>
      </w:rPr>
    </w:lvl>
    <w:lvl w:ilvl="4" w:tplc="CEDE95FE">
      <w:start w:val="1"/>
      <w:numFmt w:val="bullet"/>
      <w:lvlText w:val="o"/>
      <w:lvlJc w:val="left"/>
      <w:pPr>
        <w:ind w:left="3600" w:hanging="360"/>
      </w:pPr>
      <w:rPr>
        <w:rFonts w:ascii="Courier New" w:hAnsi="Courier New" w:hint="default"/>
      </w:rPr>
    </w:lvl>
    <w:lvl w:ilvl="5" w:tplc="A980036E">
      <w:start w:val="1"/>
      <w:numFmt w:val="bullet"/>
      <w:lvlText w:val=""/>
      <w:lvlJc w:val="left"/>
      <w:pPr>
        <w:ind w:left="4320" w:hanging="360"/>
      </w:pPr>
      <w:rPr>
        <w:rFonts w:ascii="Wingdings" w:hAnsi="Wingdings" w:hint="default"/>
      </w:rPr>
    </w:lvl>
    <w:lvl w:ilvl="6" w:tplc="01A691E6">
      <w:start w:val="1"/>
      <w:numFmt w:val="bullet"/>
      <w:lvlText w:val=""/>
      <w:lvlJc w:val="left"/>
      <w:pPr>
        <w:ind w:left="5040" w:hanging="360"/>
      </w:pPr>
      <w:rPr>
        <w:rFonts w:ascii="Symbol" w:hAnsi="Symbol" w:hint="default"/>
      </w:rPr>
    </w:lvl>
    <w:lvl w:ilvl="7" w:tplc="D102C4A2">
      <w:start w:val="1"/>
      <w:numFmt w:val="bullet"/>
      <w:lvlText w:val="o"/>
      <w:lvlJc w:val="left"/>
      <w:pPr>
        <w:ind w:left="5760" w:hanging="360"/>
      </w:pPr>
      <w:rPr>
        <w:rFonts w:ascii="Courier New" w:hAnsi="Courier New" w:hint="default"/>
      </w:rPr>
    </w:lvl>
    <w:lvl w:ilvl="8" w:tplc="37668FF6">
      <w:start w:val="1"/>
      <w:numFmt w:val="bullet"/>
      <w:lvlText w:val=""/>
      <w:lvlJc w:val="left"/>
      <w:pPr>
        <w:ind w:left="6480" w:hanging="360"/>
      </w:pPr>
      <w:rPr>
        <w:rFonts w:ascii="Wingdings" w:hAnsi="Wingdings" w:hint="default"/>
      </w:rPr>
    </w:lvl>
  </w:abstractNum>
  <w:num w:numId="1">
    <w:abstractNumId w:val="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1"/>
  </w:num>
  <w:num w:numId="9">
    <w:abstractNumId w:val="1"/>
  </w:num>
  <w:num w:numId="10">
    <w:abstractNumId w:val="10"/>
  </w:num>
  <w:num w:numId="11">
    <w:abstractNumId w:val="7"/>
  </w:num>
  <w:num w:numId="12">
    <w:abstractNumId w:val="8"/>
  </w:num>
  <w:num w:numId="13">
    <w:abstractNumId w:val="6"/>
  </w:num>
  <w:num w:numId="14">
    <w:abstractNumId w:val="7"/>
  </w:num>
  <w:num w:numId="15">
    <w:abstractNumId w:val="7"/>
  </w:num>
  <w:num w:numId="16">
    <w:abstractNumId w:val="7"/>
  </w:num>
  <w:num w:numId="17">
    <w:abstractNumId w:val="15"/>
  </w:num>
  <w:num w:numId="18">
    <w:abstractNumId w:val="9"/>
  </w:num>
  <w:num w:numId="19">
    <w:abstractNumId w:val="12"/>
  </w:num>
  <w:num w:numId="20">
    <w:abstractNumId w:val="14"/>
  </w:num>
  <w:num w:numId="21">
    <w:abstractNumId w:val="12"/>
  </w:num>
  <w:num w:numId="22">
    <w:abstractNumId w:val="14"/>
  </w:num>
  <w:num w:numId="23">
    <w:abstractNumId w:val="13"/>
  </w:num>
  <w:num w:numId="2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9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GwtDS0MLC0sLQwtjBR0lEKTi0uzszPAykwrAUA2/74fCwAAAA="/>
  </w:docVars>
  <w:rsids>
    <w:rsidRoot w:val="004417D5"/>
    <w:rsid w:val="0000005D"/>
    <w:rsid w:val="000003A3"/>
    <w:rsid w:val="00000870"/>
    <w:rsid w:val="000009E1"/>
    <w:rsid w:val="00000B72"/>
    <w:rsid w:val="0000120C"/>
    <w:rsid w:val="000012C6"/>
    <w:rsid w:val="000013F0"/>
    <w:rsid w:val="0000144F"/>
    <w:rsid w:val="0000150D"/>
    <w:rsid w:val="00001553"/>
    <w:rsid w:val="00001681"/>
    <w:rsid w:val="00001900"/>
    <w:rsid w:val="00001912"/>
    <w:rsid w:val="00002128"/>
    <w:rsid w:val="0000274D"/>
    <w:rsid w:val="00002990"/>
    <w:rsid w:val="00002BD8"/>
    <w:rsid w:val="00002F86"/>
    <w:rsid w:val="000031DC"/>
    <w:rsid w:val="00003426"/>
    <w:rsid w:val="00003576"/>
    <w:rsid w:val="000035D3"/>
    <w:rsid w:val="000036B0"/>
    <w:rsid w:val="00004711"/>
    <w:rsid w:val="000048AC"/>
    <w:rsid w:val="00004C7A"/>
    <w:rsid w:val="00004E44"/>
    <w:rsid w:val="0000510B"/>
    <w:rsid w:val="00005C60"/>
    <w:rsid w:val="00006027"/>
    <w:rsid w:val="0000644C"/>
    <w:rsid w:val="0000658C"/>
    <w:rsid w:val="00006609"/>
    <w:rsid w:val="000069F8"/>
    <w:rsid w:val="00006E83"/>
    <w:rsid w:val="00006F3B"/>
    <w:rsid w:val="0000705B"/>
    <w:rsid w:val="00007275"/>
    <w:rsid w:val="00007760"/>
    <w:rsid w:val="00007D52"/>
    <w:rsid w:val="0001066D"/>
    <w:rsid w:val="00010678"/>
    <w:rsid w:val="00010A54"/>
    <w:rsid w:val="00011115"/>
    <w:rsid w:val="00011204"/>
    <w:rsid w:val="0001157A"/>
    <w:rsid w:val="00011639"/>
    <w:rsid w:val="00011893"/>
    <w:rsid w:val="00011AD1"/>
    <w:rsid w:val="00011DF4"/>
    <w:rsid w:val="00011E7F"/>
    <w:rsid w:val="00012140"/>
    <w:rsid w:val="0001280A"/>
    <w:rsid w:val="0001284F"/>
    <w:rsid w:val="00012BCC"/>
    <w:rsid w:val="0001303D"/>
    <w:rsid w:val="000131B9"/>
    <w:rsid w:val="00013293"/>
    <w:rsid w:val="00013692"/>
    <w:rsid w:val="00013A8F"/>
    <w:rsid w:val="00013B1C"/>
    <w:rsid w:val="00014571"/>
    <w:rsid w:val="00014670"/>
    <w:rsid w:val="00014949"/>
    <w:rsid w:val="00014958"/>
    <w:rsid w:val="00014B10"/>
    <w:rsid w:val="00014FC4"/>
    <w:rsid w:val="00015117"/>
    <w:rsid w:val="00015428"/>
    <w:rsid w:val="0001587F"/>
    <w:rsid w:val="000159F9"/>
    <w:rsid w:val="000171FD"/>
    <w:rsid w:val="00017299"/>
    <w:rsid w:val="000174CA"/>
    <w:rsid w:val="00017510"/>
    <w:rsid w:val="000176C1"/>
    <w:rsid w:val="00017AD8"/>
    <w:rsid w:val="00017D0A"/>
    <w:rsid w:val="000208E8"/>
    <w:rsid w:val="00020AAB"/>
    <w:rsid w:val="00020DC6"/>
    <w:rsid w:val="000215FF"/>
    <w:rsid w:val="00021A39"/>
    <w:rsid w:val="00021D12"/>
    <w:rsid w:val="00022275"/>
    <w:rsid w:val="000223A4"/>
    <w:rsid w:val="00022E60"/>
    <w:rsid w:val="00022FDB"/>
    <w:rsid w:val="0002333C"/>
    <w:rsid w:val="0002344C"/>
    <w:rsid w:val="000236D2"/>
    <w:rsid w:val="000238B9"/>
    <w:rsid w:val="00023D8B"/>
    <w:rsid w:val="00023DB1"/>
    <w:rsid w:val="00024E63"/>
    <w:rsid w:val="00024E88"/>
    <w:rsid w:val="000256CB"/>
    <w:rsid w:val="00025900"/>
    <w:rsid w:val="00026AAD"/>
    <w:rsid w:val="00026C19"/>
    <w:rsid w:val="00026C23"/>
    <w:rsid w:val="00027383"/>
    <w:rsid w:val="000277EC"/>
    <w:rsid w:val="00027A12"/>
    <w:rsid w:val="00027CDE"/>
    <w:rsid w:val="000300F7"/>
    <w:rsid w:val="000302BB"/>
    <w:rsid w:val="00030317"/>
    <w:rsid w:val="000307FB"/>
    <w:rsid w:val="000309DB"/>
    <w:rsid w:val="00031263"/>
    <w:rsid w:val="00031B51"/>
    <w:rsid w:val="00032210"/>
    <w:rsid w:val="00032728"/>
    <w:rsid w:val="00032756"/>
    <w:rsid w:val="00032AC6"/>
    <w:rsid w:val="00032BA9"/>
    <w:rsid w:val="00033301"/>
    <w:rsid w:val="00033350"/>
    <w:rsid w:val="00033445"/>
    <w:rsid w:val="0003349D"/>
    <w:rsid w:val="0003464B"/>
    <w:rsid w:val="00034965"/>
    <w:rsid w:val="00034A0A"/>
    <w:rsid w:val="00034A9D"/>
    <w:rsid w:val="00034DFD"/>
    <w:rsid w:val="00034F1B"/>
    <w:rsid w:val="0003558F"/>
    <w:rsid w:val="000356EE"/>
    <w:rsid w:val="00035957"/>
    <w:rsid w:val="00035D89"/>
    <w:rsid w:val="00035FFB"/>
    <w:rsid w:val="0003685A"/>
    <w:rsid w:val="00036A15"/>
    <w:rsid w:val="00036AD0"/>
    <w:rsid w:val="00036DFE"/>
    <w:rsid w:val="0003709B"/>
    <w:rsid w:val="000376F3"/>
    <w:rsid w:val="00037930"/>
    <w:rsid w:val="00037934"/>
    <w:rsid w:val="00037A09"/>
    <w:rsid w:val="00037FC0"/>
    <w:rsid w:val="000401D1"/>
    <w:rsid w:val="000402C8"/>
    <w:rsid w:val="0004071B"/>
    <w:rsid w:val="000407F5"/>
    <w:rsid w:val="00040906"/>
    <w:rsid w:val="00040A1A"/>
    <w:rsid w:val="00040CDB"/>
    <w:rsid w:val="00040E69"/>
    <w:rsid w:val="00040F6D"/>
    <w:rsid w:val="0004126D"/>
    <w:rsid w:val="000414D6"/>
    <w:rsid w:val="00041662"/>
    <w:rsid w:val="00041DA5"/>
    <w:rsid w:val="00041F21"/>
    <w:rsid w:val="00042503"/>
    <w:rsid w:val="000426CD"/>
    <w:rsid w:val="000431E7"/>
    <w:rsid w:val="00043412"/>
    <w:rsid w:val="000436A9"/>
    <w:rsid w:val="000438AC"/>
    <w:rsid w:val="0004391A"/>
    <w:rsid w:val="00043AAF"/>
    <w:rsid w:val="000444F1"/>
    <w:rsid w:val="000449BC"/>
    <w:rsid w:val="00044E17"/>
    <w:rsid w:val="0004605B"/>
    <w:rsid w:val="00046479"/>
    <w:rsid w:val="00046A4F"/>
    <w:rsid w:val="00046C81"/>
    <w:rsid w:val="000470B7"/>
    <w:rsid w:val="0004728C"/>
    <w:rsid w:val="00047764"/>
    <w:rsid w:val="00047C73"/>
    <w:rsid w:val="00047CFC"/>
    <w:rsid w:val="0005050E"/>
    <w:rsid w:val="000505B0"/>
    <w:rsid w:val="000515F5"/>
    <w:rsid w:val="0005193F"/>
    <w:rsid w:val="00051AEB"/>
    <w:rsid w:val="0005225B"/>
    <w:rsid w:val="000525EE"/>
    <w:rsid w:val="00052B6A"/>
    <w:rsid w:val="00052C3D"/>
    <w:rsid w:val="00052F88"/>
    <w:rsid w:val="00053056"/>
    <w:rsid w:val="000535BA"/>
    <w:rsid w:val="000538D4"/>
    <w:rsid w:val="000539FC"/>
    <w:rsid w:val="00053CA4"/>
    <w:rsid w:val="00054008"/>
    <w:rsid w:val="0005451B"/>
    <w:rsid w:val="000547CB"/>
    <w:rsid w:val="0005494B"/>
    <w:rsid w:val="00054A3D"/>
    <w:rsid w:val="00054BD1"/>
    <w:rsid w:val="000553A7"/>
    <w:rsid w:val="00055449"/>
    <w:rsid w:val="000556B2"/>
    <w:rsid w:val="00055B85"/>
    <w:rsid w:val="00055DB7"/>
    <w:rsid w:val="00055E1D"/>
    <w:rsid w:val="00055E77"/>
    <w:rsid w:val="0005606F"/>
    <w:rsid w:val="00056734"/>
    <w:rsid w:val="0005701B"/>
    <w:rsid w:val="000573AF"/>
    <w:rsid w:val="0005744F"/>
    <w:rsid w:val="000576AD"/>
    <w:rsid w:val="00057CDF"/>
    <w:rsid w:val="0006030A"/>
    <w:rsid w:val="0006032F"/>
    <w:rsid w:val="000603DF"/>
    <w:rsid w:val="00060D95"/>
    <w:rsid w:val="00060E93"/>
    <w:rsid w:val="000613C3"/>
    <w:rsid w:val="00061449"/>
    <w:rsid w:val="000614B9"/>
    <w:rsid w:val="00062670"/>
    <w:rsid w:val="00062817"/>
    <w:rsid w:val="000632A1"/>
    <w:rsid w:val="00064122"/>
    <w:rsid w:val="00064272"/>
    <w:rsid w:val="000645E1"/>
    <w:rsid w:val="0006463E"/>
    <w:rsid w:val="00064936"/>
    <w:rsid w:val="00064BA7"/>
    <w:rsid w:val="00065115"/>
    <w:rsid w:val="000652EF"/>
    <w:rsid w:val="00065A88"/>
    <w:rsid w:val="00066072"/>
    <w:rsid w:val="000660CA"/>
    <w:rsid w:val="00066869"/>
    <w:rsid w:val="00066CFD"/>
    <w:rsid w:val="00067306"/>
    <w:rsid w:val="00067CF8"/>
    <w:rsid w:val="00070043"/>
    <w:rsid w:val="00070192"/>
    <w:rsid w:val="00070CF9"/>
    <w:rsid w:val="00070E66"/>
    <w:rsid w:val="00070ED3"/>
    <w:rsid w:val="00071082"/>
    <w:rsid w:val="00071149"/>
    <w:rsid w:val="0007114A"/>
    <w:rsid w:val="0007183E"/>
    <w:rsid w:val="00071918"/>
    <w:rsid w:val="00071BA4"/>
    <w:rsid w:val="00071E5C"/>
    <w:rsid w:val="00071FB4"/>
    <w:rsid w:val="00072254"/>
    <w:rsid w:val="00072653"/>
    <w:rsid w:val="0007276C"/>
    <w:rsid w:val="00072DF1"/>
    <w:rsid w:val="000730E8"/>
    <w:rsid w:val="000734F8"/>
    <w:rsid w:val="00073650"/>
    <w:rsid w:val="000736B8"/>
    <w:rsid w:val="000736C6"/>
    <w:rsid w:val="00073854"/>
    <w:rsid w:val="00073C95"/>
    <w:rsid w:val="00073D54"/>
    <w:rsid w:val="00073DB0"/>
    <w:rsid w:val="00073E5C"/>
    <w:rsid w:val="0007442C"/>
    <w:rsid w:val="00074A8D"/>
    <w:rsid w:val="000751E7"/>
    <w:rsid w:val="00075261"/>
    <w:rsid w:val="00075889"/>
    <w:rsid w:val="00075F09"/>
    <w:rsid w:val="000761ED"/>
    <w:rsid w:val="000764EB"/>
    <w:rsid w:val="00076847"/>
    <w:rsid w:val="000768FE"/>
    <w:rsid w:val="00076F75"/>
    <w:rsid w:val="000771ED"/>
    <w:rsid w:val="000779C4"/>
    <w:rsid w:val="00077B3C"/>
    <w:rsid w:val="00077C9D"/>
    <w:rsid w:val="000810D7"/>
    <w:rsid w:val="00081178"/>
    <w:rsid w:val="0008146B"/>
    <w:rsid w:val="000817CB"/>
    <w:rsid w:val="00081FD3"/>
    <w:rsid w:val="0008225A"/>
    <w:rsid w:val="000825BB"/>
    <w:rsid w:val="00082F36"/>
    <w:rsid w:val="00083069"/>
    <w:rsid w:val="000831A2"/>
    <w:rsid w:val="0008330C"/>
    <w:rsid w:val="000834A5"/>
    <w:rsid w:val="000837D9"/>
    <w:rsid w:val="00084238"/>
    <w:rsid w:val="0008448F"/>
    <w:rsid w:val="000846DB"/>
    <w:rsid w:val="0008580E"/>
    <w:rsid w:val="00085A46"/>
    <w:rsid w:val="00085DC6"/>
    <w:rsid w:val="00086125"/>
    <w:rsid w:val="000862A1"/>
    <w:rsid w:val="00086323"/>
    <w:rsid w:val="0008650C"/>
    <w:rsid w:val="000867A0"/>
    <w:rsid w:val="00086C68"/>
    <w:rsid w:val="0008728D"/>
    <w:rsid w:val="00087392"/>
    <w:rsid w:val="000873EF"/>
    <w:rsid w:val="000879D5"/>
    <w:rsid w:val="00087CD5"/>
    <w:rsid w:val="00087E9B"/>
    <w:rsid w:val="00090785"/>
    <w:rsid w:val="000910D9"/>
    <w:rsid w:val="000913F9"/>
    <w:rsid w:val="00091C0C"/>
    <w:rsid w:val="00091F0E"/>
    <w:rsid w:val="000926C8"/>
    <w:rsid w:val="00092D85"/>
    <w:rsid w:val="00092E96"/>
    <w:rsid w:val="00092F13"/>
    <w:rsid w:val="00093A56"/>
    <w:rsid w:val="00093C30"/>
    <w:rsid w:val="00093D89"/>
    <w:rsid w:val="00093E30"/>
    <w:rsid w:val="000941D3"/>
    <w:rsid w:val="000949E5"/>
    <w:rsid w:val="00094D8F"/>
    <w:rsid w:val="00094EFD"/>
    <w:rsid w:val="00095073"/>
    <w:rsid w:val="0009508E"/>
    <w:rsid w:val="0009517E"/>
    <w:rsid w:val="00095305"/>
    <w:rsid w:val="0009531E"/>
    <w:rsid w:val="000959C3"/>
    <w:rsid w:val="00095B1B"/>
    <w:rsid w:val="00095D3D"/>
    <w:rsid w:val="00095F82"/>
    <w:rsid w:val="00096592"/>
    <w:rsid w:val="000966A7"/>
    <w:rsid w:val="00096C39"/>
    <w:rsid w:val="00096D60"/>
    <w:rsid w:val="00096F8B"/>
    <w:rsid w:val="000970DE"/>
    <w:rsid w:val="00097112"/>
    <w:rsid w:val="00097376"/>
    <w:rsid w:val="0009759C"/>
    <w:rsid w:val="00097C03"/>
    <w:rsid w:val="000A025F"/>
    <w:rsid w:val="000A049F"/>
    <w:rsid w:val="000A0584"/>
    <w:rsid w:val="000A09A4"/>
    <w:rsid w:val="000A186A"/>
    <w:rsid w:val="000A1A19"/>
    <w:rsid w:val="000A1B97"/>
    <w:rsid w:val="000A1ECE"/>
    <w:rsid w:val="000A1F37"/>
    <w:rsid w:val="000A249F"/>
    <w:rsid w:val="000A2601"/>
    <w:rsid w:val="000A2662"/>
    <w:rsid w:val="000A2E07"/>
    <w:rsid w:val="000A32E5"/>
    <w:rsid w:val="000A354C"/>
    <w:rsid w:val="000A35AF"/>
    <w:rsid w:val="000A3747"/>
    <w:rsid w:val="000A3890"/>
    <w:rsid w:val="000A38DC"/>
    <w:rsid w:val="000A3920"/>
    <w:rsid w:val="000A4237"/>
    <w:rsid w:val="000A4A10"/>
    <w:rsid w:val="000A4CD1"/>
    <w:rsid w:val="000A4DBB"/>
    <w:rsid w:val="000A4F7D"/>
    <w:rsid w:val="000A5343"/>
    <w:rsid w:val="000A542B"/>
    <w:rsid w:val="000A559A"/>
    <w:rsid w:val="000A559C"/>
    <w:rsid w:val="000A5A5E"/>
    <w:rsid w:val="000A5A8F"/>
    <w:rsid w:val="000A5DDC"/>
    <w:rsid w:val="000A60B2"/>
    <w:rsid w:val="000A61F1"/>
    <w:rsid w:val="000A62E3"/>
    <w:rsid w:val="000A634F"/>
    <w:rsid w:val="000A6412"/>
    <w:rsid w:val="000A668A"/>
    <w:rsid w:val="000A6B18"/>
    <w:rsid w:val="000A6D88"/>
    <w:rsid w:val="000A6DD7"/>
    <w:rsid w:val="000A6E31"/>
    <w:rsid w:val="000A70C3"/>
    <w:rsid w:val="000A7385"/>
    <w:rsid w:val="000A7423"/>
    <w:rsid w:val="000A7446"/>
    <w:rsid w:val="000A744C"/>
    <w:rsid w:val="000A78C8"/>
    <w:rsid w:val="000A7B7A"/>
    <w:rsid w:val="000A7F78"/>
    <w:rsid w:val="000B0634"/>
    <w:rsid w:val="000B1075"/>
    <w:rsid w:val="000B113D"/>
    <w:rsid w:val="000B14F3"/>
    <w:rsid w:val="000B1897"/>
    <w:rsid w:val="000B18DE"/>
    <w:rsid w:val="000B1B79"/>
    <w:rsid w:val="000B1E28"/>
    <w:rsid w:val="000B1ED1"/>
    <w:rsid w:val="000B1F96"/>
    <w:rsid w:val="000B2051"/>
    <w:rsid w:val="000B215E"/>
    <w:rsid w:val="000B2220"/>
    <w:rsid w:val="000B226E"/>
    <w:rsid w:val="000B232C"/>
    <w:rsid w:val="000B29C3"/>
    <w:rsid w:val="000B2C94"/>
    <w:rsid w:val="000B2E59"/>
    <w:rsid w:val="000B311F"/>
    <w:rsid w:val="000B32FC"/>
    <w:rsid w:val="000B3792"/>
    <w:rsid w:val="000B3C02"/>
    <w:rsid w:val="000B3D1E"/>
    <w:rsid w:val="000B40CE"/>
    <w:rsid w:val="000B43EC"/>
    <w:rsid w:val="000B4491"/>
    <w:rsid w:val="000B44DE"/>
    <w:rsid w:val="000B45C6"/>
    <w:rsid w:val="000B468A"/>
    <w:rsid w:val="000B486D"/>
    <w:rsid w:val="000B4D72"/>
    <w:rsid w:val="000B4E91"/>
    <w:rsid w:val="000B5770"/>
    <w:rsid w:val="000B5932"/>
    <w:rsid w:val="000B5A43"/>
    <w:rsid w:val="000B5A9B"/>
    <w:rsid w:val="000B5D85"/>
    <w:rsid w:val="000B6105"/>
    <w:rsid w:val="000B624E"/>
    <w:rsid w:val="000B659C"/>
    <w:rsid w:val="000B6900"/>
    <w:rsid w:val="000B6BBF"/>
    <w:rsid w:val="000B6C4E"/>
    <w:rsid w:val="000B6CEB"/>
    <w:rsid w:val="000B6E5C"/>
    <w:rsid w:val="000B7175"/>
    <w:rsid w:val="000B759B"/>
    <w:rsid w:val="000B7940"/>
    <w:rsid w:val="000B7AAF"/>
    <w:rsid w:val="000B7E29"/>
    <w:rsid w:val="000B7E44"/>
    <w:rsid w:val="000C05CC"/>
    <w:rsid w:val="000C076C"/>
    <w:rsid w:val="000C0812"/>
    <w:rsid w:val="000C0AB5"/>
    <w:rsid w:val="000C0AE6"/>
    <w:rsid w:val="000C1347"/>
    <w:rsid w:val="000C15F2"/>
    <w:rsid w:val="000C1AD7"/>
    <w:rsid w:val="000C1CA6"/>
    <w:rsid w:val="000C1D69"/>
    <w:rsid w:val="000C2356"/>
    <w:rsid w:val="000C271A"/>
    <w:rsid w:val="000C27EC"/>
    <w:rsid w:val="000C28BF"/>
    <w:rsid w:val="000C2B40"/>
    <w:rsid w:val="000C2C2B"/>
    <w:rsid w:val="000C330C"/>
    <w:rsid w:val="000C3372"/>
    <w:rsid w:val="000C33B1"/>
    <w:rsid w:val="000C3422"/>
    <w:rsid w:val="000C3657"/>
    <w:rsid w:val="000C39D8"/>
    <w:rsid w:val="000C4C7A"/>
    <w:rsid w:val="000C5BCA"/>
    <w:rsid w:val="000C5D9C"/>
    <w:rsid w:val="000C5E15"/>
    <w:rsid w:val="000C620A"/>
    <w:rsid w:val="000C6242"/>
    <w:rsid w:val="000C64A4"/>
    <w:rsid w:val="000C68DB"/>
    <w:rsid w:val="000C6A0B"/>
    <w:rsid w:val="000C6F48"/>
    <w:rsid w:val="000C7015"/>
    <w:rsid w:val="000C7D74"/>
    <w:rsid w:val="000C7E41"/>
    <w:rsid w:val="000C7F1C"/>
    <w:rsid w:val="000C7FBA"/>
    <w:rsid w:val="000D04D6"/>
    <w:rsid w:val="000D0664"/>
    <w:rsid w:val="000D07B5"/>
    <w:rsid w:val="000D0B9B"/>
    <w:rsid w:val="000D0E13"/>
    <w:rsid w:val="000D0F60"/>
    <w:rsid w:val="000D0FE8"/>
    <w:rsid w:val="000D106E"/>
    <w:rsid w:val="000D10A4"/>
    <w:rsid w:val="000D1327"/>
    <w:rsid w:val="000D13AE"/>
    <w:rsid w:val="000D1431"/>
    <w:rsid w:val="000D1445"/>
    <w:rsid w:val="000D1555"/>
    <w:rsid w:val="000D1704"/>
    <w:rsid w:val="000D1991"/>
    <w:rsid w:val="000D1BA5"/>
    <w:rsid w:val="000D1E8F"/>
    <w:rsid w:val="000D243B"/>
    <w:rsid w:val="000D24CF"/>
    <w:rsid w:val="000D29A7"/>
    <w:rsid w:val="000D2C32"/>
    <w:rsid w:val="000D2C51"/>
    <w:rsid w:val="000D2D5C"/>
    <w:rsid w:val="000D30C6"/>
    <w:rsid w:val="000D320D"/>
    <w:rsid w:val="000D37F9"/>
    <w:rsid w:val="000D3B4E"/>
    <w:rsid w:val="000D4075"/>
    <w:rsid w:val="000D499E"/>
    <w:rsid w:val="000D4C7D"/>
    <w:rsid w:val="000D4D71"/>
    <w:rsid w:val="000D4F55"/>
    <w:rsid w:val="000D5E5E"/>
    <w:rsid w:val="000D61B6"/>
    <w:rsid w:val="000D652C"/>
    <w:rsid w:val="000D74C1"/>
    <w:rsid w:val="000D7830"/>
    <w:rsid w:val="000D7AB8"/>
    <w:rsid w:val="000E03F1"/>
    <w:rsid w:val="000E0FD7"/>
    <w:rsid w:val="000E13A6"/>
    <w:rsid w:val="000E147B"/>
    <w:rsid w:val="000E1811"/>
    <w:rsid w:val="000E1A7F"/>
    <w:rsid w:val="000E1D07"/>
    <w:rsid w:val="000E1DA3"/>
    <w:rsid w:val="000E1DCB"/>
    <w:rsid w:val="000E1F22"/>
    <w:rsid w:val="000E2156"/>
    <w:rsid w:val="000E2536"/>
    <w:rsid w:val="000E2625"/>
    <w:rsid w:val="000E27CE"/>
    <w:rsid w:val="000E28FB"/>
    <w:rsid w:val="000E2AC7"/>
    <w:rsid w:val="000E307C"/>
    <w:rsid w:val="000E3C66"/>
    <w:rsid w:val="000E3F6E"/>
    <w:rsid w:val="000E3FBE"/>
    <w:rsid w:val="000E47D1"/>
    <w:rsid w:val="000E4BEC"/>
    <w:rsid w:val="000E4CD7"/>
    <w:rsid w:val="000E4E03"/>
    <w:rsid w:val="000E4E66"/>
    <w:rsid w:val="000E5487"/>
    <w:rsid w:val="000E56B1"/>
    <w:rsid w:val="000E56C9"/>
    <w:rsid w:val="000E595A"/>
    <w:rsid w:val="000E6AA9"/>
    <w:rsid w:val="000E6AED"/>
    <w:rsid w:val="000E6F72"/>
    <w:rsid w:val="000E75B8"/>
    <w:rsid w:val="000E7F00"/>
    <w:rsid w:val="000E7F11"/>
    <w:rsid w:val="000E7FE7"/>
    <w:rsid w:val="000F0180"/>
    <w:rsid w:val="000F0343"/>
    <w:rsid w:val="000F0478"/>
    <w:rsid w:val="000F06EB"/>
    <w:rsid w:val="000F0741"/>
    <w:rsid w:val="000F09A7"/>
    <w:rsid w:val="000F0A50"/>
    <w:rsid w:val="000F0E46"/>
    <w:rsid w:val="000F0F1C"/>
    <w:rsid w:val="000F109C"/>
    <w:rsid w:val="000F1A6B"/>
    <w:rsid w:val="000F1DB4"/>
    <w:rsid w:val="000F2224"/>
    <w:rsid w:val="000F23D5"/>
    <w:rsid w:val="000F2493"/>
    <w:rsid w:val="000F27B0"/>
    <w:rsid w:val="000F2A3D"/>
    <w:rsid w:val="000F2B85"/>
    <w:rsid w:val="000F2DDC"/>
    <w:rsid w:val="000F3228"/>
    <w:rsid w:val="000F3626"/>
    <w:rsid w:val="000F373B"/>
    <w:rsid w:val="000F3772"/>
    <w:rsid w:val="000F3E05"/>
    <w:rsid w:val="000F4261"/>
    <w:rsid w:val="000F43EC"/>
    <w:rsid w:val="000F44FE"/>
    <w:rsid w:val="000F4699"/>
    <w:rsid w:val="000F4745"/>
    <w:rsid w:val="000F49C3"/>
    <w:rsid w:val="000F4D7B"/>
    <w:rsid w:val="000F55CA"/>
    <w:rsid w:val="000F57FF"/>
    <w:rsid w:val="000F5C8A"/>
    <w:rsid w:val="000F60BF"/>
    <w:rsid w:val="000F68D9"/>
    <w:rsid w:val="000F6AB5"/>
    <w:rsid w:val="000F6DAE"/>
    <w:rsid w:val="000F7345"/>
    <w:rsid w:val="000F735E"/>
    <w:rsid w:val="000F75F9"/>
    <w:rsid w:val="000F785B"/>
    <w:rsid w:val="000F7D0E"/>
    <w:rsid w:val="001002A4"/>
    <w:rsid w:val="001002AE"/>
    <w:rsid w:val="0010063D"/>
    <w:rsid w:val="00100AA4"/>
    <w:rsid w:val="00100EFE"/>
    <w:rsid w:val="00101AE9"/>
    <w:rsid w:val="00101BF9"/>
    <w:rsid w:val="001021F5"/>
    <w:rsid w:val="001025E6"/>
    <w:rsid w:val="00102A0A"/>
    <w:rsid w:val="0010338F"/>
    <w:rsid w:val="0010344E"/>
    <w:rsid w:val="001038A6"/>
    <w:rsid w:val="00103D5E"/>
    <w:rsid w:val="00104EA7"/>
    <w:rsid w:val="0010518D"/>
    <w:rsid w:val="001058AB"/>
    <w:rsid w:val="00105A67"/>
    <w:rsid w:val="00105AE9"/>
    <w:rsid w:val="00105FAD"/>
    <w:rsid w:val="00106DDF"/>
    <w:rsid w:val="00106F73"/>
    <w:rsid w:val="00106FD2"/>
    <w:rsid w:val="001076EE"/>
    <w:rsid w:val="00107A6C"/>
    <w:rsid w:val="00107CEC"/>
    <w:rsid w:val="00107D3B"/>
    <w:rsid w:val="00110343"/>
    <w:rsid w:val="00110982"/>
    <w:rsid w:val="001109BE"/>
    <w:rsid w:val="00111191"/>
    <w:rsid w:val="0011153B"/>
    <w:rsid w:val="0011155B"/>
    <w:rsid w:val="0011193F"/>
    <w:rsid w:val="00111952"/>
    <w:rsid w:val="001119A6"/>
    <w:rsid w:val="00111A6A"/>
    <w:rsid w:val="00111C39"/>
    <w:rsid w:val="00111F1D"/>
    <w:rsid w:val="00111F92"/>
    <w:rsid w:val="00111FEB"/>
    <w:rsid w:val="0011210D"/>
    <w:rsid w:val="00112B25"/>
    <w:rsid w:val="00113120"/>
    <w:rsid w:val="001133D4"/>
    <w:rsid w:val="001135B6"/>
    <w:rsid w:val="00113C61"/>
    <w:rsid w:val="001142C2"/>
    <w:rsid w:val="001143AE"/>
    <w:rsid w:val="00114C56"/>
    <w:rsid w:val="00114C81"/>
    <w:rsid w:val="00114D55"/>
    <w:rsid w:val="001154EC"/>
    <w:rsid w:val="00115520"/>
    <w:rsid w:val="00115A9D"/>
    <w:rsid w:val="00115B68"/>
    <w:rsid w:val="00115CBB"/>
    <w:rsid w:val="00115EA1"/>
    <w:rsid w:val="001164A7"/>
    <w:rsid w:val="001165B9"/>
    <w:rsid w:val="00116E9A"/>
    <w:rsid w:val="001170BD"/>
    <w:rsid w:val="0011763D"/>
    <w:rsid w:val="0011765E"/>
    <w:rsid w:val="0011774A"/>
    <w:rsid w:val="00117761"/>
    <w:rsid w:val="001179A7"/>
    <w:rsid w:val="00117CFD"/>
    <w:rsid w:val="00117F93"/>
    <w:rsid w:val="00120602"/>
    <w:rsid w:val="00120756"/>
    <w:rsid w:val="00120B0C"/>
    <w:rsid w:val="00120B7C"/>
    <w:rsid w:val="001216F8"/>
    <w:rsid w:val="001219D8"/>
    <w:rsid w:val="00121BF1"/>
    <w:rsid w:val="00121C01"/>
    <w:rsid w:val="00121D73"/>
    <w:rsid w:val="00122295"/>
    <w:rsid w:val="0012233E"/>
    <w:rsid w:val="0012234B"/>
    <w:rsid w:val="00122416"/>
    <w:rsid w:val="00122A97"/>
    <w:rsid w:val="00123091"/>
    <w:rsid w:val="001230AC"/>
    <w:rsid w:val="00123187"/>
    <w:rsid w:val="00123189"/>
    <w:rsid w:val="00123627"/>
    <w:rsid w:val="001238B9"/>
    <w:rsid w:val="00123AED"/>
    <w:rsid w:val="00123B65"/>
    <w:rsid w:val="00123BD6"/>
    <w:rsid w:val="00123C4A"/>
    <w:rsid w:val="00123D73"/>
    <w:rsid w:val="001242D7"/>
    <w:rsid w:val="001243AA"/>
    <w:rsid w:val="00124885"/>
    <w:rsid w:val="0012516E"/>
    <w:rsid w:val="0012521F"/>
    <w:rsid w:val="00125867"/>
    <w:rsid w:val="00125906"/>
    <w:rsid w:val="00125A99"/>
    <w:rsid w:val="00125CC5"/>
    <w:rsid w:val="001263E3"/>
    <w:rsid w:val="001267BB"/>
    <w:rsid w:val="0012686C"/>
    <w:rsid w:val="00126A20"/>
    <w:rsid w:val="00126DD9"/>
    <w:rsid w:val="00127016"/>
    <w:rsid w:val="001270DF"/>
    <w:rsid w:val="001272BB"/>
    <w:rsid w:val="00127795"/>
    <w:rsid w:val="00127A8B"/>
    <w:rsid w:val="00127CAF"/>
    <w:rsid w:val="00127F4D"/>
    <w:rsid w:val="001300E6"/>
    <w:rsid w:val="001302EF"/>
    <w:rsid w:val="0013080B"/>
    <w:rsid w:val="00130D24"/>
    <w:rsid w:val="00130E73"/>
    <w:rsid w:val="00130EAF"/>
    <w:rsid w:val="001318F6"/>
    <w:rsid w:val="00131BD6"/>
    <w:rsid w:val="00131C84"/>
    <w:rsid w:val="00131ED3"/>
    <w:rsid w:val="00131F60"/>
    <w:rsid w:val="0013237B"/>
    <w:rsid w:val="001324EC"/>
    <w:rsid w:val="001327D6"/>
    <w:rsid w:val="00132BEE"/>
    <w:rsid w:val="00133079"/>
    <w:rsid w:val="001333E7"/>
    <w:rsid w:val="001333F6"/>
    <w:rsid w:val="00133650"/>
    <w:rsid w:val="001338CF"/>
    <w:rsid w:val="00133A53"/>
    <w:rsid w:val="00134920"/>
    <w:rsid w:val="00134954"/>
    <w:rsid w:val="00134B92"/>
    <w:rsid w:val="00134B94"/>
    <w:rsid w:val="00134BE5"/>
    <w:rsid w:val="00134C23"/>
    <w:rsid w:val="001352B6"/>
    <w:rsid w:val="00135422"/>
    <w:rsid w:val="001356ED"/>
    <w:rsid w:val="0013571B"/>
    <w:rsid w:val="00135AE8"/>
    <w:rsid w:val="00135D53"/>
    <w:rsid w:val="00135E5A"/>
    <w:rsid w:val="00135E92"/>
    <w:rsid w:val="00135F27"/>
    <w:rsid w:val="0013628D"/>
    <w:rsid w:val="001364DE"/>
    <w:rsid w:val="00136761"/>
    <w:rsid w:val="001367F9"/>
    <w:rsid w:val="0013720F"/>
    <w:rsid w:val="00137279"/>
    <w:rsid w:val="0013763C"/>
    <w:rsid w:val="0013779B"/>
    <w:rsid w:val="00140609"/>
    <w:rsid w:val="001406B5"/>
    <w:rsid w:val="00141085"/>
    <w:rsid w:val="00141157"/>
    <w:rsid w:val="001412D1"/>
    <w:rsid w:val="001414F2"/>
    <w:rsid w:val="00141641"/>
    <w:rsid w:val="00141FF1"/>
    <w:rsid w:val="00142130"/>
    <w:rsid w:val="001423E3"/>
    <w:rsid w:val="001423EE"/>
    <w:rsid w:val="00142AA5"/>
    <w:rsid w:val="0014332F"/>
    <w:rsid w:val="00143FBD"/>
    <w:rsid w:val="00143FDB"/>
    <w:rsid w:val="00144714"/>
    <w:rsid w:val="001448E6"/>
    <w:rsid w:val="00145377"/>
    <w:rsid w:val="00145401"/>
    <w:rsid w:val="00145938"/>
    <w:rsid w:val="00145A49"/>
    <w:rsid w:val="00145C61"/>
    <w:rsid w:val="00145CCE"/>
    <w:rsid w:val="00146084"/>
    <w:rsid w:val="00146191"/>
    <w:rsid w:val="0014646A"/>
    <w:rsid w:val="00146694"/>
    <w:rsid w:val="00146E5C"/>
    <w:rsid w:val="00146F48"/>
    <w:rsid w:val="001475EA"/>
    <w:rsid w:val="00147937"/>
    <w:rsid w:val="00147A1F"/>
    <w:rsid w:val="00147AF1"/>
    <w:rsid w:val="00147B78"/>
    <w:rsid w:val="00147BFC"/>
    <w:rsid w:val="00147C34"/>
    <w:rsid w:val="00147E2D"/>
    <w:rsid w:val="00150041"/>
    <w:rsid w:val="001500C9"/>
    <w:rsid w:val="001501ED"/>
    <w:rsid w:val="001504F5"/>
    <w:rsid w:val="00150813"/>
    <w:rsid w:val="00150D8D"/>
    <w:rsid w:val="0015100B"/>
    <w:rsid w:val="001517BD"/>
    <w:rsid w:val="0015191B"/>
    <w:rsid w:val="00151FF5"/>
    <w:rsid w:val="001522FA"/>
    <w:rsid w:val="00152A7B"/>
    <w:rsid w:val="00152F7E"/>
    <w:rsid w:val="00152F83"/>
    <w:rsid w:val="0015322E"/>
    <w:rsid w:val="001534C3"/>
    <w:rsid w:val="00153A08"/>
    <w:rsid w:val="00154492"/>
    <w:rsid w:val="001544D8"/>
    <w:rsid w:val="001545DC"/>
    <w:rsid w:val="0015466C"/>
    <w:rsid w:val="00154B01"/>
    <w:rsid w:val="0015521E"/>
    <w:rsid w:val="001555D7"/>
    <w:rsid w:val="00155658"/>
    <w:rsid w:val="00155927"/>
    <w:rsid w:val="00155A60"/>
    <w:rsid w:val="00155C48"/>
    <w:rsid w:val="00156123"/>
    <w:rsid w:val="00156306"/>
    <w:rsid w:val="001564BA"/>
    <w:rsid w:val="001569E4"/>
    <w:rsid w:val="001570A4"/>
    <w:rsid w:val="00157187"/>
    <w:rsid w:val="00157194"/>
    <w:rsid w:val="0015730A"/>
    <w:rsid w:val="00157477"/>
    <w:rsid w:val="0015763B"/>
    <w:rsid w:val="001577FD"/>
    <w:rsid w:val="00157A12"/>
    <w:rsid w:val="001604DC"/>
    <w:rsid w:val="00160B0B"/>
    <w:rsid w:val="00161070"/>
    <w:rsid w:val="00162689"/>
    <w:rsid w:val="0016283B"/>
    <w:rsid w:val="00163760"/>
    <w:rsid w:val="00163B09"/>
    <w:rsid w:val="00163B66"/>
    <w:rsid w:val="00163BE1"/>
    <w:rsid w:val="00164B72"/>
    <w:rsid w:val="00164BBD"/>
    <w:rsid w:val="00164BDC"/>
    <w:rsid w:val="00164F05"/>
    <w:rsid w:val="00165355"/>
    <w:rsid w:val="0016555A"/>
    <w:rsid w:val="001657C3"/>
    <w:rsid w:val="00165C0C"/>
    <w:rsid w:val="00165FB6"/>
    <w:rsid w:val="00166208"/>
    <w:rsid w:val="00166746"/>
    <w:rsid w:val="00166797"/>
    <w:rsid w:val="00166813"/>
    <w:rsid w:val="00167049"/>
    <w:rsid w:val="00167BEA"/>
    <w:rsid w:val="00167E66"/>
    <w:rsid w:val="00170094"/>
    <w:rsid w:val="001700C1"/>
    <w:rsid w:val="00170D4F"/>
    <w:rsid w:val="00170D5A"/>
    <w:rsid w:val="00170DEA"/>
    <w:rsid w:val="00170F3C"/>
    <w:rsid w:val="001710E9"/>
    <w:rsid w:val="00171502"/>
    <w:rsid w:val="00171566"/>
    <w:rsid w:val="00171912"/>
    <w:rsid w:val="0017239E"/>
    <w:rsid w:val="0017248D"/>
    <w:rsid w:val="00172ED4"/>
    <w:rsid w:val="00172FC4"/>
    <w:rsid w:val="00173484"/>
    <w:rsid w:val="00173626"/>
    <w:rsid w:val="00173877"/>
    <w:rsid w:val="00173DD7"/>
    <w:rsid w:val="00173FB2"/>
    <w:rsid w:val="00174217"/>
    <w:rsid w:val="00174273"/>
    <w:rsid w:val="00174297"/>
    <w:rsid w:val="001742D0"/>
    <w:rsid w:val="00174480"/>
    <w:rsid w:val="0017458F"/>
    <w:rsid w:val="001745D0"/>
    <w:rsid w:val="00174645"/>
    <w:rsid w:val="00174761"/>
    <w:rsid w:val="00174D55"/>
    <w:rsid w:val="00174DFA"/>
    <w:rsid w:val="00174F7E"/>
    <w:rsid w:val="0017517B"/>
    <w:rsid w:val="001757C1"/>
    <w:rsid w:val="00175FE1"/>
    <w:rsid w:val="001760B8"/>
    <w:rsid w:val="0017614A"/>
    <w:rsid w:val="0017629E"/>
    <w:rsid w:val="00176643"/>
    <w:rsid w:val="00177364"/>
    <w:rsid w:val="00177DDC"/>
    <w:rsid w:val="00177E0F"/>
    <w:rsid w:val="00177E30"/>
    <w:rsid w:val="0018024F"/>
    <w:rsid w:val="00180365"/>
    <w:rsid w:val="00180408"/>
    <w:rsid w:val="001807C4"/>
    <w:rsid w:val="00180AC7"/>
    <w:rsid w:val="00180DE1"/>
    <w:rsid w:val="00181337"/>
    <w:rsid w:val="0018144A"/>
    <w:rsid w:val="001817CD"/>
    <w:rsid w:val="00181C25"/>
    <w:rsid w:val="00181E7D"/>
    <w:rsid w:val="00182070"/>
    <w:rsid w:val="0018235E"/>
    <w:rsid w:val="001823EC"/>
    <w:rsid w:val="001825B0"/>
    <w:rsid w:val="00182788"/>
    <w:rsid w:val="00182BE5"/>
    <w:rsid w:val="00182C31"/>
    <w:rsid w:val="00182EA6"/>
    <w:rsid w:val="00182F49"/>
    <w:rsid w:val="001833B4"/>
    <w:rsid w:val="00183689"/>
    <w:rsid w:val="00183901"/>
    <w:rsid w:val="00183968"/>
    <w:rsid w:val="00183B1A"/>
    <w:rsid w:val="00183CD5"/>
    <w:rsid w:val="00183FA4"/>
    <w:rsid w:val="00184293"/>
    <w:rsid w:val="00184427"/>
    <w:rsid w:val="00184776"/>
    <w:rsid w:val="00184843"/>
    <w:rsid w:val="00184CF3"/>
    <w:rsid w:val="00185151"/>
    <w:rsid w:val="001855E4"/>
    <w:rsid w:val="00185F91"/>
    <w:rsid w:val="001868ED"/>
    <w:rsid w:val="00186A27"/>
    <w:rsid w:val="00186AA3"/>
    <w:rsid w:val="00186C36"/>
    <w:rsid w:val="0018729D"/>
    <w:rsid w:val="001872B3"/>
    <w:rsid w:val="0018768C"/>
    <w:rsid w:val="00187748"/>
    <w:rsid w:val="00187C49"/>
    <w:rsid w:val="00187D22"/>
    <w:rsid w:val="00187DB3"/>
    <w:rsid w:val="001904F1"/>
    <w:rsid w:val="00190540"/>
    <w:rsid w:val="00190601"/>
    <w:rsid w:val="00190ACF"/>
    <w:rsid w:val="00190E41"/>
    <w:rsid w:val="0019152B"/>
    <w:rsid w:val="001915AA"/>
    <w:rsid w:val="00191A80"/>
    <w:rsid w:val="00191D63"/>
    <w:rsid w:val="00192197"/>
    <w:rsid w:val="00192407"/>
    <w:rsid w:val="001924AE"/>
    <w:rsid w:val="0019255A"/>
    <w:rsid w:val="001928F3"/>
    <w:rsid w:val="00192B9F"/>
    <w:rsid w:val="00192BA0"/>
    <w:rsid w:val="00192CCA"/>
    <w:rsid w:val="001934FD"/>
    <w:rsid w:val="00193936"/>
    <w:rsid w:val="00193DAC"/>
    <w:rsid w:val="00193E6A"/>
    <w:rsid w:val="00194007"/>
    <w:rsid w:val="001941C6"/>
    <w:rsid w:val="001941EC"/>
    <w:rsid w:val="001945E9"/>
    <w:rsid w:val="00194782"/>
    <w:rsid w:val="00194E67"/>
    <w:rsid w:val="00195489"/>
    <w:rsid w:val="00195492"/>
    <w:rsid w:val="00195E79"/>
    <w:rsid w:val="0019613A"/>
    <w:rsid w:val="00196F40"/>
    <w:rsid w:val="00196FBC"/>
    <w:rsid w:val="00197303"/>
    <w:rsid w:val="001973F5"/>
    <w:rsid w:val="001978AA"/>
    <w:rsid w:val="00197B7D"/>
    <w:rsid w:val="00197E04"/>
    <w:rsid w:val="00197EC9"/>
    <w:rsid w:val="00197F3A"/>
    <w:rsid w:val="001A00D2"/>
    <w:rsid w:val="001A05F1"/>
    <w:rsid w:val="001A061E"/>
    <w:rsid w:val="001A0E0B"/>
    <w:rsid w:val="001A17EA"/>
    <w:rsid w:val="001A1D17"/>
    <w:rsid w:val="001A1EAF"/>
    <w:rsid w:val="001A1FC7"/>
    <w:rsid w:val="001A220A"/>
    <w:rsid w:val="001A22AA"/>
    <w:rsid w:val="001A241B"/>
    <w:rsid w:val="001A2771"/>
    <w:rsid w:val="001A27D8"/>
    <w:rsid w:val="001A305A"/>
    <w:rsid w:val="001A3412"/>
    <w:rsid w:val="001A380F"/>
    <w:rsid w:val="001A38B2"/>
    <w:rsid w:val="001A3C33"/>
    <w:rsid w:val="001A3C90"/>
    <w:rsid w:val="001A4181"/>
    <w:rsid w:val="001A42EF"/>
    <w:rsid w:val="001A47A1"/>
    <w:rsid w:val="001A48B8"/>
    <w:rsid w:val="001A4944"/>
    <w:rsid w:val="001A4B0F"/>
    <w:rsid w:val="001A4BB3"/>
    <w:rsid w:val="001A4BE6"/>
    <w:rsid w:val="001A4E3A"/>
    <w:rsid w:val="001A5008"/>
    <w:rsid w:val="001A52F8"/>
    <w:rsid w:val="001A564B"/>
    <w:rsid w:val="001A5F10"/>
    <w:rsid w:val="001A6223"/>
    <w:rsid w:val="001A62D8"/>
    <w:rsid w:val="001A64D4"/>
    <w:rsid w:val="001A6AF7"/>
    <w:rsid w:val="001A6C78"/>
    <w:rsid w:val="001A6EF9"/>
    <w:rsid w:val="001A7119"/>
    <w:rsid w:val="001A7867"/>
    <w:rsid w:val="001A7A18"/>
    <w:rsid w:val="001B01F3"/>
    <w:rsid w:val="001B0934"/>
    <w:rsid w:val="001B094C"/>
    <w:rsid w:val="001B0C17"/>
    <w:rsid w:val="001B0E2F"/>
    <w:rsid w:val="001B0F80"/>
    <w:rsid w:val="001B10ED"/>
    <w:rsid w:val="001B1565"/>
    <w:rsid w:val="001B166D"/>
    <w:rsid w:val="001B171D"/>
    <w:rsid w:val="001B1A21"/>
    <w:rsid w:val="001B1CC7"/>
    <w:rsid w:val="001B20BB"/>
    <w:rsid w:val="001B21B5"/>
    <w:rsid w:val="001B2479"/>
    <w:rsid w:val="001B2625"/>
    <w:rsid w:val="001B2873"/>
    <w:rsid w:val="001B28B5"/>
    <w:rsid w:val="001B2975"/>
    <w:rsid w:val="001B2C14"/>
    <w:rsid w:val="001B2CB1"/>
    <w:rsid w:val="001B2DF3"/>
    <w:rsid w:val="001B2FA7"/>
    <w:rsid w:val="001B307F"/>
    <w:rsid w:val="001B3AC1"/>
    <w:rsid w:val="001B3D1E"/>
    <w:rsid w:val="001B4505"/>
    <w:rsid w:val="001B4589"/>
    <w:rsid w:val="001B497E"/>
    <w:rsid w:val="001B4AB5"/>
    <w:rsid w:val="001B4B92"/>
    <w:rsid w:val="001B4E02"/>
    <w:rsid w:val="001B4F31"/>
    <w:rsid w:val="001B5035"/>
    <w:rsid w:val="001B557C"/>
    <w:rsid w:val="001B58FA"/>
    <w:rsid w:val="001B5EE6"/>
    <w:rsid w:val="001B64E1"/>
    <w:rsid w:val="001B65B9"/>
    <w:rsid w:val="001B6DE3"/>
    <w:rsid w:val="001B6E99"/>
    <w:rsid w:val="001B76E1"/>
    <w:rsid w:val="001B7923"/>
    <w:rsid w:val="001B7999"/>
    <w:rsid w:val="001B7C0B"/>
    <w:rsid w:val="001B7D78"/>
    <w:rsid w:val="001B7EA2"/>
    <w:rsid w:val="001C0782"/>
    <w:rsid w:val="001C0884"/>
    <w:rsid w:val="001C0985"/>
    <w:rsid w:val="001C122D"/>
    <w:rsid w:val="001C15E0"/>
    <w:rsid w:val="001C1DF4"/>
    <w:rsid w:val="001C279E"/>
    <w:rsid w:val="001C2845"/>
    <w:rsid w:val="001C2DF2"/>
    <w:rsid w:val="001C3138"/>
    <w:rsid w:val="001C3678"/>
    <w:rsid w:val="001C3762"/>
    <w:rsid w:val="001C400D"/>
    <w:rsid w:val="001C4030"/>
    <w:rsid w:val="001C42FF"/>
    <w:rsid w:val="001C442A"/>
    <w:rsid w:val="001C4B90"/>
    <w:rsid w:val="001C4D7A"/>
    <w:rsid w:val="001C4E7E"/>
    <w:rsid w:val="001C4ECB"/>
    <w:rsid w:val="001C5166"/>
    <w:rsid w:val="001C53F3"/>
    <w:rsid w:val="001C5C76"/>
    <w:rsid w:val="001C5CD6"/>
    <w:rsid w:val="001C5D48"/>
    <w:rsid w:val="001C5EAD"/>
    <w:rsid w:val="001C6809"/>
    <w:rsid w:val="001C6AE5"/>
    <w:rsid w:val="001C73E9"/>
    <w:rsid w:val="001D045D"/>
    <w:rsid w:val="001D0506"/>
    <w:rsid w:val="001D0A44"/>
    <w:rsid w:val="001D154F"/>
    <w:rsid w:val="001D1F0F"/>
    <w:rsid w:val="001D27E6"/>
    <w:rsid w:val="001D27F5"/>
    <w:rsid w:val="001D29A7"/>
    <w:rsid w:val="001D2A82"/>
    <w:rsid w:val="001D38E2"/>
    <w:rsid w:val="001D3A39"/>
    <w:rsid w:val="001D3F65"/>
    <w:rsid w:val="001D45C7"/>
    <w:rsid w:val="001D5327"/>
    <w:rsid w:val="001D569B"/>
    <w:rsid w:val="001D56D3"/>
    <w:rsid w:val="001D5884"/>
    <w:rsid w:val="001D5913"/>
    <w:rsid w:val="001D5AF2"/>
    <w:rsid w:val="001D614D"/>
    <w:rsid w:val="001D64F3"/>
    <w:rsid w:val="001D66DA"/>
    <w:rsid w:val="001D6775"/>
    <w:rsid w:val="001D6800"/>
    <w:rsid w:val="001D76A9"/>
    <w:rsid w:val="001D799F"/>
    <w:rsid w:val="001D7CB8"/>
    <w:rsid w:val="001D7D49"/>
    <w:rsid w:val="001E000C"/>
    <w:rsid w:val="001E05D1"/>
    <w:rsid w:val="001E0806"/>
    <w:rsid w:val="001E0A29"/>
    <w:rsid w:val="001E0ABC"/>
    <w:rsid w:val="001E0EA3"/>
    <w:rsid w:val="001E0F70"/>
    <w:rsid w:val="001E1035"/>
    <w:rsid w:val="001E13BE"/>
    <w:rsid w:val="001E1AFF"/>
    <w:rsid w:val="001E2103"/>
    <w:rsid w:val="001E277E"/>
    <w:rsid w:val="001E2811"/>
    <w:rsid w:val="001E2972"/>
    <w:rsid w:val="001E3941"/>
    <w:rsid w:val="001E3E2B"/>
    <w:rsid w:val="001E4152"/>
    <w:rsid w:val="001E4356"/>
    <w:rsid w:val="001E4995"/>
    <w:rsid w:val="001E4E40"/>
    <w:rsid w:val="001E4E42"/>
    <w:rsid w:val="001E5259"/>
    <w:rsid w:val="001E5863"/>
    <w:rsid w:val="001E5976"/>
    <w:rsid w:val="001E6443"/>
    <w:rsid w:val="001E648F"/>
    <w:rsid w:val="001E66E2"/>
    <w:rsid w:val="001E702D"/>
    <w:rsid w:val="001E7213"/>
    <w:rsid w:val="001E75B8"/>
    <w:rsid w:val="001E78AF"/>
    <w:rsid w:val="001E7A42"/>
    <w:rsid w:val="001E7EE1"/>
    <w:rsid w:val="001F0212"/>
    <w:rsid w:val="001F0535"/>
    <w:rsid w:val="001F09DC"/>
    <w:rsid w:val="001F0C36"/>
    <w:rsid w:val="001F0C59"/>
    <w:rsid w:val="001F0C67"/>
    <w:rsid w:val="001F1454"/>
    <w:rsid w:val="001F1764"/>
    <w:rsid w:val="001F1788"/>
    <w:rsid w:val="001F1AC1"/>
    <w:rsid w:val="001F1BB6"/>
    <w:rsid w:val="001F2562"/>
    <w:rsid w:val="001F291C"/>
    <w:rsid w:val="001F2CAA"/>
    <w:rsid w:val="001F31D4"/>
    <w:rsid w:val="001F3436"/>
    <w:rsid w:val="001F348B"/>
    <w:rsid w:val="001F34CB"/>
    <w:rsid w:val="001F35E8"/>
    <w:rsid w:val="001F3BD9"/>
    <w:rsid w:val="001F423D"/>
    <w:rsid w:val="001F43E6"/>
    <w:rsid w:val="001F4412"/>
    <w:rsid w:val="001F4712"/>
    <w:rsid w:val="001F5458"/>
    <w:rsid w:val="001F555B"/>
    <w:rsid w:val="001F5600"/>
    <w:rsid w:val="001F593D"/>
    <w:rsid w:val="001F598E"/>
    <w:rsid w:val="001F5CCF"/>
    <w:rsid w:val="001F67D7"/>
    <w:rsid w:val="001F6A46"/>
    <w:rsid w:val="001F7365"/>
    <w:rsid w:val="001F749C"/>
    <w:rsid w:val="001F7590"/>
    <w:rsid w:val="001F75F8"/>
    <w:rsid w:val="001F787E"/>
    <w:rsid w:val="001F7C4F"/>
    <w:rsid w:val="001F7EA2"/>
    <w:rsid w:val="001F8896"/>
    <w:rsid w:val="0020033C"/>
    <w:rsid w:val="00200758"/>
    <w:rsid w:val="00200BC4"/>
    <w:rsid w:val="00200C14"/>
    <w:rsid w:val="002015E9"/>
    <w:rsid w:val="002020F9"/>
    <w:rsid w:val="002022A1"/>
    <w:rsid w:val="0020243D"/>
    <w:rsid w:val="00202A22"/>
    <w:rsid w:val="00202DAA"/>
    <w:rsid w:val="00203556"/>
    <w:rsid w:val="00203628"/>
    <w:rsid w:val="00203656"/>
    <w:rsid w:val="00203E6C"/>
    <w:rsid w:val="0020404B"/>
    <w:rsid w:val="0020422A"/>
    <w:rsid w:val="00204C4B"/>
    <w:rsid w:val="00205240"/>
    <w:rsid w:val="0020547D"/>
    <w:rsid w:val="002056CA"/>
    <w:rsid w:val="0020600A"/>
    <w:rsid w:val="002065A8"/>
    <w:rsid w:val="002068AE"/>
    <w:rsid w:val="00206D01"/>
    <w:rsid w:val="002070AD"/>
    <w:rsid w:val="002072E3"/>
    <w:rsid w:val="00207606"/>
    <w:rsid w:val="00207614"/>
    <w:rsid w:val="00207AF9"/>
    <w:rsid w:val="00207D0D"/>
    <w:rsid w:val="00207D96"/>
    <w:rsid w:val="00207F49"/>
    <w:rsid w:val="00207FF6"/>
    <w:rsid w:val="002105AB"/>
    <w:rsid w:val="002116DC"/>
    <w:rsid w:val="00211896"/>
    <w:rsid w:val="00211E4B"/>
    <w:rsid w:val="00211EC3"/>
    <w:rsid w:val="00212C9B"/>
    <w:rsid w:val="002134E8"/>
    <w:rsid w:val="00213772"/>
    <w:rsid w:val="00213ADE"/>
    <w:rsid w:val="00213B63"/>
    <w:rsid w:val="00213EA8"/>
    <w:rsid w:val="00214295"/>
    <w:rsid w:val="00214697"/>
    <w:rsid w:val="002151F1"/>
    <w:rsid w:val="002152FD"/>
    <w:rsid w:val="0021559D"/>
    <w:rsid w:val="00215CC5"/>
    <w:rsid w:val="00215CE7"/>
    <w:rsid w:val="00216259"/>
    <w:rsid w:val="002163E6"/>
    <w:rsid w:val="002166BD"/>
    <w:rsid w:val="00216822"/>
    <w:rsid w:val="00216846"/>
    <w:rsid w:val="00216B46"/>
    <w:rsid w:val="00216CFE"/>
    <w:rsid w:val="00216F49"/>
    <w:rsid w:val="002171FB"/>
    <w:rsid w:val="00217A73"/>
    <w:rsid w:val="00217FEA"/>
    <w:rsid w:val="00220112"/>
    <w:rsid w:val="00220113"/>
    <w:rsid w:val="00220749"/>
    <w:rsid w:val="00220B8D"/>
    <w:rsid w:val="0022136B"/>
    <w:rsid w:val="00221428"/>
    <w:rsid w:val="00221840"/>
    <w:rsid w:val="00221844"/>
    <w:rsid w:val="00221C07"/>
    <w:rsid w:val="0022261B"/>
    <w:rsid w:val="002227B3"/>
    <w:rsid w:val="00222C08"/>
    <w:rsid w:val="00222E44"/>
    <w:rsid w:val="00222F4B"/>
    <w:rsid w:val="0022302A"/>
    <w:rsid w:val="002233A8"/>
    <w:rsid w:val="0022369E"/>
    <w:rsid w:val="00223880"/>
    <w:rsid w:val="002239E6"/>
    <w:rsid w:val="00223C12"/>
    <w:rsid w:val="00223EC9"/>
    <w:rsid w:val="0022422C"/>
    <w:rsid w:val="002244E9"/>
    <w:rsid w:val="002249F5"/>
    <w:rsid w:val="00224A65"/>
    <w:rsid w:val="00224E7B"/>
    <w:rsid w:val="00224ED8"/>
    <w:rsid w:val="00224F08"/>
    <w:rsid w:val="00225455"/>
    <w:rsid w:val="00225876"/>
    <w:rsid w:val="0022598E"/>
    <w:rsid w:val="00226174"/>
    <w:rsid w:val="002263F3"/>
    <w:rsid w:val="002264C6"/>
    <w:rsid w:val="002266AB"/>
    <w:rsid w:val="00226AE6"/>
    <w:rsid w:val="0022724E"/>
    <w:rsid w:val="00227403"/>
    <w:rsid w:val="002276D0"/>
    <w:rsid w:val="002279BB"/>
    <w:rsid w:val="00227A19"/>
    <w:rsid w:val="00227C21"/>
    <w:rsid w:val="0023025D"/>
    <w:rsid w:val="0023028F"/>
    <w:rsid w:val="00230563"/>
    <w:rsid w:val="00230666"/>
    <w:rsid w:val="00230694"/>
    <w:rsid w:val="0023089C"/>
    <w:rsid w:val="00230A4F"/>
    <w:rsid w:val="00230B0B"/>
    <w:rsid w:val="00230B12"/>
    <w:rsid w:val="00230C25"/>
    <w:rsid w:val="00231153"/>
    <w:rsid w:val="002311EC"/>
    <w:rsid w:val="00231547"/>
    <w:rsid w:val="00231DF0"/>
    <w:rsid w:val="00231E8A"/>
    <w:rsid w:val="00232315"/>
    <w:rsid w:val="002324E8"/>
    <w:rsid w:val="0023252E"/>
    <w:rsid w:val="00232556"/>
    <w:rsid w:val="002325FD"/>
    <w:rsid w:val="002326E5"/>
    <w:rsid w:val="00232B80"/>
    <w:rsid w:val="00232C78"/>
    <w:rsid w:val="00232DFF"/>
    <w:rsid w:val="00232EE1"/>
    <w:rsid w:val="00233032"/>
    <w:rsid w:val="00233D77"/>
    <w:rsid w:val="00233D99"/>
    <w:rsid w:val="002340F5"/>
    <w:rsid w:val="00234454"/>
    <w:rsid w:val="002346A2"/>
    <w:rsid w:val="00234DD3"/>
    <w:rsid w:val="00234DE5"/>
    <w:rsid w:val="00234F0C"/>
    <w:rsid w:val="00235120"/>
    <w:rsid w:val="002354E9"/>
    <w:rsid w:val="002356AF"/>
    <w:rsid w:val="00235853"/>
    <w:rsid w:val="002358DB"/>
    <w:rsid w:val="00235B78"/>
    <w:rsid w:val="002360E0"/>
    <w:rsid w:val="00236447"/>
    <w:rsid w:val="0023680A"/>
    <w:rsid w:val="00236A32"/>
    <w:rsid w:val="002374B2"/>
    <w:rsid w:val="002376C8"/>
    <w:rsid w:val="00237D40"/>
    <w:rsid w:val="002401A8"/>
    <w:rsid w:val="0024063E"/>
    <w:rsid w:val="00240690"/>
    <w:rsid w:val="00240D69"/>
    <w:rsid w:val="00240DD7"/>
    <w:rsid w:val="00240DF4"/>
    <w:rsid w:val="00240E80"/>
    <w:rsid w:val="00240F18"/>
    <w:rsid w:val="00241299"/>
    <w:rsid w:val="002412BE"/>
    <w:rsid w:val="00241316"/>
    <w:rsid w:val="00241418"/>
    <w:rsid w:val="002414C2"/>
    <w:rsid w:val="002414FC"/>
    <w:rsid w:val="002418B9"/>
    <w:rsid w:val="002419B2"/>
    <w:rsid w:val="00241C31"/>
    <w:rsid w:val="00241D26"/>
    <w:rsid w:val="00241E33"/>
    <w:rsid w:val="0024206C"/>
    <w:rsid w:val="002421DB"/>
    <w:rsid w:val="00242504"/>
    <w:rsid w:val="002426A3"/>
    <w:rsid w:val="00242902"/>
    <w:rsid w:val="00242917"/>
    <w:rsid w:val="00242F14"/>
    <w:rsid w:val="00242F93"/>
    <w:rsid w:val="002432AA"/>
    <w:rsid w:val="002432C7"/>
    <w:rsid w:val="002438E2"/>
    <w:rsid w:val="0024398B"/>
    <w:rsid w:val="00243AA9"/>
    <w:rsid w:val="00243C2B"/>
    <w:rsid w:val="00245428"/>
    <w:rsid w:val="00245761"/>
    <w:rsid w:val="002458A6"/>
    <w:rsid w:val="00245AAE"/>
    <w:rsid w:val="00245B21"/>
    <w:rsid w:val="00246230"/>
    <w:rsid w:val="00246343"/>
    <w:rsid w:val="00246574"/>
    <w:rsid w:val="002467C8"/>
    <w:rsid w:val="00246DB5"/>
    <w:rsid w:val="00247166"/>
    <w:rsid w:val="0024775A"/>
    <w:rsid w:val="0025024A"/>
    <w:rsid w:val="00250ADB"/>
    <w:rsid w:val="00250D85"/>
    <w:rsid w:val="00251020"/>
    <w:rsid w:val="002510D3"/>
    <w:rsid w:val="002510D6"/>
    <w:rsid w:val="002514C8"/>
    <w:rsid w:val="00251628"/>
    <w:rsid w:val="0025172A"/>
    <w:rsid w:val="0025178A"/>
    <w:rsid w:val="00251BE9"/>
    <w:rsid w:val="00251E68"/>
    <w:rsid w:val="00251EDF"/>
    <w:rsid w:val="002520A9"/>
    <w:rsid w:val="00252569"/>
    <w:rsid w:val="0025267E"/>
    <w:rsid w:val="0025282C"/>
    <w:rsid w:val="00252841"/>
    <w:rsid w:val="00252E23"/>
    <w:rsid w:val="00252EB3"/>
    <w:rsid w:val="00253042"/>
    <w:rsid w:val="002532E2"/>
    <w:rsid w:val="0025359A"/>
    <w:rsid w:val="00253DD4"/>
    <w:rsid w:val="00254072"/>
    <w:rsid w:val="002540FF"/>
    <w:rsid w:val="0025427C"/>
    <w:rsid w:val="002545F3"/>
    <w:rsid w:val="00254826"/>
    <w:rsid w:val="0025485A"/>
    <w:rsid w:val="00254E00"/>
    <w:rsid w:val="00255042"/>
    <w:rsid w:val="00255BF3"/>
    <w:rsid w:val="00255DC4"/>
    <w:rsid w:val="00255F4F"/>
    <w:rsid w:val="00256235"/>
    <w:rsid w:val="002562D6"/>
    <w:rsid w:val="00256BEB"/>
    <w:rsid w:val="00256DDD"/>
    <w:rsid w:val="00256ED7"/>
    <w:rsid w:val="00257BEB"/>
    <w:rsid w:val="00260701"/>
    <w:rsid w:val="00260D89"/>
    <w:rsid w:val="00260EA7"/>
    <w:rsid w:val="00261E7D"/>
    <w:rsid w:val="002621C4"/>
    <w:rsid w:val="002622C1"/>
    <w:rsid w:val="00262D47"/>
    <w:rsid w:val="00262D80"/>
    <w:rsid w:val="00263712"/>
    <w:rsid w:val="0026395F"/>
    <w:rsid w:val="002639C0"/>
    <w:rsid w:val="00264145"/>
    <w:rsid w:val="00264390"/>
    <w:rsid w:val="002643C5"/>
    <w:rsid w:val="00264AFF"/>
    <w:rsid w:val="002650C2"/>
    <w:rsid w:val="002651B2"/>
    <w:rsid w:val="0026595C"/>
    <w:rsid w:val="0026597A"/>
    <w:rsid w:val="00265B17"/>
    <w:rsid w:val="00265B9D"/>
    <w:rsid w:val="00265D22"/>
    <w:rsid w:val="00265FED"/>
    <w:rsid w:val="00267345"/>
    <w:rsid w:val="00267950"/>
    <w:rsid w:val="0026798B"/>
    <w:rsid w:val="002679D5"/>
    <w:rsid w:val="00267A78"/>
    <w:rsid w:val="00267B18"/>
    <w:rsid w:val="00270B64"/>
    <w:rsid w:val="00270CB4"/>
    <w:rsid w:val="00270E45"/>
    <w:rsid w:val="00270E86"/>
    <w:rsid w:val="00270F3D"/>
    <w:rsid w:val="00270F3F"/>
    <w:rsid w:val="002714B1"/>
    <w:rsid w:val="002714FD"/>
    <w:rsid w:val="00271E90"/>
    <w:rsid w:val="00272290"/>
    <w:rsid w:val="00272423"/>
    <w:rsid w:val="0027283A"/>
    <w:rsid w:val="00272AC2"/>
    <w:rsid w:val="00272C8C"/>
    <w:rsid w:val="00272DFF"/>
    <w:rsid w:val="00272F9A"/>
    <w:rsid w:val="00273214"/>
    <w:rsid w:val="00273282"/>
    <w:rsid w:val="0027397A"/>
    <w:rsid w:val="00273FD7"/>
    <w:rsid w:val="0027452F"/>
    <w:rsid w:val="002747C9"/>
    <w:rsid w:val="00274A4E"/>
    <w:rsid w:val="00274ED9"/>
    <w:rsid w:val="00275150"/>
    <w:rsid w:val="0027527A"/>
    <w:rsid w:val="002755CA"/>
    <w:rsid w:val="00275637"/>
    <w:rsid w:val="002757DE"/>
    <w:rsid w:val="00275A0A"/>
    <w:rsid w:val="00275B83"/>
    <w:rsid w:val="00275F94"/>
    <w:rsid w:val="00276293"/>
    <w:rsid w:val="0027657D"/>
    <w:rsid w:val="00276BB7"/>
    <w:rsid w:val="00276C3D"/>
    <w:rsid w:val="0027728C"/>
    <w:rsid w:val="0027769B"/>
    <w:rsid w:val="00277D3A"/>
    <w:rsid w:val="00277EB1"/>
    <w:rsid w:val="00277EE7"/>
    <w:rsid w:val="00277EF8"/>
    <w:rsid w:val="00277F51"/>
    <w:rsid w:val="0028093F"/>
    <w:rsid w:val="00280A86"/>
    <w:rsid w:val="00280BAE"/>
    <w:rsid w:val="00280C7F"/>
    <w:rsid w:val="00281026"/>
    <w:rsid w:val="002814B8"/>
    <w:rsid w:val="00281784"/>
    <w:rsid w:val="00281B9C"/>
    <w:rsid w:val="00282353"/>
    <w:rsid w:val="0028250E"/>
    <w:rsid w:val="00282A2F"/>
    <w:rsid w:val="00283034"/>
    <w:rsid w:val="00283130"/>
    <w:rsid w:val="00283205"/>
    <w:rsid w:val="00283720"/>
    <w:rsid w:val="00283ACB"/>
    <w:rsid w:val="00283BD6"/>
    <w:rsid w:val="00283C5B"/>
    <w:rsid w:val="00284165"/>
    <w:rsid w:val="0028444C"/>
    <w:rsid w:val="00284476"/>
    <w:rsid w:val="00284849"/>
    <w:rsid w:val="00284C9B"/>
    <w:rsid w:val="00284EF9"/>
    <w:rsid w:val="00285069"/>
    <w:rsid w:val="002856A4"/>
    <w:rsid w:val="002856DC"/>
    <w:rsid w:val="0028573D"/>
    <w:rsid w:val="00285A3F"/>
    <w:rsid w:val="00285CC6"/>
    <w:rsid w:val="00285F07"/>
    <w:rsid w:val="00285F1F"/>
    <w:rsid w:val="00286073"/>
    <w:rsid w:val="0028619A"/>
    <w:rsid w:val="0028627E"/>
    <w:rsid w:val="0028633E"/>
    <w:rsid w:val="002863AD"/>
    <w:rsid w:val="0028697B"/>
    <w:rsid w:val="00286995"/>
    <w:rsid w:val="00286B78"/>
    <w:rsid w:val="00286F66"/>
    <w:rsid w:val="00286F8F"/>
    <w:rsid w:val="0028703D"/>
    <w:rsid w:val="002876B5"/>
    <w:rsid w:val="002885E8"/>
    <w:rsid w:val="00290150"/>
    <w:rsid w:val="00290C40"/>
    <w:rsid w:val="00291056"/>
    <w:rsid w:val="00291064"/>
    <w:rsid w:val="00291180"/>
    <w:rsid w:val="0029196D"/>
    <w:rsid w:val="00292660"/>
    <w:rsid w:val="00292AA5"/>
    <w:rsid w:val="00292B99"/>
    <w:rsid w:val="00292C4B"/>
    <w:rsid w:val="00293019"/>
    <w:rsid w:val="002930B9"/>
    <w:rsid w:val="00293171"/>
    <w:rsid w:val="00293714"/>
    <w:rsid w:val="002939BE"/>
    <w:rsid w:val="00293A42"/>
    <w:rsid w:val="00293ED6"/>
    <w:rsid w:val="00293FC4"/>
    <w:rsid w:val="00294135"/>
    <w:rsid w:val="0029451B"/>
    <w:rsid w:val="00294DA3"/>
    <w:rsid w:val="00295138"/>
    <w:rsid w:val="0029515F"/>
    <w:rsid w:val="002958AF"/>
    <w:rsid w:val="00295C0A"/>
    <w:rsid w:val="00295D35"/>
    <w:rsid w:val="00295D4D"/>
    <w:rsid w:val="00296290"/>
    <w:rsid w:val="00296B45"/>
    <w:rsid w:val="00296B63"/>
    <w:rsid w:val="00296D17"/>
    <w:rsid w:val="00296F32"/>
    <w:rsid w:val="002975D7"/>
    <w:rsid w:val="00297662"/>
    <w:rsid w:val="00297AA3"/>
    <w:rsid w:val="002A0069"/>
    <w:rsid w:val="002A03C5"/>
    <w:rsid w:val="002A0CF4"/>
    <w:rsid w:val="002A0DDA"/>
    <w:rsid w:val="002A0FB0"/>
    <w:rsid w:val="002A133B"/>
    <w:rsid w:val="002A13C6"/>
    <w:rsid w:val="002A141B"/>
    <w:rsid w:val="002A1426"/>
    <w:rsid w:val="002A14D4"/>
    <w:rsid w:val="002A170B"/>
    <w:rsid w:val="002A1C2C"/>
    <w:rsid w:val="002A2127"/>
    <w:rsid w:val="002A2198"/>
    <w:rsid w:val="002A2691"/>
    <w:rsid w:val="002A26B6"/>
    <w:rsid w:val="002A2773"/>
    <w:rsid w:val="002A30D0"/>
    <w:rsid w:val="002A3528"/>
    <w:rsid w:val="002A3DD2"/>
    <w:rsid w:val="002A4123"/>
    <w:rsid w:val="002A4DA5"/>
    <w:rsid w:val="002A50CA"/>
    <w:rsid w:val="002A50F8"/>
    <w:rsid w:val="002A522E"/>
    <w:rsid w:val="002A564C"/>
    <w:rsid w:val="002A591B"/>
    <w:rsid w:val="002A595E"/>
    <w:rsid w:val="002A63FE"/>
    <w:rsid w:val="002A6470"/>
    <w:rsid w:val="002A6865"/>
    <w:rsid w:val="002A6924"/>
    <w:rsid w:val="002A6A4E"/>
    <w:rsid w:val="002A6F58"/>
    <w:rsid w:val="002A7674"/>
    <w:rsid w:val="002A787E"/>
    <w:rsid w:val="002A7947"/>
    <w:rsid w:val="002A7A5D"/>
    <w:rsid w:val="002A7CE7"/>
    <w:rsid w:val="002B0105"/>
    <w:rsid w:val="002B020F"/>
    <w:rsid w:val="002B0AD5"/>
    <w:rsid w:val="002B0D14"/>
    <w:rsid w:val="002B1129"/>
    <w:rsid w:val="002B14AA"/>
    <w:rsid w:val="002B1B3D"/>
    <w:rsid w:val="002B2A0B"/>
    <w:rsid w:val="002B34F2"/>
    <w:rsid w:val="002B384F"/>
    <w:rsid w:val="002B3889"/>
    <w:rsid w:val="002B3A53"/>
    <w:rsid w:val="002B3DBD"/>
    <w:rsid w:val="002B3FB8"/>
    <w:rsid w:val="002B3FE7"/>
    <w:rsid w:val="002B4212"/>
    <w:rsid w:val="002B42CA"/>
    <w:rsid w:val="002B45DA"/>
    <w:rsid w:val="002B4662"/>
    <w:rsid w:val="002B4716"/>
    <w:rsid w:val="002B48A0"/>
    <w:rsid w:val="002B4969"/>
    <w:rsid w:val="002B4F16"/>
    <w:rsid w:val="002B4F3E"/>
    <w:rsid w:val="002B4F59"/>
    <w:rsid w:val="002B585E"/>
    <w:rsid w:val="002B59EF"/>
    <w:rsid w:val="002B5A85"/>
    <w:rsid w:val="002B5CA7"/>
    <w:rsid w:val="002B5FB8"/>
    <w:rsid w:val="002B629D"/>
    <w:rsid w:val="002B6359"/>
    <w:rsid w:val="002B63A7"/>
    <w:rsid w:val="002B6449"/>
    <w:rsid w:val="002B644F"/>
    <w:rsid w:val="002B6688"/>
    <w:rsid w:val="002B67DD"/>
    <w:rsid w:val="002B69FA"/>
    <w:rsid w:val="002B6D33"/>
    <w:rsid w:val="002B7025"/>
    <w:rsid w:val="002B739A"/>
    <w:rsid w:val="002B740F"/>
    <w:rsid w:val="002B7656"/>
    <w:rsid w:val="002B794B"/>
    <w:rsid w:val="002B7A08"/>
    <w:rsid w:val="002C0314"/>
    <w:rsid w:val="002C0642"/>
    <w:rsid w:val="002C06C1"/>
    <w:rsid w:val="002C07A9"/>
    <w:rsid w:val="002C0FCA"/>
    <w:rsid w:val="002C0FD1"/>
    <w:rsid w:val="002C19B8"/>
    <w:rsid w:val="002C1A57"/>
    <w:rsid w:val="002C1CB8"/>
    <w:rsid w:val="002C1D09"/>
    <w:rsid w:val="002C1D7F"/>
    <w:rsid w:val="002C1EFB"/>
    <w:rsid w:val="002C209C"/>
    <w:rsid w:val="002C2B55"/>
    <w:rsid w:val="002C2F75"/>
    <w:rsid w:val="002C2FC6"/>
    <w:rsid w:val="002C30C4"/>
    <w:rsid w:val="002C3143"/>
    <w:rsid w:val="002C31F5"/>
    <w:rsid w:val="002C3534"/>
    <w:rsid w:val="002C37F3"/>
    <w:rsid w:val="002C3852"/>
    <w:rsid w:val="002C3C30"/>
    <w:rsid w:val="002C3ECC"/>
    <w:rsid w:val="002C42F4"/>
    <w:rsid w:val="002C449C"/>
    <w:rsid w:val="002C482A"/>
    <w:rsid w:val="002C4B71"/>
    <w:rsid w:val="002C4F2A"/>
    <w:rsid w:val="002C5092"/>
    <w:rsid w:val="002C5352"/>
    <w:rsid w:val="002C5478"/>
    <w:rsid w:val="002C5543"/>
    <w:rsid w:val="002C57D6"/>
    <w:rsid w:val="002C643F"/>
    <w:rsid w:val="002C6A55"/>
    <w:rsid w:val="002C72A6"/>
    <w:rsid w:val="002C7834"/>
    <w:rsid w:val="002C7844"/>
    <w:rsid w:val="002C7C7A"/>
    <w:rsid w:val="002C7D96"/>
    <w:rsid w:val="002D01E2"/>
    <w:rsid w:val="002D0632"/>
    <w:rsid w:val="002D08C6"/>
    <w:rsid w:val="002D0E6E"/>
    <w:rsid w:val="002D0F7F"/>
    <w:rsid w:val="002D1381"/>
    <w:rsid w:val="002D150E"/>
    <w:rsid w:val="002D17B9"/>
    <w:rsid w:val="002D1B4F"/>
    <w:rsid w:val="002D1B65"/>
    <w:rsid w:val="002D25A6"/>
    <w:rsid w:val="002D28A6"/>
    <w:rsid w:val="002D2A12"/>
    <w:rsid w:val="002D31E5"/>
    <w:rsid w:val="002D32D0"/>
    <w:rsid w:val="002D3892"/>
    <w:rsid w:val="002D3BD1"/>
    <w:rsid w:val="002D41B1"/>
    <w:rsid w:val="002D47FE"/>
    <w:rsid w:val="002D49A8"/>
    <w:rsid w:val="002D4D0E"/>
    <w:rsid w:val="002D4D5F"/>
    <w:rsid w:val="002D5688"/>
    <w:rsid w:val="002D56DA"/>
    <w:rsid w:val="002D5B9B"/>
    <w:rsid w:val="002D5D4E"/>
    <w:rsid w:val="002D5E87"/>
    <w:rsid w:val="002D5EDA"/>
    <w:rsid w:val="002D5F5B"/>
    <w:rsid w:val="002D6A39"/>
    <w:rsid w:val="002D6DDD"/>
    <w:rsid w:val="002D6E2F"/>
    <w:rsid w:val="002D6FC1"/>
    <w:rsid w:val="002D70BD"/>
    <w:rsid w:val="002D70FB"/>
    <w:rsid w:val="002D7132"/>
    <w:rsid w:val="002D7392"/>
    <w:rsid w:val="002D77C7"/>
    <w:rsid w:val="002D7959"/>
    <w:rsid w:val="002D796E"/>
    <w:rsid w:val="002E0198"/>
    <w:rsid w:val="002E038F"/>
    <w:rsid w:val="002E0573"/>
    <w:rsid w:val="002E0697"/>
    <w:rsid w:val="002E0A92"/>
    <w:rsid w:val="002E0ACC"/>
    <w:rsid w:val="002E0DBE"/>
    <w:rsid w:val="002E0EE6"/>
    <w:rsid w:val="002E0F05"/>
    <w:rsid w:val="002E1016"/>
    <w:rsid w:val="002E12BF"/>
    <w:rsid w:val="002E13A8"/>
    <w:rsid w:val="002E18C4"/>
    <w:rsid w:val="002E1D7C"/>
    <w:rsid w:val="002E2073"/>
    <w:rsid w:val="002E20F8"/>
    <w:rsid w:val="002E2160"/>
    <w:rsid w:val="002E2221"/>
    <w:rsid w:val="002E2344"/>
    <w:rsid w:val="002E25C9"/>
    <w:rsid w:val="002E27E8"/>
    <w:rsid w:val="002E2900"/>
    <w:rsid w:val="002E2ACD"/>
    <w:rsid w:val="002E2E46"/>
    <w:rsid w:val="002E33D0"/>
    <w:rsid w:val="002E3881"/>
    <w:rsid w:val="002E3952"/>
    <w:rsid w:val="002E3B3F"/>
    <w:rsid w:val="002E4039"/>
    <w:rsid w:val="002E53A1"/>
    <w:rsid w:val="002E5786"/>
    <w:rsid w:val="002E5958"/>
    <w:rsid w:val="002E5CEE"/>
    <w:rsid w:val="002E63ED"/>
    <w:rsid w:val="002E640B"/>
    <w:rsid w:val="002E6652"/>
    <w:rsid w:val="002E6A6D"/>
    <w:rsid w:val="002E6C81"/>
    <w:rsid w:val="002E6DF1"/>
    <w:rsid w:val="002E712A"/>
    <w:rsid w:val="002E7229"/>
    <w:rsid w:val="002E7712"/>
    <w:rsid w:val="002E7CAF"/>
    <w:rsid w:val="002E7D15"/>
    <w:rsid w:val="002F000B"/>
    <w:rsid w:val="002F0104"/>
    <w:rsid w:val="002F031A"/>
    <w:rsid w:val="002F0B29"/>
    <w:rsid w:val="002F0B72"/>
    <w:rsid w:val="002F0E43"/>
    <w:rsid w:val="002F0EE3"/>
    <w:rsid w:val="002F10EA"/>
    <w:rsid w:val="002F1786"/>
    <w:rsid w:val="002F18DC"/>
    <w:rsid w:val="002F1A31"/>
    <w:rsid w:val="002F1B13"/>
    <w:rsid w:val="002F1E31"/>
    <w:rsid w:val="002F1ED4"/>
    <w:rsid w:val="002F1F53"/>
    <w:rsid w:val="002F20AE"/>
    <w:rsid w:val="002F2249"/>
    <w:rsid w:val="002F2481"/>
    <w:rsid w:val="002F2CE7"/>
    <w:rsid w:val="002F2F08"/>
    <w:rsid w:val="002F2F52"/>
    <w:rsid w:val="002F2F65"/>
    <w:rsid w:val="002F361F"/>
    <w:rsid w:val="002F3991"/>
    <w:rsid w:val="002F3BC3"/>
    <w:rsid w:val="002F3C4A"/>
    <w:rsid w:val="002F3DE3"/>
    <w:rsid w:val="002F449B"/>
    <w:rsid w:val="002F45A7"/>
    <w:rsid w:val="002F45F0"/>
    <w:rsid w:val="002F47C1"/>
    <w:rsid w:val="002F4807"/>
    <w:rsid w:val="002F48C4"/>
    <w:rsid w:val="002F48C9"/>
    <w:rsid w:val="002F492C"/>
    <w:rsid w:val="002F4A3E"/>
    <w:rsid w:val="002F4BD3"/>
    <w:rsid w:val="002F4D86"/>
    <w:rsid w:val="002F4E63"/>
    <w:rsid w:val="002F512A"/>
    <w:rsid w:val="002F5280"/>
    <w:rsid w:val="002F5467"/>
    <w:rsid w:val="002F572C"/>
    <w:rsid w:val="002F58CC"/>
    <w:rsid w:val="002F595B"/>
    <w:rsid w:val="002F59B3"/>
    <w:rsid w:val="002F5D69"/>
    <w:rsid w:val="002F6358"/>
    <w:rsid w:val="002F6A91"/>
    <w:rsid w:val="002F6B04"/>
    <w:rsid w:val="002F6B97"/>
    <w:rsid w:val="002F73FF"/>
    <w:rsid w:val="002F775A"/>
    <w:rsid w:val="002F77D0"/>
    <w:rsid w:val="002F79BE"/>
    <w:rsid w:val="002F7A29"/>
    <w:rsid w:val="002F7B26"/>
    <w:rsid w:val="002F7BF6"/>
    <w:rsid w:val="002F7BF9"/>
    <w:rsid w:val="002F7C77"/>
    <w:rsid w:val="002F7C92"/>
    <w:rsid w:val="002F7CAC"/>
    <w:rsid w:val="002F7DD2"/>
    <w:rsid w:val="00300128"/>
    <w:rsid w:val="003008DC"/>
    <w:rsid w:val="00300CB3"/>
    <w:rsid w:val="003010FC"/>
    <w:rsid w:val="0030119A"/>
    <w:rsid w:val="003014B2"/>
    <w:rsid w:val="00301D8C"/>
    <w:rsid w:val="00301E45"/>
    <w:rsid w:val="00301E87"/>
    <w:rsid w:val="00301FB8"/>
    <w:rsid w:val="0030214A"/>
    <w:rsid w:val="003025A0"/>
    <w:rsid w:val="003029AA"/>
    <w:rsid w:val="00303095"/>
    <w:rsid w:val="003032F4"/>
    <w:rsid w:val="00303528"/>
    <w:rsid w:val="00303793"/>
    <w:rsid w:val="003038B1"/>
    <w:rsid w:val="00303901"/>
    <w:rsid w:val="0030394B"/>
    <w:rsid w:val="0030421B"/>
    <w:rsid w:val="003047FC"/>
    <w:rsid w:val="00304B17"/>
    <w:rsid w:val="00304F73"/>
    <w:rsid w:val="0030514B"/>
    <w:rsid w:val="00305930"/>
    <w:rsid w:val="00306497"/>
    <w:rsid w:val="00306C72"/>
    <w:rsid w:val="00306D72"/>
    <w:rsid w:val="00307083"/>
    <w:rsid w:val="003072C6"/>
    <w:rsid w:val="003076C8"/>
    <w:rsid w:val="00307A26"/>
    <w:rsid w:val="00310498"/>
    <w:rsid w:val="00310557"/>
    <w:rsid w:val="0031073D"/>
    <w:rsid w:val="00310D8E"/>
    <w:rsid w:val="003112BE"/>
    <w:rsid w:val="003114CA"/>
    <w:rsid w:val="00311844"/>
    <w:rsid w:val="00311AB8"/>
    <w:rsid w:val="003125B2"/>
    <w:rsid w:val="00312856"/>
    <w:rsid w:val="003128E9"/>
    <w:rsid w:val="003129A1"/>
    <w:rsid w:val="00312B7D"/>
    <w:rsid w:val="003131B9"/>
    <w:rsid w:val="003134B6"/>
    <w:rsid w:val="0031393B"/>
    <w:rsid w:val="00313F17"/>
    <w:rsid w:val="00314430"/>
    <w:rsid w:val="003150D2"/>
    <w:rsid w:val="003156BE"/>
    <w:rsid w:val="0031598D"/>
    <w:rsid w:val="00315BBD"/>
    <w:rsid w:val="00315BD4"/>
    <w:rsid w:val="00316335"/>
    <w:rsid w:val="0031663F"/>
    <w:rsid w:val="00316888"/>
    <w:rsid w:val="00316A38"/>
    <w:rsid w:val="00316B56"/>
    <w:rsid w:val="00316B99"/>
    <w:rsid w:val="00316CFC"/>
    <w:rsid w:val="0031700E"/>
    <w:rsid w:val="00317090"/>
    <w:rsid w:val="003170F4"/>
    <w:rsid w:val="003171D1"/>
    <w:rsid w:val="003174C6"/>
    <w:rsid w:val="003174CA"/>
    <w:rsid w:val="0031753A"/>
    <w:rsid w:val="00317618"/>
    <w:rsid w:val="00317AE4"/>
    <w:rsid w:val="00317CAF"/>
    <w:rsid w:val="00320075"/>
    <w:rsid w:val="0032015C"/>
    <w:rsid w:val="00320293"/>
    <w:rsid w:val="00320443"/>
    <w:rsid w:val="003204BF"/>
    <w:rsid w:val="0032154F"/>
    <w:rsid w:val="00321688"/>
    <w:rsid w:val="00321954"/>
    <w:rsid w:val="00322037"/>
    <w:rsid w:val="00322569"/>
    <w:rsid w:val="00322722"/>
    <w:rsid w:val="00322785"/>
    <w:rsid w:val="00322947"/>
    <w:rsid w:val="00322B4A"/>
    <w:rsid w:val="00322CC2"/>
    <w:rsid w:val="00322D4C"/>
    <w:rsid w:val="003232F6"/>
    <w:rsid w:val="00323A82"/>
    <w:rsid w:val="00323B2B"/>
    <w:rsid w:val="00324357"/>
    <w:rsid w:val="0032447F"/>
    <w:rsid w:val="00324537"/>
    <w:rsid w:val="0032459A"/>
    <w:rsid w:val="00324A3D"/>
    <w:rsid w:val="003251F3"/>
    <w:rsid w:val="00325590"/>
    <w:rsid w:val="003259E9"/>
    <w:rsid w:val="00325B86"/>
    <w:rsid w:val="00325DD4"/>
    <w:rsid w:val="00325F3F"/>
    <w:rsid w:val="003260BD"/>
    <w:rsid w:val="003271DC"/>
    <w:rsid w:val="00327246"/>
    <w:rsid w:val="0032767C"/>
    <w:rsid w:val="003276CF"/>
    <w:rsid w:val="0032793F"/>
    <w:rsid w:val="00327B9A"/>
    <w:rsid w:val="00327BE9"/>
    <w:rsid w:val="00327C76"/>
    <w:rsid w:val="00327CBB"/>
    <w:rsid w:val="00327D78"/>
    <w:rsid w:val="00330021"/>
    <w:rsid w:val="00330176"/>
    <w:rsid w:val="003307D4"/>
    <w:rsid w:val="00330883"/>
    <w:rsid w:val="00331882"/>
    <w:rsid w:val="00331A33"/>
    <w:rsid w:val="00331A5C"/>
    <w:rsid w:val="00331D21"/>
    <w:rsid w:val="00331D2C"/>
    <w:rsid w:val="00332141"/>
    <w:rsid w:val="00332201"/>
    <w:rsid w:val="003323AD"/>
    <w:rsid w:val="003324FE"/>
    <w:rsid w:val="00332A0C"/>
    <w:rsid w:val="00332AD5"/>
    <w:rsid w:val="003335C7"/>
    <w:rsid w:val="0033372F"/>
    <w:rsid w:val="00333B31"/>
    <w:rsid w:val="00333CA2"/>
    <w:rsid w:val="00333D4C"/>
    <w:rsid w:val="00333E8B"/>
    <w:rsid w:val="00334696"/>
    <w:rsid w:val="0033473B"/>
    <w:rsid w:val="003347B8"/>
    <w:rsid w:val="0033497B"/>
    <w:rsid w:val="00334B54"/>
    <w:rsid w:val="00334D67"/>
    <w:rsid w:val="00334D99"/>
    <w:rsid w:val="003352BE"/>
    <w:rsid w:val="0033616F"/>
    <w:rsid w:val="003361D0"/>
    <w:rsid w:val="00336631"/>
    <w:rsid w:val="003368A2"/>
    <w:rsid w:val="00336F2E"/>
    <w:rsid w:val="0033739E"/>
    <w:rsid w:val="00337473"/>
    <w:rsid w:val="0034035B"/>
    <w:rsid w:val="0034094A"/>
    <w:rsid w:val="003412BC"/>
    <w:rsid w:val="00341351"/>
    <w:rsid w:val="003415F6"/>
    <w:rsid w:val="00342088"/>
    <w:rsid w:val="0034210F"/>
    <w:rsid w:val="00342239"/>
    <w:rsid w:val="00342EA4"/>
    <w:rsid w:val="0034300B"/>
    <w:rsid w:val="0034363E"/>
    <w:rsid w:val="00343733"/>
    <w:rsid w:val="003437D1"/>
    <w:rsid w:val="00343DC2"/>
    <w:rsid w:val="003441BE"/>
    <w:rsid w:val="00344AD7"/>
    <w:rsid w:val="00344D86"/>
    <w:rsid w:val="00344E29"/>
    <w:rsid w:val="003454BA"/>
    <w:rsid w:val="0034596C"/>
    <w:rsid w:val="003467E9"/>
    <w:rsid w:val="00346E61"/>
    <w:rsid w:val="003471B7"/>
    <w:rsid w:val="00347439"/>
    <w:rsid w:val="00347653"/>
    <w:rsid w:val="0034769E"/>
    <w:rsid w:val="00347A10"/>
    <w:rsid w:val="00347FF3"/>
    <w:rsid w:val="00350213"/>
    <w:rsid w:val="00350478"/>
    <w:rsid w:val="0035062D"/>
    <w:rsid w:val="003516FB"/>
    <w:rsid w:val="00351974"/>
    <w:rsid w:val="00351D36"/>
    <w:rsid w:val="0035229F"/>
    <w:rsid w:val="00352E3C"/>
    <w:rsid w:val="00352E48"/>
    <w:rsid w:val="0035385B"/>
    <w:rsid w:val="00353865"/>
    <w:rsid w:val="003539A3"/>
    <w:rsid w:val="00353A3F"/>
    <w:rsid w:val="00353DF0"/>
    <w:rsid w:val="003546AA"/>
    <w:rsid w:val="0035544F"/>
    <w:rsid w:val="003557FE"/>
    <w:rsid w:val="00355886"/>
    <w:rsid w:val="00355A31"/>
    <w:rsid w:val="00355DF9"/>
    <w:rsid w:val="00355F45"/>
    <w:rsid w:val="00355F84"/>
    <w:rsid w:val="0035602E"/>
    <w:rsid w:val="00356097"/>
    <w:rsid w:val="003562C4"/>
    <w:rsid w:val="00356455"/>
    <w:rsid w:val="00356798"/>
    <w:rsid w:val="00356814"/>
    <w:rsid w:val="00356F34"/>
    <w:rsid w:val="00357645"/>
    <w:rsid w:val="00357FB9"/>
    <w:rsid w:val="00360139"/>
    <w:rsid w:val="00360184"/>
    <w:rsid w:val="00360443"/>
    <w:rsid w:val="0036050B"/>
    <w:rsid w:val="003605F4"/>
    <w:rsid w:val="003609C1"/>
    <w:rsid w:val="00360E45"/>
    <w:rsid w:val="003613AA"/>
    <w:rsid w:val="0036188F"/>
    <w:rsid w:val="00361DD6"/>
    <w:rsid w:val="00361F2B"/>
    <w:rsid w:val="00361F2E"/>
    <w:rsid w:val="00362672"/>
    <w:rsid w:val="0036282D"/>
    <w:rsid w:val="003629FF"/>
    <w:rsid w:val="00362D2B"/>
    <w:rsid w:val="00362F1B"/>
    <w:rsid w:val="00363B05"/>
    <w:rsid w:val="00363E7C"/>
    <w:rsid w:val="00363FAB"/>
    <w:rsid w:val="0036401A"/>
    <w:rsid w:val="003640C3"/>
    <w:rsid w:val="003642D6"/>
    <w:rsid w:val="00364331"/>
    <w:rsid w:val="003643AC"/>
    <w:rsid w:val="00364428"/>
    <w:rsid w:val="0036465A"/>
    <w:rsid w:val="003646A7"/>
    <w:rsid w:val="00364786"/>
    <w:rsid w:val="003648D3"/>
    <w:rsid w:val="0036494C"/>
    <w:rsid w:val="00364A09"/>
    <w:rsid w:val="00365166"/>
    <w:rsid w:val="0036594E"/>
    <w:rsid w:val="003659B5"/>
    <w:rsid w:val="00365D53"/>
    <w:rsid w:val="0036603C"/>
    <w:rsid w:val="003660B7"/>
    <w:rsid w:val="0036629D"/>
    <w:rsid w:val="003663D5"/>
    <w:rsid w:val="0036677D"/>
    <w:rsid w:val="00366BA0"/>
    <w:rsid w:val="00366D91"/>
    <w:rsid w:val="00366EEC"/>
    <w:rsid w:val="00366FC5"/>
    <w:rsid w:val="00367360"/>
    <w:rsid w:val="00367CF7"/>
    <w:rsid w:val="0037046E"/>
    <w:rsid w:val="003705FA"/>
    <w:rsid w:val="00370CFB"/>
    <w:rsid w:val="00370D2B"/>
    <w:rsid w:val="00370D67"/>
    <w:rsid w:val="0037109E"/>
    <w:rsid w:val="0037139D"/>
    <w:rsid w:val="00371C0A"/>
    <w:rsid w:val="00371FE6"/>
    <w:rsid w:val="00372078"/>
    <w:rsid w:val="00372115"/>
    <w:rsid w:val="00372137"/>
    <w:rsid w:val="00372246"/>
    <w:rsid w:val="003722FB"/>
    <w:rsid w:val="003727EC"/>
    <w:rsid w:val="00372B97"/>
    <w:rsid w:val="00372DE5"/>
    <w:rsid w:val="00372F10"/>
    <w:rsid w:val="0037341B"/>
    <w:rsid w:val="00373757"/>
    <w:rsid w:val="00373D12"/>
    <w:rsid w:val="00373E81"/>
    <w:rsid w:val="00373EB8"/>
    <w:rsid w:val="00374144"/>
    <w:rsid w:val="00374A67"/>
    <w:rsid w:val="00374F82"/>
    <w:rsid w:val="003750F6"/>
    <w:rsid w:val="0037594C"/>
    <w:rsid w:val="00375A48"/>
    <w:rsid w:val="00375CF9"/>
    <w:rsid w:val="00375F47"/>
    <w:rsid w:val="00376070"/>
    <w:rsid w:val="003763DE"/>
    <w:rsid w:val="00376802"/>
    <w:rsid w:val="00376875"/>
    <w:rsid w:val="00376D62"/>
    <w:rsid w:val="00377433"/>
    <w:rsid w:val="00377C29"/>
    <w:rsid w:val="00377DE9"/>
    <w:rsid w:val="00377FD4"/>
    <w:rsid w:val="00380156"/>
    <w:rsid w:val="0038019F"/>
    <w:rsid w:val="00380270"/>
    <w:rsid w:val="003806C8"/>
    <w:rsid w:val="00380ADD"/>
    <w:rsid w:val="00380FB3"/>
    <w:rsid w:val="003814B0"/>
    <w:rsid w:val="003817BA"/>
    <w:rsid w:val="003819A6"/>
    <w:rsid w:val="00381B2F"/>
    <w:rsid w:val="00381E8E"/>
    <w:rsid w:val="00382071"/>
    <w:rsid w:val="00382213"/>
    <w:rsid w:val="0038280D"/>
    <w:rsid w:val="0038311C"/>
    <w:rsid w:val="00383E7C"/>
    <w:rsid w:val="0038434A"/>
    <w:rsid w:val="003846A6"/>
    <w:rsid w:val="003849ED"/>
    <w:rsid w:val="00385023"/>
    <w:rsid w:val="003857C4"/>
    <w:rsid w:val="00385A95"/>
    <w:rsid w:val="00385AB1"/>
    <w:rsid w:val="003860F8"/>
    <w:rsid w:val="0038630F"/>
    <w:rsid w:val="00386719"/>
    <w:rsid w:val="0038677C"/>
    <w:rsid w:val="00387398"/>
    <w:rsid w:val="00387511"/>
    <w:rsid w:val="003878BE"/>
    <w:rsid w:val="00387A7B"/>
    <w:rsid w:val="00387D5C"/>
    <w:rsid w:val="00387FBE"/>
    <w:rsid w:val="00387FDB"/>
    <w:rsid w:val="0038BAE9"/>
    <w:rsid w:val="00390013"/>
    <w:rsid w:val="00390440"/>
    <w:rsid w:val="003904B9"/>
    <w:rsid w:val="003904D5"/>
    <w:rsid w:val="00390928"/>
    <w:rsid w:val="00390A2F"/>
    <w:rsid w:val="00390D2C"/>
    <w:rsid w:val="00390EF2"/>
    <w:rsid w:val="00390FD0"/>
    <w:rsid w:val="00391316"/>
    <w:rsid w:val="003917EB"/>
    <w:rsid w:val="00391B40"/>
    <w:rsid w:val="0039202F"/>
    <w:rsid w:val="00392395"/>
    <w:rsid w:val="0039240C"/>
    <w:rsid w:val="003924C9"/>
    <w:rsid w:val="00392B65"/>
    <w:rsid w:val="00392C8A"/>
    <w:rsid w:val="0039339C"/>
    <w:rsid w:val="003941C7"/>
    <w:rsid w:val="00394504"/>
    <w:rsid w:val="003945C1"/>
    <w:rsid w:val="003945C9"/>
    <w:rsid w:val="003947DB"/>
    <w:rsid w:val="00394900"/>
    <w:rsid w:val="00394AC7"/>
    <w:rsid w:val="0039519F"/>
    <w:rsid w:val="003951B2"/>
    <w:rsid w:val="00395884"/>
    <w:rsid w:val="003962C7"/>
    <w:rsid w:val="00396965"/>
    <w:rsid w:val="003972B2"/>
    <w:rsid w:val="00397999"/>
    <w:rsid w:val="00397C34"/>
    <w:rsid w:val="00397F52"/>
    <w:rsid w:val="00397F78"/>
    <w:rsid w:val="003A0461"/>
    <w:rsid w:val="003A05EF"/>
    <w:rsid w:val="003A0997"/>
    <w:rsid w:val="003A0BD6"/>
    <w:rsid w:val="003A0DD0"/>
    <w:rsid w:val="003A13FA"/>
    <w:rsid w:val="003A18B7"/>
    <w:rsid w:val="003A18BC"/>
    <w:rsid w:val="003A19CC"/>
    <w:rsid w:val="003A214C"/>
    <w:rsid w:val="003A25B4"/>
    <w:rsid w:val="003A2F25"/>
    <w:rsid w:val="003A3089"/>
    <w:rsid w:val="003A391C"/>
    <w:rsid w:val="003A3944"/>
    <w:rsid w:val="003A3954"/>
    <w:rsid w:val="003A3BF8"/>
    <w:rsid w:val="003A3C07"/>
    <w:rsid w:val="003A4571"/>
    <w:rsid w:val="003A485B"/>
    <w:rsid w:val="003A4AFA"/>
    <w:rsid w:val="003A4FE7"/>
    <w:rsid w:val="003A5308"/>
    <w:rsid w:val="003A5B3A"/>
    <w:rsid w:val="003A6322"/>
    <w:rsid w:val="003A65FA"/>
    <w:rsid w:val="003A6809"/>
    <w:rsid w:val="003A6966"/>
    <w:rsid w:val="003A6A68"/>
    <w:rsid w:val="003A6C3E"/>
    <w:rsid w:val="003A735B"/>
    <w:rsid w:val="003A75DC"/>
    <w:rsid w:val="003A7702"/>
    <w:rsid w:val="003A7BD5"/>
    <w:rsid w:val="003B0616"/>
    <w:rsid w:val="003B0684"/>
    <w:rsid w:val="003B06D0"/>
    <w:rsid w:val="003B0872"/>
    <w:rsid w:val="003B08F1"/>
    <w:rsid w:val="003B0D9D"/>
    <w:rsid w:val="003B1035"/>
    <w:rsid w:val="003B11CE"/>
    <w:rsid w:val="003B1605"/>
    <w:rsid w:val="003B18F8"/>
    <w:rsid w:val="003B1D8B"/>
    <w:rsid w:val="003B1EC2"/>
    <w:rsid w:val="003B2195"/>
    <w:rsid w:val="003B24E3"/>
    <w:rsid w:val="003B25CD"/>
    <w:rsid w:val="003B2807"/>
    <w:rsid w:val="003B29DA"/>
    <w:rsid w:val="003B2C8C"/>
    <w:rsid w:val="003B32F0"/>
    <w:rsid w:val="003B3358"/>
    <w:rsid w:val="003B3450"/>
    <w:rsid w:val="003B34FB"/>
    <w:rsid w:val="003B3733"/>
    <w:rsid w:val="003B43AF"/>
    <w:rsid w:val="003B43B6"/>
    <w:rsid w:val="003B4428"/>
    <w:rsid w:val="003B4561"/>
    <w:rsid w:val="003B4CD4"/>
    <w:rsid w:val="003B4E04"/>
    <w:rsid w:val="003B4FD1"/>
    <w:rsid w:val="003B5126"/>
    <w:rsid w:val="003B5313"/>
    <w:rsid w:val="003B54E5"/>
    <w:rsid w:val="003B550F"/>
    <w:rsid w:val="003B5A06"/>
    <w:rsid w:val="003B5B35"/>
    <w:rsid w:val="003B5E26"/>
    <w:rsid w:val="003B67E7"/>
    <w:rsid w:val="003B6D26"/>
    <w:rsid w:val="003B6E8E"/>
    <w:rsid w:val="003B6E9B"/>
    <w:rsid w:val="003B6F20"/>
    <w:rsid w:val="003B6FBF"/>
    <w:rsid w:val="003B7620"/>
    <w:rsid w:val="003B7704"/>
    <w:rsid w:val="003B7887"/>
    <w:rsid w:val="003B793E"/>
    <w:rsid w:val="003C004E"/>
    <w:rsid w:val="003C01FD"/>
    <w:rsid w:val="003C0473"/>
    <w:rsid w:val="003C0CC3"/>
    <w:rsid w:val="003C135E"/>
    <w:rsid w:val="003C17FF"/>
    <w:rsid w:val="003C19DF"/>
    <w:rsid w:val="003C1A33"/>
    <w:rsid w:val="003C1C00"/>
    <w:rsid w:val="003C1D3F"/>
    <w:rsid w:val="003C1E9A"/>
    <w:rsid w:val="003C1EA1"/>
    <w:rsid w:val="003C2177"/>
    <w:rsid w:val="003C2219"/>
    <w:rsid w:val="003C27C2"/>
    <w:rsid w:val="003C3183"/>
    <w:rsid w:val="003C31AF"/>
    <w:rsid w:val="003C3342"/>
    <w:rsid w:val="003C3A4C"/>
    <w:rsid w:val="003C3DA0"/>
    <w:rsid w:val="003C45F9"/>
    <w:rsid w:val="003C4715"/>
    <w:rsid w:val="003C4A6A"/>
    <w:rsid w:val="003C4C56"/>
    <w:rsid w:val="003C4D4A"/>
    <w:rsid w:val="003C5014"/>
    <w:rsid w:val="003C5480"/>
    <w:rsid w:val="003C6205"/>
    <w:rsid w:val="003C65E7"/>
    <w:rsid w:val="003C65F1"/>
    <w:rsid w:val="003C6687"/>
    <w:rsid w:val="003C66D5"/>
    <w:rsid w:val="003C67B7"/>
    <w:rsid w:val="003C68F2"/>
    <w:rsid w:val="003C70BB"/>
    <w:rsid w:val="003C71A7"/>
    <w:rsid w:val="003C76A3"/>
    <w:rsid w:val="003C7AB5"/>
    <w:rsid w:val="003C7D2D"/>
    <w:rsid w:val="003C7E2C"/>
    <w:rsid w:val="003D029C"/>
    <w:rsid w:val="003D0554"/>
    <w:rsid w:val="003D0768"/>
    <w:rsid w:val="003D07D2"/>
    <w:rsid w:val="003D087E"/>
    <w:rsid w:val="003D1043"/>
    <w:rsid w:val="003D11B3"/>
    <w:rsid w:val="003D15CD"/>
    <w:rsid w:val="003D16EC"/>
    <w:rsid w:val="003D176C"/>
    <w:rsid w:val="003D17B6"/>
    <w:rsid w:val="003D1902"/>
    <w:rsid w:val="003D19EE"/>
    <w:rsid w:val="003D1A4F"/>
    <w:rsid w:val="003D1BD7"/>
    <w:rsid w:val="003D1C76"/>
    <w:rsid w:val="003D23C9"/>
    <w:rsid w:val="003D246A"/>
    <w:rsid w:val="003D28AA"/>
    <w:rsid w:val="003D28F4"/>
    <w:rsid w:val="003D2926"/>
    <w:rsid w:val="003D2A1F"/>
    <w:rsid w:val="003D2BB7"/>
    <w:rsid w:val="003D2CAB"/>
    <w:rsid w:val="003D2D31"/>
    <w:rsid w:val="003D2D76"/>
    <w:rsid w:val="003D2E54"/>
    <w:rsid w:val="003D3096"/>
    <w:rsid w:val="003D321F"/>
    <w:rsid w:val="003D35C7"/>
    <w:rsid w:val="003D37B6"/>
    <w:rsid w:val="003D38F8"/>
    <w:rsid w:val="003D4308"/>
    <w:rsid w:val="003D48D3"/>
    <w:rsid w:val="003D4AE0"/>
    <w:rsid w:val="003D55BB"/>
    <w:rsid w:val="003D58B8"/>
    <w:rsid w:val="003D5CFB"/>
    <w:rsid w:val="003D5DD3"/>
    <w:rsid w:val="003D60F2"/>
    <w:rsid w:val="003D627B"/>
    <w:rsid w:val="003D6907"/>
    <w:rsid w:val="003D6D83"/>
    <w:rsid w:val="003D701C"/>
    <w:rsid w:val="003D7277"/>
    <w:rsid w:val="003D7BD0"/>
    <w:rsid w:val="003E0899"/>
    <w:rsid w:val="003E0D59"/>
    <w:rsid w:val="003E11A8"/>
    <w:rsid w:val="003E1481"/>
    <w:rsid w:val="003E1509"/>
    <w:rsid w:val="003E178C"/>
    <w:rsid w:val="003E180B"/>
    <w:rsid w:val="003E2078"/>
    <w:rsid w:val="003E2425"/>
    <w:rsid w:val="003E2636"/>
    <w:rsid w:val="003E276E"/>
    <w:rsid w:val="003E290B"/>
    <w:rsid w:val="003E2E12"/>
    <w:rsid w:val="003E3097"/>
    <w:rsid w:val="003E3280"/>
    <w:rsid w:val="003E3796"/>
    <w:rsid w:val="003E3952"/>
    <w:rsid w:val="003E3C59"/>
    <w:rsid w:val="003E3D45"/>
    <w:rsid w:val="003E4D1D"/>
    <w:rsid w:val="003E4D88"/>
    <w:rsid w:val="003E4F71"/>
    <w:rsid w:val="003E6611"/>
    <w:rsid w:val="003E6902"/>
    <w:rsid w:val="003E6CA1"/>
    <w:rsid w:val="003E6EBD"/>
    <w:rsid w:val="003E70DB"/>
    <w:rsid w:val="003E7159"/>
    <w:rsid w:val="003E7612"/>
    <w:rsid w:val="003E76B7"/>
    <w:rsid w:val="003E7B47"/>
    <w:rsid w:val="003F0034"/>
    <w:rsid w:val="003F0132"/>
    <w:rsid w:val="003F03A6"/>
    <w:rsid w:val="003F0B6D"/>
    <w:rsid w:val="003F0E09"/>
    <w:rsid w:val="003F0E68"/>
    <w:rsid w:val="003F1160"/>
    <w:rsid w:val="003F16F0"/>
    <w:rsid w:val="003F2382"/>
    <w:rsid w:val="003F2BF1"/>
    <w:rsid w:val="003F2CD2"/>
    <w:rsid w:val="003F302F"/>
    <w:rsid w:val="003F357C"/>
    <w:rsid w:val="003F39CE"/>
    <w:rsid w:val="003F39DB"/>
    <w:rsid w:val="003F3AA4"/>
    <w:rsid w:val="003F3D6D"/>
    <w:rsid w:val="003F3E6C"/>
    <w:rsid w:val="003F4194"/>
    <w:rsid w:val="003F42EB"/>
    <w:rsid w:val="003F467B"/>
    <w:rsid w:val="003F4992"/>
    <w:rsid w:val="003F49C3"/>
    <w:rsid w:val="003F5099"/>
    <w:rsid w:val="003F5191"/>
    <w:rsid w:val="003F5554"/>
    <w:rsid w:val="003F56D0"/>
    <w:rsid w:val="003F6494"/>
    <w:rsid w:val="003F6C30"/>
    <w:rsid w:val="003F706A"/>
    <w:rsid w:val="003F7373"/>
    <w:rsid w:val="003F73B8"/>
    <w:rsid w:val="003F76FA"/>
    <w:rsid w:val="003F774A"/>
    <w:rsid w:val="003F77F1"/>
    <w:rsid w:val="003F8BE4"/>
    <w:rsid w:val="0040018D"/>
    <w:rsid w:val="00400673"/>
    <w:rsid w:val="00400996"/>
    <w:rsid w:val="00400B16"/>
    <w:rsid w:val="00400E87"/>
    <w:rsid w:val="004010B3"/>
    <w:rsid w:val="00401108"/>
    <w:rsid w:val="0040158E"/>
    <w:rsid w:val="00401F70"/>
    <w:rsid w:val="00402927"/>
    <w:rsid w:val="00402CAE"/>
    <w:rsid w:val="00403258"/>
    <w:rsid w:val="00403390"/>
    <w:rsid w:val="0040382E"/>
    <w:rsid w:val="00403992"/>
    <w:rsid w:val="00403B80"/>
    <w:rsid w:val="00403BC0"/>
    <w:rsid w:val="0040411A"/>
    <w:rsid w:val="004045B3"/>
    <w:rsid w:val="00404861"/>
    <w:rsid w:val="00404BD0"/>
    <w:rsid w:val="00404C4A"/>
    <w:rsid w:val="00404FA4"/>
    <w:rsid w:val="004050C9"/>
    <w:rsid w:val="004052B1"/>
    <w:rsid w:val="00405C07"/>
    <w:rsid w:val="00405E95"/>
    <w:rsid w:val="00405F0B"/>
    <w:rsid w:val="00406110"/>
    <w:rsid w:val="004065AD"/>
    <w:rsid w:val="004066C3"/>
    <w:rsid w:val="0040700D"/>
    <w:rsid w:val="004072DE"/>
    <w:rsid w:val="004073A4"/>
    <w:rsid w:val="00407993"/>
    <w:rsid w:val="00407E00"/>
    <w:rsid w:val="00407FD1"/>
    <w:rsid w:val="004104B7"/>
    <w:rsid w:val="00410622"/>
    <w:rsid w:val="00410EBB"/>
    <w:rsid w:val="004110B4"/>
    <w:rsid w:val="004110BB"/>
    <w:rsid w:val="00411457"/>
    <w:rsid w:val="00411608"/>
    <w:rsid w:val="004116BC"/>
    <w:rsid w:val="00411833"/>
    <w:rsid w:val="004119CF"/>
    <w:rsid w:val="00411E5B"/>
    <w:rsid w:val="0041213C"/>
    <w:rsid w:val="00412A0D"/>
    <w:rsid w:val="00412BB3"/>
    <w:rsid w:val="00412EEA"/>
    <w:rsid w:val="00412F64"/>
    <w:rsid w:val="00412FC7"/>
    <w:rsid w:val="00412FD7"/>
    <w:rsid w:val="0041304D"/>
    <w:rsid w:val="00413237"/>
    <w:rsid w:val="0041336A"/>
    <w:rsid w:val="00413593"/>
    <w:rsid w:val="00413848"/>
    <w:rsid w:val="00413B18"/>
    <w:rsid w:val="00413CEC"/>
    <w:rsid w:val="00413F85"/>
    <w:rsid w:val="00414AC9"/>
    <w:rsid w:val="00414EA5"/>
    <w:rsid w:val="00415DB0"/>
    <w:rsid w:val="00415E68"/>
    <w:rsid w:val="0041675C"/>
    <w:rsid w:val="004168EE"/>
    <w:rsid w:val="004169C8"/>
    <w:rsid w:val="0041720C"/>
    <w:rsid w:val="00417290"/>
    <w:rsid w:val="004175F4"/>
    <w:rsid w:val="0041760E"/>
    <w:rsid w:val="004178F2"/>
    <w:rsid w:val="0041790D"/>
    <w:rsid w:val="004179E0"/>
    <w:rsid w:val="00417BEB"/>
    <w:rsid w:val="00417F7D"/>
    <w:rsid w:val="004201A6"/>
    <w:rsid w:val="0042085B"/>
    <w:rsid w:val="00420F2E"/>
    <w:rsid w:val="00421400"/>
    <w:rsid w:val="00421406"/>
    <w:rsid w:val="0042145A"/>
    <w:rsid w:val="00421484"/>
    <w:rsid w:val="004214DD"/>
    <w:rsid w:val="00421C8C"/>
    <w:rsid w:val="00421CDD"/>
    <w:rsid w:val="00421EED"/>
    <w:rsid w:val="004221B2"/>
    <w:rsid w:val="00422336"/>
    <w:rsid w:val="0042362B"/>
    <w:rsid w:val="00423727"/>
    <w:rsid w:val="004237A0"/>
    <w:rsid w:val="00423AE8"/>
    <w:rsid w:val="00423BF0"/>
    <w:rsid w:val="00423F7F"/>
    <w:rsid w:val="00424109"/>
    <w:rsid w:val="004242F5"/>
    <w:rsid w:val="004246B3"/>
    <w:rsid w:val="00424C24"/>
    <w:rsid w:val="00424C2D"/>
    <w:rsid w:val="00424EFA"/>
    <w:rsid w:val="00425049"/>
    <w:rsid w:val="004250D4"/>
    <w:rsid w:val="00425316"/>
    <w:rsid w:val="00425ECB"/>
    <w:rsid w:val="00425F79"/>
    <w:rsid w:val="0042619C"/>
    <w:rsid w:val="00426DB6"/>
    <w:rsid w:val="004278F2"/>
    <w:rsid w:val="0042798C"/>
    <w:rsid w:val="00427BA0"/>
    <w:rsid w:val="00427BA8"/>
    <w:rsid w:val="00427C2E"/>
    <w:rsid w:val="00430CDA"/>
    <w:rsid w:val="00430E5B"/>
    <w:rsid w:val="004310A9"/>
    <w:rsid w:val="004317EB"/>
    <w:rsid w:val="00431A1B"/>
    <w:rsid w:val="00431AC5"/>
    <w:rsid w:val="00431CD8"/>
    <w:rsid w:val="00431D47"/>
    <w:rsid w:val="004324FF"/>
    <w:rsid w:val="00432A55"/>
    <w:rsid w:val="00432FB5"/>
    <w:rsid w:val="004331C5"/>
    <w:rsid w:val="00433366"/>
    <w:rsid w:val="004333A2"/>
    <w:rsid w:val="00433881"/>
    <w:rsid w:val="00433BB5"/>
    <w:rsid w:val="00433CB1"/>
    <w:rsid w:val="00434862"/>
    <w:rsid w:val="00434BFE"/>
    <w:rsid w:val="0043540E"/>
    <w:rsid w:val="00435458"/>
    <w:rsid w:val="004354A4"/>
    <w:rsid w:val="00435B20"/>
    <w:rsid w:val="00435C1D"/>
    <w:rsid w:val="0043635A"/>
    <w:rsid w:val="004365C9"/>
    <w:rsid w:val="00436843"/>
    <w:rsid w:val="00437880"/>
    <w:rsid w:val="004379BF"/>
    <w:rsid w:val="004400A2"/>
    <w:rsid w:val="0044059F"/>
    <w:rsid w:val="004407FD"/>
    <w:rsid w:val="00440E0B"/>
    <w:rsid w:val="00440FAE"/>
    <w:rsid w:val="0044148C"/>
    <w:rsid w:val="00441627"/>
    <w:rsid w:val="00441674"/>
    <w:rsid w:val="004417D5"/>
    <w:rsid w:val="00441995"/>
    <w:rsid w:val="00441ACC"/>
    <w:rsid w:val="0044260A"/>
    <w:rsid w:val="004428D5"/>
    <w:rsid w:val="0044298D"/>
    <w:rsid w:val="00442E50"/>
    <w:rsid w:val="00443105"/>
    <w:rsid w:val="00443192"/>
    <w:rsid w:val="00443196"/>
    <w:rsid w:val="0044325C"/>
    <w:rsid w:val="0044351C"/>
    <w:rsid w:val="00443A51"/>
    <w:rsid w:val="00443EAA"/>
    <w:rsid w:val="00443F1B"/>
    <w:rsid w:val="00444D82"/>
    <w:rsid w:val="00444EF4"/>
    <w:rsid w:val="004451DB"/>
    <w:rsid w:val="0044563F"/>
    <w:rsid w:val="00445BED"/>
    <w:rsid w:val="00445D29"/>
    <w:rsid w:val="00446111"/>
    <w:rsid w:val="00446C56"/>
    <w:rsid w:val="00446CE4"/>
    <w:rsid w:val="00447632"/>
    <w:rsid w:val="00447C46"/>
    <w:rsid w:val="00447D8D"/>
    <w:rsid w:val="00450119"/>
    <w:rsid w:val="00450755"/>
    <w:rsid w:val="00450C5D"/>
    <w:rsid w:val="00450DBD"/>
    <w:rsid w:val="00450E00"/>
    <w:rsid w:val="00451167"/>
    <w:rsid w:val="00451428"/>
    <w:rsid w:val="004518FD"/>
    <w:rsid w:val="00451BEE"/>
    <w:rsid w:val="00451DE4"/>
    <w:rsid w:val="004521C0"/>
    <w:rsid w:val="0045280C"/>
    <w:rsid w:val="00452BAC"/>
    <w:rsid w:val="00452EE3"/>
    <w:rsid w:val="00452F19"/>
    <w:rsid w:val="00453340"/>
    <w:rsid w:val="0045397B"/>
    <w:rsid w:val="00453A73"/>
    <w:rsid w:val="00453D69"/>
    <w:rsid w:val="00454E21"/>
    <w:rsid w:val="00454FCA"/>
    <w:rsid w:val="00455764"/>
    <w:rsid w:val="0045578C"/>
    <w:rsid w:val="00455D9D"/>
    <w:rsid w:val="00456111"/>
    <w:rsid w:val="0045619A"/>
    <w:rsid w:val="004564C6"/>
    <w:rsid w:val="00456511"/>
    <w:rsid w:val="00456770"/>
    <w:rsid w:val="00456865"/>
    <w:rsid w:val="00456C9E"/>
    <w:rsid w:val="00456F0C"/>
    <w:rsid w:val="00456F44"/>
    <w:rsid w:val="004571F9"/>
    <w:rsid w:val="0045751D"/>
    <w:rsid w:val="004577E8"/>
    <w:rsid w:val="00457D3F"/>
    <w:rsid w:val="00457E9C"/>
    <w:rsid w:val="00457EBB"/>
    <w:rsid w:val="0046063C"/>
    <w:rsid w:val="004608C3"/>
    <w:rsid w:val="0046098E"/>
    <w:rsid w:val="004609A8"/>
    <w:rsid w:val="004610CC"/>
    <w:rsid w:val="004614AB"/>
    <w:rsid w:val="00461B61"/>
    <w:rsid w:val="00461D78"/>
    <w:rsid w:val="00462084"/>
    <w:rsid w:val="004627FC"/>
    <w:rsid w:val="0046302B"/>
    <w:rsid w:val="00463124"/>
    <w:rsid w:val="004631E7"/>
    <w:rsid w:val="0046351B"/>
    <w:rsid w:val="0046368D"/>
    <w:rsid w:val="00463925"/>
    <w:rsid w:val="00463EAD"/>
    <w:rsid w:val="0046485C"/>
    <w:rsid w:val="00464B53"/>
    <w:rsid w:val="00464EA7"/>
    <w:rsid w:val="00465298"/>
    <w:rsid w:val="00465464"/>
    <w:rsid w:val="00465626"/>
    <w:rsid w:val="004657A1"/>
    <w:rsid w:val="00465C54"/>
    <w:rsid w:val="00465E87"/>
    <w:rsid w:val="0046658C"/>
    <w:rsid w:val="004669B0"/>
    <w:rsid w:val="00466B84"/>
    <w:rsid w:val="00466D19"/>
    <w:rsid w:val="004671A9"/>
    <w:rsid w:val="004671D4"/>
    <w:rsid w:val="0046720C"/>
    <w:rsid w:val="00467256"/>
    <w:rsid w:val="0046749B"/>
    <w:rsid w:val="004674CA"/>
    <w:rsid w:val="00467577"/>
    <w:rsid w:val="00470138"/>
    <w:rsid w:val="004701D7"/>
    <w:rsid w:val="004706BF"/>
    <w:rsid w:val="00470B67"/>
    <w:rsid w:val="00470D6F"/>
    <w:rsid w:val="00470FD8"/>
    <w:rsid w:val="00471022"/>
    <w:rsid w:val="004712D4"/>
    <w:rsid w:val="00471A03"/>
    <w:rsid w:val="00471EAF"/>
    <w:rsid w:val="00471FA1"/>
    <w:rsid w:val="00472B5C"/>
    <w:rsid w:val="00474272"/>
    <w:rsid w:val="00474397"/>
    <w:rsid w:val="004746C4"/>
    <w:rsid w:val="0047477C"/>
    <w:rsid w:val="00474BC2"/>
    <w:rsid w:val="00474DA4"/>
    <w:rsid w:val="0047585F"/>
    <w:rsid w:val="004758AF"/>
    <w:rsid w:val="00475D27"/>
    <w:rsid w:val="0047609E"/>
    <w:rsid w:val="004766D1"/>
    <w:rsid w:val="00476C27"/>
    <w:rsid w:val="00477178"/>
    <w:rsid w:val="0047786A"/>
    <w:rsid w:val="00477A65"/>
    <w:rsid w:val="00477AFB"/>
    <w:rsid w:val="00477F5E"/>
    <w:rsid w:val="0048002F"/>
    <w:rsid w:val="0048095A"/>
    <w:rsid w:val="00480C65"/>
    <w:rsid w:val="00481009"/>
    <w:rsid w:val="004813DB"/>
    <w:rsid w:val="004816FB"/>
    <w:rsid w:val="004817D1"/>
    <w:rsid w:val="004819E3"/>
    <w:rsid w:val="00481A0C"/>
    <w:rsid w:val="00481BDE"/>
    <w:rsid w:val="00481D22"/>
    <w:rsid w:val="00481D36"/>
    <w:rsid w:val="00481DCE"/>
    <w:rsid w:val="00482003"/>
    <w:rsid w:val="004822E9"/>
    <w:rsid w:val="00482611"/>
    <w:rsid w:val="00482C05"/>
    <w:rsid w:val="00482C5B"/>
    <w:rsid w:val="00482DB3"/>
    <w:rsid w:val="00483171"/>
    <w:rsid w:val="0048320F"/>
    <w:rsid w:val="0048378B"/>
    <w:rsid w:val="00483D7A"/>
    <w:rsid w:val="0048423C"/>
    <w:rsid w:val="00484659"/>
    <w:rsid w:val="0048468A"/>
    <w:rsid w:val="004846CB"/>
    <w:rsid w:val="00484D63"/>
    <w:rsid w:val="00485B99"/>
    <w:rsid w:val="00485BDE"/>
    <w:rsid w:val="00486083"/>
    <w:rsid w:val="00486089"/>
    <w:rsid w:val="00486774"/>
    <w:rsid w:val="00486A32"/>
    <w:rsid w:val="00486C17"/>
    <w:rsid w:val="004870AC"/>
    <w:rsid w:val="00487121"/>
    <w:rsid w:val="004871F0"/>
    <w:rsid w:val="00487260"/>
    <w:rsid w:val="004872CF"/>
    <w:rsid w:val="00487426"/>
    <w:rsid w:val="0048766A"/>
    <w:rsid w:val="00487A29"/>
    <w:rsid w:val="00487ABD"/>
    <w:rsid w:val="00487D44"/>
    <w:rsid w:val="00487E2B"/>
    <w:rsid w:val="00490207"/>
    <w:rsid w:val="004905EE"/>
    <w:rsid w:val="00490EF3"/>
    <w:rsid w:val="00490F60"/>
    <w:rsid w:val="00490FD1"/>
    <w:rsid w:val="00491121"/>
    <w:rsid w:val="00491335"/>
    <w:rsid w:val="0049196B"/>
    <w:rsid w:val="00491A0A"/>
    <w:rsid w:val="00491C10"/>
    <w:rsid w:val="00491D25"/>
    <w:rsid w:val="00491EF1"/>
    <w:rsid w:val="00491FB9"/>
    <w:rsid w:val="00492447"/>
    <w:rsid w:val="00492638"/>
    <w:rsid w:val="0049278C"/>
    <w:rsid w:val="004928DB"/>
    <w:rsid w:val="00493126"/>
    <w:rsid w:val="004931AF"/>
    <w:rsid w:val="0049382A"/>
    <w:rsid w:val="004939FC"/>
    <w:rsid w:val="00493E25"/>
    <w:rsid w:val="004948A2"/>
    <w:rsid w:val="00494A8A"/>
    <w:rsid w:val="00494C4E"/>
    <w:rsid w:val="00494C59"/>
    <w:rsid w:val="004950B7"/>
    <w:rsid w:val="004952F2"/>
    <w:rsid w:val="00495626"/>
    <w:rsid w:val="004957D6"/>
    <w:rsid w:val="00495900"/>
    <w:rsid w:val="00495EE5"/>
    <w:rsid w:val="00495FA0"/>
    <w:rsid w:val="0049615B"/>
    <w:rsid w:val="00496292"/>
    <w:rsid w:val="00496323"/>
    <w:rsid w:val="00496BC9"/>
    <w:rsid w:val="00496C7B"/>
    <w:rsid w:val="00496F16"/>
    <w:rsid w:val="004975C6"/>
    <w:rsid w:val="004979A7"/>
    <w:rsid w:val="00497BAB"/>
    <w:rsid w:val="00497F04"/>
    <w:rsid w:val="004A0236"/>
    <w:rsid w:val="004A068A"/>
    <w:rsid w:val="004A0C48"/>
    <w:rsid w:val="004A0CAE"/>
    <w:rsid w:val="004A0D29"/>
    <w:rsid w:val="004A0FEB"/>
    <w:rsid w:val="004A1104"/>
    <w:rsid w:val="004A1529"/>
    <w:rsid w:val="004A195A"/>
    <w:rsid w:val="004A1E22"/>
    <w:rsid w:val="004A1F9F"/>
    <w:rsid w:val="004A2485"/>
    <w:rsid w:val="004A2661"/>
    <w:rsid w:val="004A271B"/>
    <w:rsid w:val="004A29BD"/>
    <w:rsid w:val="004A2DB4"/>
    <w:rsid w:val="004A30B5"/>
    <w:rsid w:val="004A3160"/>
    <w:rsid w:val="004A31A1"/>
    <w:rsid w:val="004A34B4"/>
    <w:rsid w:val="004A369A"/>
    <w:rsid w:val="004A382A"/>
    <w:rsid w:val="004A3B3E"/>
    <w:rsid w:val="004A3BA2"/>
    <w:rsid w:val="004A3FEF"/>
    <w:rsid w:val="004A4116"/>
    <w:rsid w:val="004A4159"/>
    <w:rsid w:val="004A4762"/>
    <w:rsid w:val="004A4823"/>
    <w:rsid w:val="004A4CAE"/>
    <w:rsid w:val="004A54D5"/>
    <w:rsid w:val="004A55F7"/>
    <w:rsid w:val="004A5DB4"/>
    <w:rsid w:val="004A5F05"/>
    <w:rsid w:val="004A6063"/>
    <w:rsid w:val="004A60D9"/>
    <w:rsid w:val="004A638B"/>
    <w:rsid w:val="004A6C3F"/>
    <w:rsid w:val="004A6C91"/>
    <w:rsid w:val="004A6CFE"/>
    <w:rsid w:val="004A6E8E"/>
    <w:rsid w:val="004A792F"/>
    <w:rsid w:val="004B0EF2"/>
    <w:rsid w:val="004B1018"/>
    <w:rsid w:val="004B14B0"/>
    <w:rsid w:val="004B2719"/>
    <w:rsid w:val="004B2970"/>
    <w:rsid w:val="004B305D"/>
    <w:rsid w:val="004B3062"/>
    <w:rsid w:val="004B398B"/>
    <w:rsid w:val="004B3B9E"/>
    <w:rsid w:val="004B4361"/>
    <w:rsid w:val="004B453C"/>
    <w:rsid w:val="004B4D31"/>
    <w:rsid w:val="004B4FD0"/>
    <w:rsid w:val="004B5C52"/>
    <w:rsid w:val="004B5FB7"/>
    <w:rsid w:val="004B634C"/>
    <w:rsid w:val="004B661D"/>
    <w:rsid w:val="004B6824"/>
    <w:rsid w:val="004B6AA6"/>
    <w:rsid w:val="004B6AFB"/>
    <w:rsid w:val="004B75B2"/>
    <w:rsid w:val="004B7CB1"/>
    <w:rsid w:val="004B7E61"/>
    <w:rsid w:val="004B7FAC"/>
    <w:rsid w:val="004C02AF"/>
    <w:rsid w:val="004C02F0"/>
    <w:rsid w:val="004C0371"/>
    <w:rsid w:val="004C0449"/>
    <w:rsid w:val="004C0485"/>
    <w:rsid w:val="004C0714"/>
    <w:rsid w:val="004C0B04"/>
    <w:rsid w:val="004C0E9C"/>
    <w:rsid w:val="004C104B"/>
    <w:rsid w:val="004C10ED"/>
    <w:rsid w:val="004C1302"/>
    <w:rsid w:val="004C15F1"/>
    <w:rsid w:val="004C1918"/>
    <w:rsid w:val="004C1ACA"/>
    <w:rsid w:val="004C1C74"/>
    <w:rsid w:val="004C1D95"/>
    <w:rsid w:val="004C2587"/>
    <w:rsid w:val="004C2726"/>
    <w:rsid w:val="004C2773"/>
    <w:rsid w:val="004C2870"/>
    <w:rsid w:val="004C2A03"/>
    <w:rsid w:val="004C2B9B"/>
    <w:rsid w:val="004C2E25"/>
    <w:rsid w:val="004C3223"/>
    <w:rsid w:val="004C3D3B"/>
    <w:rsid w:val="004C3F29"/>
    <w:rsid w:val="004C4583"/>
    <w:rsid w:val="004C4D7B"/>
    <w:rsid w:val="004C4ECD"/>
    <w:rsid w:val="004C4F5E"/>
    <w:rsid w:val="004C5036"/>
    <w:rsid w:val="004C50C3"/>
    <w:rsid w:val="004C5221"/>
    <w:rsid w:val="004C5228"/>
    <w:rsid w:val="004C5304"/>
    <w:rsid w:val="004C53D5"/>
    <w:rsid w:val="004C5530"/>
    <w:rsid w:val="004C55A8"/>
    <w:rsid w:val="004C56B8"/>
    <w:rsid w:val="004C5777"/>
    <w:rsid w:val="004C59D0"/>
    <w:rsid w:val="004C5A82"/>
    <w:rsid w:val="004C5DBB"/>
    <w:rsid w:val="004C5E13"/>
    <w:rsid w:val="004C5FC3"/>
    <w:rsid w:val="004C62FC"/>
    <w:rsid w:val="004C6338"/>
    <w:rsid w:val="004C64FC"/>
    <w:rsid w:val="004C670B"/>
    <w:rsid w:val="004C67CE"/>
    <w:rsid w:val="004C6DE1"/>
    <w:rsid w:val="004C6E88"/>
    <w:rsid w:val="004C6FB8"/>
    <w:rsid w:val="004C739A"/>
    <w:rsid w:val="004C77DA"/>
    <w:rsid w:val="004D0173"/>
    <w:rsid w:val="004D01F1"/>
    <w:rsid w:val="004D0309"/>
    <w:rsid w:val="004D0422"/>
    <w:rsid w:val="004D0540"/>
    <w:rsid w:val="004D066B"/>
    <w:rsid w:val="004D1056"/>
    <w:rsid w:val="004D13CD"/>
    <w:rsid w:val="004D2206"/>
    <w:rsid w:val="004D272A"/>
    <w:rsid w:val="004D273F"/>
    <w:rsid w:val="004D29B1"/>
    <w:rsid w:val="004D2FA6"/>
    <w:rsid w:val="004D3029"/>
    <w:rsid w:val="004D33A9"/>
    <w:rsid w:val="004D3908"/>
    <w:rsid w:val="004D396B"/>
    <w:rsid w:val="004D39F5"/>
    <w:rsid w:val="004D3BD3"/>
    <w:rsid w:val="004D3E5B"/>
    <w:rsid w:val="004D4154"/>
    <w:rsid w:val="004D4BF4"/>
    <w:rsid w:val="004D4CF1"/>
    <w:rsid w:val="004D4DFA"/>
    <w:rsid w:val="004D50BA"/>
    <w:rsid w:val="004D5BA7"/>
    <w:rsid w:val="004D5BF6"/>
    <w:rsid w:val="004D5D58"/>
    <w:rsid w:val="004D5FC4"/>
    <w:rsid w:val="004D6145"/>
    <w:rsid w:val="004D66F2"/>
    <w:rsid w:val="004D6D31"/>
    <w:rsid w:val="004D6F8F"/>
    <w:rsid w:val="004D7C8E"/>
    <w:rsid w:val="004D7D57"/>
    <w:rsid w:val="004E061C"/>
    <w:rsid w:val="004E0F59"/>
    <w:rsid w:val="004E135C"/>
    <w:rsid w:val="004E14E5"/>
    <w:rsid w:val="004E1938"/>
    <w:rsid w:val="004E1E66"/>
    <w:rsid w:val="004E1EDE"/>
    <w:rsid w:val="004E1F85"/>
    <w:rsid w:val="004E21E2"/>
    <w:rsid w:val="004E22B7"/>
    <w:rsid w:val="004E28C1"/>
    <w:rsid w:val="004E293F"/>
    <w:rsid w:val="004E2A98"/>
    <w:rsid w:val="004E3429"/>
    <w:rsid w:val="004E37D6"/>
    <w:rsid w:val="004E380D"/>
    <w:rsid w:val="004E38F8"/>
    <w:rsid w:val="004E39D4"/>
    <w:rsid w:val="004E3F5D"/>
    <w:rsid w:val="004E4385"/>
    <w:rsid w:val="004E44AD"/>
    <w:rsid w:val="004E4DD6"/>
    <w:rsid w:val="004E5546"/>
    <w:rsid w:val="004E5A13"/>
    <w:rsid w:val="004E5A1D"/>
    <w:rsid w:val="004E5D80"/>
    <w:rsid w:val="004E70B4"/>
    <w:rsid w:val="004E7922"/>
    <w:rsid w:val="004E7A00"/>
    <w:rsid w:val="004F0063"/>
    <w:rsid w:val="004F00C0"/>
    <w:rsid w:val="004F0110"/>
    <w:rsid w:val="004F01E6"/>
    <w:rsid w:val="004F0426"/>
    <w:rsid w:val="004F0454"/>
    <w:rsid w:val="004F0DFC"/>
    <w:rsid w:val="004F1313"/>
    <w:rsid w:val="004F141D"/>
    <w:rsid w:val="004F1508"/>
    <w:rsid w:val="004F16D7"/>
    <w:rsid w:val="004F1811"/>
    <w:rsid w:val="004F18D2"/>
    <w:rsid w:val="004F1D84"/>
    <w:rsid w:val="004F21D6"/>
    <w:rsid w:val="004F27BF"/>
    <w:rsid w:val="004F2B19"/>
    <w:rsid w:val="004F2D80"/>
    <w:rsid w:val="004F3205"/>
    <w:rsid w:val="004F336C"/>
    <w:rsid w:val="004F3441"/>
    <w:rsid w:val="004F37F8"/>
    <w:rsid w:val="004F3806"/>
    <w:rsid w:val="004F3B44"/>
    <w:rsid w:val="004F4116"/>
    <w:rsid w:val="004F41B2"/>
    <w:rsid w:val="004F41D6"/>
    <w:rsid w:val="004F4AFC"/>
    <w:rsid w:val="004F4B33"/>
    <w:rsid w:val="004F4C52"/>
    <w:rsid w:val="004F4CC5"/>
    <w:rsid w:val="004F4F7A"/>
    <w:rsid w:val="004F52A5"/>
    <w:rsid w:val="004F58D3"/>
    <w:rsid w:val="004F5D1F"/>
    <w:rsid w:val="004F5FF1"/>
    <w:rsid w:val="004F6554"/>
    <w:rsid w:val="004F69E9"/>
    <w:rsid w:val="004F7846"/>
    <w:rsid w:val="004F7A3B"/>
    <w:rsid w:val="004F7AD1"/>
    <w:rsid w:val="004F7D76"/>
    <w:rsid w:val="004F7E82"/>
    <w:rsid w:val="005001C2"/>
    <w:rsid w:val="005003A0"/>
    <w:rsid w:val="005003F1"/>
    <w:rsid w:val="005005D1"/>
    <w:rsid w:val="00500664"/>
    <w:rsid w:val="0050085D"/>
    <w:rsid w:val="0050097D"/>
    <w:rsid w:val="005009F6"/>
    <w:rsid w:val="00500BCF"/>
    <w:rsid w:val="00500C8C"/>
    <w:rsid w:val="00500F79"/>
    <w:rsid w:val="00500FB1"/>
    <w:rsid w:val="0050102A"/>
    <w:rsid w:val="00501375"/>
    <w:rsid w:val="0050164A"/>
    <w:rsid w:val="00501C39"/>
    <w:rsid w:val="00501D3B"/>
    <w:rsid w:val="005022C9"/>
    <w:rsid w:val="0050235F"/>
    <w:rsid w:val="005023D1"/>
    <w:rsid w:val="00502517"/>
    <w:rsid w:val="0050254F"/>
    <w:rsid w:val="00502C6B"/>
    <w:rsid w:val="00502D6D"/>
    <w:rsid w:val="00502F96"/>
    <w:rsid w:val="00503117"/>
    <w:rsid w:val="0050315A"/>
    <w:rsid w:val="00503EA2"/>
    <w:rsid w:val="00503FB9"/>
    <w:rsid w:val="0050476E"/>
    <w:rsid w:val="005047FF"/>
    <w:rsid w:val="00504CA3"/>
    <w:rsid w:val="00504F8D"/>
    <w:rsid w:val="005052D7"/>
    <w:rsid w:val="00505369"/>
    <w:rsid w:val="0050538F"/>
    <w:rsid w:val="0050547F"/>
    <w:rsid w:val="00505627"/>
    <w:rsid w:val="005056AA"/>
    <w:rsid w:val="00505B12"/>
    <w:rsid w:val="00505C3F"/>
    <w:rsid w:val="00505EDD"/>
    <w:rsid w:val="00505F87"/>
    <w:rsid w:val="00506165"/>
    <w:rsid w:val="00506213"/>
    <w:rsid w:val="005068F4"/>
    <w:rsid w:val="00506EE0"/>
    <w:rsid w:val="00507045"/>
    <w:rsid w:val="0050779D"/>
    <w:rsid w:val="00507C36"/>
    <w:rsid w:val="00507DFA"/>
    <w:rsid w:val="00507E54"/>
    <w:rsid w:val="00510355"/>
    <w:rsid w:val="005103B7"/>
    <w:rsid w:val="00511204"/>
    <w:rsid w:val="005112BA"/>
    <w:rsid w:val="005116E4"/>
    <w:rsid w:val="0051170C"/>
    <w:rsid w:val="00512194"/>
    <w:rsid w:val="00512491"/>
    <w:rsid w:val="005127A6"/>
    <w:rsid w:val="00512A93"/>
    <w:rsid w:val="00512DB6"/>
    <w:rsid w:val="00512E49"/>
    <w:rsid w:val="00513545"/>
    <w:rsid w:val="0051372E"/>
    <w:rsid w:val="00513757"/>
    <w:rsid w:val="00513996"/>
    <w:rsid w:val="005139CA"/>
    <w:rsid w:val="005139EA"/>
    <w:rsid w:val="00513AA3"/>
    <w:rsid w:val="00513AFA"/>
    <w:rsid w:val="005141ED"/>
    <w:rsid w:val="0051441C"/>
    <w:rsid w:val="005146DE"/>
    <w:rsid w:val="0051479F"/>
    <w:rsid w:val="0051480F"/>
    <w:rsid w:val="00514B86"/>
    <w:rsid w:val="00514ECF"/>
    <w:rsid w:val="00515287"/>
    <w:rsid w:val="00515E22"/>
    <w:rsid w:val="00515FEB"/>
    <w:rsid w:val="005160B0"/>
    <w:rsid w:val="0051656C"/>
    <w:rsid w:val="0051690C"/>
    <w:rsid w:val="005169D9"/>
    <w:rsid w:val="00516D4D"/>
    <w:rsid w:val="00516DD1"/>
    <w:rsid w:val="00517270"/>
    <w:rsid w:val="005176C7"/>
    <w:rsid w:val="0051779A"/>
    <w:rsid w:val="00517870"/>
    <w:rsid w:val="00517BBE"/>
    <w:rsid w:val="00517E69"/>
    <w:rsid w:val="00520743"/>
    <w:rsid w:val="0052084D"/>
    <w:rsid w:val="0052088B"/>
    <w:rsid w:val="00520B78"/>
    <w:rsid w:val="00520BBB"/>
    <w:rsid w:val="00520E71"/>
    <w:rsid w:val="005211BA"/>
    <w:rsid w:val="0052149D"/>
    <w:rsid w:val="00521581"/>
    <w:rsid w:val="005221E6"/>
    <w:rsid w:val="0052224B"/>
    <w:rsid w:val="00522369"/>
    <w:rsid w:val="00522392"/>
    <w:rsid w:val="005224A6"/>
    <w:rsid w:val="00522631"/>
    <w:rsid w:val="0052263A"/>
    <w:rsid w:val="00522BDC"/>
    <w:rsid w:val="00522EA4"/>
    <w:rsid w:val="005232A6"/>
    <w:rsid w:val="00523925"/>
    <w:rsid w:val="00523C74"/>
    <w:rsid w:val="00523FE8"/>
    <w:rsid w:val="00524269"/>
    <w:rsid w:val="0052447E"/>
    <w:rsid w:val="00524D14"/>
    <w:rsid w:val="00524D86"/>
    <w:rsid w:val="00524E12"/>
    <w:rsid w:val="00525108"/>
    <w:rsid w:val="00525328"/>
    <w:rsid w:val="00525456"/>
    <w:rsid w:val="00525C05"/>
    <w:rsid w:val="0052612B"/>
    <w:rsid w:val="00526510"/>
    <w:rsid w:val="00526984"/>
    <w:rsid w:val="00526C3A"/>
    <w:rsid w:val="00526E69"/>
    <w:rsid w:val="005273EC"/>
    <w:rsid w:val="00527491"/>
    <w:rsid w:val="00527545"/>
    <w:rsid w:val="005276D2"/>
    <w:rsid w:val="00527CA1"/>
    <w:rsid w:val="005300A3"/>
    <w:rsid w:val="005302E0"/>
    <w:rsid w:val="00530352"/>
    <w:rsid w:val="00530892"/>
    <w:rsid w:val="005308E1"/>
    <w:rsid w:val="00530B54"/>
    <w:rsid w:val="0053124F"/>
    <w:rsid w:val="00531410"/>
    <w:rsid w:val="005315DD"/>
    <w:rsid w:val="005317EA"/>
    <w:rsid w:val="00531C43"/>
    <w:rsid w:val="00531CFD"/>
    <w:rsid w:val="00532236"/>
    <w:rsid w:val="00532405"/>
    <w:rsid w:val="00532684"/>
    <w:rsid w:val="0053270A"/>
    <w:rsid w:val="005327B5"/>
    <w:rsid w:val="0053302F"/>
    <w:rsid w:val="00533374"/>
    <w:rsid w:val="005334BE"/>
    <w:rsid w:val="00533787"/>
    <w:rsid w:val="00533B35"/>
    <w:rsid w:val="00533B82"/>
    <w:rsid w:val="00534109"/>
    <w:rsid w:val="00534434"/>
    <w:rsid w:val="00534E70"/>
    <w:rsid w:val="00534F14"/>
    <w:rsid w:val="0053542C"/>
    <w:rsid w:val="00535554"/>
    <w:rsid w:val="005356E9"/>
    <w:rsid w:val="00535FE3"/>
    <w:rsid w:val="0053623A"/>
    <w:rsid w:val="00537161"/>
    <w:rsid w:val="00537434"/>
    <w:rsid w:val="00537442"/>
    <w:rsid w:val="00537A58"/>
    <w:rsid w:val="00537A9A"/>
    <w:rsid w:val="0054020F"/>
    <w:rsid w:val="005409DE"/>
    <w:rsid w:val="00540A15"/>
    <w:rsid w:val="005418D4"/>
    <w:rsid w:val="00541DFE"/>
    <w:rsid w:val="0054237D"/>
    <w:rsid w:val="0054244C"/>
    <w:rsid w:val="00542D5A"/>
    <w:rsid w:val="00543348"/>
    <w:rsid w:val="0054334E"/>
    <w:rsid w:val="00543410"/>
    <w:rsid w:val="005436CA"/>
    <w:rsid w:val="005438C3"/>
    <w:rsid w:val="00543E6C"/>
    <w:rsid w:val="00544184"/>
    <w:rsid w:val="00544291"/>
    <w:rsid w:val="005444E0"/>
    <w:rsid w:val="00544E93"/>
    <w:rsid w:val="0054576D"/>
    <w:rsid w:val="00545D6C"/>
    <w:rsid w:val="00545D7B"/>
    <w:rsid w:val="005460FA"/>
    <w:rsid w:val="00546423"/>
    <w:rsid w:val="00546485"/>
    <w:rsid w:val="005465D7"/>
    <w:rsid w:val="00546ABE"/>
    <w:rsid w:val="00546BA1"/>
    <w:rsid w:val="00546CE2"/>
    <w:rsid w:val="00547075"/>
    <w:rsid w:val="00547313"/>
    <w:rsid w:val="00547640"/>
    <w:rsid w:val="00547686"/>
    <w:rsid w:val="00547836"/>
    <w:rsid w:val="00547FE7"/>
    <w:rsid w:val="00550651"/>
    <w:rsid w:val="005508BF"/>
    <w:rsid w:val="005509E0"/>
    <w:rsid w:val="00551359"/>
    <w:rsid w:val="005513B8"/>
    <w:rsid w:val="005518ED"/>
    <w:rsid w:val="00551F0E"/>
    <w:rsid w:val="00551FA9"/>
    <w:rsid w:val="00551FE5"/>
    <w:rsid w:val="0055239D"/>
    <w:rsid w:val="0055247E"/>
    <w:rsid w:val="00552705"/>
    <w:rsid w:val="00552875"/>
    <w:rsid w:val="00552A06"/>
    <w:rsid w:val="00552AE7"/>
    <w:rsid w:val="00552D8C"/>
    <w:rsid w:val="00553076"/>
    <w:rsid w:val="005533A7"/>
    <w:rsid w:val="00553542"/>
    <w:rsid w:val="005537C3"/>
    <w:rsid w:val="00554157"/>
    <w:rsid w:val="005543EA"/>
    <w:rsid w:val="0055468C"/>
    <w:rsid w:val="0055503E"/>
    <w:rsid w:val="005552FD"/>
    <w:rsid w:val="00555813"/>
    <w:rsid w:val="00555BDA"/>
    <w:rsid w:val="00555C32"/>
    <w:rsid w:val="00555EF4"/>
    <w:rsid w:val="005560B8"/>
    <w:rsid w:val="005560FE"/>
    <w:rsid w:val="00556601"/>
    <w:rsid w:val="005568BE"/>
    <w:rsid w:val="005568CE"/>
    <w:rsid w:val="00556A83"/>
    <w:rsid w:val="00556C2E"/>
    <w:rsid w:val="00556C3A"/>
    <w:rsid w:val="00556D82"/>
    <w:rsid w:val="00556EF3"/>
    <w:rsid w:val="00556FF1"/>
    <w:rsid w:val="00557468"/>
    <w:rsid w:val="005575CC"/>
    <w:rsid w:val="00557A36"/>
    <w:rsid w:val="00557AD3"/>
    <w:rsid w:val="00557BFB"/>
    <w:rsid w:val="005600E5"/>
    <w:rsid w:val="005602BF"/>
    <w:rsid w:val="005602F4"/>
    <w:rsid w:val="005606A2"/>
    <w:rsid w:val="005616CC"/>
    <w:rsid w:val="00562385"/>
    <w:rsid w:val="005623DA"/>
    <w:rsid w:val="00562BA5"/>
    <w:rsid w:val="00562EDB"/>
    <w:rsid w:val="00563C62"/>
    <w:rsid w:val="00563D08"/>
    <w:rsid w:val="005640AF"/>
    <w:rsid w:val="00564211"/>
    <w:rsid w:val="0056430A"/>
    <w:rsid w:val="0056466A"/>
    <w:rsid w:val="00564DF2"/>
    <w:rsid w:val="00564E8F"/>
    <w:rsid w:val="0056519F"/>
    <w:rsid w:val="0056541B"/>
    <w:rsid w:val="005656B2"/>
    <w:rsid w:val="00565841"/>
    <w:rsid w:val="00565A58"/>
    <w:rsid w:val="00565B36"/>
    <w:rsid w:val="00565DD3"/>
    <w:rsid w:val="00565EB2"/>
    <w:rsid w:val="00566051"/>
    <w:rsid w:val="005669E4"/>
    <w:rsid w:val="00566BEA"/>
    <w:rsid w:val="005674EE"/>
    <w:rsid w:val="00567AB0"/>
    <w:rsid w:val="00570453"/>
    <w:rsid w:val="005704D1"/>
    <w:rsid w:val="0057054A"/>
    <w:rsid w:val="00570794"/>
    <w:rsid w:val="00570AB2"/>
    <w:rsid w:val="00570C81"/>
    <w:rsid w:val="00570DC6"/>
    <w:rsid w:val="00570E1A"/>
    <w:rsid w:val="00570E82"/>
    <w:rsid w:val="005713D1"/>
    <w:rsid w:val="0057165E"/>
    <w:rsid w:val="00571842"/>
    <w:rsid w:val="00571921"/>
    <w:rsid w:val="00571BD2"/>
    <w:rsid w:val="00571EC4"/>
    <w:rsid w:val="0057202B"/>
    <w:rsid w:val="00572168"/>
    <w:rsid w:val="005726A7"/>
    <w:rsid w:val="005728A4"/>
    <w:rsid w:val="005729C2"/>
    <w:rsid w:val="00572E3E"/>
    <w:rsid w:val="00572E47"/>
    <w:rsid w:val="00573029"/>
    <w:rsid w:val="00573309"/>
    <w:rsid w:val="00573BC4"/>
    <w:rsid w:val="00573D26"/>
    <w:rsid w:val="00574565"/>
    <w:rsid w:val="0057482E"/>
    <w:rsid w:val="00574A04"/>
    <w:rsid w:val="00574A26"/>
    <w:rsid w:val="00574A41"/>
    <w:rsid w:val="00574F6D"/>
    <w:rsid w:val="00575587"/>
    <w:rsid w:val="00575BEC"/>
    <w:rsid w:val="00575FAE"/>
    <w:rsid w:val="00576271"/>
    <w:rsid w:val="005763FC"/>
    <w:rsid w:val="00576996"/>
    <w:rsid w:val="00576CED"/>
    <w:rsid w:val="00576D3A"/>
    <w:rsid w:val="00576EB4"/>
    <w:rsid w:val="00577243"/>
    <w:rsid w:val="0057779F"/>
    <w:rsid w:val="00577804"/>
    <w:rsid w:val="00577967"/>
    <w:rsid w:val="00577B30"/>
    <w:rsid w:val="00577EA2"/>
    <w:rsid w:val="005803F7"/>
    <w:rsid w:val="00580969"/>
    <w:rsid w:val="00580A4E"/>
    <w:rsid w:val="00581344"/>
    <w:rsid w:val="005813A1"/>
    <w:rsid w:val="00581D68"/>
    <w:rsid w:val="00581F52"/>
    <w:rsid w:val="005825E1"/>
    <w:rsid w:val="00582611"/>
    <w:rsid w:val="00582768"/>
    <w:rsid w:val="005828C8"/>
    <w:rsid w:val="005829AB"/>
    <w:rsid w:val="005829D3"/>
    <w:rsid w:val="00582C34"/>
    <w:rsid w:val="00583461"/>
    <w:rsid w:val="005840B9"/>
    <w:rsid w:val="005841EA"/>
    <w:rsid w:val="00584559"/>
    <w:rsid w:val="005848C3"/>
    <w:rsid w:val="00584F6E"/>
    <w:rsid w:val="00585142"/>
    <w:rsid w:val="005852E0"/>
    <w:rsid w:val="0058539A"/>
    <w:rsid w:val="005854C3"/>
    <w:rsid w:val="005856A4"/>
    <w:rsid w:val="00585933"/>
    <w:rsid w:val="00585990"/>
    <w:rsid w:val="00585DCF"/>
    <w:rsid w:val="00585EA2"/>
    <w:rsid w:val="00585EDE"/>
    <w:rsid w:val="00585FD4"/>
    <w:rsid w:val="0058636A"/>
    <w:rsid w:val="005864DA"/>
    <w:rsid w:val="005866AE"/>
    <w:rsid w:val="005868EA"/>
    <w:rsid w:val="005869AD"/>
    <w:rsid w:val="00586D1B"/>
    <w:rsid w:val="00587003"/>
    <w:rsid w:val="005871D8"/>
    <w:rsid w:val="005875CE"/>
    <w:rsid w:val="005875F7"/>
    <w:rsid w:val="0058798A"/>
    <w:rsid w:val="00587A21"/>
    <w:rsid w:val="00587D98"/>
    <w:rsid w:val="00587E50"/>
    <w:rsid w:val="00590730"/>
    <w:rsid w:val="005910FA"/>
    <w:rsid w:val="005911AB"/>
    <w:rsid w:val="0059157C"/>
    <w:rsid w:val="005917E9"/>
    <w:rsid w:val="0059190F"/>
    <w:rsid w:val="00591986"/>
    <w:rsid w:val="0059198F"/>
    <w:rsid w:val="00591B0B"/>
    <w:rsid w:val="00591C1F"/>
    <w:rsid w:val="005921F7"/>
    <w:rsid w:val="0059269B"/>
    <w:rsid w:val="005928CD"/>
    <w:rsid w:val="00593024"/>
    <w:rsid w:val="0059363C"/>
    <w:rsid w:val="00593766"/>
    <w:rsid w:val="005937DC"/>
    <w:rsid w:val="00593891"/>
    <w:rsid w:val="00594260"/>
    <w:rsid w:val="005946D4"/>
    <w:rsid w:val="00594746"/>
    <w:rsid w:val="00594A62"/>
    <w:rsid w:val="005951DC"/>
    <w:rsid w:val="0059553D"/>
    <w:rsid w:val="00595664"/>
    <w:rsid w:val="00595763"/>
    <w:rsid w:val="00595AAA"/>
    <w:rsid w:val="00595B3F"/>
    <w:rsid w:val="00595D51"/>
    <w:rsid w:val="00595D59"/>
    <w:rsid w:val="00595D61"/>
    <w:rsid w:val="00595FD7"/>
    <w:rsid w:val="005962F1"/>
    <w:rsid w:val="00596D6B"/>
    <w:rsid w:val="00596F6D"/>
    <w:rsid w:val="005972EA"/>
    <w:rsid w:val="0059730D"/>
    <w:rsid w:val="0059743C"/>
    <w:rsid w:val="0059747D"/>
    <w:rsid w:val="00597FAA"/>
    <w:rsid w:val="005A01AA"/>
    <w:rsid w:val="005A0240"/>
    <w:rsid w:val="005A02A4"/>
    <w:rsid w:val="005A0799"/>
    <w:rsid w:val="005A0956"/>
    <w:rsid w:val="005A10D4"/>
    <w:rsid w:val="005A1754"/>
    <w:rsid w:val="005A1AD6"/>
    <w:rsid w:val="005A1B65"/>
    <w:rsid w:val="005A1D45"/>
    <w:rsid w:val="005A2541"/>
    <w:rsid w:val="005A28A1"/>
    <w:rsid w:val="005A2A28"/>
    <w:rsid w:val="005A2A7A"/>
    <w:rsid w:val="005A2AD8"/>
    <w:rsid w:val="005A2D65"/>
    <w:rsid w:val="005A2F6C"/>
    <w:rsid w:val="005A3051"/>
    <w:rsid w:val="005A30A7"/>
    <w:rsid w:val="005A3166"/>
    <w:rsid w:val="005A356D"/>
    <w:rsid w:val="005A38FD"/>
    <w:rsid w:val="005A3931"/>
    <w:rsid w:val="005A3B49"/>
    <w:rsid w:val="005A3E55"/>
    <w:rsid w:val="005A4664"/>
    <w:rsid w:val="005A4933"/>
    <w:rsid w:val="005A49FE"/>
    <w:rsid w:val="005A4A31"/>
    <w:rsid w:val="005A4AA3"/>
    <w:rsid w:val="005A523A"/>
    <w:rsid w:val="005A53FE"/>
    <w:rsid w:val="005A55F5"/>
    <w:rsid w:val="005A5C11"/>
    <w:rsid w:val="005A5EB0"/>
    <w:rsid w:val="005A6034"/>
    <w:rsid w:val="005A655D"/>
    <w:rsid w:val="005A683E"/>
    <w:rsid w:val="005A6C8A"/>
    <w:rsid w:val="005A6CD2"/>
    <w:rsid w:val="005A6DD4"/>
    <w:rsid w:val="005A705A"/>
    <w:rsid w:val="005A7478"/>
    <w:rsid w:val="005A7C28"/>
    <w:rsid w:val="005B05AB"/>
    <w:rsid w:val="005B0764"/>
    <w:rsid w:val="005B090B"/>
    <w:rsid w:val="005B1078"/>
    <w:rsid w:val="005B119B"/>
    <w:rsid w:val="005B13F4"/>
    <w:rsid w:val="005B1584"/>
    <w:rsid w:val="005B1814"/>
    <w:rsid w:val="005B1BD4"/>
    <w:rsid w:val="005B1D0A"/>
    <w:rsid w:val="005B1EE9"/>
    <w:rsid w:val="005B21A3"/>
    <w:rsid w:val="005B2301"/>
    <w:rsid w:val="005B2908"/>
    <w:rsid w:val="005B2D6A"/>
    <w:rsid w:val="005B3C41"/>
    <w:rsid w:val="005B40F7"/>
    <w:rsid w:val="005B40FA"/>
    <w:rsid w:val="005B4D04"/>
    <w:rsid w:val="005B4E2B"/>
    <w:rsid w:val="005B520E"/>
    <w:rsid w:val="005B597A"/>
    <w:rsid w:val="005B5D10"/>
    <w:rsid w:val="005B5DED"/>
    <w:rsid w:val="005B6280"/>
    <w:rsid w:val="005B6B14"/>
    <w:rsid w:val="005B6BFB"/>
    <w:rsid w:val="005B7313"/>
    <w:rsid w:val="005B76EF"/>
    <w:rsid w:val="005B7D22"/>
    <w:rsid w:val="005C0029"/>
    <w:rsid w:val="005C00DC"/>
    <w:rsid w:val="005C029E"/>
    <w:rsid w:val="005C0666"/>
    <w:rsid w:val="005C06F5"/>
    <w:rsid w:val="005C0931"/>
    <w:rsid w:val="005C12D2"/>
    <w:rsid w:val="005C1D7C"/>
    <w:rsid w:val="005C1F4D"/>
    <w:rsid w:val="005C2381"/>
    <w:rsid w:val="005C244C"/>
    <w:rsid w:val="005C244E"/>
    <w:rsid w:val="005C2B06"/>
    <w:rsid w:val="005C30EE"/>
    <w:rsid w:val="005C31C8"/>
    <w:rsid w:val="005C3A39"/>
    <w:rsid w:val="005C3B91"/>
    <w:rsid w:val="005C3BCB"/>
    <w:rsid w:val="005C3D4C"/>
    <w:rsid w:val="005C43A8"/>
    <w:rsid w:val="005C4BFA"/>
    <w:rsid w:val="005C4E0A"/>
    <w:rsid w:val="005C4EB3"/>
    <w:rsid w:val="005C5327"/>
    <w:rsid w:val="005C549A"/>
    <w:rsid w:val="005C6026"/>
    <w:rsid w:val="005C6249"/>
    <w:rsid w:val="005C67E7"/>
    <w:rsid w:val="005C6E3D"/>
    <w:rsid w:val="005C6EEA"/>
    <w:rsid w:val="005C70BA"/>
    <w:rsid w:val="005C7A67"/>
    <w:rsid w:val="005C7BBE"/>
    <w:rsid w:val="005C7DC6"/>
    <w:rsid w:val="005D0031"/>
    <w:rsid w:val="005D018B"/>
    <w:rsid w:val="005D0739"/>
    <w:rsid w:val="005D0EE3"/>
    <w:rsid w:val="005D1077"/>
    <w:rsid w:val="005D13AB"/>
    <w:rsid w:val="005D1463"/>
    <w:rsid w:val="005D1550"/>
    <w:rsid w:val="005D1ED1"/>
    <w:rsid w:val="005D24B9"/>
    <w:rsid w:val="005D2558"/>
    <w:rsid w:val="005D2592"/>
    <w:rsid w:val="005D2A55"/>
    <w:rsid w:val="005D2BB8"/>
    <w:rsid w:val="005D2C2B"/>
    <w:rsid w:val="005D2D40"/>
    <w:rsid w:val="005D3138"/>
    <w:rsid w:val="005D38CA"/>
    <w:rsid w:val="005D39EE"/>
    <w:rsid w:val="005D3E63"/>
    <w:rsid w:val="005D3EB3"/>
    <w:rsid w:val="005D482B"/>
    <w:rsid w:val="005D4A42"/>
    <w:rsid w:val="005D4F22"/>
    <w:rsid w:val="005D503C"/>
    <w:rsid w:val="005D54E2"/>
    <w:rsid w:val="005D5B29"/>
    <w:rsid w:val="005D63CD"/>
    <w:rsid w:val="005D6B4F"/>
    <w:rsid w:val="005D6F99"/>
    <w:rsid w:val="005D7060"/>
    <w:rsid w:val="005D715A"/>
    <w:rsid w:val="005D73D4"/>
    <w:rsid w:val="005D7573"/>
    <w:rsid w:val="005D7951"/>
    <w:rsid w:val="005D79D3"/>
    <w:rsid w:val="005D79E0"/>
    <w:rsid w:val="005D7A2E"/>
    <w:rsid w:val="005D7D61"/>
    <w:rsid w:val="005D7EEE"/>
    <w:rsid w:val="005E02A1"/>
    <w:rsid w:val="005E07B6"/>
    <w:rsid w:val="005E085D"/>
    <w:rsid w:val="005E0F3F"/>
    <w:rsid w:val="005E15B3"/>
    <w:rsid w:val="005E253F"/>
    <w:rsid w:val="005E257A"/>
    <w:rsid w:val="005E263C"/>
    <w:rsid w:val="005E264D"/>
    <w:rsid w:val="005E2C81"/>
    <w:rsid w:val="005E2E6A"/>
    <w:rsid w:val="005E320A"/>
    <w:rsid w:val="005E332D"/>
    <w:rsid w:val="005E3739"/>
    <w:rsid w:val="005E3863"/>
    <w:rsid w:val="005E3F40"/>
    <w:rsid w:val="005E3FA7"/>
    <w:rsid w:val="005E42BE"/>
    <w:rsid w:val="005E442D"/>
    <w:rsid w:val="005E4C6B"/>
    <w:rsid w:val="005E4CD3"/>
    <w:rsid w:val="005E4E15"/>
    <w:rsid w:val="005E5031"/>
    <w:rsid w:val="005E551C"/>
    <w:rsid w:val="005E554A"/>
    <w:rsid w:val="005E56A3"/>
    <w:rsid w:val="005E57FA"/>
    <w:rsid w:val="005E58D9"/>
    <w:rsid w:val="005E5AA4"/>
    <w:rsid w:val="005E5F59"/>
    <w:rsid w:val="005E636D"/>
    <w:rsid w:val="005E661E"/>
    <w:rsid w:val="005E6645"/>
    <w:rsid w:val="005E718F"/>
    <w:rsid w:val="005E76B5"/>
    <w:rsid w:val="005E790B"/>
    <w:rsid w:val="005E7963"/>
    <w:rsid w:val="005E7CD6"/>
    <w:rsid w:val="005F07E7"/>
    <w:rsid w:val="005F13F4"/>
    <w:rsid w:val="005F141C"/>
    <w:rsid w:val="005F199B"/>
    <w:rsid w:val="005F1DF9"/>
    <w:rsid w:val="005F218C"/>
    <w:rsid w:val="005F2783"/>
    <w:rsid w:val="005F27C2"/>
    <w:rsid w:val="005F2AF4"/>
    <w:rsid w:val="005F2C19"/>
    <w:rsid w:val="005F2D47"/>
    <w:rsid w:val="005F301D"/>
    <w:rsid w:val="005F31E3"/>
    <w:rsid w:val="005F34AF"/>
    <w:rsid w:val="005F3584"/>
    <w:rsid w:val="005F3949"/>
    <w:rsid w:val="005F40A8"/>
    <w:rsid w:val="005F4502"/>
    <w:rsid w:val="005F4523"/>
    <w:rsid w:val="005F467D"/>
    <w:rsid w:val="005F4A0C"/>
    <w:rsid w:val="005F4A39"/>
    <w:rsid w:val="005F50C3"/>
    <w:rsid w:val="005F5135"/>
    <w:rsid w:val="005F53D6"/>
    <w:rsid w:val="005F547D"/>
    <w:rsid w:val="005F562A"/>
    <w:rsid w:val="005F59F1"/>
    <w:rsid w:val="005F5A1C"/>
    <w:rsid w:val="005F5BC0"/>
    <w:rsid w:val="005F6263"/>
    <w:rsid w:val="005F6BB1"/>
    <w:rsid w:val="005F7A02"/>
    <w:rsid w:val="005F7C6C"/>
    <w:rsid w:val="005F7C8E"/>
    <w:rsid w:val="00600087"/>
    <w:rsid w:val="006002D2"/>
    <w:rsid w:val="006003A6"/>
    <w:rsid w:val="006008E3"/>
    <w:rsid w:val="00600A04"/>
    <w:rsid w:val="00600FDE"/>
    <w:rsid w:val="0060110C"/>
    <w:rsid w:val="00601248"/>
    <w:rsid w:val="006013AD"/>
    <w:rsid w:val="006013F0"/>
    <w:rsid w:val="00601605"/>
    <w:rsid w:val="00601ABF"/>
    <w:rsid w:val="00601B19"/>
    <w:rsid w:val="00601B88"/>
    <w:rsid w:val="00601D47"/>
    <w:rsid w:val="00601D4D"/>
    <w:rsid w:val="006021B4"/>
    <w:rsid w:val="006021D9"/>
    <w:rsid w:val="00602605"/>
    <w:rsid w:val="00602797"/>
    <w:rsid w:val="00602951"/>
    <w:rsid w:val="00602BCA"/>
    <w:rsid w:val="00602CCE"/>
    <w:rsid w:val="00602EBD"/>
    <w:rsid w:val="00602FBC"/>
    <w:rsid w:val="006034E0"/>
    <w:rsid w:val="00603579"/>
    <w:rsid w:val="006035D6"/>
    <w:rsid w:val="0060374C"/>
    <w:rsid w:val="00603CCD"/>
    <w:rsid w:val="00603DEC"/>
    <w:rsid w:val="00603F99"/>
    <w:rsid w:val="006042D2"/>
    <w:rsid w:val="00604599"/>
    <w:rsid w:val="00604DC4"/>
    <w:rsid w:val="006050B7"/>
    <w:rsid w:val="006053F7"/>
    <w:rsid w:val="00605580"/>
    <w:rsid w:val="006059B7"/>
    <w:rsid w:val="00605B5B"/>
    <w:rsid w:val="0060600E"/>
    <w:rsid w:val="0060610C"/>
    <w:rsid w:val="006062D8"/>
    <w:rsid w:val="00606416"/>
    <w:rsid w:val="00606827"/>
    <w:rsid w:val="00606F35"/>
    <w:rsid w:val="0060741C"/>
    <w:rsid w:val="00607A76"/>
    <w:rsid w:val="0061010B"/>
    <w:rsid w:val="0061066E"/>
    <w:rsid w:val="00610687"/>
    <w:rsid w:val="00610D5E"/>
    <w:rsid w:val="00611085"/>
    <w:rsid w:val="0061115D"/>
    <w:rsid w:val="006111FA"/>
    <w:rsid w:val="0061165F"/>
    <w:rsid w:val="006122A9"/>
    <w:rsid w:val="00612485"/>
    <w:rsid w:val="006128A7"/>
    <w:rsid w:val="006128F4"/>
    <w:rsid w:val="00612AA9"/>
    <w:rsid w:val="00612BA9"/>
    <w:rsid w:val="00612BB7"/>
    <w:rsid w:val="00612CF6"/>
    <w:rsid w:val="006130CD"/>
    <w:rsid w:val="00613598"/>
    <w:rsid w:val="00613A23"/>
    <w:rsid w:val="00613A2A"/>
    <w:rsid w:val="00613A56"/>
    <w:rsid w:val="00613B2D"/>
    <w:rsid w:val="00613DFF"/>
    <w:rsid w:val="00613EB4"/>
    <w:rsid w:val="0061402B"/>
    <w:rsid w:val="0061476E"/>
    <w:rsid w:val="00614795"/>
    <w:rsid w:val="00614E86"/>
    <w:rsid w:val="00614F88"/>
    <w:rsid w:val="00615CEC"/>
    <w:rsid w:val="00615CF9"/>
    <w:rsid w:val="00615E8A"/>
    <w:rsid w:val="00615EC2"/>
    <w:rsid w:val="0061608F"/>
    <w:rsid w:val="00616B50"/>
    <w:rsid w:val="00617164"/>
    <w:rsid w:val="006173E8"/>
    <w:rsid w:val="006177B9"/>
    <w:rsid w:val="00617B2F"/>
    <w:rsid w:val="00617EE7"/>
    <w:rsid w:val="00617F18"/>
    <w:rsid w:val="0062024E"/>
    <w:rsid w:val="0062025E"/>
    <w:rsid w:val="00620262"/>
    <w:rsid w:val="00620278"/>
    <w:rsid w:val="00620A43"/>
    <w:rsid w:val="00620FA9"/>
    <w:rsid w:val="006213C8"/>
    <w:rsid w:val="006215F2"/>
    <w:rsid w:val="00621856"/>
    <w:rsid w:val="00621ACE"/>
    <w:rsid w:val="00621B4C"/>
    <w:rsid w:val="00622236"/>
    <w:rsid w:val="006225F6"/>
    <w:rsid w:val="0062282B"/>
    <w:rsid w:val="00622D1C"/>
    <w:rsid w:val="00622EDB"/>
    <w:rsid w:val="00623538"/>
    <w:rsid w:val="00623A94"/>
    <w:rsid w:val="00623CD7"/>
    <w:rsid w:val="00624B8C"/>
    <w:rsid w:val="00624FD4"/>
    <w:rsid w:val="0062568D"/>
    <w:rsid w:val="006258AC"/>
    <w:rsid w:val="006258C5"/>
    <w:rsid w:val="00626147"/>
    <w:rsid w:val="00626316"/>
    <w:rsid w:val="006264D4"/>
    <w:rsid w:val="006268E9"/>
    <w:rsid w:val="00626CDD"/>
    <w:rsid w:val="0062703F"/>
    <w:rsid w:val="00627547"/>
    <w:rsid w:val="00627C52"/>
    <w:rsid w:val="0063013A"/>
    <w:rsid w:val="00630643"/>
    <w:rsid w:val="00630937"/>
    <w:rsid w:val="00630AB4"/>
    <w:rsid w:val="00630FC1"/>
    <w:rsid w:val="006312B8"/>
    <w:rsid w:val="00631617"/>
    <w:rsid w:val="00631628"/>
    <w:rsid w:val="00631765"/>
    <w:rsid w:val="00631C4B"/>
    <w:rsid w:val="00632276"/>
    <w:rsid w:val="00632412"/>
    <w:rsid w:val="00632A01"/>
    <w:rsid w:val="00633168"/>
    <w:rsid w:val="0063359B"/>
    <w:rsid w:val="00633969"/>
    <w:rsid w:val="00633B9C"/>
    <w:rsid w:val="00633CFC"/>
    <w:rsid w:val="00633D6D"/>
    <w:rsid w:val="00633E3B"/>
    <w:rsid w:val="0063413B"/>
    <w:rsid w:val="0063425D"/>
    <w:rsid w:val="006344CE"/>
    <w:rsid w:val="0063455E"/>
    <w:rsid w:val="006345D5"/>
    <w:rsid w:val="00634B89"/>
    <w:rsid w:val="00634BFE"/>
    <w:rsid w:val="00634D97"/>
    <w:rsid w:val="00634DED"/>
    <w:rsid w:val="00635446"/>
    <w:rsid w:val="00635649"/>
    <w:rsid w:val="00635866"/>
    <w:rsid w:val="006359F9"/>
    <w:rsid w:val="00635EC3"/>
    <w:rsid w:val="00636422"/>
    <w:rsid w:val="006364A9"/>
    <w:rsid w:val="00636779"/>
    <w:rsid w:val="00636934"/>
    <w:rsid w:val="00636945"/>
    <w:rsid w:val="006369FF"/>
    <w:rsid w:val="00636E0F"/>
    <w:rsid w:val="0063755D"/>
    <w:rsid w:val="006376F5"/>
    <w:rsid w:val="00637CF5"/>
    <w:rsid w:val="00640700"/>
    <w:rsid w:val="006407A8"/>
    <w:rsid w:val="006407C0"/>
    <w:rsid w:val="00640A12"/>
    <w:rsid w:val="00640C90"/>
    <w:rsid w:val="00640EAA"/>
    <w:rsid w:val="006415EA"/>
    <w:rsid w:val="00641752"/>
    <w:rsid w:val="0064177E"/>
    <w:rsid w:val="006417F3"/>
    <w:rsid w:val="00641CA6"/>
    <w:rsid w:val="00641D28"/>
    <w:rsid w:val="00642099"/>
    <w:rsid w:val="00642700"/>
    <w:rsid w:val="00643556"/>
    <w:rsid w:val="00643662"/>
    <w:rsid w:val="00643B04"/>
    <w:rsid w:val="00643CC4"/>
    <w:rsid w:val="0064459D"/>
    <w:rsid w:val="0064471C"/>
    <w:rsid w:val="00644A54"/>
    <w:rsid w:val="00644AB1"/>
    <w:rsid w:val="0064515B"/>
    <w:rsid w:val="006452F7"/>
    <w:rsid w:val="00645356"/>
    <w:rsid w:val="00645791"/>
    <w:rsid w:val="00645836"/>
    <w:rsid w:val="006459DF"/>
    <w:rsid w:val="006468F9"/>
    <w:rsid w:val="00646A10"/>
    <w:rsid w:val="00646E44"/>
    <w:rsid w:val="006475FD"/>
    <w:rsid w:val="0064778B"/>
    <w:rsid w:val="00647B7A"/>
    <w:rsid w:val="00647D0D"/>
    <w:rsid w:val="00647D4D"/>
    <w:rsid w:val="00650175"/>
    <w:rsid w:val="0065030D"/>
    <w:rsid w:val="0065092B"/>
    <w:rsid w:val="00650A9C"/>
    <w:rsid w:val="00651231"/>
    <w:rsid w:val="0065132A"/>
    <w:rsid w:val="006513AC"/>
    <w:rsid w:val="0065169F"/>
    <w:rsid w:val="006517AB"/>
    <w:rsid w:val="00651B9E"/>
    <w:rsid w:val="00651C2E"/>
    <w:rsid w:val="00651ED7"/>
    <w:rsid w:val="00651EEB"/>
    <w:rsid w:val="006520B0"/>
    <w:rsid w:val="006529B2"/>
    <w:rsid w:val="00652C23"/>
    <w:rsid w:val="00653759"/>
    <w:rsid w:val="006538E1"/>
    <w:rsid w:val="006539A0"/>
    <w:rsid w:val="00653B84"/>
    <w:rsid w:val="00653E0D"/>
    <w:rsid w:val="00653E2F"/>
    <w:rsid w:val="00653FB6"/>
    <w:rsid w:val="006544D9"/>
    <w:rsid w:val="00654562"/>
    <w:rsid w:val="006548A6"/>
    <w:rsid w:val="00654A59"/>
    <w:rsid w:val="00654C84"/>
    <w:rsid w:val="00654E4B"/>
    <w:rsid w:val="00655507"/>
    <w:rsid w:val="00655670"/>
    <w:rsid w:val="006558B3"/>
    <w:rsid w:val="00655ABE"/>
    <w:rsid w:val="006562A3"/>
    <w:rsid w:val="006564F3"/>
    <w:rsid w:val="00656A4B"/>
    <w:rsid w:val="00656B1C"/>
    <w:rsid w:val="00656EED"/>
    <w:rsid w:val="00656F12"/>
    <w:rsid w:val="00656FC3"/>
    <w:rsid w:val="006570A8"/>
    <w:rsid w:val="00657C0A"/>
    <w:rsid w:val="00657D7E"/>
    <w:rsid w:val="00660001"/>
    <w:rsid w:val="006600EB"/>
    <w:rsid w:val="006602EC"/>
    <w:rsid w:val="00660642"/>
    <w:rsid w:val="006608E1"/>
    <w:rsid w:val="00660E90"/>
    <w:rsid w:val="0066167C"/>
    <w:rsid w:val="00661FAC"/>
    <w:rsid w:val="00662131"/>
    <w:rsid w:val="00662B3E"/>
    <w:rsid w:val="00662CEE"/>
    <w:rsid w:val="0066301D"/>
    <w:rsid w:val="0066313E"/>
    <w:rsid w:val="00663204"/>
    <w:rsid w:val="00663347"/>
    <w:rsid w:val="00663686"/>
    <w:rsid w:val="00663CE4"/>
    <w:rsid w:val="00663EF3"/>
    <w:rsid w:val="00664074"/>
    <w:rsid w:val="0066500C"/>
    <w:rsid w:val="00665127"/>
    <w:rsid w:val="00665178"/>
    <w:rsid w:val="006653C5"/>
    <w:rsid w:val="006654A1"/>
    <w:rsid w:val="006656F2"/>
    <w:rsid w:val="006664FF"/>
    <w:rsid w:val="006666D0"/>
    <w:rsid w:val="00666A25"/>
    <w:rsid w:val="006671E7"/>
    <w:rsid w:val="00667353"/>
    <w:rsid w:val="006675DE"/>
    <w:rsid w:val="0066779C"/>
    <w:rsid w:val="00667956"/>
    <w:rsid w:val="0066795C"/>
    <w:rsid w:val="00667BCD"/>
    <w:rsid w:val="00667D3E"/>
    <w:rsid w:val="006700FF"/>
    <w:rsid w:val="00670198"/>
    <w:rsid w:val="00670883"/>
    <w:rsid w:val="00670E47"/>
    <w:rsid w:val="00671319"/>
    <w:rsid w:val="0067138C"/>
    <w:rsid w:val="0067155A"/>
    <w:rsid w:val="00671648"/>
    <w:rsid w:val="006717C5"/>
    <w:rsid w:val="00671D30"/>
    <w:rsid w:val="0067257D"/>
    <w:rsid w:val="00672A01"/>
    <w:rsid w:val="00672C27"/>
    <w:rsid w:val="0067313E"/>
    <w:rsid w:val="00673265"/>
    <w:rsid w:val="006733B6"/>
    <w:rsid w:val="00673D8C"/>
    <w:rsid w:val="00674222"/>
    <w:rsid w:val="006742F1"/>
    <w:rsid w:val="00674A38"/>
    <w:rsid w:val="00674A7E"/>
    <w:rsid w:val="00674FB8"/>
    <w:rsid w:val="00674FBB"/>
    <w:rsid w:val="006751AA"/>
    <w:rsid w:val="006751F1"/>
    <w:rsid w:val="006753F2"/>
    <w:rsid w:val="0067565F"/>
    <w:rsid w:val="00675870"/>
    <w:rsid w:val="00675ABE"/>
    <w:rsid w:val="00676218"/>
    <w:rsid w:val="006762CD"/>
    <w:rsid w:val="006765C9"/>
    <w:rsid w:val="00676C51"/>
    <w:rsid w:val="006772E6"/>
    <w:rsid w:val="00677E77"/>
    <w:rsid w:val="0068021D"/>
    <w:rsid w:val="0068033D"/>
    <w:rsid w:val="00680910"/>
    <w:rsid w:val="00680959"/>
    <w:rsid w:val="00680C10"/>
    <w:rsid w:val="00680F8D"/>
    <w:rsid w:val="00681369"/>
    <w:rsid w:val="006813B4"/>
    <w:rsid w:val="00681551"/>
    <w:rsid w:val="00681955"/>
    <w:rsid w:val="00681A22"/>
    <w:rsid w:val="00681D87"/>
    <w:rsid w:val="00681FC2"/>
    <w:rsid w:val="006820D5"/>
    <w:rsid w:val="006825BC"/>
    <w:rsid w:val="006827A9"/>
    <w:rsid w:val="00682C72"/>
    <w:rsid w:val="00682DC9"/>
    <w:rsid w:val="00683C54"/>
    <w:rsid w:val="00683DB5"/>
    <w:rsid w:val="00684295"/>
    <w:rsid w:val="00684392"/>
    <w:rsid w:val="006845FF"/>
    <w:rsid w:val="00684680"/>
    <w:rsid w:val="006849B6"/>
    <w:rsid w:val="00685634"/>
    <w:rsid w:val="0068575C"/>
    <w:rsid w:val="0068583A"/>
    <w:rsid w:val="00685954"/>
    <w:rsid w:val="006863FA"/>
    <w:rsid w:val="006865C8"/>
    <w:rsid w:val="00686B48"/>
    <w:rsid w:val="00686E0B"/>
    <w:rsid w:val="00687038"/>
    <w:rsid w:val="0068714E"/>
    <w:rsid w:val="00687205"/>
    <w:rsid w:val="006876A3"/>
    <w:rsid w:val="0068785A"/>
    <w:rsid w:val="00687905"/>
    <w:rsid w:val="006900FC"/>
    <w:rsid w:val="00690222"/>
    <w:rsid w:val="00690351"/>
    <w:rsid w:val="00690CB7"/>
    <w:rsid w:val="00690ECE"/>
    <w:rsid w:val="00690FF6"/>
    <w:rsid w:val="00691619"/>
    <w:rsid w:val="00692219"/>
    <w:rsid w:val="00692250"/>
    <w:rsid w:val="0069250F"/>
    <w:rsid w:val="0069276D"/>
    <w:rsid w:val="006927E9"/>
    <w:rsid w:val="006929F7"/>
    <w:rsid w:val="00692BA9"/>
    <w:rsid w:val="00692CD9"/>
    <w:rsid w:val="00692DD0"/>
    <w:rsid w:val="00692E57"/>
    <w:rsid w:val="00692F52"/>
    <w:rsid w:val="006931B5"/>
    <w:rsid w:val="0069374A"/>
    <w:rsid w:val="0069375D"/>
    <w:rsid w:val="00693B5B"/>
    <w:rsid w:val="00693DCD"/>
    <w:rsid w:val="006941F3"/>
    <w:rsid w:val="006947A1"/>
    <w:rsid w:val="006947D3"/>
    <w:rsid w:val="006949B1"/>
    <w:rsid w:val="00694AB8"/>
    <w:rsid w:val="00695490"/>
    <w:rsid w:val="0069578E"/>
    <w:rsid w:val="006958D7"/>
    <w:rsid w:val="00695A47"/>
    <w:rsid w:val="00695B36"/>
    <w:rsid w:val="00695C3E"/>
    <w:rsid w:val="00695EF7"/>
    <w:rsid w:val="00696304"/>
    <w:rsid w:val="006964AA"/>
    <w:rsid w:val="00696744"/>
    <w:rsid w:val="0069680D"/>
    <w:rsid w:val="0069699D"/>
    <w:rsid w:val="00696FBD"/>
    <w:rsid w:val="006970C3"/>
    <w:rsid w:val="00697527"/>
    <w:rsid w:val="0069781A"/>
    <w:rsid w:val="00697B97"/>
    <w:rsid w:val="00697D57"/>
    <w:rsid w:val="006A02AB"/>
    <w:rsid w:val="006A0365"/>
    <w:rsid w:val="006A096E"/>
    <w:rsid w:val="006A0B6B"/>
    <w:rsid w:val="006A0D84"/>
    <w:rsid w:val="006A139F"/>
    <w:rsid w:val="006A17C0"/>
    <w:rsid w:val="006A18EC"/>
    <w:rsid w:val="006A196B"/>
    <w:rsid w:val="006A1B55"/>
    <w:rsid w:val="006A1C6E"/>
    <w:rsid w:val="006A25E3"/>
    <w:rsid w:val="006A2730"/>
    <w:rsid w:val="006A2751"/>
    <w:rsid w:val="006A2940"/>
    <w:rsid w:val="006A29CA"/>
    <w:rsid w:val="006A2CCF"/>
    <w:rsid w:val="006A3134"/>
    <w:rsid w:val="006A32ED"/>
    <w:rsid w:val="006A3504"/>
    <w:rsid w:val="006A3517"/>
    <w:rsid w:val="006A39CA"/>
    <w:rsid w:val="006A4430"/>
    <w:rsid w:val="006A449C"/>
    <w:rsid w:val="006A4926"/>
    <w:rsid w:val="006A4D9B"/>
    <w:rsid w:val="006A4E07"/>
    <w:rsid w:val="006A4E53"/>
    <w:rsid w:val="006A5417"/>
    <w:rsid w:val="006A550E"/>
    <w:rsid w:val="006A56EF"/>
    <w:rsid w:val="006A57D3"/>
    <w:rsid w:val="006A5E53"/>
    <w:rsid w:val="006A5FB8"/>
    <w:rsid w:val="006A6204"/>
    <w:rsid w:val="006A6579"/>
    <w:rsid w:val="006A667D"/>
    <w:rsid w:val="006A66D5"/>
    <w:rsid w:val="006A68A6"/>
    <w:rsid w:val="006A6B53"/>
    <w:rsid w:val="006A6BDC"/>
    <w:rsid w:val="006A6FFA"/>
    <w:rsid w:val="006A716D"/>
    <w:rsid w:val="006A7827"/>
    <w:rsid w:val="006B0358"/>
    <w:rsid w:val="006B0905"/>
    <w:rsid w:val="006B09D5"/>
    <w:rsid w:val="006B0A88"/>
    <w:rsid w:val="006B0ADD"/>
    <w:rsid w:val="006B0E52"/>
    <w:rsid w:val="006B1B88"/>
    <w:rsid w:val="006B2C40"/>
    <w:rsid w:val="006B2C51"/>
    <w:rsid w:val="006B317C"/>
    <w:rsid w:val="006B3527"/>
    <w:rsid w:val="006B3F7E"/>
    <w:rsid w:val="006B3FA6"/>
    <w:rsid w:val="006B424B"/>
    <w:rsid w:val="006B466C"/>
    <w:rsid w:val="006B48EA"/>
    <w:rsid w:val="006B4F4E"/>
    <w:rsid w:val="006B5055"/>
    <w:rsid w:val="006B56E0"/>
    <w:rsid w:val="006B5C32"/>
    <w:rsid w:val="006B6355"/>
    <w:rsid w:val="006B6361"/>
    <w:rsid w:val="006B640D"/>
    <w:rsid w:val="006B6502"/>
    <w:rsid w:val="006B7176"/>
    <w:rsid w:val="006B7655"/>
    <w:rsid w:val="006B789E"/>
    <w:rsid w:val="006B7B4D"/>
    <w:rsid w:val="006C00B0"/>
    <w:rsid w:val="006C0271"/>
    <w:rsid w:val="006C0AF4"/>
    <w:rsid w:val="006C0B6D"/>
    <w:rsid w:val="006C0CA8"/>
    <w:rsid w:val="006C0D16"/>
    <w:rsid w:val="006C1118"/>
    <w:rsid w:val="006C1423"/>
    <w:rsid w:val="006C18E8"/>
    <w:rsid w:val="006C1933"/>
    <w:rsid w:val="006C1F6E"/>
    <w:rsid w:val="006C1F79"/>
    <w:rsid w:val="006C29CE"/>
    <w:rsid w:val="006C2D50"/>
    <w:rsid w:val="006C2E57"/>
    <w:rsid w:val="006C3194"/>
    <w:rsid w:val="006C321B"/>
    <w:rsid w:val="006C34A5"/>
    <w:rsid w:val="006C3BF0"/>
    <w:rsid w:val="006C3C21"/>
    <w:rsid w:val="006C3D4D"/>
    <w:rsid w:val="006C46D3"/>
    <w:rsid w:val="006C49D7"/>
    <w:rsid w:val="006C4C24"/>
    <w:rsid w:val="006C4EBB"/>
    <w:rsid w:val="006C4F94"/>
    <w:rsid w:val="006C518A"/>
    <w:rsid w:val="006C55C5"/>
    <w:rsid w:val="006C5727"/>
    <w:rsid w:val="006C59DA"/>
    <w:rsid w:val="006C5A28"/>
    <w:rsid w:val="006C6152"/>
    <w:rsid w:val="006C65A8"/>
    <w:rsid w:val="006C663D"/>
    <w:rsid w:val="006C67A1"/>
    <w:rsid w:val="006C6AFF"/>
    <w:rsid w:val="006C6E1C"/>
    <w:rsid w:val="006C702B"/>
    <w:rsid w:val="006C731F"/>
    <w:rsid w:val="006C7883"/>
    <w:rsid w:val="006C797F"/>
    <w:rsid w:val="006C7BD5"/>
    <w:rsid w:val="006D0087"/>
    <w:rsid w:val="006D012B"/>
    <w:rsid w:val="006D03FD"/>
    <w:rsid w:val="006D06CD"/>
    <w:rsid w:val="006D0EEB"/>
    <w:rsid w:val="006D14C7"/>
    <w:rsid w:val="006D19C7"/>
    <w:rsid w:val="006D1CE7"/>
    <w:rsid w:val="006D20D6"/>
    <w:rsid w:val="006D2220"/>
    <w:rsid w:val="006D2325"/>
    <w:rsid w:val="006D2459"/>
    <w:rsid w:val="006D2602"/>
    <w:rsid w:val="006D2770"/>
    <w:rsid w:val="006D295C"/>
    <w:rsid w:val="006D2C79"/>
    <w:rsid w:val="006D31D5"/>
    <w:rsid w:val="006D360C"/>
    <w:rsid w:val="006D3817"/>
    <w:rsid w:val="006D4228"/>
    <w:rsid w:val="006D44D3"/>
    <w:rsid w:val="006D465B"/>
    <w:rsid w:val="006D471E"/>
    <w:rsid w:val="006D479E"/>
    <w:rsid w:val="006D4976"/>
    <w:rsid w:val="006D49CD"/>
    <w:rsid w:val="006D4A08"/>
    <w:rsid w:val="006D4BF7"/>
    <w:rsid w:val="006D514F"/>
    <w:rsid w:val="006D5AC9"/>
    <w:rsid w:val="006D6012"/>
    <w:rsid w:val="006D62A0"/>
    <w:rsid w:val="006D62D3"/>
    <w:rsid w:val="006D66ED"/>
    <w:rsid w:val="006D6751"/>
    <w:rsid w:val="006D6B1A"/>
    <w:rsid w:val="006D72B6"/>
    <w:rsid w:val="006D7A65"/>
    <w:rsid w:val="006E0B4A"/>
    <w:rsid w:val="006E0E6A"/>
    <w:rsid w:val="006E0FD7"/>
    <w:rsid w:val="006E101E"/>
    <w:rsid w:val="006E12A5"/>
    <w:rsid w:val="006E172A"/>
    <w:rsid w:val="006E269B"/>
    <w:rsid w:val="006E296E"/>
    <w:rsid w:val="006E2A17"/>
    <w:rsid w:val="006E2DAC"/>
    <w:rsid w:val="006E30BC"/>
    <w:rsid w:val="006E3216"/>
    <w:rsid w:val="006E3228"/>
    <w:rsid w:val="006E33CC"/>
    <w:rsid w:val="006E362F"/>
    <w:rsid w:val="006E3797"/>
    <w:rsid w:val="006E3B92"/>
    <w:rsid w:val="006E3ED5"/>
    <w:rsid w:val="006E4144"/>
    <w:rsid w:val="006E4153"/>
    <w:rsid w:val="006E4267"/>
    <w:rsid w:val="006E42FE"/>
    <w:rsid w:val="006E52F7"/>
    <w:rsid w:val="006E55E2"/>
    <w:rsid w:val="006E59F6"/>
    <w:rsid w:val="006E5D63"/>
    <w:rsid w:val="006E6239"/>
    <w:rsid w:val="006E6878"/>
    <w:rsid w:val="006E6E73"/>
    <w:rsid w:val="006E7234"/>
    <w:rsid w:val="006E786B"/>
    <w:rsid w:val="006E7A48"/>
    <w:rsid w:val="006E7A62"/>
    <w:rsid w:val="006F01B6"/>
    <w:rsid w:val="006F041A"/>
    <w:rsid w:val="006F0897"/>
    <w:rsid w:val="006F0A65"/>
    <w:rsid w:val="006F14DD"/>
    <w:rsid w:val="006F1551"/>
    <w:rsid w:val="006F19D1"/>
    <w:rsid w:val="006F1AD3"/>
    <w:rsid w:val="006F1D1D"/>
    <w:rsid w:val="006F1D66"/>
    <w:rsid w:val="006F1DEE"/>
    <w:rsid w:val="006F1F01"/>
    <w:rsid w:val="006F229E"/>
    <w:rsid w:val="006F30F0"/>
    <w:rsid w:val="006F3239"/>
    <w:rsid w:val="006F35BC"/>
    <w:rsid w:val="006F3648"/>
    <w:rsid w:val="006F393F"/>
    <w:rsid w:val="006F3CC1"/>
    <w:rsid w:val="006F3E81"/>
    <w:rsid w:val="006F43C0"/>
    <w:rsid w:val="006F49B9"/>
    <w:rsid w:val="006F4A1E"/>
    <w:rsid w:val="006F4C98"/>
    <w:rsid w:val="006F4D8E"/>
    <w:rsid w:val="006F517A"/>
    <w:rsid w:val="006F51DA"/>
    <w:rsid w:val="006F55A8"/>
    <w:rsid w:val="006F566D"/>
    <w:rsid w:val="006F5878"/>
    <w:rsid w:val="006F5B88"/>
    <w:rsid w:val="006F5D04"/>
    <w:rsid w:val="006F5E89"/>
    <w:rsid w:val="006F6401"/>
    <w:rsid w:val="006F65EB"/>
    <w:rsid w:val="006F65FE"/>
    <w:rsid w:val="006F69F4"/>
    <w:rsid w:val="006F6A63"/>
    <w:rsid w:val="006F6EEC"/>
    <w:rsid w:val="006F6F8E"/>
    <w:rsid w:val="006F6FE0"/>
    <w:rsid w:val="006F7219"/>
    <w:rsid w:val="006F7804"/>
    <w:rsid w:val="007000C3"/>
    <w:rsid w:val="007002B1"/>
    <w:rsid w:val="0070044D"/>
    <w:rsid w:val="00700A86"/>
    <w:rsid w:val="00700D13"/>
    <w:rsid w:val="0070129D"/>
    <w:rsid w:val="0070162A"/>
    <w:rsid w:val="00701695"/>
    <w:rsid w:val="00701A1A"/>
    <w:rsid w:val="00701A44"/>
    <w:rsid w:val="00701D2A"/>
    <w:rsid w:val="00701FDF"/>
    <w:rsid w:val="00702605"/>
    <w:rsid w:val="00702852"/>
    <w:rsid w:val="007029A6"/>
    <w:rsid w:val="00703126"/>
    <w:rsid w:val="00703128"/>
    <w:rsid w:val="0070338C"/>
    <w:rsid w:val="00703470"/>
    <w:rsid w:val="00703CE5"/>
    <w:rsid w:val="0070420E"/>
    <w:rsid w:val="007045DD"/>
    <w:rsid w:val="00704609"/>
    <w:rsid w:val="00704CAE"/>
    <w:rsid w:val="00704DD7"/>
    <w:rsid w:val="00704EB7"/>
    <w:rsid w:val="00704EC6"/>
    <w:rsid w:val="00705381"/>
    <w:rsid w:val="00705671"/>
    <w:rsid w:val="00705742"/>
    <w:rsid w:val="0070586E"/>
    <w:rsid w:val="0070670E"/>
    <w:rsid w:val="00706BC8"/>
    <w:rsid w:val="00706DD8"/>
    <w:rsid w:val="00706F5E"/>
    <w:rsid w:val="00707153"/>
    <w:rsid w:val="007071FD"/>
    <w:rsid w:val="007073C5"/>
    <w:rsid w:val="007074D5"/>
    <w:rsid w:val="00707A07"/>
    <w:rsid w:val="00707A10"/>
    <w:rsid w:val="00707A95"/>
    <w:rsid w:val="00707E72"/>
    <w:rsid w:val="00710185"/>
    <w:rsid w:val="0071040A"/>
    <w:rsid w:val="007104FE"/>
    <w:rsid w:val="007107C3"/>
    <w:rsid w:val="00710A98"/>
    <w:rsid w:val="00710C43"/>
    <w:rsid w:val="00710C91"/>
    <w:rsid w:val="00710ED7"/>
    <w:rsid w:val="00710EF0"/>
    <w:rsid w:val="00711340"/>
    <w:rsid w:val="007114F8"/>
    <w:rsid w:val="0071156D"/>
    <w:rsid w:val="0071191A"/>
    <w:rsid w:val="00711AC0"/>
    <w:rsid w:val="00711B0C"/>
    <w:rsid w:val="007121A2"/>
    <w:rsid w:val="0071238B"/>
    <w:rsid w:val="0071293D"/>
    <w:rsid w:val="00712967"/>
    <w:rsid w:val="00712BA3"/>
    <w:rsid w:val="00712C7B"/>
    <w:rsid w:val="00712F12"/>
    <w:rsid w:val="00713143"/>
    <w:rsid w:val="00713981"/>
    <w:rsid w:val="00713B5C"/>
    <w:rsid w:val="00713FA6"/>
    <w:rsid w:val="007141E6"/>
    <w:rsid w:val="00714685"/>
    <w:rsid w:val="007146BA"/>
    <w:rsid w:val="00714C7B"/>
    <w:rsid w:val="00714E3C"/>
    <w:rsid w:val="00714F7C"/>
    <w:rsid w:val="00715537"/>
    <w:rsid w:val="00715778"/>
    <w:rsid w:val="00715B56"/>
    <w:rsid w:val="00716533"/>
    <w:rsid w:val="0071669C"/>
    <w:rsid w:val="007167B0"/>
    <w:rsid w:val="00716851"/>
    <w:rsid w:val="00716A5E"/>
    <w:rsid w:val="007175F7"/>
    <w:rsid w:val="007176D6"/>
    <w:rsid w:val="00717703"/>
    <w:rsid w:val="00717777"/>
    <w:rsid w:val="00717823"/>
    <w:rsid w:val="00717D29"/>
    <w:rsid w:val="0071A68D"/>
    <w:rsid w:val="007200AB"/>
    <w:rsid w:val="007200BB"/>
    <w:rsid w:val="007201D1"/>
    <w:rsid w:val="00720B25"/>
    <w:rsid w:val="00720D34"/>
    <w:rsid w:val="00721185"/>
    <w:rsid w:val="0072146E"/>
    <w:rsid w:val="00721C5F"/>
    <w:rsid w:val="00721C69"/>
    <w:rsid w:val="00721E29"/>
    <w:rsid w:val="0072250A"/>
    <w:rsid w:val="007226FE"/>
    <w:rsid w:val="007227DD"/>
    <w:rsid w:val="0072290E"/>
    <w:rsid w:val="0072297E"/>
    <w:rsid w:val="00722B55"/>
    <w:rsid w:val="00722C89"/>
    <w:rsid w:val="00722CAF"/>
    <w:rsid w:val="00723095"/>
    <w:rsid w:val="00723B84"/>
    <w:rsid w:val="0072413B"/>
    <w:rsid w:val="00724168"/>
    <w:rsid w:val="007242D2"/>
    <w:rsid w:val="00724420"/>
    <w:rsid w:val="00724455"/>
    <w:rsid w:val="00724567"/>
    <w:rsid w:val="007248D4"/>
    <w:rsid w:val="0072493F"/>
    <w:rsid w:val="00724B3B"/>
    <w:rsid w:val="00724CAF"/>
    <w:rsid w:val="00724CD5"/>
    <w:rsid w:val="00724EFE"/>
    <w:rsid w:val="007252A4"/>
    <w:rsid w:val="00725DFC"/>
    <w:rsid w:val="00725E99"/>
    <w:rsid w:val="00726035"/>
    <w:rsid w:val="0072609B"/>
    <w:rsid w:val="007262BD"/>
    <w:rsid w:val="00727D54"/>
    <w:rsid w:val="00727E99"/>
    <w:rsid w:val="007303B7"/>
    <w:rsid w:val="007310F0"/>
    <w:rsid w:val="00731111"/>
    <w:rsid w:val="007311A6"/>
    <w:rsid w:val="0073134C"/>
    <w:rsid w:val="00731989"/>
    <w:rsid w:val="00731B6B"/>
    <w:rsid w:val="0073257C"/>
    <w:rsid w:val="00732D5B"/>
    <w:rsid w:val="0073307A"/>
    <w:rsid w:val="00733902"/>
    <w:rsid w:val="00734223"/>
    <w:rsid w:val="007344C5"/>
    <w:rsid w:val="007346BD"/>
    <w:rsid w:val="007347D4"/>
    <w:rsid w:val="00734959"/>
    <w:rsid w:val="00735137"/>
    <w:rsid w:val="0073520D"/>
    <w:rsid w:val="00735608"/>
    <w:rsid w:val="00735992"/>
    <w:rsid w:val="00735F69"/>
    <w:rsid w:val="00735FC5"/>
    <w:rsid w:val="00736250"/>
    <w:rsid w:val="007362FB"/>
    <w:rsid w:val="007363DC"/>
    <w:rsid w:val="00736472"/>
    <w:rsid w:val="00736828"/>
    <w:rsid w:val="00737303"/>
    <w:rsid w:val="0073778D"/>
    <w:rsid w:val="00737FE9"/>
    <w:rsid w:val="0074032A"/>
    <w:rsid w:val="007406FA"/>
    <w:rsid w:val="007407C3"/>
    <w:rsid w:val="007409A4"/>
    <w:rsid w:val="00740EE9"/>
    <w:rsid w:val="00740EF8"/>
    <w:rsid w:val="00740F41"/>
    <w:rsid w:val="00741240"/>
    <w:rsid w:val="007413C1"/>
    <w:rsid w:val="007416B6"/>
    <w:rsid w:val="00741725"/>
    <w:rsid w:val="0074172D"/>
    <w:rsid w:val="007418F0"/>
    <w:rsid w:val="00741D6D"/>
    <w:rsid w:val="00741D98"/>
    <w:rsid w:val="00742156"/>
    <w:rsid w:val="00742763"/>
    <w:rsid w:val="00742A25"/>
    <w:rsid w:val="00742BD2"/>
    <w:rsid w:val="00742E6E"/>
    <w:rsid w:val="0074318D"/>
    <w:rsid w:val="00743D6D"/>
    <w:rsid w:val="00743E2D"/>
    <w:rsid w:val="00744453"/>
    <w:rsid w:val="00744E02"/>
    <w:rsid w:val="0074517C"/>
    <w:rsid w:val="00745214"/>
    <w:rsid w:val="007456A1"/>
    <w:rsid w:val="007458DB"/>
    <w:rsid w:val="00745BCF"/>
    <w:rsid w:val="00745CA5"/>
    <w:rsid w:val="00745E16"/>
    <w:rsid w:val="007462D8"/>
    <w:rsid w:val="007465A6"/>
    <w:rsid w:val="00746741"/>
    <w:rsid w:val="00746863"/>
    <w:rsid w:val="00746B14"/>
    <w:rsid w:val="00746D6B"/>
    <w:rsid w:val="00746F7F"/>
    <w:rsid w:val="0074722F"/>
    <w:rsid w:val="0074753D"/>
    <w:rsid w:val="007477FF"/>
    <w:rsid w:val="00747997"/>
    <w:rsid w:val="00747A8B"/>
    <w:rsid w:val="007506C4"/>
    <w:rsid w:val="007509EF"/>
    <w:rsid w:val="00750EB4"/>
    <w:rsid w:val="0075102A"/>
    <w:rsid w:val="00751299"/>
    <w:rsid w:val="0075166E"/>
    <w:rsid w:val="00751A64"/>
    <w:rsid w:val="00752A10"/>
    <w:rsid w:val="007532F8"/>
    <w:rsid w:val="00753356"/>
    <w:rsid w:val="00753ADD"/>
    <w:rsid w:val="00753CE6"/>
    <w:rsid w:val="00753D6A"/>
    <w:rsid w:val="007544B8"/>
    <w:rsid w:val="00754CA8"/>
    <w:rsid w:val="00755927"/>
    <w:rsid w:val="00755E9D"/>
    <w:rsid w:val="00756071"/>
    <w:rsid w:val="00756596"/>
    <w:rsid w:val="007567B8"/>
    <w:rsid w:val="00756A36"/>
    <w:rsid w:val="00756AB2"/>
    <w:rsid w:val="00756F95"/>
    <w:rsid w:val="007600F8"/>
    <w:rsid w:val="007605E2"/>
    <w:rsid w:val="0076093D"/>
    <w:rsid w:val="00760B04"/>
    <w:rsid w:val="00761237"/>
    <w:rsid w:val="007614D8"/>
    <w:rsid w:val="0076213C"/>
    <w:rsid w:val="00762429"/>
    <w:rsid w:val="00762466"/>
    <w:rsid w:val="007626A6"/>
    <w:rsid w:val="007626B2"/>
    <w:rsid w:val="00763096"/>
    <w:rsid w:val="007633CB"/>
    <w:rsid w:val="007635C0"/>
    <w:rsid w:val="0076369D"/>
    <w:rsid w:val="007637C3"/>
    <w:rsid w:val="007639C1"/>
    <w:rsid w:val="00763A89"/>
    <w:rsid w:val="00764708"/>
    <w:rsid w:val="00764E3F"/>
    <w:rsid w:val="00765011"/>
    <w:rsid w:val="0076516A"/>
    <w:rsid w:val="00765362"/>
    <w:rsid w:val="007657F8"/>
    <w:rsid w:val="00765CD2"/>
    <w:rsid w:val="00765E67"/>
    <w:rsid w:val="00765FF1"/>
    <w:rsid w:val="0076616B"/>
    <w:rsid w:val="00766325"/>
    <w:rsid w:val="0076633B"/>
    <w:rsid w:val="00766429"/>
    <w:rsid w:val="00766454"/>
    <w:rsid w:val="00767104"/>
    <w:rsid w:val="007675FD"/>
    <w:rsid w:val="00767670"/>
    <w:rsid w:val="007678FB"/>
    <w:rsid w:val="00767915"/>
    <w:rsid w:val="00767C41"/>
    <w:rsid w:val="00767FA1"/>
    <w:rsid w:val="00770145"/>
    <w:rsid w:val="00770150"/>
    <w:rsid w:val="007701C6"/>
    <w:rsid w:val="0077050D"/>
    <w:rsid w:val="00770BE2"/>
    <w:rsid w:val="007710C5"/>
    <w:rsid w:val="007711EC"/>
    <w:rsid w:val="007713E5"/>
    <w:rsid w:val="007713FC"/>
    <w:rsid w:val="007715D7"/>
    <w:rsid w:val="00771628"/>
    <w:rsid w:val="0077172B"/>
    <w:rsid w:val="00771782"/>
    <w:rsid w:val="00771BA3"/>
    <w:rsid w:val="00771BF1"/>
    <w:rsid w:val="00771DF0"/>
    <w:rsid w:val="00772C6F"/>
    <w:rsid w:val="00773107"/>
    <w:rsid w:val="00773178"/>
    <w:rsid w:val="007733D8"/>
    <w:rsid w:val="0077347F"/>
    <w:rsid w:val="00773546"/>
    <w:rsid w:val="00773AC2"/>
    <w:rsid w:val="00773BCE"/>
    <w:rsid w:val="00773C64"/>
    <w:rsid w:val="007746B1"/>
    <w:rsid w:val="007748DC"/>
    <w:rsid w:val="0077498B"/>
    <w:rsid w:val="00774B37"/>
    <w:rsid w:val="0077557E"/>
    <w:rsid w:val="00775A56"/>
    <w:rsid w:val="00776311"/>
    <w:rsid w:val="0077661E"/>
    <w:rsid w:val="007767A1"/>
    <w:rsid w:val="007767E2"/>
    <w:rsid w:val="007768CF"/>
    <w:rsid w:val="00776987"/>
    <w:rsid w:val="00776A9A"/>
    <w:rsid w:val="00776B0C"/>
    <w:rsid w:val="00776C3D"/>
    <w:rsid w:val="00776D5F"/>
    <w:rsid w:val="00776EBD"/>
    <w:rsid w:val="00776F6D"/>
    <w:rsid w:val="00777218"/>
    <w:rsid w:val="007779AF"/>
    <w:rsid w:val="00777EB1"/>
    <w:rsid w:val="00777F08"/>
    <w:rsid w:val="007800B5"/>
    <w:rsid w:val="007801F0"/>
    <w:rsid w:val="00780226"/>
    <w:rsid w:val="00780787"/>
    <w:rsid w:val="007807C4"/>
    <w:rsid w:val="0078119D"/>
    <w:rsid w:val="00781938"/>
    <w:rsid w:val="00781AB4"/>
    <w:rsid w:val="00781B94"/>
    <w:rsid w:val="00781C99"/>
    <w:rsid w:val="00781DA4"/>
    <w:rsid w:val="0078217D"/>
    <w:rsid w:val="0078240D"/>
    <w:rsid w:val="007827FC"/>
    <w:rsid w:val="00782801"/>
    <w:rsid w:val="00782A22"/>
    <w:rsid w:val="00782FFD"/>
    <w:rsid w:val="00783067"/>
    <w:rsid w:val="007833B9"/>
    <w:rsid w:val="007833E4"/>
    <w:rsid w:val="00783544"/>
    <w:rsid w:val="007837A6"/>
    <w:rsid w:val="00783AA3"/>
    <w:rsid w:val="007840FA"/>
    <w:rsid w:val="0078499D"/>
    <w:rsid w:val="00784AF7"/>
    <w:rsid w:val="00784E6F"/>
    <w:rsid w:val="00784EDD"/>
    <w:rsid w:val="007850D4"/>
    <w:rsid w:val="00785A27"/>
    <w:rsid w:val="00785BE6"/>
    <w:rsid w:val="00785FFD"/>
    <w:rsid w:val="00786209"/>
    <w:rsid w:val="00786716"/>
    <w:rsid w:val="0078697A"/>
    <w:rsid w:val="00786997"/>
    <w:rsid w:val="007869EE"/>
    <w:rsid w:val="00786FB1"/>
    <w:rsid w:val="00787238"/>
    <w:rsid w:val="0078761C"/>
    <w:rsid w:val="00787965"/>
    <w:rsid w:val="0079088F"/>
    <w:rsid w:val="00790BE0"/>
    <w:rsid w:val="00790CCE"/>
    <w:rsid w:val="00790E51"/>
    <w:rsid w:val="0079109F"/>
    <w:rsid w:val="007910BE"/>
    <w:rsid w:val="0079143F"/>
    <w:rsid w:val="007918E3"/>
    <w:rsid w:val="00791A77"/>
    <w:rsid w:val="00791C47"/>
    <w:rsid w:val="0079231E"/>
    <w:rsid w:val="007923B7"/>
    <w:rsid w:val="00792533"/>
    <w:rsid w:val="00792616"/>
    <w:rsid w:val="007926BB"/>
    <w:rsid w:val="00792C63"/>
    <w:rsid w:val="00792C7A"/>
    <w:rsid w:val="00792DAE"/>
    <w:rsid w:val="00792E1E"/>
    <w:rsid w:val="00792EE4"/>
    <w:rsid w:val="00793367"/>
    <w:rsid w:val="0079344C"/>
    <w:rsid w:val="00793491"/>
    <w:rsid w:val="007937E5"/>
    <w:rsid w:val="00793A5F"/>
    <w:rsid w:val="00794017"/>
    <w:rsid w:val="007942EC"/>
    <w:rsid w:val="007944FE"/>
    <w:rsid w:val="00794620"/>
    <w:rsid w:val="00794E54"/>
    <w:rsid w:val="00795061"/>
    <w:rsid w:val="00795152"/>
    <w:rsid w:val="00795856"/>
    <w:rsid w:val="00795E31"/>
    <w:rsid w:val="00795E85"/>
    <w:rsid w:val="00795E8C"/>
    <w:rsid w:val="00795F51"/>
    <w:rsid w:val="007961A9"/>
    <w:rsid w:val="00796602"/>
    <w:rsid w:val="00796727"/>
    <w:rsid w:val="0079677B"/>
    <w:rsid w:val="007968AE"/>
    <w:rsid w:val="00796994"/>
    <w:rsid w:val="00796F95"/>
    <w:rsid w:val="007978DC"/>
    <w:rsid w:val="00797B95"/>
    <w:rsid w:val="00797F07"/>
    <w:rsid w:val="007A00BE"/>
    <w:rsid w:val="007A019F"/>
    <w:rsid w:val="007A0283"/>
    <w:rsid w:val="007A037D"/>
    <w:rsid w:val="007A043B"/>
    <w:rsid w:val="007A05E0"/>
    <w:rsid w:val="007A07A6"/>
    <w:rsid w:val="007A0AC5"/>
    <w:rsid w:val="007A0C61"/>
    <w:rsid w:val="007A0C89"/>
    <w:rsid w:val="007A0F6F"/>
    <w:rsid w:val="007A115A"/>
    <w:rsid w:val="007A21B3"/>
    <w:rsid w:val="007A2D4A"/>
    <w:rsid w:val="007A374D"/>
    <w:rsid w:val="007A3DD9"/>
    <w:rsid w:val="007A3EDF"/>
    <w:rsid w:val="007A3F59"/>
    <w:rsid w:val="007A42D1"/>
    <w:rsid w:val="007A4590"/>
    <w:rsid w:val="007A4893"/>
    <w:rsid w:val="007A503F"/>
    <w:rsid w:val="007A5400"/>
    <w:rsid w:val="007A5643"/>
    <w:rsid w:val="007A5B82"/>
    <w:rsid w:val="007A5C85"/>
    <w:rsid w:val="007A5DFD"/>
    <w:rsid w:val="007A6061"/>
    <w:rsid w:val="007A610E"/>
    <w:rsid w:val="007A627A"/>
    <w:rsid w:val="007A698A"/>
    <w:rsid w:val="007A73E4"/>
    <w:rsid w:val="007A7767"/>
    <w:rsid w:val="007A78BB"/>
    <w:rsid w:val="007A7C50"/>
    <w:rsid w:val="007B0010"/>
    <w:rsid w:val="007B04DF"/>
    <w:rsid w:val="007B04ED"/>
    <w:rsid w:val="007B0B59"/>
    <w:rsid w:val="007B0DBB"/>
    <w:rsid w:val="007B13A9"/>
    <w:rsid w:val="007B1475"/>
    <w:rsid w:val="007B20FF"/>
    <w:rsid w:val="007B2175"/>
    <w:rsid w:val="007B24EC"/>
    <w:rsid w:val="007B26F9"/>
    <w:rsid w:val="007B28A7"/>
    <w:rsid w:val="007B2C12"/>
    <w:rsid w:val="007B346B"/>
    <w:rsid w:val="007B3471"/>
    <w:rsid w:val="007B36C7"/>
    <w:rsid w:val="007B394E"/>
    <w:rsid w:val="007B39D5"/>
    <w:rsid w:val="007B39F9"/>
    <w:rsid w:val="007B3C6A"/>
    <w:rsid w:val="007B4150"/>
    <w:rsid w:val="007B484F"/>
    <w:rsid w:val="007B49E2"/>
    <w:rsid w:val="007B4A9F"/>
    <w:rsid w:val="007B4C48"/>
    <w:rsid w:val="007B4DEF"/>
    <w:rsid w:val="007B5053"/>
    <w:rsid w:val="007B56F1"/>
    <w:rsid w:val="007B5C50"/>
    <w:rsid w:val="007B6239"/>
    <w:rsid w:val="007B62BC"/>
    <w:rsid w:val="007B6426"/>
    <w:rsid w:val="007B652F"/>
    <w:rsid w:val="007B6578"/>
    <w:rsid w:val="007B67D4"/>
    <w:rsid w:val="007B6EEC"/>
    <w:rsid w:val="007B73DB"/>
    <w:rsid w:val="007B7513"/>
    <w:rsid w:val="007B78ED"/>
    <w:rsid w:val="007B7A3C"/>
    <w:rsid w:val="007BEC95"/>
    <w:rsid w:val="007C0116"/>
    <w:rsid w:val="007C023C"/>
    <w:rsid w:val="007C02C7"/>
    <w:rsid w:val="007C03DA"/>
    <w:rsid w:val="007C0A24"/>
    <w:rsid w:val="007C0B18"/>
    <w:rsid w:val="007C103E"/>
    <w:rsid w:val="007C12B5"/>
    <w:rsid w:val="007C14CF"/>
    <w:rsid w:val="007C1518"/>
    <w:rsid w:val="007C19DE"/>
    <w:rsid w:val="007C1A30"/>
    <w:rsid w:val="007C1B05"/>
    <w:rsid w:val="007C207F"/>
    <w:rsid w:val="007C21EE"/>
    <w:rsid w:val="007C2272"/>
    <w:rsid w:val="007C24D5"/>
    <w:rsid w:val="007C25F6"/>
    <w:rsid w:val="007C2E04"/>
    <w:rsid w:val="007C30A2"/>
    <w:rsid w:val="007C327D"/>
    <w:rsid w:val="007C3415"/>
    <w:rsid w:val="007C3430"/>
    <w:rsid w:val="007C3FA0"/>
    <w:rsid w:val="007C4215"/>
    <w:rsid w:val="007C4682"/>
    <w:rsid w:val="007C4716"/>
    <w:rsid w:val="007C4E40"/>
    <w:rsid w:val="007C5022"/>
    <w:rsid w:val="007C512F"/>
    <w:rsid w:val="007C513E"/>
    <w:rsid w:val="007C54E3"/>
    <w:rsid w:val="007C55DF"/>
    <w:rsid w:val="007C57FE"/>
    <w:rsid w:val="007C5A14"/>
    <w:rsid w:val="007C5BAC"/>
    <w:rsid w:val="007C5BC0"/>
    <w:rsid w:val="007C5C08"/>
    <w:rsid w:val="007C63BF"/>
    <w:rsid w:val="007C692A"/>
    <w:rsid w:val="007C6943"/>
    <w:rsid w:val="007C6BE3"/>
    <w:rsid w:val="007C6E64"/>
    <w:rsid w:val="007C70A5"/>
    <w:rsid w:val="007C793A"/>
    <w:rsid w:val="007C7A55"/>
    <w:rsid w:val="007C7CF0"/>
    <w:rsid w:val="007C7F72"/>
    <w:rsid w:val="007D066B"/>
    <w:rsid w:val="007D0ADD"/>
    <w:rsid w:val="007D10D5"/>
    <w:rsid w:val="007D1361"/>
    <w:rsid w:val="007D164F"/>
    <w:rsid w:val="007D1C35"/>
    <w:rsid w:val="007D2075"/>
    <w:rsid w:val="007D251D"/>
    <w:rsid w:val="007D260B"/>
    <w:rsid w:val="007D2779"/>
    <w:rsid w:val="007D3044"/>
    <w:rsid w:val="007D3103"/>
    <w:rsid w:val="007D318C"/>
    <w:rsid w:val="007D3234"/>
    <w:rsid w:val="007D37BD"/>
    <w:rsid w:val="007D39C5"/>
    <w:rsid w:val="007D3A2E"/>
    <w:rsid w:val="007D3A69"/>
    <w:rsid w:val="007D3F01"/>
    <w:rsid w:val="007D495D"/>
    <w:rsid w:val="007D49EA"/>
    <w:rsid w:val="007D4A08"/>
    <w:rsid w:val="007D525C"/>
    <w:rsid w:val="007D56F7"/>
    <w:rsid w:val="007D5F11"/>
    <w:rsid w:val="007D6108"/>
    <w:rsid w:val="007D6146"/>
    <w:rsid w:val="007D6652"/>
    <w:rsid w:val="007D6BB7"/>
    <w:rsid w:val="007D72DB"/>
    <w:rsid w:val="007D7D99"/>
    <w:rsid w:val="007E05F0"/>
    <w:rsid w:val="007E0742"/>
    <w:rsid w:val="007E0747"/>
    <w:rsid w:val="007E07A7"/>
    <w:rsid w:val="007E088B"/>
    <w:rsid w:val="007E155A"/>
    <w:rsid w:val="007E1DB4"/>
    <w:rsid w:val="007E27EE"/>
    <w:rsid w:val="007E2A2A"/>
    <w:rsid w:val="007E2B58"/>
    <w:rsid w:val="007E2BF6"/>
    <w:rsid w:val="007E2C92"/>
    <w:rsid w:val="007E343D"/>
    <w:rsid w:val="007E344A"/>
    <w:rsid w:val="007E36F4"/>
    <w:rsid w:val="007E38EB"/>
    <w:rsid w:val="007E395F"/>
    <w:rsid w:val="007E4317"/>
    <w:rsid w:val="007E46FF"/>
    <w:rsid w:val="007E47F3"/>
    <w:rsid w:val="007E484B"/>
    <w:rsid w:val="007E5256"/>
    <w:rsid w:val="007E53E0"/>
    <w:rsid w:val="007E58D7"/>
    <w:rsid w:val="007E62BF"/>
    <w:rsid w:val="007E640F"/>
    <w:rsid w:val="007E6D23"/>
    <w:rsid w:val="007E74BF"/>
    <w:rsid w:val="007E7742"/>
    <w:rsid w:val="007E7994"/>
    <w:rsid w:val="007E7BF1"/>
    <w:rsid w:val="007ED27E"/>
    <w:rsid w:val="007F0862"/>
    <w:rsid w:val="007F08F5"/>
    <w:rsid w:val="007F0CAC"/>
    <w:rsid w:val="007F0E31"/>
    <w:rsid w:val="007F108E"/>
    <w:rsid w:val="007F10A3"/>
    <w:rsid w:val="007F115E"/>
    <w:rsid w:val="007F13CE"/>
    <w:rsid w:val="007F185C"/>
    <w:rsid w:val="007F1A73"/>
    <w:rsid w:val="007F1C7C"/>
    <w:rsid w:val="007F1D77"/>
    <w:rsid w:val="007F202B"/>
    <w:rsid w:val="007F2255"/>
    <w:rsid w:val="007F2C48"/>
    <w:rsid w:val="007F2EE5"/>
    <w:rsid w:val="007F2FA3"/>
    <w:rsid w:val="007F3060"/>
    <w:rsid w:val="007F3071"/>
    <w:rsid w:val="007F3175"/>
    <w:rsid w:val="007F327D"/>
    <w:rsid w:val="007F3568"/>
    <w:rsid w:val="007F3935"/>
    <w:rsid w:val="007F3C8C"/>
    <w:rsid w:val="007F4383"/>
    <w:rsid w:val="007F4526"/>
    <w:rsid w:val="007F4A82"/>
    <w:rsid w:val="007F4DE7"/>
    <w:rsid w:val="007F4FDE"/>
    <w:rsid w:val="007F4FE2"/>
    <w:rsid w:val="007F521A"/>
    <w:rsid w:val="007F5316"/>
    <w:rsid w:val="007F57BC"/>
    <w:rsid w:val="007F5A72"/>
    <w:rsid w:val="007F5FED"/>
    <w:rsid w:val="007F6132"/>
    <w:rsid w:val="007F6783"/>
    <w:rsid w:val="007F6826"/>
    <w:rsid w:val="007F6C21"/>
    <w:rsid w:val="007F6D4C"/>
    <w:rsid w:val="007F7018"/>
    <w:rsid w:val="007F737C"/>
    <w:rsid w:val="0080048F"/>
    <w:rsid w:val="00800985"/>
    <w:rsid w:val="00800AF3"/>
    <w:rsid w:val="00800B63"/>
    <w:rsid w:val="00800F9E"/>
    <w:rsid w:val="0080145E"/>
    <w:rsid w:val="00801601"/>
    <w:rsid w:val="008016F1"/>
    <w:rsid w:val="00801A0F"/>
    <w:rsid w:val="00801DED"/>
    <w:rsid w:val="00801F5B"/>
    <w:rsid w:val="008028E5"/>
    <w:rsid w:val="008028FF"/>
    <w:rsid w:val="00802DC6"/>
    <w:rsid w:val="00803354"/>
    <w:rsid w:val="00803755"/>
    <w:rsid w:val="00803770"/>
    <w:rsid w:val="00803EE8"/>
    <w:rsid w:val="008041E9"/>
    <w:rsid w:val="00804308"/>
    <w:rsid w:val="008044F1"/>
    <w:rsid w:val="00804643"/>
    <w:rsid w:val="008046DB"/>
    <w:rsid w:val="00804734"/>
    <w:rsid w:val="0080481F"/>
    <w:rsid w:val="00804A70"/>
    <w:rsid w:val="00804C29"/>
    <w:rsid w:val="008056A3"/>
    <w:rsid w:val="008057A3"/>
    <w:rsid w:val="00805AD4"/>
    <w:rsid w:val="00805BB6"/>
    <w:rsid w:val="00805BFF"/>
    <w:rsid w:val="00806293"/>
    <w:rsid w:val="008063CA"/>
    <w:rsid w:val="00806491"/>
    <w:rsid w:val="008074C9"/>
    <w:rsid w:val="008074DE"/>
    <w:rsid w:val="008079A2"/>
    <w:rsid w:val="008104FC"/>
    <w:rsid w:val="0081064F"/>
    <w:rsid w:val="0081077B"/>
    <w:rsid w:val="00810890"/>
    <w:rsid w:val="00810991"/>
    <w:rsid w:val="00810BC0"/>
    <w:rsid w:val="00810C14"/>
    <w:rsid w:val="00810C32"/>
    <w:rsid w:val="0081137B"/>
    <w:rsid w:val="00811A30"/>
    <w:rsid w:val="00811D93"/>
    <w:rsid w:val="0081213E"/>
    <w:rsid w:val="00812279"/>
    <w:rsid w:val="0081262F"/>
    <w:rsid w:val="008126CF"/>
    <w:rsid w:val="008127F6"/>
    <w:rsid w:val="00812AA2"/>
    <w:rsid w:val="00812CD4"/>
    <w:rsid w:val="00812DB8"/>
    <w:rsid w:val="00812DDF"/>
    <w:rsid w:val="00812F4B"/>
    <w:rsid w:val="00813851"/>
    <w:rsid w:val="0081386F"/>
    <w:rsid w:val="00813AFB"/>
    <w:rsid w:val="00813DAF"/>
    <w:rsid w:val="008146F8"/>
    <w:rsid w:val="00814758"/>
    <w:rsid w:val="00814A9B"/>
    <w:rsid w:val="00814F66"/>
    <w:rsid w:val="00814FBF"/>
    <w:rsid w:val="008150F8"/>
    <w:rsid w:val="008152A4"/>
    <w:rsid w:val="008152AB"/>
    <w:rsid w:val="00815C60"/>
    <w:rsid w:val="00815F4B"/>
    <w:rsid w:val="008163A4"/>
    <w:rsid w:val="0081691B"/>
    <w:rsid w:val="00816C27"/>
    <w:rsid w:val="00816FB5"/>
    <w:rsid w:val="00817690"/>
    <w:rsid w:val="00817BA2"/>
    <w:rsid w:val="00817C9E"/>
    <w:rsid w:val="00817E24"/>
    <w:rsid w:val="00817F3D"/>
    <w:rsid w:val="00817FB6"/>
    <w:rsid w:val="008202F8"/>
    <w:rsid w:val="008205AF"/>
    <w:rsid w:val="008205BD"/>
    <w:rsid w:val="00820E30"/>
    <w:rsid w:val="0082199C"/>
    <w:rsid w:val="00821CD3"/>
    <w:rsid w:val="00821E69"/>
    <w:rsid w:val="008220D7"/>
    <w:rsid w:val="008223E3"/>
    <w:rsid w:val="008225E5"/>
    <w:rsid w:val="00822892"/>
    <w:rsid w:val="008229F3"/>
    <w:rsid w:val="00822DFD"/>
    <w:rsid w:val="0082305A"/>
    <w:rsid w:val="0082310E"/>
    <w:rsid w:val="0082331A"/>
    <w:rsid w:val="00824053"/>
    <w:rsid w:val="0082413E"/>
    <w:rsid w:val="008246EF"/>
    <w:rsid w:val="00824750"/>
    <w:rsid w:val="00824A1C"/>
    <w:rsid w:val="00824A2A"/>
    <w:rsid w:val="00825509"/>
    <w:rsid w:val="008256B9"/>
    <w:rsid w:val="00825835"/>
    <w:rsid w:val="00825D60"/>
    <w:rsid w:val="00826609"/>
    <w:rsid w:val="00826A92"/>
    <w:rsid w:val="00826B94"/>
    <w:rsid w:val="00826C37"/>
    <w:rsid w:val="00826E34"/>
    <w:rsid w:val="008270BF"/>
    <w:rsid w:val="008270DB"/>
    <w:rsid w:val="00827FB3"/>
    <w:rsid w:val="008300CF"/>
    <w:rsid w:val="0083020B"/>
    <w:rsid w:val="008303E6"/>
    <w:rsid w:val="00830F28"/>
    <w:rsid w:val="0083103A"/>
    <w:rsid w:val="00831043"/>
    <w:rsid w:val="00831053"/>
    <w:rsid w:val="008314D2"/>
    <w:rsid w:val="00831529"/>
    <w:rsid w:val="0083193C"/>
    <w:rsid w:val="00831AA6"/>
    <w:rsid w:val="008322A0"/>
    <w:rsid w:val="008322C0"/>
    <w:rsid w:val="0083254D"/>
    <w:rsid w:val="0083299C"/>
    <w:rsid w:val="00832A62"/>
    <w:rsid w:val="00832ED8"/>
    <w:rsid w:val="00833197"/>
    <w:rsid w:val="00833307"/>
    <w:rsid w:val="0083332D"/>
    <w:rsid w:val="0083386B"/>
    <w:rsid w:val="00833E35"/>
    <w:rsid w:val="00833FFA"/>
    <w:rsid w:val="00834162"/>
    <w:rsid w:val="00834588"/>
    <w:rsid w:val="00835348"/>
    <w:rsid w:val="008359D7"/>
    <w:rsid w:val="00835BD4"/>
    <w:rsid w:val="00835D9D"/>
    <w:rsid w:val="00836249"/>
    <w:rsid w:val="0083696D"/>
    <w:rsid w:val="00836B99"/>
    <w:rsid w:val="00836F00"/>
    <w:rsid w:val="008373CE"/>
    <w:rsid w:val="00837471"/>
    <w:rsid w:val="00837739"/>
    <w:rsid w:val="00840002"/>
    <w:rsid w:val="008402F9"/>
    <w:rsid w:val="0084054F"/>
    <w:rsid w:val="0084083E"/>
    <w:rsid w:val="00840C1F"/>
    <w:rsid w:val="0084139E"/>
    <w:rsid w:val="00841467"/>
    <w:rsid w:val="00841908"/>
    <w:rsid w:val="008419DA"/>
    <w:rsid w:val="0084224A"/>
    <w:rsid w:val="0084274C"/>
    <w:rsid w:val="00842C50"/>
    <w:rsid w:val="00842D7F"/>
    <w:rsid w:val="008434D7"/>
    <w:rsid w:val="00843977"/>
    <w:rsid w:val="00843BBE"/>
    <w:rsid w:val="00843E13"/>
    <w:rsid w:val="008443DB"/>
    <w:rsid w:val="008443E1"/>
    <w:rsid w:val="008443F7"/>
    <w:rsid w:val="00844ACC"/>
    <w:rsid w:val="00844BE7"/>
    <w:rsid w:val="00844C67"/>
    <w:rsid w:val="00844E66"/>
    <w:rsid w:val="00845098"/>
    <w:rsid w:val="0084556D"/>
    <w:rsid w:val="00845A8D"/>
    <w:rsid w:val="00845AF3"/>
    <w:rsid w:val="00845C1F"/>
    <w:rsid w:val="00846189"/>
    <w:rsid w:val="00846192"/>
    <w:rsid w:val="008462B2"/>
    <w:rsid w:val="008468E0"/>
    <w:rsid w:val="0084693D"/>
    <w:rsid w:val="00846A19"/>
    <w:rsid w:val="00846ACC"/>
    <w:rsid w:val="00846B4E"/>
    <w:rsid w:val="00846E17"/>
    <w:rsid w:val="0084712B"/>
    <w:rsid w:val="00847520"/>
    <w:rsid w:val="00847ED0"/>
    <w:rsid w:val="00850806"/>
    <w:rsid w:val="008510F2"/>
    <w:rsid w:val="00851270"/>
    <w:rsid w:val="00851564"/>
    <w:rsid w:val="00851892"/>
    <w:rsid w:val="0085242D"/>
    <w:rsid w:val="00852A99"/>
    <w:rsid w:val="00852FB5"/>
    <w:rsid w:val="0085331D"/>
    <w:rsid w:val="008533AD"/>
    <w:rsid w:val="00853530"/>
    <w:rsid w:val="008537C3"/>
    <w:rsid w:val="00853F6E"/>
    <w:rsid w:val="00854135"/>
    <w:rsid w:val="0085450D"/>
    <w:rsid w:val="0085469D"/>
    <w:rsid w:val="008547EA"/>
    <w:rsid w:val="00854971"/>
    <w:rsid w:val="008549DA"/>
    <w:rsid w:val="00854AF2"/>
    <w:rsid w:val="00854D5E"/>
    <w:rsid w:val="008550E6"/>
    <w:rsid w:val="008552B7"/>
    <w:rsid w:val="00855400"/>
    <w:rsid w:val="0085564E"/>
    <w:rsid w:val="0085570A"/>
    <w:rsid w:val="0085580A"/>
    <w:rsid w:val="008558B1"/>
    <w:rsid w:val="00855903"/>
    <w:rsid w:val="00855AB9"/>
    <w:rsid w:val="00855C4E"/>
    <w:rsid w:val="00855CAF"/>
    <w:rsid w:val="00855D93"/>
    <w:rsid w:val="00855DAF"/>
    <w:rsid w:val="0085684E"/>
    <w:rsid w:val="00856A1B"/>
    <w:rsid w:val="00856C87"/>
    <w:rsid w:val="00857406"/>
    <w:rsid w:val="0085745F"/>
    <w:rsid w:val="00857723"/>
    <w:rsid w:val="008577CD"/>
    <w:rsid w:val="00857BDA"/>
    <w:rsid w:val="00857FAA"/>
    <w:rsid w:val="0085DF4C"/>
    <w:rsid w:val="00860701"/>
    <w:rsid w:val="00860CF3"/>
    <w:rsid w:val="0086194D"/>
    <w:rsid w:val="00861956"/>
    <w:rsid w:val="0086212F"/>
    <w:rsid w:val="008621C3"/>
    <w:rsid w:val="00862231"/>
    <w:rsid w:val="00862671"/>
    <w:rsid w:val="00862896"/>
    <w:rsid w:val="008629A8"/>
    <w:rsid w:val="0086334B"/>
    <w:rsid w:val="00863447"/>
    <w:rsid w:val="008634CA"/>
    <w:rsid w:val="008637AB"/>
    <w:rsid w:val="00863AED"/>
    <w:rsid w:val="0086472D"/>
    <w:rsid w:val="008649A8"/>
    <w:rsid w:val="00864AC1"/>
    <w:rsid w:val="00864FB9"/>
    <w:rsid w:val="00865486"/>
    <w:rsid w:val="0086569D"/>
    <w:rsid w:val="00865931"/>
    <w:rsid w:val="00865997"/>
    <w:rsid w:val="00865A41"/>
    <w:rsid w:val="00865BC6"/>
    <w:rsid w:val="00866CE3"/>
    <w:rsid w:val="00866E5C"/>
    <w:rsid w:val="0086726A"/>
    <w:rsid w:val="008679C4"/>
    <w:rsid w:val="00867B17"/>
    <w:rsid w:val="00867B8F"/>
    <w:rsid w:val="00870CD4"/>
    <w:rsid w:val="00870CDF"/>
    <w:rsid w:val="00870F30"/>
    <w:rsid w:val="00871143"/>
    <w:rsid w:val="0087185A"/>
    <w:rsid w:val="00871F49"/>
    <w:rsid w:val="00872012"/>
    <w:rsid w:val="00872089"/>
    <w:rsid w:val="008720ED"/>
    <w:rsid w:val="0087274E"/>
    <w:rsid w:val="008728B0"/>
    <w:rsid w:val="0087292D"/>
    <w:rsid w:val="00872BB4"/>
    <w:rsid w:val="00872C9D"/>
    <w:rsid w:val="00872EF2"/>
    <w:rsid w:val="00873A07"/>
    <w:rsid w:val="00873ABD"/>
    <w:rsid w:val="00873DEC"/>
    <w:rsid w:val="00874188"/>
    <w:rsid w:val="00874AAA"/>
    <w:rsid w:val="00874D11"/>
    <w:rsid w:val="00874EEF"/>
    <w:rsid w:val="00875499"/>
    <w:rsid w:val="00875586"/>
    <w:rsid w:val="0087598D"/>
    <w:rsid w:val="00875B4F"/>
    <w:rsid w:val="00875BF6"/>
    <w:rsid w:val="0087626B"/>
    <w:rsid w:val="00876275"/>
    <w:rsid w:val="008765A5"/>
    <w:rsid w:val="0087667E"/>
    <w:rsid w:val="00876A9E"/>
    <w:rsid w:val="00876CF0"/>
    <w:rsid w:val="00876D56"/>
    <w:rsid w:val="00877BFE"/>
    <w:rsid w:val="00877C2D"/>
    <w:rsid w:val="00877E62"/>
    <w:rsid w:val="00877EA2"/>
    <w:rsid w:val="00880451"/>
    <w:rsid w:val="00880AB1"/>
    <w:rsid w:val="00880B2D"/>
    <w:rsid w:val="00880C24"/>
    <w:rsid w:val="00880D58"/>
    <w:rsid w:val="008815B5"/>
    <w:rsid w:val="0088187C"/>
    <w:rsid w:val="008819C9"/>
    <w:rsid w:val="00881DE0"/>
    <w:rsid w:val="00882208"/>
    <w:rsid w:val="00882518"/>
    <w:rsid w:val="008827B0"/>
    <w:rsid w:val="00882B99"/>
    <w:rsid w:val="00882CBB"/>
    <w:rsid w:val="00882D89"/>
    <w:rsid w:val="00882DE1"/>
    <w:rsid w:val="00883938"/>
    <w:rsid w:val="00883B28"/>
    <w:rsid w:val="008841A9"/>
    <w:rsid w:val="008842E3"/>
    <w:rsid w:val="00884481"/>
    <w:rsid w:val="00884F70"/>
    <w:rsid w:val="0088510C"/>
    <w:rsid w:val="008854FD"/>
    <w:rsid w:val="0088574C"/>
    <w:rsid w:val="008857AB"/>
    <w:rsid w:val="008859C8"/>
    <w:rsid w:val="008859FA"/>
    <w:rsid w:val="00885E25"/>
    <w:rsid w:val="00886121"/>
    <w:rsid w:val="00886BAF"/>
    <w:rsid w:val="00886DE0"/>
    <w:rsid w:val="00886E09"/>
    <w:rsid w:val="00887276"/>
    <w:rsid w:val="008876CA"/>
    <w:rsid w:val="0088773B"/>
    <w:rsid w:val="00887EE7"/>
    <w:rsid w:val="008900E7"/>
    <w:rsid w:val="00890682"/>
    <w:rsid w:val="008907FC"/>
    <w:rsid w:val="00890EF4"/>
    <w:rsid w:val="008911C8"/>
    <w:rsid w:val="008916A3"/>
    <w:rsid w:val="008916B9"/>
    <w:rsid w:val="0089179D"/>
    <w:rsid w:val="008924B3"/>
    <w:rsid w:val="00892552"/>
    <w:rsid w:val="00892665"/>
    <w:rsid w:val="008929FD"/>
    <w:rsid w:val="00892CE9"/>
    <w:rsid w:val="00892E6E"/>
    <w:rsid w:val="00892ED8"/>
    <w:rsid w:val="00893303"/>
    <w:rsid w:val="00893392"/>
    <w:rsid w:val="0089355B"/>
    <w:rsid w:val="008935BE"/>
    <w:rsid w:val="00893662"/>
    <w:rsid w:val="00893C24"/>
    <w:rsid w:val="00893CA3"/>
    <w:rsid w:val="008948B2"/>
    <w:rsid w:val="0089514B"/>
    <w:rsid w:val="0089529A"/>
    <w:rsid w:val="008952F6"/>
    <w:rsid w:val="008956C4"/>
    <w:rsid w:val="00896407"/>
    <w:rsid w:val="008965FB"/>
    <w:rsid w:val="00896757"/>
    <w:rsid w:val="00896809"/>
    <w:rsid w:val="008969A9"/>
    <w:rsid w:val="00896A1D"/>
    <w:rsid w:val="008971D3"/>
    <w:rsid w:val="00897B98"/>
    <w:rsid w:val="00897BCB"/>
    <w:rsid w:val="00897C22"/>
    <w:rsid w:val="00897DCE"/>
    <w:rsid w:val="00897E05"/>
    <w:rsid w:val="00898C89"/>
    <w:rsid w:val="008A0483"/>
    <w:rsid w:val="008A0AFD"/>
    <w:rsid w:val="008A0BA9"/>
    <w:rsid w:val="008A0CEE"/>
    <w:rsid w:val="008A1152"/>
    <w:rsid w:val="008A16B0"/>
    <w:rsid w:val="008A1B40"/>
    <w:rsid w:val="008A1C60"/>
    <w:rsid w:val="008A1F5C"/>
    <w:rsid w:val="008A20C3"/>
    <w:rsid w:val="008A2692"/>
    <w:rsid w:val="008A295B"/>
    <w:rsid w:val="008A2AB4"/>
    <w:rsid w:val="008A2AC9"/>
    <w:rsid w:val="008A3F24"/>
    <w:rsid w:val="008A4109"/>
    <w:rsid w:val="008A494E"/>
    <w:rsid w:val="008A49CB"/>
    <w:rsid w:val="008A4CA5"/>
    <w:rsid w:val="008A4D32"/>
    <w:rsid w:val="008A535F"/>
    <w:rsid w:val="008A5DD7"/>
    <w:rsid w:val="008A625F"/>
    <w:rsid w:val="008A63BA"/>
    <w:rsid w:val="008A6604"/>
    <w:rsid w:val="008A6CD0"/>
    <w:rsid w:val="008A7094"/>
    <w:rsid w:val="008A7262"/>
    <w:rsid w:val="008A76E7"/>
    <w:rsid w:val="008A775B"/>
    <w:rsid w:val="008B037D"/>
    <w:rsid w:val="008B0BCF"/>
    <w:rsid w:val="008B0DF7"/>
    <w:rsid w:val="008B1707"/>
    <w:rsid w:val="008B1987"/>
    <w:rsid w:val="008B1EFE"/>
    <w:rsid w:val="008B1FF5"/>
    <w:rsid w:val="008B2779"/>
    <w:rsid w:val="008B2E78"/>
    <w:rsid w:val="008B30C0"/>
    <w:rsid w:val="008B31AC"/>
    <w:rsid w:val="008B3539"/>
    <w:rsid w:val="008B3BDD"/>
    <w:rsid w:val="008B3D42"/>
    <w:rsid w:val="008B3E80"/>
    <w:rsid w:val="008B3F27"/>
    <w:rsid w:val="008B4B58"/>
    <w:rsid w:val="008B4E8B"/>
    <w:rsid w:val="008B4F45"/>
    <w:rsid w:val="008B5357"/>
    <w:rsid w:val="008B53F3"/>
    <w:rsid w:val="008B541B"/>
    <w:rsid w:val="008B5482"/>
    <w:rsid w:val="008B5778"/>
    <w:rsid w:val="008B582B"/>
    <w:rsid w:val="008B5C37"/>
    <w:rsid w:val="008B6046"/>
    <w:rsid w:val="008B6542"/>
    <w:rsid w:val="008B66A6"/>
    <w:rsid w:val="008B66F6"/>
    <w:rsid w:val="008B670A"/>
    <w:rsid w:val="008B6765"/>
    <w:rsid w:val="008B6F0C"/>
    <w:rsid w:val="008B7245"/>
    <w:rsid w:val="008B763B"/>
    <w:rsid w:val="008B7852"/>
    <w:rsid w:val="008B788D"/>
    <w:rsid w:val="008B7DC4"/>
    <w:rsid w:val="008C04F6"/>
    <w:rsid w:val="008C055D"/>
    <w:rsid w:val="008C06B6"/>
    <w:rsid w:val="008C0732"/>
    <w:rsid w:val="008C0B9C"/>
    <w:rsid w:val="008C10FB"/>
    <w:rsid w:val="008C11F4"/>
    <w:rsid w:val="008C1286"/>
    <w:rsid w:val="008C13B9"/>
    <w:rsid w:val="008C181B"/>
    <w:rsid w:val="008C1B23"/>
    <w:rsid w:val="008C1BE0"/>
    <w:rsid w:val="008C2166"/>
    <w:rsid w:val="008C22BE"/>
    <w:rsid w:val="008C2599"/>
    <w:rsid w:val="008C26C0"/>
    <w:rsid w:val="008C2BEC"/>
    <w:rsid w:val="008C2D33"/>
    <w:rsid w:val="008C39EB"/>
    <w:rsid w:val="008C3B06"/>
    <w:rsid w:val="008C3BAA"/>
    <w:rsid w:val="008C406F"/>
    <w:rsid w:val="008C4371"/>
    <w:rsid w:val="008C4922"/>
    <w:rsid w:val="008C4BD7"/>
    <w:rsid w:val="008C4C83"/>
    <w:rsid w:val="008C4D68"/>
    <w:rsid w:val="008C5BD3"/>
    <w:rsid w:val="008C5F0A"/>
    <w:rsid w:val="008C6310"/>
    <w:rsid w:val="008C635E"/>
    <w:rsid w:val="008C64DA"/>
    <w:rsid w:val="008C6523"/>
    <w:rsid w:val="008C693A"/>
    <w:rsid w:val="008C69C7"/>
    <w:rsid w:val="008C6A9F"/>
    <w:rsid w:val="008C6C69"/>
    <w:rsid w:val="008C6D0E"/>
    <w:rsid w:val="008C6EED"/>
    <w:rsid w:val="008C72F1"/>
    <w:rsid w:val="008C739E"/>
    <w:rsid w:val="008C777B"/>
    <w:rsid w:val="008C77D0"/>
    <w:rsid w:val="008C79BC"/>
    <w:rsid w:val="008C79ED"/>
    <w:rsid w:val="008C7E4E"/>
    <w:rsid w:val="008D060F"/>
    <w:rsid w:val="008D0822"/>
    <w:rsid w:val="008D09D2"/>
    <w:rsid w:val="008D1281"/>
    <w:rsid w:val="008D13ED"/>
    <w:rsid w:val="008D19EA"/>
    <w:rsid w:val="008D1C83"/>
    <w:rsid w:val="008D1CA6"/>
    <w:rsid w:val="008D1E0F"/>
    <w:rsid w:val="008D2089"/>
    <w:rsid w:val="008D27D4"/>
    <w:rsid w:val="008D2839"/>
    <w:rsid w:val="008D2D72"/>
    <w:rsid w:val="008D3331"/>
    <w:rsid w:val="008D33F1"/>
    <w:rsid w:val="008D39C5"/>
    <w:rsid w:val="008D39FB"/>
    <w:rsid w:val="008D3A4C"/>
    <w:rsid w:val="008D3D38"/>
    <w:rsid w:val="008D3EC8"/>
    <w:rsid w:val="008D4262"/>
    <w:rsid w:val="008D46D9"/>
    <w:rsid w:val="008D4757"/>
    <w:rsid w:val="008D493F"/>
    <w:rsid w:val="008D4B60"/>
    <w:rsid w:val="008D4C03"/>
    <w:rsid w:val="008D52BB"/>
    <w:rsid w:val="008D552C"/>
    <w:rsid w:val="008D55A8"/>
    <w:rsid w:val="008D55E6"/>
    <w:rsid w:val="008D563E"/>
    <w:rsid w:val="008D5710"/>
    <w:rsid w:val="008D59D0"/>
    <w:rsid w:val="008D5BC3"/>
    <w:rsid w:val="008D5F4D"/>
    <w:rsid w:val="008D60A5"/>
    <w:rsid w:val="008D624E"/>
    <w:rsid w:val="008D6DD5"/>
    <w:rsid w:val="008D7398"/>
    <w:rsid w:val="008D7455"/>
    <w:rsid w:val="008D78EC"/>
    <w:rsid w:val="008D7968"/>
    <w:rsid w:val="008D7AE4"/>
    <w:rsid w:val="008D7C46"/>
    <w:rsid w:val="008D7D9A"/>
    <w:rsid w:val="008D7E12"/>
    <w:rsid w:val="008E00B0"/>
    <w:rsid w:val="008E035F"/>
    <w:rsid w:val="008E0587"/>
    <w:rsid w:val="008E0742"/>
    <w:rsid w:val="008E09D5"/>
    <w:rsid w:val="008E0B8D"/>
    <w:rsid w:val="008E0F94"/>
    <w:rsid w:val="008E1054"/>
    <w:rsid w:val="008E13E5"/>
    <w:rsid w:val="008E13FC"/>
    <w:rsid w:val="008E149D"/>
    <w:rsid w:val="008E165A"/>
    <w:rsid w:val="008E167C"/>
    <w:rsid w:val="008E1778"/>
    <w:rsid w:val="008E180F"/>
    <w:rsid w:val="008E1D89"/>
    <w:rsid w:val="008E1F52"/>
    <w:rsid w:val="008E24A6"/>
    <w:rsid w:val="008E26D4"/>
    <w:rsid w:val="008E2D5C"/>
    <w:rsid w:val="008E31ED"/>
    <w:rsid w:val="008E3561"/>
    <w:rsid w:val="008E3902"/>
    <w:rsid w:val="008E395F"/>
    <w:rsid w:val="008E3E3E"/>
    <w:rsid w:val="008E4E0C"/>
    <w:rsid w:val="008E54CE"/>
    <w:rsid w:val="008E570A"/>
    <w:rsid w:val="008E593D"/>
    <w:rsid w:val="008E5973"/>
    <w:rsid w:val="008E5984"/>
    <w:rsid w:val="008E5A52"/>
    <w:rsid w:val="008E5A91"/>
    <w:rsid w:val="008E5E90"/>
    <w:rsid w:val="008E62B5"/>
    <w:rsid w:val="008E649B"/>
    <w:rsid w:val="008E6567"/>
    <w:rsid w:val="008E65C7"/>
    <w:rsid w:val="008E6B17"/>
    <w:rsid w:val="008E6E78"/>
    <w:rsid w:val="008E7555"/>
    <w:rsid w:val="008E7571"/>
    <w:rsid w:val="008E76D0"/>
    <w:rsid w:val="008E7C1C"/>
    <w:rsid w:val="008E7D31"/>
    <w:rsid w:val="008E7E45"/>
    <w:rsid w:val="008F022E"/>
    <w:rsid w:val="008F06D9"/>
    <w:rsid w:val="008F083C"/>
    <w:rsid w:val="008F0CC2"/>
    <w:rsid w:val="008F0DD5"/>
    <w:rsid w:val="008F0F1F"/>
    <w:rsid w:val="008F1DB8"/>
    <w:rsid w:val="008F1DDA"/>
    <w:rsid w:val="008F23A0"/>
    <w:rsid w:val="008F2907"/>
    <w:rsid w:val="008F29CC"/>
    <w:rsid w:val="008F2AD7"/>
    <w:rsid w:val="008F2F64"/>
    <w:rsid w:val="008F3619"/>
    <w:rsid w:val="008F416B"/>
    <w:rsid w:val="008F426E"/>
    <w:rsid w:val="008F4643"/>
    <w:rsid w:val="008F49A4"/>
    <w:rsid w:val="008F4FBE"/>
    <w:rsid w:val="008F5247"/>
    <w:rsid w:val="008F5404"/>
    <w:rsid w:val="008F57B9"/>
    <w:rsid w:val="008F5A3C"/>
    <w:rsid w:val="008F5DE4"/>
    <w:rsid w:val="008F5F87"/>
    <w:rsid w:val="008F632E"/>
    <w:rsid w:val="008F6501"/>
    <w:rsid w:val="008F67E7"/>
    <w:rsid w:val="008F6A8A"/>
    <w:rsid w:val="008F74B0"/>
    <w:rsid w:val="008F76AA"/>
    <w:rsid w:val="008F7C15"/>
    <w:rsid w:val="009003A7"/>
    <w:rsid w:val="00900A34"/>
    <w:rsid w:val="00900B84"/>
    <w:rsid w:val="009012B2"/>
    <w:rsid w:val="0090136A"/>
    <w:rsid w:val="0090158E"/>
    <w:rsid w:val="009015A4"/>
    <w:rsid w:val="00901984"/>
    <w:rsid w:val="00901B58"/>
    <w:rsid w:val="0090222E"/>
    <w:rsid w:val="00902876"/>
    <w:rsid w:val="00902B8A"/>
    <w:rsid w:val="00902D86"/>
    <w:rsid w:val="00902DBA"/>
    <w:rsid w:val="00902FA1"/>
    <w:rsid w:val="00903043"/>
    <w:rsid w:val="0090307C"/>
    <w:rsid w:val="009036A7"/>
    <w:rsid w:val="009036DE"/>
    <w:rsid w:val="009036E8"/>
    <w:rsid w:val="00903C67"/>
    <w:rsid w:val="00903E6F"/>
    <w:rsid w:val="00904051"/>
    <w:rsid w:val="0090478E"/>
    <w:rsid w:val="00904968"/>
    <w:rsid w:val="00904AD0"/>
    <w:rsid w:val="00904EA1"/>
    <w:rsid w:val="00905072"/>
    <w:rsid w:val="00905DB7"/>
    <w:rsid w:val="009060D5"/>
    <w:rsid w:val="009066B4"/>
    <w:rsid w:val="00906BF8"/>
    <w:rsid w:val="00907036"/>
    <w:rsid w:val="00907073"/>
    <w:rsid w:val="00907AC7"/>
    <w:rsid w:val="009104DC"/>
    <w:rsid w:val="00910A26"/>
    <w:rsid w:val="00910EA6"/>
    <w:rsid w:val="00911233"/>
    <w:rsid w:val="009112AA"/>
    <w:rsid w:val="009114A3"/>
    <w:rsid w:val="009115D4"/>
    <w:rsid w:val="00911813"/>
    <w:rsid w:val="00911930"/>
    <w:rsid w:val="00911D97"/>
    <w:rsid w:val="00911FBA"/>
    <w:rsid w:val="009122FA"/>
    <w:rsid w:val="00912A5A"/>
    <w:rsid w:val="00912AA9"/>
    <w:rsid w:val="00912C16"/>
    <w:rsid w:val="00912EDD"/>
    <w:rsid w:val="009130D6"/>
    <w:rsid w:val="0091334D"/>
    <w:rsid w:val="00913D0D"/>
    <w:rsid w:val="009149A7"/>
    <w:rsid w:val="00914AC3"/>
    <w:rsid w:val="00914F62"/>
    <w:rsid w:val="009159EC"/>
    <w:rsid w:val="00915E28"/>
    <w:rsid w:val="00915F48"/>
    <w:rsid w:val="00915F6E"/>
    <w:rsid w:val="00916194"/>
    <w:rsid w:val="0091624D"/>
    <w:rsid w:val="00916B55"/>
    <w:rsid w:val="00916BD7"/>
    <w:rsid w:val="00916F00"/>
    <w:rsid w:val="009171EC"/>
    <w:rsid w:val="0091795F"/>
    <w:rsid w:val="00917A5A"/>
    <w:rsid w:val="00917B2F"/>
    <w:rsid w:val="00917D27"/>
    <w:rsid w:val="0092053E"/>
    <w:rsid w:val="009205CE"/>
    <w:rsid w:val="0092083C"/>
    <w:rsid w:val="009208F5"/>
    <w:rsid w:val="00920909"/>
    <w:rsid w:val="00920C36"/>
    <w:rsid w:val="00920F37"/>
    <w:rsid w:val="0092120B"/>
    <w:rsid w:val="0092129F"/>
    <w:rsid w:val="0092153B"/>
    <w:rsid w:val="0092197D"/>
    <w:rsid w:val="00921A17"/>
    <w:rsid w:val="00921B94"/>
    <w:rsid w:val="00922272"/>
    <w:rsid w:val="009222CD"/>
    <w:rsid w:val="00922307"/>
    <w:rsid w:val="009224D9"/>
    <w:rsid w:val="00922909"/>
    <w:rsid w:val="00922BE2"/>
    <w:rsid w:val="009235C3"/>
    <w:rsid w:val="00923D8D"/>
    <w:rsid w:val="009240D0"/>
    <w:rsid w:val="00924522"/>
    <w:rsid w:val="00924667"/>
    <w:rsid w:val="00924B1C"/>
    <w:rsid w:val="00924D42"/>
    <w:rsid w:val="00925126"/>
    <w:rsid w:val="00925590"/>
    <w:rsid w:val="009255AC"/>
    <w:rsid w:val="00925A6D"/>
    <w:rsid w:val="00925CC8"/>
    <w:rsid w:val="00926115"/>
    <w:rsid w:val="00926204"/>
    <w:rsid w:val="00926258"/>
    <w:rsid w:val="00926292"/>
    <w:rsid w:val="0092652A"/>
    <w:rsid w:val="0092653E"/>
    <w:rsid w:val="00927090"/>
    <w:rsid w:val="009275AB"/>
    <w:rsid w:val="009278F2"/>
    <w:rsid w:val="00927934"/>
    <w:rsid w:val="00927982"/>
    <w:rsid w:val="00927AF7"/>
    <w:rsid w:val="00927CD5"/>
    <w:rsid w:val="00927D51"/>
    <w:rsid w:val="00927F64"/>
    <w:rsid w:val="00930D19"/>
    <w:rsid w:val="00931649"/>
    <w:rsid w:val="00931859"/>
    <w:rsid w:val="009319F3"/>
    <w:rsid w:val="00931BBA"/>
    <w:rsid w:val="00932272"/>
    <w:rsid w:val="009323E7"/>
    <w:rsid w:val="00932862"/>
    <w:rsid w:val="009330E2"/>
    <w:rsid w:val="00933132"/>
    <w:rsid w:val="00933185"/>
    <w:rsid w:val="00933FF7"/>
    <w:rsid w:val="009340AE"/>
    <w:rsid w:val="00934AB2"/>
    <w:rsid w:val="00934BBD"/>
    <w:rsid w:val="0093540D"/>
    <w:rsid w:val="0093553B"/>
    <w:rsid w:val="009356F1"/>
    <w:rsid w:val="00935ABC"/>
    <w:rsid w:val="00935D60"/>
    <w:rsid w:val="00935E2D"/>
    <w:rsid w:val="00936166"/>
    <w:rsid w:val="009361B9"/>
    <w:rsid w:val="009365DA"/>
    <w:rsid w:val="00936931"/>
    <w:rsid w:val="00937627"/>
    <w:rsid w:val="00937DFB"/>
    <w:rsid w:val="009401B9"/>
    <w:rsid w:val="0094036B"/>
    <w:rsid w:val="009403FB"/>
    <w:rsid w:val="00940555"/>
    <w:rsid w:val="0094083F"/>
    <w:rsid w:val="0094096D"/>
    <w:rsid w:val="00940A98"/>
    <w:rsid w:val="009410DF"/>
    <w:rsid w:val="0094111B"/>
    <w:rsid w:val="00941611"/>
    <w:rsid w:val="00941694"/>
    <w:rsid w:val="00941AD5"/>
    <w:rsid w:val="00941CFB"/>
    <w:rsid w:val="00941EF7"/>
    <w:rsid w:val="009422F1"/>
    <w:rsid w:val="009426B1"/>
    <w:rsid w:val="00942ADB"/>
    <w:rsid w:val="00943262"/>
    <w:rsid w:val="00943535"/>
    <w:rsid w:val="00943682"/>
    <w:rsid w:val="009437B3"/>
    <w:rsid w:val="00943AEC"/>
    <w:rsid w:val="009443D0"/>
    <w:rsid w:val="009446C0"/>
    <w:rsid w:val="009447BB"/>
    <w:rsid w:val="00944938"/>
    <w:rsid w:val="00944966"/>
    <w:rsid w:val="00944A83"/>
    <w:rsid w:val="00944BB7"/>
    <w:rsid w:val="00944C48"/>
    <w:rsid w:val="00944F31"/>
    <w:rsid w:val="00944FED"/>
    <w:rsid w:val="0094577C"/>
    <w:rsid w:val="009457D7"/>
    <w:rsid w:val="00945908"/>
    <w:rsid w:val="00946335"/>
    <w:rsid w:val="00946596"/>
    <w:rsid w:val="009467F4"/>
    <w:rsid w:val="009468AE"/>
    <w:rsid w:val="00946B1D"/>
    <w:rsid w:val="00946CC4"/>
    <w:rsid w:val="00947591"/>
    <w:rsid w:val="00947997"/>
    <w:rsid w:val="00947B24"/>
    <w:rsid w:val="00947CC1"/>
    <w:rsid w:val="00947DA7"/>
    <w:rsid w:val="00947EF0"/>
    <w:rsid w:val="009504BC"/>
    <w:rsid w:val="009508C1"/>
    <w:rsid w:val="00950B13"/>
    <w:rsid w:val="0095134E"/>
    <w:rsid w:val="009513C4"/>
    <w:rsid w:val="0095162C"/>
    <w:rsid w:val="00952052"/>
    <w:rsid w:val="0095251B"/>
    <w:rsid w:val="00953068"/>
    <w:rsid w:val="009531C6"/>
    <w:rsid w:val="00953437"/>
    <w:rsid w:val="00953636"/>
    <w:rsid w:val="00953CFD"/>
    <w:rsid w:val="00953D14"/>
    <w:rsid w:val="00954112"/>
    <w:rsid w:val="0095438C"/>
    <w:rsid w:val="00954722"/>
    <w:rsid w:val="00954989"/>
    <w:rsid w:val="00954A3F"/>
    <w:rsid w:val="00954FDF"/>
    <w:rsid w:val="0095545B"/>
    <w:rsid w:val="0095574B"/>
    <w:rsid w:val="00955B12"/>
    <w:rsid w:val="00955E55"/>
    <w:rsid w:val="00955F1B"/>
    <w:rsid w:val="00955FCA"/>
    <w:rsid w:val="009565BF"/>
    <w:rsid w:val="00956807"/>
    <w:rsid w:val="0095687B"/>
    <w:rsid w:val="00956970"/>
    <w:rsid w:val="00956B1A"/>
    <w:rsid w:val="00956CDD"/>
    <w:rsid w:val="00957915"/>
    <w:rsid w:val="0095794C"/>
    <w:rsid w:val="00957AFC"/>
    <w:rsid w:val="00960ABA"/>
    <w:rsid w:val="00960B23"/>
    <w:rsid w:val="00960CF3"/>
    <w:rsid w:val="0096123F"/>
    <w:rsid w:val="00961240"/>
    <w:rsid w:val="00961CC6"/>
    <w:rsid w:val="00961F08"/>
    <w:rsid w:val="00962200"/>
    <w:rsid w:val="009626EB"/>
    <w:rsid w:val="00962727"/>
    <w:rsid w:val="009627FF"/>
    <w:rsid w:val="00962EC7"/>
    <w:rsid w:val="00962F48"/>
    <w:rsid w:val="009630A1"/>
    <w:rsid w:val="00963581"/>
    <w:rsid w:val="00963C2E"/>
    <w:rsid w:val="00963D02"/>
    <w:rsid w:val="00963F09"/>
    <w:rsid w:val="0096415E"/>
    <w:rsid w:val="00964692"/>
    <w:rsid w:val="009648FD"/>
    <w:rsid w:val="00964BB0"/>
    <w:rsid w:val="009653F0"/>
    <w:rsid w:val="00965B4B"/>
    <w:rsid w:val="00965DF1"/>
    <w:rsid w:val="00965E72"/>
    <w:rsid w:val="009661A3"/>
    <w:rsid w:val="00966609"/>
    <w:rsid w:val="0096695B"/>
    <w:rsid w:val="00966A94"/>
    <w:rsid w:val="00966AC3"/>
    <w:rsid w:val="00966F54"/>
    <w:rsid w:val="00967278"/>
    <w:rsid w:val="0096772D"/>
    <w:rsid w:val="00967946"/>
    <w:rsid w:val="009679E5"/>
    <w:rsid w:val="00967AD4"/>
    <w:rsid w:val="00967B97"/>
    <w:rsid w:val="00967C46"/>
    <w:rsid w:val="00967DA9"/>
    <w:rsid w:val="00967E3C"/>
    <w:rsid w:val="00967E79"/>
    <w:rsid w:val="009700E5"/>
    <w:rsid w:val="00970426"/>
    <w:rsid w:val="0097145F"/>
    <w:rsid w:val="0097160F"/>
    <w:rsid w:val="009717C1"/>
    <w:rsid w:val="00971B03"/>
    <w:rsid w:val="00971FE9"/>
    <w:rsid w:val="0097211B"/>
    <w:rsid w:val="009724EC"/>
    <w:rsid w:val="00972B3B"/>
    <w:rsid w:val="00972DFD"/>
    <w:rsid w:val="009733D4"/>
    <w:rsid w:val="00973425"/>
    <w:rsid w:val="009735D0"/>
    <w:rsid w:val="00973916"/>
    <w:rsid w:val="0097396C"/>
    <w:rsid w:val="00973A37"/>
    <w:rsid w:val="0097422C"/>
    <w:rsid w:val="00974C8D"/>
    <w:rsid w:val="00974F19"/>
    <w:rsid w:val="009759F1"/>
    <w:rsid w:val="00975A93"/>
    <w:rsid w:val="00975D7A"/>
    <w:rsid w:val="00975E61"/>
    <w:rsid w:val="00976006"/>
    <w:rsid w:val="00976154"/>
    <w:rsid w:val="00976C69"/>
    <w:rsid w:val="00976E31"/>
    <w:rsid w:val="009771F6"/>
    <w:rsid w:val="00977233"/>
    <w:rsid w:val="00977254"/>
    <w:rsid w:val="00977724"/>
    <w:rsid w:val="00977B57"/>
    <w:rsid w:val="00977BC2"/>
    <w:rsid w:val="00977BEF"/>
    <w:rsid w:val="00977C63"/>
    <w:rsid w:val="00980087"/>
    <w:rsid w:val="0098096C"/>
    <w:rsid w:val="009809C3"/>
    <w:rsid w:val="00980A19"/>
    <w:rsid w:val="00980BA8"/>
    <w:rsid w:val="00980C0B"/>
    <w:rsid w:val="00980E20"/>
    <w:rsid w:val="00980FF8"/>
    <w:rsid w:val="00981207"/>
    <w:rsid w:val="0098135D"/>
    <w:rsid w:val="00981431"/>
    <w:rsid w:val="00981706"/>
    <w:rsid w:val="00981708"/>
    <w:rsid w:val="00981FBF"/>
    <w:rsid w:val="00982710"/>
    <w:rsid w:val="00982718"/>
    <w:rsid w:val="00982995"/>
    <w:rsid w:val="00982AD1"/>
    <w:rsid w:val="00982BC7"/>
    <w:rsid w:val="00982CC3"/>
    <w:rsid w:val="00982D3A"/>
    <w:rsid w:val="00982F56"/>
    <w:rsid w:val="00982FB2"/>
    <w:rsid w:val="0098315B"/>
    <w:rsid w:val="009831FD"/>
    <w:rsid w:val="009832EE"/>
    <w:rsid w:val="00983311"/>
    <w:rsid w:val="009833CF"/>
    <w:rsid w:val="00983459"/>
    <w:rsid w:val="0098367B"/>
    <w:rsid w:val="00984042"/>
    <w:rsid w:val="00984229"/>
    <w:rsid w:val="0098422D"/>
    <w:rsid w:val="0098430F"/>
    <w:rsid w:val="00984473"/>
    <w:rsid w:val="00984507"/>
    <w:rsid w:val="00984784"/>
    <w:rsid w:val="00984DCF"/>
    <w:rsid w:val="0098524F"/>
    <w:rsid w:val="0098525B"/>
    <w:rsid w:val="0098568B"/>
    <w:rsid w:val="00985825"/>
    <w:rsid w:val="00985A80"/>
    <w:rsid w:val="00985EA3"/>
    <w:rsid w:val="00985EC4"/>
    <w:rsid w:val="00985ECD"/>
    <w:rsid w:val="00985F76"/>
    <w:rsid w:val="00985FDA"/>
    <w:rsid w:val="009860B1"/>
    <w:rsid w:val="00986270"/>
    <w:rsid w:val="009864DA"/>
    <w:rsid w:val="00986A14"/>
    <w:rsid w:val="00986A49"/>
    <w:rsid w:val="00986CB3"/>
    <w:rsid w:val="00987207"/>
    <w:rsid w:val="00987673"/>
    <w:rsid w:val="009879E0"/>
    <w:rsid w:val="00987ABE"/>
    <w:rsid w:val="00987C4F"/>
    <w:rsid w:val="00987E3C"/>
    <w:rsid w:val="00987F5E"/>
    <w:rsid w:val="00988931"/>
    <w:rsid w:val="00990157"/>
    <w:rsid w:val="009906C7"/>
    <w:rsid w:val="00990F45"/>
    <w:rsid w:val="009911A1"/>
    <w:rsid w:val="00991BDE"/>
    <w:rsid w:val="00991FC3"/>
    <w:rsid w:val="00992631"/>
    <w:rsid w:val="00992FF4"/>
    <w:rsid w:val="0099319F"/>
    <w:rsid w:val="00993239"/>
    <w:rsid w:val="00993717"/>
    <w:rsid w:val="00993AFE"/>
    <w:rsid w:val="00993C80"/>
    <w:rsid w:val="00993CCA"/>
    <w:rsid w:val="00994035"/>
    <w:rsid w:val="00994074"/>
    <w:rsid w:val="0099456A"/>
    <w:rsid w:val="00994A94"/>
    <w:rsid w:val="00994AE3"/>
    <w:rsid w:val="00994C16"/>
    <w:rsid w:val="00995162"/>
    <w:rsid w:val="009951E9"/>
    <w:rsid w:val="0099539B"/>
    <w:rsid w:val="00995A44"/>
    <w:rsid w:val="00995F8C"/>
    <w:rsid w:val="0099608C"/>
    <w:rsid w:val="0099630F"/>
    <w:rsid w:val="009963CD"/>
    <w:rsid w:val="0099654B"/>
    <w:rsid w:val="009966F1"/>
    <w:rsid w:val="0099680D"/>
    <w:rsid w:val="0099684E"/>
    <w:rsid w:val="00997924"/>
    <w:rsid w:val="009979EF"/>
    <w:rsid w:val="00997E0D"/>
    <w:rsid w:val="00997F49"/>
    <w:rsid w:val="009A0298"/>
    <w:rsid w:val="009A03EC"/>
    <w:rsid w:val="009A0502"/>
    <w:rsid w:val="009A089D"/>
    <w:rsid w:val="009A0FD9"/>
    <w:rsid w:val="009A1159"/>
    <w:rsid w:val="009A1463"/>
    <w:rsid w:val="009A188B"/>
    <w:rsid w:val="009A197F"/>
    <w:rsid w:val="009A1B50"/>
    <w:rsid w:val="009A1F25"/>
    <w:rsid w:val="009A2984"/>
    <w:rsid w:val="009A29FB"/>
    <w:rsid w:val="009A2C6B"/>
    <w:rsid w:val="009A371A"/>
    <w:rsid w:val="009A4505"/>
    <w:rsid w:val="009A4607"/>
    <w:rsid w:val="009A4CCA"/>
    <w:rsid w:val="009A5337"/>
    <w:rsid w:val="009A5423"/>
    <w:rsid w:val="009A54EA"/>
    <w:rsid w:val="009A5620"/>
    <w:rsid w:val="009A5698"/>
    <w:rsid w:val="009A5C97"/>
    <w:rsid w:val="009A5DAC"/>
    <w:rsid w:val="009A601D"/>
    <w:rsid w:val="009A6034"/>
    <w:rsid w:val="009A61E6"/>
    <w:rsid w:val="009A62DA"/>
    <w:rsid w:val="009A65DE"/>
    <w:rsid w:val="009A6B8C"/>
    <w:rsid w:val="009A744F"/>
    <w:rsid w:val="009A790B"/>
    <w:rsid w:val="009A7BDC"/>
    <w:rsid w:val="009A7D56"/>
    <w:rsid w:val="009B04DF"/>
    <w:rsid w:val="009B073F"/>
    <w:rsid w:val="009B09EA"/>
    <w:rsid w:val="009B0C4B"/>
    <w:rsid w:val="009B0E86"/>
    <w:rsid w:val="009B0FA8"/>
    <w:rsid w:val="009B1622"/>
    <w:rsid w:val="009B1950"/>
    <w:rsid w:val="009B1A90"/>
    <w:rsid w:val="009B1D0D"/>
    <w:rsid w:val="009B266D"/>
    <w:rsid w:val="009B2A19"/>
    <w:rsid w:val="009B2A39"/>
    <w:rsid w:val="009B2C25"/>
    <w:rsid w:val="009B2CA4"/>
    <w:rsid w:val="009B30B2"/>
    <w:rsid w:val="009B4061"/>
    <w:rsid w:val="009B4397"/>
    <w:rsid w:val="009B4606"/>
    <w:rsid w:val="009B461E"/>
    <w:rsid w:val="009B48E8"/>
    <w:rsid w:val="009B4CDA"/>
    <w:rsid w:val="009B569E"/>
    <w:rsid w:val="009B5BDF"/>
    <w:rsid w:val="009B5CA2"/>
    <w:rsid w:val="009B5CBF"/>
    <w:rsid w:val="009B5EEE"/>
    <w:rsid w:val="009B6046"/>
    <w:rsid w:val="009B6154"/>
    <w:rsid w:val="009B634F"/>
    <w:rsid w:val="009B6779"/>
    <w:rsid w:val="009B6A73"/>
    <w:rsid w:val="009B6B6D"/>
    <w:rsid w:val="009B6C7E"/>
    <w:rsid w:val="009B7844"/>
    <w:rsid w:val="009B7880"/>
    <w:rsid w:val="009B794D"/>
    <w:rsid w:val="009B79D4"/>
    <w:rsid w:val="009B7BCA"/>
    <w:rsid w:val="009B7F5E"/>
    <w:rsid w:val="009C031A"/>
    <w:rsid w:val="009C03CA"/>
    <w:rsid w:val="009C046D"/>
    <w:rsid w:val="009C0620"/>
    <w:rsid w:val="009C0D05"/>
    <w:rsid w:val="009C0DFD"/>
    <w:rsid w:val="009C0E4C"/>
    <w:rsid w:val="009C1104"/>
    <w:rsid w:val="009C12BA"/>
    <w:rsid w:val="009C1515"/>
    <w:rsid w:val="009C177E"/>
    <w:rsid w:val="009C184A"/>
    <w:rsid w:val="009C1F3F"/>
    <w:rsid w:val="009C2526"/>
    <w:rsid w:val="009C2634"/>
    <w:rsid w:val="009C26EA"/>
    <w:rsid w:val="009C2CA5"/>
    <w:rsid w:val="009C2F70"/>
    <w:rsid w:val="009C3123"/>
    <w:rsid w:val="009C32E0"/>
    <w:rsid w:val="009C32FD"/>
    <w:rsid w:val="009C3405"/>
    <w:rsid w:val="009C3B10"/>
    <w:rsid w:val="009C3BEC"/>
    <w:rsid w:val="009C3D26"/>
    <w:rsid w:val="009C3DF0"/>
    <w:rsid w:val="009C3EB1"/>
    <w:rsid w:val="009C4B79"/>
    <w:rsid w:val="009C5243"/>
    <w:rsid w:val="009C5502"/>
    <w:rsid w:val="009C5735"/>
    <w:rsid w:val="009C5BC6"/>
    <w:rsid w:val="009C6082"/>
    <w:rsid w:val="009C6441"/>
    <w:rsid w:val="009C6B7D"/>
    <w:rsid w:val="009C7092"/>
    <w:rsid w:val="009C75CB"/>
    <w:rsid w:val="009D006D"/>
    <w:rsid w:val="009D0F63"/>
    <w:rsid w:val="009D164E"/>
    <w:rsid w:val="009D1784"/>
    <w:rsid w:val="009D1E46"/>
    <w:rsid w:val="009D1FC5"/>
    <w:rsid w:val="009D251D"/>
    <w:rsid w:val="009D2647"/>
    <w:rsid w:val="009D27CA"/>
    <w:rsid w:val="009D2948"/>
    <w:rsid w:val="009D2A47"/>
    <w:rsid w:val="009D35B5"/>
    <w:rsid w:val="009D35EA"/>
    <w:rsid w:val="009D394E"/>
    <w:rsid w:val="009D39F8"/>
    <w:rsid w:val="009D3E45"/>
    <w:rsid w:val="009D3F33"/>
    <w:rsid w:val="009D475F"/>
    <w:rsid w:val="009D4A9D"/>
    <w:rsid w:val="009D4B14"/>
    <w:rsid w:val="009D4DFE"/>
    <w:rsid w:val="009D56DF"/>
    <w:rsid w:val="009D571D"/>
    <w:rsid w:val="009D5876"/>
    <w:rsid w:val="009D5ADA"/>
    <w:rsid w:val="009D5D3F"/>
    <w:rsid w:val="009D5D8A"/>
    <w:rsid w:val="009D5E0A"/>
    <w:rsid w:val="009D693F"/>
    <w:rsid w:val="009D6E83"/>
    <w:rsid w:val="009D70C1"/>
    <w:rsid w:val="009D751D"/>
    <w:rsid w:val="009D7BE1"/>
    <w:rsid w:val="009D7BE4"/>
    <w:rsid w:val="009E026F"/>
    <w:rsid w:val="009E0276"/>
    <w:rsid w:val="009E0560"/>
    <w:rsid w:val="009E07D7"/>
    <w:rsid w:val="009E0C88"/>
    <w:rsid w:val="009E10CF"/>
    <w:rsid w:val="009E10EA"/>
    <w:rsid w:val="009E113A"/>
    <w:rsid w:val="009E11B7"/>
    <w:rsid w:val="009E1367"/>
    <w:rsid w:val="009E13DA"/>
    <w:rsid w:val="009E166E"/>
    <w:rsid w:val="009E19B8"/>
    <w:rsid w:val="009E2065"/>
    <w:rsid w:val="009E22AC"/>
    <w:rsid w:val="009E2B37"/>
    <w:rsid w:val="009E2BBB"/>
    <w:rsid w:val="009E2E08"/>
    <w:rsid w:val="009E2E39"/>
    <w:rsid w:val="009E3133"/>
    <w:rsid w:val="009E3417"/>
    <w:rsid w:val="009E3446"/>
    <w:rsid w:val="009E362A"/>
    <w:rsid w:val="009E3922"/>
    <w:rsid w:val="009E3D8E"/>
    <w:rsid w:val="009E4211"/>
    <w:rsid w:val="009E4C98"/>
    <w:rsid w:val="009E4FF6"/>
    <w:rsid w:val="009E52D8"/>
    <w:rsid w:val="009E5D6D"/>
    <w:rsid w:val="009E6ADE"/>
    <w:rsid w:val="009E6EBA"/>
    <w:rsid w:val="009E7008"/>
    <w:rsid w:val="009E713A"/>
    <w:rsid w:val="009E74EC"/>
    <w:rsid w:val="009E78FD"/>
    <w:rsid w:val="009F0691"/>
    <w:rsid w:val="009F0798"/>
    <w:rsid w:val="009F080F"/>
    <w:rsid w:val="009F0D26"/>
    <w:rsid w:val="009F0FFC"/>
    <w:rsid w:val="009F11CB"/>
    <w:rsid w:val="009F12BD"/>
    <w:rsid w:val="009F14AD"/>
    <w:rsid w:val="009F19DC"/>
    <w:rsid w:val="009F1E81"/>
    <w:rsid w:val="009F2079"/>
    <w:rsid w:val="009F2220"/>
    <w:rsid w:val="009F24EA"/>
    <w:rsid w:val="009F3217"/>
    <w:rsid w:val="009F33C2"/>
    <w:rsid w:val="009F351F"/>
    <w:rsid w:val="009F375B"/>
    <w:rsid w:val="009F397A"/>
    <w:rsid w:val="009F3CCB"/>
    <w:rsid w:val="009F3D20"/>
    <w:rsid w:val="009F3F89"/>
    <w:rsid w:val="009F3FB2"/>
    <w:rsid w:val="009F46C1"/>
    <w:rsid w:val="009F480E"/>
    <w:rsid w:val="009F4959"/>
    <w:rsid w:val="009F4B41"/>
    <w:rsid w:val="009F4BFD"/>
    <w:rsid w:val="009F4C23"/>
    <w:rsid w:val="009F51FC"/>
    <w:rsid w:val="009F537C"/>
    <w:rsid w:val="009F54AE"/>
    <w:rsid w:val="009F56E1"/>
    <w:rsid w:val="009F5881"/>
    <w:rsid w:val="009F5FA6"/>
    <w:rsid w:val="009F600B"/>
    <w:rsid w:val="009F6708"/>
    <w:rsid w:val="009F6881"/>
    <w:rsid w:val="009F6991"/>
    <w:rsid w:val="009F6A32"/>
    <w:rsid w:val="009F707C"/>
    <w:rsid w:val="009F708E"/>
    <w:rsid w:val="009F712B"/>
    <w:rsid w:val="009F7244"/>
    <w:rsid w:val="009F7426"/>
    <w:rsid w:val="009F760C"/>
    <w:rsid w:val="009F7B34"/>
    <w:rsid w:val="009F7D30"/>
    <w:rsid w:val="00A0065E"/>
    <w:rsid w:val="00A00DAB"/>
    <w:rsid w:val="00A01393"/>
    <w:rsid w:val="00A018DC"/>
    <w:rsid w:val="00A01A75"/>
    <w:rsid w:val="00A01E84"/>
    <w:rsid w:val="00A022A2"/>
    <w:rsid w:val="00A02758"/>
    <w:rsid w:val="00A02A07"/>
    <w:rsid w:val="00A02BC7"/>
    <w:rsid w:val="00A02D15"/>
    <w:rsid w:val="00A02D65"/>
    <w:rsid w:val="00A0367B"/>
    <w:rsid w:val="00A03920"/>
    <w:rsid w:val="00A03AAF"/>
    <w:rsid w:val="00A03C87"/>
    <w:rsid w:val="00A04152"/>
    <w:rsid w:val="00A045FF"/>
    <w:rsid w:val="00A0473A"/>
    <w:rsid w:val="00A048A0"/>
    <w:rsid w:val="00A0498F"/>
    <w:rsid w:val="00A04E1B"/>
    <w:rsid w:val="00A05001"/>
    <w:rsid w:val="00A0517D"/>
    <w:rsid w:val="00A05283"/>
    <w:rsid w:val="00A05514"/>
    <w:rsid w:val="00A05DAB"/>
    <w:rsid w:val="00A06729"/>
    <w:rsid w:val="00A06BB8"/>
    <w:rsid w:val="00A0751C"/>
    <w:rsid w:val="00A0755F"/>
    <w:rsid w:val="00A077C8"/>
    <w:rsid w:val="00A10059"/>
    <w:rsid w:val="00A1033D"/>
    <w:rsid w:val="00A10AAA"/>
    <w:rsid w:val="00A10EB9"/>
    <w:rsid w:val="00A10FA9"/>
    <w:rsid w:val="00A1102E"/>
    <w:rsid w:val="00A11238"/>
    <w:rsid w:val="00A11403"/>
    <w:rsid w:val="00A117DD"/>
    <w:rsid w:val="00A11ABD"/>
    <w:rsid w:val="00A11B9F"/>
    <w:rsid w:val="00A11C17"/>
    <w:rsid w:val="00A12442"/>
    <w:rsid w:val="00A1265A"/>
    <w:rsid w:val="00A12735"/>
    <w:rsid w:val="00A1295F"/>
    <w:rsid w:val="00A12E80"/>
    <w:rsid w:val="00A132F3"/>
    <w:rsid w:val="00A1335F"/>
    <w:rsid w:val="00A1337F"/>
    <w:rsid w:val="00A136B2"/>
    <w:rsid w:val="00A142C9"/>
    <w:rsid w:val="00A142F8"/>
    <w:rsid w:val="00A14894"/>
    <w:rsid w:val="00A14AB9"/>
    <w:rsid w:val="00A14AF5"/>
    <w:rsid w:val="00A14DFD"/>
    <w:rsid w:val="00A15242"/>
    <w:rsid w:val="00A155A4"/>
    <w:rsid w:val="00A1593C"/>
    <w:rsid w:val="00A16858"/>
    <w:rsid w:val="00A169FF"/>
    <w:rsid w:val="00A16BAD"/>
    <w:rsid w:val="00A16EEB"/>
    <w:rsid w:val="00A17104"/>
    <w:rsid w:val="00A17112"/>
    <w:rsid w:val="00A1722B"/>
    <w:rsid w:val="00A17B42"/>
    <w:rsid w:val="00A17E7C"/>
    <w:rsid w:val="00A20128"/>
    <w:rsid w:val="00A20347"/>
    <w:rsid w:val="00A203BF"/>
    <w:rsid w:val="00A2082A"/>
    <w:rsid w:val="00A20FFA"/>
    <w:rsid w:val="00A2158C"/>
    <w:rsid w:val="00A216C9"/>
    <w:rsid w:val="00A21861"/>
    <w:rsid w:val="00A224B8"/>
    <w:rsid w:val="00A2294E"/>
    <w:rsid w:val="00A22B04"/>
    <w:rsid w:val="00A22C2E"/>
    <w:rsid w:val="00A23003"/>
    <w:rsid w:val="00A23B1B"/>
    <w:rsid w:val="00A243AE"/>
    <w:rsid w:val="00A24AD8"/>
    <w:rsid w:val="00A24E73"/>
    <w:rsid w:val="00A25045"/>
    <w:rsid w:val="00A2564B"/>
    <w:rsid w:val="00A256E9"/>
    <w:rsid w:val="00A25F55"/>
    <w:rsid w:val="00A26517"/>
    <w:rsid w:val="00A2669F"/>
    <w:rsid w:val="00A268BC"/>
    <w:rsid w:val="00A26B0D"/>
    <w:rsid w:val="00A2790E"/>
    <w:rsid w:val="00A27C4D"/>
    <w:rsid w:val="00A30232"/>
    <w:rsid w:val="00A30B65"/>
    <w:rsid w:val="00A30D86"/>
    <w:rsid w:val="00A31374"/>
    <w:rsid w:val="00A31400"/>
    <w:rsid w:val="00A31FD3"/>
    <w:rsid w:val="00A3248E"/>
    <w:rsid w:val="00A324FE"/>
    <w:rsid w:val="00A32568"/>
    <w:rsid w:val="00A32CB5"/>
    <w:rsid w:val="00A32F13"/>
    <w:rsid w:val="00A33220"/>
    <w:rsid w:val="00A337E4"/>
    <w:rsid w:val="00A33D03"/>
    <w:rsid w:val="00A3439F"/>
    <w:rsid w:val="00A34824"/>
    <w:rsid w:val="00A34D12"/>
    <w:rsid w:val="00A34D64"/>
    <w:rsid w:val="00A35088"/>
    <w:rsid w:val="00A35A76"/>
    <w:rsid w:val="00A35B5D"/>
    <w:rsid w:val="00A35CB9"/>
    <w:rsid w:val="00A36039"/>
    <w:rsid w:val="00A36400"/>
    <w:rsid w:val="00A36B50"/>
    <w:rsid w:val="00A36FA4"/>
    <w:rsid w:val="00A370B2"/>
    <w:rsid w:val="00A3735A"/>
    <w:rsid w:val="00A3740B"/>
    <w:rsid w:val="00A3744B"/>
    <w:rsid w:val="00A3762E"/>
    <w:rsid w:val="00A3781D"/>
    <w:rsid w:val="00A3784D"/>
    <w:rsid w:val="00A37965"/>
    <w:rsid w:val="00A379EF"/>
    <w:rsid w:val="00A37AF5"/>
    <w:rsid w:val="00A37E68"/>
    <w:rsid w:val="00A40041"/>
    <w:rsid w:val="00A4024B"/>
    <w:rsid w:val="00A40390"/>
    <w:rsid w:val="00A40A54"/>
    <w:rsid w:val="00A40EED"/>
    <w:rsid w:val="00A40FC4"/>
    <w:rsid w:val="00A41152"/>
    <w:rsid w:val="00A418FB"/>
    <w:rsid w:val="00A419F2"/>
    <w:rsid w:val="00A424DB"/>
    <w:rsid w:val="00A427CE"/>
    <w:rsid w:val="00A42A73"/>
    <w:rsid w:val="00A42B9B"/>
    <w:rsid w:val="00A42F1B"/>
    <w:rsid w:val="00A4309E"/>
    <w:rsid w:val="00A4310E"/>
    <w:rsid w:val="00A4314E"/>
    <w:rsid w:val="00A4320A"/>
    <w:rsid w:val="00A434EB"/>
    <w:rsid w:val="00A43C54"/>
    <w:rsid w:val="00A43D36"/>
    <w:rsid w:val="00A43DA7"/>
    <w:rsid w:val="00A43DF0"/>
    <w:rsid w:val="00A43FE4"/>
    <w:rsid w:val="00A4411F"/>
    <w:rsid w:val="00A442FF"/>
    <w:rsid w:val="00A44477"/>
    <w:rsid w:val="00A44512"/>
    <w:rsid w:val="00A4493C"/>
    <w:rsid w:val="00A449DD"/>
    <w:rsid w:val="00A44BE6"/>
    <w:rsid w:val="00A44DCB"/>
    <w:rsid w:val="00A44E02"/>
    <w:rsid w:val="00A44E96"/>
    <w:rsid w:val="00A44F81"/>
    <w:rsid w:val="00A45629"/>
    <w:rsid w:val="00A459B7"/>
    <w:rsid w:val="00A45D0F"/>
    <w:rsid w:val="00A46070"/>
    <w:rsid w:val="00A460D8"/>
    <w:rsid w:val="00A461A2"/>
    <w:rsid w:val="00A46269"/>
    <w:rsid w:val="00A467F6"/>
    <w:rsid w:val="00A468CA"/>
    <w:rsid w:val="00A4762F"/>
    <w:rsid w:val="00A4783C"/>
    <w:rsid w:val="00A479CF"/>
    <w:rsid w:val="00A5018A"/>
    <w:rsid w:val="00A508B2"/>
    <w:rsid w:val="00A50B0C"/>
    <w:rsid w:val="00A50CA4"/>
    <w:rsid w:val="00A50D1F"/>
    <w:rsid w:val="00A515D7"/>
    <w:rsid w:val="00A51742"/>
    <w:rsid w:val="00A51A0D"/>
    <w:rsid w:val="00A51A3A"/>
    <w:rsid w:val="00A523E3"/>
    <w:rsid w:val="00A52502"/>
    <w:rsid w:val="00A5261D"/>
    <w:rsid w:val="00A527D7"/>
    <w:rsid w:val="00A52E64"/>
    <w:rsid w:val="00A53375"/>
    <w:rsid w:val="00A5357C"/>
    <w:rsid w:val="00A536BC"/>
    <w:rsid w:val="00A53C1E"/>
    <w:rsid w:val="00A546BC"/>
    <w:rsid w:val="00A55027"/>
    <w:rsid w:val="00A55245"/>
    <w:rsid w:val="00A55547"/>
    <w:rsid w:val="00A555CA"/>
    <w:rsid w:val="00A557B0"/>
    <w:rsid w:val="00A55989"/>
    <w:rsid w:val="00A55DC6"/>
    <w:rsid w:val="00A55F41"/>
    <w:rsid w:val="00A561DF"/>
    <w:rsid w:val="00A56477"/>
    <w:rsid w:val="00A5671D"/>
    <w:rsid w:val="00A56803"/>
    <w:rsid w:val="00A5694A"/>
    <w:rsid w:val="00A56F8F"/>
    <w:rsid w:val="00A56FF6"/>
    <w:rsid w:val="00A57192"/>
    <w:rsid w:val="00A57565"/>
    <w:rsid w:val="00A57965"/>
    <w:rsid w:val="00A57BEC"/>
    <w:rsid w:val="00A57C24"/>
    <w:rsid w:val="00A57EDD"/>
    <w:rsid w:val="00A60D83"/>
    <w:rsid w:val="00A610C1"/>
    <w:rsid w:val="00A611EF"/>
    <w:rsid w:val="00A61B25"/>
    <w:rsid w:val="00A62157"/>
    <w:rsid w:val="00A621CC"/>
    <w:rsid w:val="00A621E1"/>
    <w:rsid w:val="00A6233E"/>
    <w:rsid w:val="00A62776"/>
    <w:rsid w:val="00A62FB2"/>
    <w:rsid w:val="00A63541"/>
    <w:rsid w:val="00A635DD"/>
    <w:rsid w:val="00A636DF"/>
    <w:rsid w:val="00A63892"/>
    <w:rsid w:val="00A63DA4"/>
    <w:rsid w:val="00A63FB1"/>
    <w:rsid w:val="00A645F1"/>
    <w:rsid w:val="00A64934"/>
    <w:rsid w:val="00A64AB4"/>
    <w:rsid w:val="00A65204"/>
    <w:rsid w:val="00A658A3"/>
    <w:rsid w:val="00A65ACB"/>
    <w:rsid w:val="00A65E58"/>
    <w:rsid w:val="00A664AF"/>
    <w:rsid w:val="00A66689"/>
    <w:rsid w:val="00A66753"/>
    <w:rsid w:val="00A66832"/>
    <w:rsid w:val="00A66909"/>
    <w:rsid w:val="00A66A43"/>
    <w:rsid w:val="00A67820"/>
    <w:rsid w:val="00A67DC4"/>
    <w:rsid w:val="00A67E5F"/>
    <w:rsid w:val="00A67E91"/>
    <w:rsid w:val="00A67E9B"/>
    <w:rsid w:val="00A70050"/>
    <w:rsid w:val="00A707CF"/>
    <w:rsid w:val="00A70B44"/>
    <w:rsid w:val="00A70C53"/>
    <w:rsid w:val="00A70D1F"/>
    <w:rsid w:val="00A712EA"/>
    <w:rsid w:val="00A714D0"/>
    <w:rsid w:val="00A71E18"/>
    <w:rsid w:val="00A71EAB"/>
    <w:rsid w:val="00A7244A"/>
    <w:rsid w:val="00A7252A"/>
    <w:rsid w:val="00A72581"/>
    <w:rsid w:val="00A72BA1"/>
    <w:rsid w:val="00A72F84"/>
    <w:rsid w:val="00A73458"/>
    <w:rsid w:val="00A735D5"/>
    <w:rsid w:val="00A73808"/>
    <w:rsid w:val="00A73D34"/>
    <w:rsid w:val="00A73D6C"/>
    <w:rsid w:val="00A73D98"/>
    <w:rsid w:val="00A746A6"/>
    <w:rsid w:val="00A74770"/>
    <w:rsid w:val="00A748E2"/>
    <w:rsid w:val="00A74A47"/>
    <w:rsid w:val="00A7539F"/>
    <w:rsid w:val="00A7556B"/>
    <w:rsid w:val="00A75687"/>
    <w:rsid w:val="00A7581B"/>
    <w:rsid w:val="00A75CD5"/>
    <w:rsid w:val="00A75D4B"/>
    <w:rsid w:val="00A76162"/>
    <w:rsid w:val="00A761D2"/>
    <w:rsid w:val="00A768AD"/>
    <w:rsid w:val="00A76F99"/>
    <w:rsid w:val="00A771FC"/>
    <w:rsid w:val="00A7724D"/>
    <w:rsid w:val="00A777D7"/>
    <w:rsid w:val="00A778EB"/>
    <w:rsid w:val="00A7790F"/>
    <w:rsid w:val="00A80DA1"/>
    <w:rsid w:val="00A8157D"/>
    <w:rsid w:val="00A816AC"/>
    <w:rsid w:val="00A81858"/>
    <w:rsid w:val="00A81968"/>
    <w:rsid w:val="00A81B6B"/>
    <w:rsid w:val="00A81D3F"/>
    <w:rsid w:val="00A81D99"/>
    <w:rsid w:val="00A81DC4"/>
    <w:rsid w:val="00A81EEC"/>
    <w:rsid w:val="00A81F59"/>
    <w:rsid w:val="00A81F8F"/>
    <w:rsid w:val="00A8236E"/>
    <w:rsid w:val="00A8312D"/>
    <w:rsid w:val="00A83130"/>
    <w:rsid w:val="00A8319D"/>
    <w:rsid w:val="00A83438"/>
    <w:rsid w:val="00A83553"/>
    <w:rsid w:val="00A8364F"/>
    <w:rsid w:val="00A83919"/>
    <w:rsid w:val="00A83DF3"/>
    <w:rsid w:val="00A84E88"/>
    <w:rsid w:val="00A84E95"/>
    <w:rsid w:val="00A85368"/>
    <w:rsid w:val="00A856D5"/>
    <w:rsid w:val="00A85915"/>
    <w:rsid w:val="00A85E3A"/>
    <w:rsid w:val="00A861FE"/>
    <w:rsid w:val="00A87287"/>
    <w:rsid w:val="00A87469"/>
    <w:rsid w:val="00A874C6"/>
    <w:rsid w:val="00A87676"/>
    <w:rsid w:val="00A8768F"/>
    <w:rsid w:val="00A87722"/>
    <w:rsid w:val="00A87F8F"/>
    <w:rsid w:val="00A9001C"/>
    <w:rsid w:val="00A90A0B"/>
    <w:rsid w:val="00A90A16"/>
    <w:rsid w:val="00A90A53"/>
    <w:rsid w:val="00A90BE8"/>
    <w:rsid w:val="00A91108"/>
    <w:rsid w:val="00A91660"/>
    <w:rsid w:val="00A91802"/>
    <w:rsid w:val="00A91E75"/>
    <w:rsid w:val="00A91EAB"/>
    <w:rsid w:val="00A91F19"/>
    <w:rsid w:val="00A92124"/>
    <w:rsid w:val="00A92CA7"/>
    <w:rsid w:val="00A92F70"/>
    <w:rsid w:val="00A93D09"/>
    <w:rsid w:val="00A94457"/>
    <w:rsid w:val="00A9450F"/>
    <w:rsid w:val="00A948BC"/>
    <w:rsid w:val="00A949F3"/>
    <w:rsid w:val="00A952AB"/>
    <w:rsid w:val="00A9539C"/>
    <w:rsid w:val="00A95570"/>
    <w:rsid w:val="00A95764"/>
    <w:rsid w:val="00A957F1"/>
    <w:rsid w:val="00A95BA9"/>
    <w:rsid w:val="00A96555"/>
    <w:rsid w:val="00A96729"/>
    <w:rsid w:val="00A96866"/>
    <w:rsid w:val="00A96C14"/>
    <w:rsid w:val="00A96DA5"/>
    <w:rsid w:val="00A971FE"/>
    <w:rsid w:val="00A97475"/>
    <w:rsid w:val="00A9783D"/>
    <w:rsid w:val="00A97D77"/>
    <w:rsid w:val="00A97F73"/>
    <w:rsid w:val="00AA00D3"/>
    <w:rsid w:val="00AA0227"/>
    <w:rsid w:val="00AA06FB"/>
    <w:rsid w:val="00AA07FA"/>
    <w:rsid w:val="00AA0853"/>
    <w:rsid w:val="00AA0A3E"/>
    <w:rsid w:val="00AA0B84"/>
    <w:rsid w:val="00AA0BA9"/>
    <w:rsid w:val="00AA1586"/>
    <w:rsid w:val="00AA1653"/>
    <w:rsid w:val="00AA2326"/>
    <w:rsid w:val="00AA2789"/>
    <w:rsid w:val="00AA29A5"/>
    <w:rsid w:val="00AA2DA0"/>
    <w:rsid w:val="00AA2E6B"/>
    <w:rsid w:val="00AA3BA6"/>
    <w:rsid w:val="00AA3CB0"/>
    <w:rsid w:val="00AA3D1C"/>
    <w:rsid w:val="00AA407A"/>
    <w:rsid w:val="00AA41ED"/>
    <w:rsid w:val="00AA4263"/>
    <w:rsid w:val="00AA44B0"/>
    <w:rsid w:val="00AA45E6"/>
    <w:rsid w:val="00AA4B78"/>
    <w:rsid w:val="00AA4C07"/>
    <w:rsid w:val="00AA4C95"/>
    <w:rsid w:val="00AA503C"/>
    <w:rsid w:val="00AA52BC"/>
    <w:rsid w:val="00AA52CC"/>
    <w:rsid w:val="00AA52D2"/>
    <w:rsid w:val="00AA534D"/>
    <w:rsid w:val="00AA5571"/>
    <w:rsid w:val="00AA5A37"/>
    <w:rsid w:val="00AA60DD"/>
    <w:rsid w:val="00AA648B"/>
    <w:rsid w:val="00AA662E"/>
    <w:rsid w:val="00AA67C0"/>
    <w:rsid w:val="00AA6A84"/>
    <w:rsid w:val="00AA6B44"/>
    <w:rsid w:val="00AA6C49"/>
    <w:rsid w:val="00AA6F18"/>
    <w:rsid w:val="00AA70F2"/>
    <w:rsid w:val="00AA735E"/>
    <w:rsid w:val="00AA73BB"/>
    <w:rsid w:val="00AA7520"/>
    <w:rsid w:val="00AA7BBB"/>
    <w:rsid w:val="00AA7E7B"/>
    <w:rsid w:val="00AB08F9"/>
    <w:rsid w:val="00AB1401"/>
    <w:rsid w:val="00AB14AC"/>
    <w:rsid w:val="00AB19B7"/>
    <w:rsid w:val="00AB1E3A"/>
    <w:rsid w:val="00AB2362"/>
    <w:rsid w:val="00AB242F"/>
    <w:rsid w:val="00AB2514"/>
    <w:rsid w:val="00AB2654"/>
    <w:rsid w:val="00AB3F6C"/>
    <w:rsid w:val="00AB489C"/>
    <w:rsid w:val="00AB50C1"/>
    <w:rsid w:val="00AB532D"/>
    <w:rsid w:val="00AB620B"/>
    <w:rsid w:val="00AB68A4"/>
    <w:rsid w:val="00AB68A8"/>
    <w:rsid w:val="00AB6936"/>
    <w:rsid w:val="00AB6A39"/>
    <w:rsid w:val="00AB6ADB"/>
    <w:rsid w:val="00AB7139"/>
    <w:rsid w:val="00AB738D"/>
    <w:rsid w:val="00AB764E"/>
    <w:rsid w:val="00AB7B32"/>
    <w:rsid w:val="00AC01B1"/>
    <w:rsid w:val="00AC09E5"/>
    <w:rsid w:val="00AC0C3B"/>
    <w:rsid w:val="00AC1232"/>
    <w:rsid w:val="00AC1426"/>
    <w:rsid w:val="00AC14F7"/>
    <w:rsid w:val="00AC1736"/>
    <w:rsid w:val="00AC19F3"/>
    <w:rsid w:val="00AC23E4"/>
    <w:rsid w:val="00AC26AD"/>
    <w:rsid w:val="00AC2CCC"/>
    <w:rsid w:val="00AC2D5B"/>
    <w:rsid w:val="00AC2D63"/>
    <w:rsid w:val="00AC374B"/>
    <w:rsid w:val="00AC3C49"/>
    <w:rsid w:val="00AC3D00"/>
    <w:rsid w:val="00AC445E"/>
    <w:rsid w:val="00AC4625"/>
    <w:rsid w:val="00AC46D3"/>
    <w:rsid w:val="00AC4A68"/>
    <w:rsid w:val="00AC4CB9"/>
    <w:rsid w:val="00AC5616"/>
    <w:rsid w:val="00AC5713"/>
    <w:rsid w:val="00AC5893"/>
    <w:rsid w:val="00AC592F"/>
    <w:rsid w:val="00AC6369"/>
    <w:rsid w:val="00AC6C46"/>
    <w:rsid w:val="00AC6D29"/>
    <w:rsid w:val="00AC6DF0"/>
    <w:rsid w:val="00AC7084"/>
    <w:rsid w:val="00AC71C3"/>
    <w:rsid w:val="00AC762E"/>
    <w:rsid w:val="00AC7C4C"/>
    <w:rsid w:val="00AD0205"/>
    <w:rsid w:val="00AD0375"/>
    <w:rsid w:val="00AD03D8"/>
    <w:rsid w:val="00AD03E4"/>
    <w:rsid w:val="00AD06CC"/>
    <w:rsid w:val="00AD0711"/>
    <w:rsid w:val="00AD0857"/>
    <w:rsid w:val="00AD0A95"/>
    <w:rsid w:val="00AD0AC8"/>
    <w:rsid w:val="00AD0FB2"/>
    <w:rsid w:val="00AD1134"/>
    <w:rsid w:val="00AD11A3"/>
    <w:rsid w:val="00AD1364"/>
    <w:rsid w:val="00AD16AA"/>
    <w:rsid w:val="00AD16D4"/>
    <w:rsid w:val="00AD16D6"/>
    <w:rsid w:val="00AD1A96"/>
    <w:rsid w:val="00AD1B8B"/>
    <w:rsid w:val="00AD1C8A"/>
    <w:rsid w:val="00AD2180"/>
    <w:rsid w:val="00AD2192"/>
    <w:rsid w:val="00AD2277"/>
    <w:rsid w:val="00AD2D91"/>
    <w:rsid w:val="00AD2E96"/>
    <w:rsid w:val="00AD346B"/>
    <w:rsid w:val="00AD3EFC"/>
    <w:rsid w:val="00AD418C"/>
    <w:rsid w:val="00AD4311"/>
    <w:rsid w:val="00AD459D"/>
    <w:rsid w:val="00AD4887"/>
    <w:rsid w:val="00AD4A42"/>
    <w:rsid w:val="00AD4CB0"/>
    <w:rsid w:val="00AD4F77"/>
    <w:rsid w:val="00AD5A1C"/>
    <w:rsid w:val="00AD5D1E"/>
    <w:rsid w:val="00AD61F5"/>
    <w:rsid w:val="00AD625A"/>
    <w:rsid w:val="00AD677A"/>
    <w:rsid w:val="00AD6A72"/>
    <w:rsid w:val="00AD6B50"/>
    <w:rsid w:val="00AD6CBF"/>
    <w:rsid w:val="00AD6DD5"/>
    <w:rsid w:val="00AD704E"/>
    <w:rsid w:val="00AD70CB"/>
    <w:rsid w:val="00AD7427"/>
    <w:rsid w:val="00AD771E"/>
    <w:rsid w:val="00AD78E6"/>
    <w:rsid w:val="00AE0248"/>
    <w:rsid w:val="00AE036A"/>
    <w:rsid w:val="00AE03CB"/>
    <w:rsid w:val="00AE05F0"/>
    <w:rsid w:val="00AE0883"/>
    <w:rsid w:val="00AE0BA9"/>
    <w:rsid w:val="00AE0D8B"/>
    <w:rsid w:val="00AE0D92"/>
    <w:rsid w:val="00AE131A"/>
    <w:rsid w:val="00AE1579"/>
    <w:rsid w:val="00AE17E8"/>
    <w:rsid w:val="00AE1A32"/>
    <w:rsid w:val="00AE1E3C"/>
    <w:rsid w:val="00AE3485"/>
    <w:rsid w:val="00AE3B07"/>
    <w:rsid w:val="00AE3D40"/>
    <w:rsid w:val="00AE4575"/>
    <w:rsid w:val="00AE4647"/>
    <w:rsid w:val="00AE47A7"/>
    <w:rsid w:val="00AE47DB"/>
    <w:rsid w:val="00AE4B6A"/>
    <w:rsid w:val="00AE4C31"/>
    <w:rsid w:val="00AE4D72"/>
    <w:rsid w:val="00AE5205"/>
    <w:rsid w:val="00AE526D"/>
    <w:rsid w:val="00AE5498"/>
    <w:rsid w:val="00AE5510"/>
    <w:rsid w:val="00AE5512"/>
    <w:rsid w:val="00AE5C15"/>
    <w:rsid w:val="00AE5EC0"/>
    <w:rsid w:val="00AE5FE0"/>
    <w:rsid w:val="00AE6045"/>
    <w:rsid w:val="00AE60B7"/>
    <w:rsid w:val="00AE6166"/>
    <w:rsid w:val="00AE62B6"/>
    <w:rsid w:val="00AE68BB"/>
    <w:rsid w:val="00AE6AA1"/>
    <w:rsid w:val="00AE7141"/>
    <w:rsid w:val="00AE75E9"/>
    <w:rsid w:val="00AE7633"/>
    <w:rsid w:val="00AE7DC7"/>
    <w:rsid w:val="00AE7F3F"/>
    <w:rsid w:val="00AF0338"/>
    <w:rsid w:val="00AF078A"/>
    <w:rsid w:val="00AF0BD6"/>
    <w:rsid w:val="00AF0BE4"/>
    <w:rsid w:val="00AF0F6E"/>
    <w:rsid w:val="00AF11CC"/>
    <w:rsid w:val="00AF128A"/>
    <w:rsid w:val="00AF153F"/>
    <w:rsid w:val="00AF17EE"/>
    <w:rsid w:val="00AF1854"/>
    <w:rsid w:val="00AF1AAF"/>
    <w:rsid w:val="00AF1DA7"/>
    <w:rsid w:val="00AF1EBF"/>
    <w:rsid w:val="00AF23A7"/>
    <w:rsid w:val="00AF2AB7"/>
    <w:rsid w:val="00AF2B1C"/>
    <w:rsid w:val="00AF2BB2"/>
    <w:rsid w:val="00AF3301"/>
    <w:rsid w:val="00AF35D9"/>
    <w:rsid w:val="00AF3658"/>
    <w:rsid w:val="00AF3682"/>
    <w:rsid w:val="00AF3A25"/>
    <w:rsid w:val="00AF3A3D"/>
    <w:rsid w:val="00AF3BCE"/>
    <w:rsid w:val="00AF3C17"/>
    <w:rsid w:val="00AF4101"/>
    <w:rsid w:val="00AF423F"/>
    <w:rsid w:val="00AF45B6"/>
    <w:rsid w:val="00AF4854"/>
    <w:rsid w:val="00AF4957"/>
    <w:rsid w:val="00AF4D3F"/>
    <w:rsid w:val="00AF4E8D"/>
    <w:rsid w:val="00AF5347"/>
    <w:rsid w:val="00AF5372"/>
    <w:rsid w:val="00AF5818"/>
    <w:rsid w:val="00AF5890"/>
    <w:rsid w:val="00AF58A6"/>
    <w:rsid w:val="00AF5DE9"/>
    <w:rsid w:val="00AF5F17"/>
    <w:rsid w:val="00AF614A"/>
    <w:rsid w:val="00AF618B"/>
    <w:rsid w:val="00AF6280"/>
    <w:rsid w:val="00AF6917"/>
    <w:rsid w:val="00AF6B63"/>
    <w:rsid w:val="00AF6EBB"/>
    <w:rsid w:val="00AF7719"/>
    <w:rsid w:val="00AF7916"/>
    <w:rsid w:val="00AF7BDD"/>
    <w:rsid w:val="00AF7F02"/>
    <w:rsid w:val="00B00380"/>
    <w:rsid w:val="00B007E7"/>
    <w:rsid w:val="00B00D2E"/>
    <w:rsid w:val="00B00E57"/>
    <w:rsid w:val="00B01529"/>
    <w:rsid w:val="00B01B3B"/>
    <w:rsid w:val="00B01ED4"/>
    <w:rsid w:val="00B0208F"/>
    <w:rsid w:val="00B02136"/>
    <w:rsid w:val="00B02328"/>
    <w:rsid w:val="00B02418"/>
    <w:rsid w:val="00B02565"/>
    <w:rsid w:val="00B02667"/>
    <w:rsid w:val="00B027FA"/>
    <w:rsid w:val="00B02C12"/>
    <w:rsid w:val="00B02F97"/>
    <w:rsid w:val="00B02F9F"/>
    <w:rsid w:val="00B0300B"/>
    <w:rsid w:val="00B031C0"/>
    <w:rsid w:val="00B03F0C"/>
    <w:rsid w:val="00B04081"/>
    <w:rsid w:val="00B0449A"/>
    <w:rsid w:val="00B0484D"/>
    <w:rsid w:val="00B04A88"/>
    <w:rsid w:val="00B04D48"/>
    <w:rsid w:val="00B05457"/>
    <w:rsid w:val="00B056E5"/>
    <w:rsid w:val="00B0576B"/>
    <w:rsid w:val="00B057F1"/>
    <w:rsid w:val="00B058B3"/>
    <w:rsid w:val="00B05D61"/>
    <w:rsid w:val="00B05D7E"/>
    <w:rsid w:val="00B05F0E"/>
    <w:rsid w:val="00B0624E"/>
    <w:rsid w:val="00B065FF"/>
    <w:rsid w:val="00B0664D"/>
    <w:rsid w:val="00B069FA"/>
    <w:rsid w:val="00B06C86"/>
    <w:rsid w:val="00B06E8D"/>
    <w:rsid w:val="00B06ED8"/>
    <w:rsid w:val="00B07214"/>
    <w:rsid w:val="00B07478"/>
    <w:rsid w:val="00B074DD"/>
    <w:rsid w:val="00B075E7"/>
    <w:rsid w:val="00B07969"/>
    <w:rsid w:val="00B10167"/>
    <w:rsid w:val="00B1016D"/>
    <w:rsid w:val="00B10451"/>
    <w:rsid w:val="00B10548"/>
    <w:rsid w:val="00B106CF"/>
    <w:rsid w:val="00B106DB"/>
    <w:rsid w:val="00B10979"/>
    <w:rsid w:val="00B1097D"/>
    <w:rsid w:val="00B10E94"/>
    <w:rsid w:val="00B10F0A"/>
    <w:rsid w:val="00B10F4E"/>
    <w:rsid w:val="00B10FE4"/>
    <w:rsid w:val="00B11165"/>
    <w:rsid w:val="00B11338"/>
    <w:rsid w:val="00B114F6"/>
    <w:rsid w:val="00B117B9"/>
    <w:rsid w:val="00B11DB3"/>
    <w:rsid w:val="00B11FF0"/>
    <w:rsid w:val="00B12674"/>
    <w:rsid w:val="00B12890"/>
    <w:rsid w:val="00B128A0"/>
    <w:rsid w:val="00B12995"/>
    <w:rsid w:val="00B13241"/>
    <w:rsid w:val="00B13396"/>
    <w:rsid w:val="00B133C9"/>
    <w:rsid w:val="00B135B1"/>
    <w:rsid w:val="00B1368F"/>
    <w:rsid w:val="00B1399F"/>
    <w:rsid w:val="00B13E4B"/>
    <w:rsid w:val="00B13E8F"/>
    <w:rsid w:val="00B13ED5"/>
    <w:rsid w:val="00B14244"/>
    <w:rsid w:val="00B143DE"/>
    <w:rsid w:val="00B1496E"/>
    <w:rsid w:val="00B14D9C"/>
    <w:rsid w:val="00B14FD4"/>
    <w:rsid w:val="00B1551D"/>
    <w:rsid w:val="00B15646"/>
    <w:rsid w:val="00B1644E"/>
    <w:rsid w:val="00B16475"/>
    <w:rsid w:val="00B164C3"/>
    <w:rsid w:val="00B16B27"/>
    <w:rsid w:val="00B16EC1"/>
    <w:rsid w:val="00B1705B"/>
    <w:rsid w:val="00B17169"/>
    <w:rsid w:val="00B1755E"/>
    <w:rsid w:val="00B201E2"/>
    <w:rsid w:val="00B20240"/>
    <w:rsid w:val="00B20CCC"/>
    <w:rsid w:val="00B211DF"/>
    <w:rsid w:val="00B22667"/>
    <w:rsid w:val="00B2295C"/>
    <w:rsid w:val="00B229FB"/>
    <w:rsid w:val="00B22BCB"/>
    <w:rsid w:val="00B22C9E"/>
    <w:rsid w:val="00B22FA9"/>
    <w:rsid w:val="00B23281"/>
    <w:rsid w:val="00B237D5"/>
    <w:rsid w:val="00B23932"/>
    <w:rsid w:val="00B23CB6"/>
    <w:rsid w:val="00B23E40"/>
    <w:rsid w:val="00B23E52"/>
    <w:rsid w:val="00B24457"/>
    <w:rsid w:val="00B246D2"/>
    <w:rsid w:val="00B24ABC"/>
    <w:rsid w:val="00B24EA0"/>
    <w:rsid w:val="00B252B8"/>
    <w:rsid w:val="00B25896"/>
    <w:rsid w:val="00B2595D"/>
    <w:rsid w:val="00B25D7C"/>
    <w:rsid w:val="00B26378"/>
    <w:rsid w:val="00B26790"/>
    <w:rsid w:val="00B267EF"/>
    <w:rsid w:val="00B26F56"/>
    <w:rsid w:val="00B2726E"/>
    <w:rsid w:val="00B272AA"/>
    <w:rsid w:val="00B2734D"/>
    <w:rsid w:val="00B273EA"/>
    <w:rsid w:val="00B2748C"/>
    <w:rsid w:val="00B27571"/>
    <w:rsid w:val="00B27CBC"/>
    <w:rsid w:val="00B27D6E"/>
    <w:rsid w:val="00B27EB1"/>
    <w:rsid w:val="00B308A3"/>
    <w:rsid w:val="00B30B39"/>
    <w:rsid w:val="00B30C62"/>
    <w:rsid w:val="00B311A7"/>
    <w:rsid w:val="00B3172E"/>
    <w:rsid w:val="00B31AAC"/>
    <w:rsid w:val="00B31B47"/>
    <w:rsid w:val="00B31D54"/>
    <w:rsid w:val="00B3205F"/>
    <w:rsid w:val="00B326EC"/>
    <w:rsid w:val="00B32982"/>
    <w:rsid w:val="00B32F42"/>
    <w:rsid w:val="00B3331D"/>
    <w:rsid w:val="00B334A0"/>
    <w:rsid w:val="00B339D8"/>
    <w:rsid w:val="00B33A3C"/>
    <w:rsid w:val="00B33AA6"/>
    <w:rsid w:val="00B33D81"/>
    <w:rsid w:val="00B33F56"/>
    <w:rsid w:val="00B34120"/>
    <w:rsid w:val="00B3425F"/>
    <w:rsid w:val="00B34268"/>
    <w:rsid w:val="00B34466"/>
    <w:rsid w:val="00B34AD4"/>
    <w:rsid w:val="00B35925"/>
    <w:rsid w:val="00B35D80"/>
    <w:rsid w:val="00B35D8C"/>
    <w:rsid w:val="00B36077"/>
    <w:rsid w:val="00B360D1"/>
    <w:rsid w:val="00B364BD"/>
    <w:rsid w:val="00B3657D"/>
    <w:rsid w:val="00B36BC6"/>
    <w:rsid w:val="00B36E35"/>
    <w:rsid w:val="00B36F14"/>
    <w:rsid w:val="00B3738B"/>
    <w:rsid w:val="00B37677"/>
    <w:rsid w:val="00B37EB1"/>
    <w:rsid w:val="00B4002E"/>
    <w:rsid w:val="00B400A0"/>
    <w:rsid w:val="00B4067E"/>
    <w:rsid w:val="00B406C9"/>
    <w:rsid w:val="00B4114B"/>
    <w:rsid w:val="00B4156C"/>
    <w:rsid w:val="00B4159C"/>
    <w:rsid w:val="00B4160B"/>
    <w:rsid w:val="00B4164B"/>
    <w:rsid w:val="00B41C39"/>
    <w:rsid w:val="00B41CC2"/>
    <w:rsid w:val="00B41E33"/>
    <w:rsid w:val="00B41FE5"/>
    <w:rsid w:val="00B420A2"/>
    <w:rsid w:val="00B4269D"/>
    <w:rsid w:val="00B4274B"/>
    <w:rsid w:val="00B43239"/>
    <w:rsid w:val="00B435D7"/>
    <w:rsid w:val="00B43935"/>
    <w:rsid w:val="00B43D6A"/>
    <w:rsid w:val="00B440C3"/>
    <w:rsid w:val="00B44766"/>
    <w:rsid w:val="00B44E0E"/>
    <w:rsid w:val="00B451D0"/>
    <w:rsid w:val="00B4570A"/>
    <w:rsid w:val="00B45C09"/>
    <w:rsid w:val="00B45E03"/>
    <w:rsid w:val="00B462EA"/>
    <w:rsid w:val="00B46435"/>
    <w:rsid w:val="00B466C0"/>
    <w:rsid w:val="00B46B00"/>
    <w:rsid w:val="00B46CDB"/>
    <w:rsid w:val="00B46ECD"/>
    <w:rsid w:val="00B47437"/>
    <w:rsid w:val="00B47563"/>
    <w:rsid w:val="00B478C9"/>
    <w:rsid w:val="00B501FD"/>
    <w:rsid w:val="00B502C6"/>
    <w:rsid w:val="00B50351"/>
    <w:rsid w:val="00B50C27"/>
    <w:rsid w:val="00B50F5B"/>
    <w:rsid w:val="00B5103B"/>
    <w:rsid w:val="00B510B5"/>
    <w:rsid w:val="00B514FB"/>
    <w:rsid w:val="00B51778"/>
    <w:rsid w:val="00B51C74"/>
    <w:rsid w:val="00B51EF0"/>
    <w:rsid w:val="00B522ED"/>
    <w:rsid w:val="00B525B4"/>
    <w:rsid w:val="00B525C2"/>
    <w:rsid w:val="00B52C6E"/>
    <w:rsid w:val="00B52C96"/>
    <w:rsid w:val="00B52D6E"/>
    <w:rsid w:val="00B52FCC"/>
    <w:rsid w:val="00B5325A"/>
    <w:rsid w:val="00B53371"/>
    <w:rsid w:val="00B53479"/>
    <w:rsid w:val="00B53ABF"/>
    <w:rsid w:val="00B53B5A"/>
    <w:rsid w:val="00B53C62"/>
    <w:rsid w:val="00B54060"/>
    <w:rsid w:val="00B5409A"/>
    <w:rsid w:val="00B540FB"/>
    <w:rsid w:val="00B543F6"/>
    <w:rsid w:val="00B54A7C"/>
    <w:rsid w:val="00B54FE5"/>
    <w:rsid w:val="00B5528D"/>
    <w:rsid w:val="00B5548B"/>
    <w:rsid w:val="00B55574"/>
    <w:rsid w:val="00B55C26"/>
    <w:rsid w:val="00B55D6B"/>
    <w:rsid w:val="00B5657C"/>
    <w:rsid w:val="00B56703"/>
    <w:rsid w:val="00B56B9C"/>
    <w:rsid w:val="00B56D82"/>
    <w:rsid w:val="00B56E6B"/>
    <w:rsid w:val="00B573E4"/>
    <w:rsid w:val="00B57B08"/>
    <w:rsid w:val="00B57CFA"/>
    <w:rsid w:val="00B60107"/>
    <w:rsid w:val="00B6028D"/>
    <w:rsid w:val="00B602E2"/>
    <w:rsid w:val="00B60CDB"/>
    <w:rsid w:val="00B60FA0"/>
    <w:rsid w:val="00B614A6"/>
    <w:rsid w:val="00B621FA"/>
    <w:rsid w:val="00B62443"/>
    <w:rsid w:val="00B6345F"/>
    <w:rsid w:val="00B63705"/>
    <w:rsid w:val="00B63785"/>
    <w:rsid w:val="00B63A97"/>
    <w:rsid w:val="00B63AFB"/>
    <w:rsid w:val="00B63B09"/>
    <w:rsid w:val="00B64377"/>
    <w:rsid w:val="00B6525D"/>
    <w:rsid w:val="00B654C4"/>
    <w:rsid w:val="00B6590C"/>
    <w:rsid w:val="00B65986"/>
    <w:rsid w:val="00B65ABA"/>
    <w:rsid w:val="00B65B40"/>
    <w:rsid w:val="00B663E3"/>
    <w:rsid w:val="00B664BD"/>
    <w:rsid w:val="00B6676A"/>
    <w:rsid w:val="00B66778"/>
    <w:rsid w:val="00B668F2"/>
    <w:rsid w:val="00B66BA6"/>
    <w:rsid w:val="00B66BC9"/>
    <w:rsid w:val="00B672FF"/>
    <w:rsid w:val="00B67340"/>
    <w:rsid w:val="00B67643"/>
    <w:rsid w:val="00B67699"/>
    <w:rsid w:val="00B67768"/>
    <w:rsid w:val="00B6790F"/>
    <w:rsid w:val="00B67ADF"/>
    <w:rsid w:val="00B67BA8"/>
    <w:rsid w:val="00B67D91"/>
    <w:rsid w:val="00B7037E"/>
    <w:rsid w:val="00B707DB"/>
    <w:rsid w:val="00B70C25"/>
    <w:rsid w:val="00B70E41"/>
    <w:rsid w:val="00B71037"/>
    <w:rsid w:val="00B7121F"/>
    <w:rsid w:val="00B7134C"/>
    <w:rsid w:val="00B71424"/>
    <w:rsid w:val="00B71471"/>
    <w:rsid w:val="00B716B8"/>
    <w:rsid w:val="00B71B3B"/>
    <w:rsid w:val="00B71B43"/>
    <w:rsid w:val="00B721F0"/>
    <w:rsid w:val="00B7233F"/>
    <w:rsid w:val="00B72458"/>
    <w:rsid w:val="00B72A60"/>
    <w:rsid w:val="00B741D0"/>
    <w:rsid w:val="00B7435D"/>
    <w:rsid w:val="00B74A8C"/>
    <w:rsid w:val="00B759A5"/>
    <w:rsid w:val="00B75A05"/>
    <w:rsid w:val="00B75AA4"/>
    <w:rsid w:val="00B75CA9"/>
    <w:rsid w:val="00B75CEC"/>
    <w:rsid w:val="00B76135"/>
    <w:rsid w:val="00B76539"/>
    <w:rsid w:val="00B769CC"/>
    <w:rsid w:val="00B76A38"/>
    <w:rsid w:val="00B76C25"/>
    <w:rsid w:val="00B76D1B"/>
    <w:rsid w:val="00B76D34"/>
    <w:rsid w:val="00B771D4"/>
    <w:rsid w:val="00B774DD"/>
    <w:rsid w:val="00B778B8"/>
    <w:rsid w:val="00B80222"/>
    <w:rsid w:val="00B80752"/>
    <w:rsid w:val="00B80A42"/>
    <w:rsid w:val="00B80AE0"/>
    <w:rsid w:val="00B80BD1"/>
    <w:rsid w:val="00B81240"/>
    <w:rsid w:val="00B81B85"/>
    <w:rsid w:val="00B82508"/>
    <w:rsid w:val="00B82799"/>
    <w:rsid w:val="00B82AA7"/>
    <w:rsid w:val="00B82B21"/>
    <w:rsid w:val="00B82CF8"/>
    <w:rsid w:val="00B831E4"/>
    <w:rsid w:val="00B83AB4"/>
    <w:rsid w:val="00B84392"/>
    <w:rsid w:val="00B84F4F"/>
    <w:rsid w:val="00B85059"/>
    <w:rsid w:val="00B857C6"/>
    <w:rsid w:val="00B859AF"/>
    <w:rsid w:val="00B85CC5"/>
    <w:rsid w:val="00B860F9"/>
    <w:rsid w:val="00B861ED"/>
    <w:rsid w:val="00B864AD"/>
    <w:rsid w:val="00B865F3"/>
    <w:rsid w:val="00B86671"/>
    <w:rsid w:val="00B871A3"/>
    <w:rsid w:val="00B875C0"/>
    <w:rsid w:val="00B87A85"/>
    <w:rsid w:val="00B87AB6"/>
    <w:rsid w:val="00B87B95"/>
    <w:rsid w:val="00B87C23"/>
    <w:rsid w:val="00B87D61"/>
    <w:rsid w:val="00B87ED7"/>
    <w:rsid w:val="00B90937"/>
    <w:rsid w:val="00B90CAC"/>
    <w:rsid w:val="00B90D1C"/>
    <w:rsid w:val="00B90FC1"/>
    <w:rsid w:val="00B91315"/>
    <w:rsid w:val="00B91685"/>
    <w:rsid w:val="00B91764"/>
    <w:rsid w:val="00B91937"/>
    <w:rsid w:val="00B91980"/>
    <w:rsid w:val="00B91C19"/>
    <w:rsid w:val="00B91C30"/>
    <w:rsid w:val="00B92A31"/>
    <w:rsid w:val="00B92BE0"/>
    <w:rsid w:val="00B93619"/>
    <w:rsid w:val="00B93687"/>
    <w:rsid w:val="00B93948"/>
    <w:rsid w:val="00B93FAD"/>
    <w:rsid w:val="00B9460F"/>
    <w:rsid w:val="00B9474D"/>
    <w:rsid w:val="00B94E87"/>
    <w:rsid w:val="00B95035"/>
    <w:rsid w:val="00B9536A"/>
    <w:rsid w:val="00B9557A"/>
    <w:rsid w:val="00B9595D"/>
    <w:rsid w:val="00B96022"/>
    <w:rsid w:val="00B9603D"/>
    <w:rsid w:val="00B961A7"/>
    <w:rsid w:val="00B96202"/>
    <w:rsid w:val="00B966BE"/>
    <w:rsid w:val="00B96BC1"/>
    <w:rsid w:val="00B96D5D"/>
    <w:rsid w:val="00B97270"/>
    <w:rsid w:val="00B9740D"/>
    <w:rsid w:val="00BA093E"/>
    <w:rsid w:val="00BA125B"/>
    <w:rsid w:val="00BA166D"/>
    <w:rsid w:val="00BA17AF"/>
    <w:rsid w:val="00BA17EC"/>
    <w:rsid w:val="00BA1B97"/>
    <w:rsid w:val="00BA1CCF"/>
    <w:rsid w:val="00BA26BE"/>
    <w:rsid w:val="00BA294D"/>
    <w:rsid w:val="00BA295E"/>
    <w:rsid w:val="00BA296F"/>
    <w:rsid w:val="00BA2B48"/>
    <w:rsid w:val="00BA2BCC"/>
    <w:rsid w:val="00BA301A"/>
    <w:rsid w:val="00BA30B4"/>
    <w:rsid w:val="00BA33B0"/>
    <w:rsid w:val="00BA3497"/>
    <w:rsid w:val="00BA37EE"/>
    <w:rsid w:val="00BA398C"/>
    <w:rsid w:val="00BA3CBD"/>
    <w:rsid w:val="00BA40FB"/>
    <w:rsid w:val="00BA436F"/>
    <w:rsid w:val="00BA44D7"/>
    <w:rsid w:val="00BA45DF"/>
    <w:rsid w:val="00BA4B4D"/>
    <w:rsid w:val="00BA4BC7"/>
    <w:rsid w:val="00BA4E68"/>
    <w:rsid w:val="00BA55B7"/>
    <w:rsid w:val="00BA576F"/>
    <w:rsid w:val="00BA58C6"/>
    <w:rsid w:val="00BA5CDA"/>
    <w:rsid w:val="00BA5E47"/>
    <w:rsid w:val="00BA5F58"/>
    <w:rsid w:val="00BA6028"/>
    <w:rsid w:val="00BA69B1"/>
    <w:rsid w:val="00BA6A17"/>
    <w:rsid w:val="00BA6B3E"/>
    <w:rsid w:val="00BA6D82"/>
    <w:rsid w:val="00BA6DFA"/>
    <w:rsid w:val="00BA700D"/>
    <w:rsid w:val="00BA7454"/>
    <w:rsid w:val="00BA7691"/>
    <w:rsid w:val="00BA7B88"/>
    <w:rsid w:val="00BA7CD0"/>
    <w:rsid w:val="00BA7D57"/>
    <w:rsid w:val="00BA7D8D"/>
    <w:rsid w:val="00BB0195"/>
    <w:rsid w:val="00BB03D8"/>
    <w:rsid w:val="00BB0AAE"/>
    <w:rsid w:val="00BB156E"/>
    <w:rsid w:val="00BB18EE"/>
    <w:rsid w:val="00BB193B"/>
    <w:rsid w:val="00BB1F9A"/>
    <w:rsid w:val="00BB2820"/>
    <w:rsid w:val="00BB28E8"/>
    <w:rsid w:val="00BB30E4"/>
    <w:rsid w:val="00BB3267"/>
    <w:rsid w:val="00BB331F"/>
    <w:rsid w:val="00BB3330"/>
    <w:rsid w:val="00BB33F3"/>
    <w:rsid w:val="00BB3847"/>
    <w:rsid w:val="00BB3D45"/>
    <w:rsid w:val="00BB44C6"/>
    <w:rsid w:val="00BB47D7"/>
    <w:rsid w:val="00BB48AB"/>
    <w:rsid w:val="00BB4A62"/>
    <w:rsid w:val="00BB4D18"/>
    <w:rsid w:val="00BB527A"/>
    <w:rsid w:val="00BB565C"/>
    <w:rsid w:val="00BB5B4C"/>
    <w:rsid w:val="00BB5D80"/>
    <w:rsid w:val="00BB617F"/>
    <w:rsid w:val="00BB61E5"/>
    <w:rsid w:val="00BB6460"/>
    <w:rsid w:val="00BB6A90"/>
    <w:rsid w:val="00BB6B84"/>
    <w:rsid w:val="00BB6F12"/>
    <w:rsid w:val="00BB72D6"/>
    <w:rsid w:val="00BB7660"/>
    <w:rsid w:val="00BB76CB"/>
    <w:rsid w:val="00BB7711"/>
    <w:rsid w:val="00BB7A7E"/>
    <w:rsid w:val="00BB7DF1"/>
    <w:rsid w:val="00BB7F94"/>
    <w:rsid w:val="00BC0167"/>
    <w:rsid w:val="00BC01C1"/>
    <w:rsid w:val="00BC0278"/>
    <w:rsid w:val="00BC049A"/>
    <w:rsid w:val="00BC07FB"/>
    <w:rsid w:val="00BC0A9E"/>
    <w:rsid w:val="00BC0CF0"/>
    <w:rsid w:val="00BC0DB9"/>
    <w:rsid w:val="00BC1682"/>
    <w:rsid w:val="00BC17C0"/>
    <w:rsid w:val="00BC180C"/>
    <w:rsid w:val="00BC1D58"/>
    <w:rsid w:val="00BC1D79"/>
    <w:rsid w:val="00BC1D9F"/>
    <w:rsid w:val="00BC1FE2"/>
    <w:rsid w:val="00BC208B"/>
    <w:rsid w:val="00BC2767"/>
    <w:rsid w:val="00BC2EB9"/>
    <w:rsid w:val="00BC2F1A"/>
    <w:rsid w:val="00BC30A9"/>
    <w:rsid w:val="00BC32EF"/>
    <w:rsid w:val="00BC394A"/>
    <w:rsid w:val="00BC405C"/>
    <w:rsid w:val="00BC423F"/>
    <w:rsid w:val="00BC464F"/>
    <w:rsid w:val="00BC4A20"/>
    <w:rsid w:val="00BC51D3"/>
    <w:rsid w:val="00BC53E1"/>
    <w:rsid w:val="00BC5880"/>
    <w:rsid w:val="00BC5A34"/>
    <w:rsid w:val="00BC63FB"/>
    <w:rsid w:val="00BC67C9"/>
    <w:rsid w:val="00BC69CD"/>
    <w:rsid w:val="00BC6A5F"/>
    <w:rsid w:val="00BC7157"/>
    <w:rsid w:val="00BC76D8"/>
    <w:rsid w:val="00BC7C92"/>
    <w:rsid w:val="00BC7F2F"/>
    <w:rsid w:val="00BD0398"/>
    <w:rsid w:val="00BD0698"/>
    <w:rsid w:val="00BD06A7"/>
    <w:rsid w:val="00BD0B6D"/>
    <w:rsid w:val="00BD0DAF"/>
    <w:rsid w:val="00BD12BA"/>
    <w:rsid w:val="00BD1497"/>
    <w:rsid w:val="00BD16A0"/>
    <w:rsid w:val="00BD17F5"/>
    <w:rsid w:val="00BD1B54"/>
    <w:rsid w:val="00BD21A0"/>
    <w:rsid w:val="00BD22A8"/>
    <w:rsid w:val="00BD2548"/>
    <w:rsid w:val="00BD2B89"/>
    <w:rsid w:val="00BD2FAB"/>
    <w:rsid w:val="00BD3616"/>
    <w:rsid w:val="00BD3855"/>
    <w:rsid w:val="00BD3B43"/>
    <w:rsid w:val="00BD3CCC"/>
    <w:rsid w:val="00BD3DC5"/>
    <w:rsid w:val="00BD3EDE"/>
    <w:rsid w:val="00BD463D"/>
    <w:rsid w:val="00BD47A3"/>
    <w:rsid w:val="00BD4859"/>
    <w:rsid w:val="00BD4A5B"/>
    <w:rsid w:val="00BD4EF7"/>
    <w:rsid w:val="00BD519D"/>
    <w:rsid w:val="00BD5210"/>
    <w:rsid w:val="00BD543A"/>
    <w:rsid w:val="00BD57A4"/>
    <w:rsid w:val="00BD5BBA"/>
    <w:rsid w:val="00BD5EF3"/>
    <w:rsid w:val="00BD605A"/>
    <w:rsid w:val="00BD618B"/>
    <w:rsid w:val="00BD63D9"/>
    <w:rsid w:val="00BD648D"/>
    <w:rsid w:val="00BD6532"/>
    <w:rsid w:val="00BD66A3"/>
    <w:rsid w:val="00BD6894"/>
    <w:rsid w:val="00BD6C2F"/>
    <w:rsid w:val="00BD6E05"/>
    <w:rsid w:val="00BD6E15"/>
    <w:rsid w:val="00BD6F22"/>
    <w:rsid w:val="00BD713B"/>
    <w:rsid w:val="00BD716F"/>
    <w:rsid w:val="00BD7299"/>
    <w:rsid w:val="00BD72EB"/>
    <w:rsid w:val="00BD771C"/>
    <w:rsid w:val="00BD7925"/>
    <w:rsid w:val="00BD7DA0"/>
    <w:rsid w:val="00BD7E81"/>
    <w:rsid w:val="00BE0033"/>
    <w:rsid w:val="00BE0522"/>
    <w:rsid w:val="00BE05AE"/>
    <w:rsid w:val="00BE0B5B"/>
    <w:rsid w:val="00BE1047"/>
    <w:rsid w:val="00BE1785"/>
    <w:rsid w:val="00BE1978"/>
    <w:rsid w:val="00BE1BBC"/>
    <w:rsid w:val="00BE1E19"/>
    <w:rsid w:val="00BE2022"/>
    <w:rsid w:val="00BE21E2"/>
    <w:rsid w:val="00BE249D"/>
    <w:rsid w:val="00BE26C0"/>
    <w:rsid w:val="00BE28C6"/>
    <w:rsid w:val="00BE2B4C"/>
    <w:rsid w:val="00BE2F6B"/>
    <w:rsid w:val="00BE4134"/>
    <w:rsid w:val="00BE4761"/>
    <w:rsid w:val="00BE4BD6"/>
    <w:rsid w:val="00BE54D0"/>
    <w:rsid w:val="00BE58BA"/>
    <w:rsid w:val="00BE5B2C"/>
    <w:rsid w:val="00BE5EEA"/>
    <w:rsid w:val="00BE6736"/>
    <w:rsid w:val="00BE6A70"/>
    <w:rsid w:val="00BE6F4E"/>
    <w:rsid w:val="00BE7960"/>
    <w:rsid w:val="00BE7972"/>
    <w:rsid w:val="00BE7F93"/>
    <w:rsid w:val="00BE9607"/>
    <w:rsid w:val="00BF03D8"/>
    <w:rsid w:val="00BF051F"/>
    <w:rsid w:val="00BF06ED"/>
    <w:rsid w:val="00BF103D"/>
    <w:rsid w:val="00BF13BA"/>
    <w:rsid w:val="00BF1581"/>
    <w:rsid w:val="00BF17B6"/>
    <w:rsid w:val="00BF1931"/>
    <w:rsid w:val="00BF1A2F"/>
    <w:rsid w:val="00BF1D4A"/>
    <w:rsid w:val="00BF1D50"/>
    <w:rsid w:val="00BF2105"/>
    <w:rsid w:val="00BF2431"/>
    <w:rsid w:val="00BF2679"/>
    <w:rsid w:val="00BF2DAF"/>
    <w:rsid w:val="00BF31D2"/>
    <w:rsid w:val="00BF3B3F"/>
    <w:rsid w:val="00BF3C21"/>
    <w:rsid w:val="00BF3FDF"/>
    <w:rsid w:val="00BF4419"/>
    <w:rsid w:val="00BF4AE1"/>
    <w:rsid w:val="00BF4BD2"/>
    <w:rsid w:val="00BF4D17"/>
    <w:rsid w:val="00BF4D88"/>
    <w:rsid w:val="00BF5331"/>
    <w:rsid w:val="00BF5400"/>
    <w:rsid w:val="00BF5B87"/>
    <w:rsid w:val="00BF6066"/>
    <w:rsid w:val="00BF6585"/>
    <w:rsid w:val="00BF6B6C"/>
    <w:rsid w:val="00BF6CFE"/>
    <w:rsid w:val="00BF6DE5"/>
    <w:rsid w:val="00BF6E35"/>
    <w:rsid w:val="00BF70B9"/>
    <w:rsid w:val="00BF7251"/>
    <w:rsid w:val="00BF7872"/>
    <w:rsid w:val="00BF798A"/>
    <w:rsid w:val="00BF7A7D"/>
    <w:rsid w:val="00BF7DA1"/>
    <w:rsid w:val="00BF7F28"/>
    <w:rsid w:val="00C00115"/>
    <w:rsid w:val="00C001B2"/>
    <w:rsid w:val="00C00309"/>
    <w:rsid w:val="00C0069B"/>
    <w:rsid w:val="00C007FF"/>
    <w:rsid w:val="00C008DE"/>
    <w:rsid w:val="00C00906"/>
    <w:rsid w:val="00C00EEA"/>
    <w:rsid w:val="00C01100"/>
    <w:rsid w:val="00C0122F"/>
    <w:rsid w:val="00C0173E"/>
    <w:rsid w:val="00C0176A"/>
    <w:rsid w:val="00C0179D"/>
    <w:rsid w:val="00C01909"/>
    <w:rsid w:val="00C0210B"/>
    <w:rsid w:val="00C02112"/>
    <w:rsid w:val="00C0213C"/>
    <w:rsid w:val="00C024C1"/>
    <w:rsid w:val="00C02532"/>
    <w:rsid w:val="00C02D91"/>
    <w:rsid w:val="00C03100"/>
    <w:rsid w:val="00C03108"/>
    <w:rsid w:val="00C03470"/>
    <w:rsid w:val="00C0353A"/>
    <w:rsid w:val="00C0370E"/>
    <w:rsid w:val="00C03B74"/>
    <w:rsid w:val="00C041FA"/>
    <w:rsid w:val="00C04677"/>
    <w:rsid w:val="00C046CF"/>
    <w:rsid w:val="00C04B5F"/>
    <w:rsid w:val="00C04F00"/>
    <w:rsid w:val="00C04FA0"/>
    <w:rsid w:val="00C051D6"/>
    <w:rsid w:val="00C052FC"/>
    <w:rsid w:val="00C0567A"/>
    <w:rsid w:val="00C05787"/>
    <w:rsid w:val="00C05AFC"/>
    <w:rsid w:val="00C06789"/>
    <w:rsid w:val="00C06994"/>
    <w:rsid w:val="00C06E64"/>
    <w:rsid w:val="00C07257"/>
    <w:rsid w:val="00C073B6"/>
    <w:rsid w:val="00C0740A"/>
    <w:rsid w:val="00C07D94"/>
    <w:rsid w:val="00C1008E"/>
    <w:rsid w:val="00C104D5"/>
    <w:rsid w:val="00C105CD"/>
    <w:rsid w:val="00C107FD"/>
    <w:rsid w:val="00C10BA3"/>
    <w:rsid w:val="00C10E36"/>
    <w:rsid w:val="00C1189D"/>
    <w:rsid w:val="00C11B08"/>
    <w:rsid w:val="00C11C04"/>
    <w:rsid w:val="00C1219F"/>
    <w:rsid w:val="00C12363"/>
    <w:rsid w:val="00C1271F"/>
    <w:rsid w:val="00C12D61"/>
    <w:rsid w:val="00C12D76"/>
    <w:rsid w:val="00C12DF6"/>
    <w:rsid w:val="00C13059"/>
    <w:rsid w:val="00C13292"/>
    <w:rsid w:val="00C134A6"/>
    <w:rsid w:val="00C13538"/>
    <w:rsid w:val="00C13901"/>
    <w:rsid w:val="00C13972"/>
    <w:rsid w:val="00C14587"/>
    <w:rsid w:val="00C14610"/>
    <w:rsid w:val="00C1461B"/>
    <w:rsid w:val="00C1498B"/>
    <w:rsid w:val="00C15018"/>
    <w:rsid w:val="00C15211"/>
    <w:rsid w:val="00C15235"/>
    <w:rsid w:val="00C152B2"/>
    <w:rsid w:val="00C153A9"/>
    <w:rsid w:val="00C156D4"/>
    <w:rsid w:val="00C15723"/>
    <w:rsid w:val="00C158DD"/>
    <w:rsid w:val="00C15A1C"/>
    <w:rsid w:val="00C15DD1"/>
    <w:rsid w:val="00C15EFF"/>
    <w:rsid w:val="00C160BA"/>
    <w:rsid w:val="00C165F7"/>
    <w:rsid w:val="00C166B1"/>
    <w:rsid w:val="00C167A3"/>
    <w:rsid w:val="00C168FE"/>
    <w:rsid w:val="00C16925"/>
    <w:rsid w:val="00C16D05"/>
    <w:rsid w:val="00C174B4"/>
    <w:rsid w:val="00C17937"/>
    <w:rsid w:val="00C17DDE"/>
    <w:rsid w:val="00C17E18"/>
    <w:rsid w:val="00C17F45"/>
    <w:rsid w:val="00C1F0B7"/>
    <w:rsid w:val="00C2017D"/>
    <w:rsid w:val="00C20271"/>
    <w:rsid w:val="00C2085F"/>
    <w:rsid w:val="00C20B80"/>
    <w:rsid w:val="00C20C7A"/>
    <w:rsid w:val="00C21301"/>
    <w:rsid w:val="00C21344"/>
    <w:rsid w:val="00C213A1"/>
    <w:rsid w:val="00C2179B"/>
    <w:rsid w:val="00C2181C"/>
    <w:rsid w:val="00C21CE8"/>
    <w:rsid w:val="00C223C7"/>
    <w:rsid w:val="00C22731"/>
    <w:rsid w:val="00C22797"/>
    <w:rsid w:val="00C2290C"/>
    <w:rsid w:val="00C22F84"/>
    <w:rsid w:val="00C2348F"/>
    <w:rsid w:val="00C23B45"/>
    <w:rsid w:val="00C24356"/>
    <w:rsid w:val="00C2473E"/>
    <w:rsid w:val="00C24B65"/>
    <w:rsid w:val="00C2527A"/>
    <w:rsid w:val="00C2542C"/>
    <w:rsid w:val="00C25854"/>
    <w:rsid w:val="00C25961"/>
    <w:rsid w:val="00C263DE"/>
    <w:rsid w:val="00C2657D"/>
    <w:rsid w:val="00C26808"/>
    <w:rsid w:val="00C26A64"/>
    <w:rsid w:val="00C2717B"/>
    <w:rsid w:val="00C2721F"/>
    <w:rsid w:val="00C274A9"/>
    <w:rsid w:val="00C274C0"/>
    <w:rsid w:val="00C274C9"/>
    <w:rsid w:val="00C278D7"/>
    <w:rsid w:val="00C27AC5"/>
    <w:rsid w:val="00C27BC0"/>
    <w:rsid w:val="00C27C8C"/>
    <w:rsid w:val="00C30013"/>
    <w:rsid w:val="00C302C5"/>
    <w:rsid w:val="00C30B25"/>
    <w:rsid w:val="00C30C21"/>
    <w:rsid w:val="00C30E9A"/>
    <w:rsid w:val="00C3129E"/>
    <w:rsid w:val="00C314AA"/>
    <w:rsid w:val="00C31792"/>
    <w:rsid w:val="00C318E6"/>
    <w:rsid w:val="00C31C46"/>
    <w:rsid w:val="00C32881"/>
    <w:rsid w:val="00C32911"/>
    <w:rsid w:val="00C32DEC"/>
    <w:rsid w:val="00C32E0A"/>
    <w:rsid w:val="00C32F28"/>
    <w:rsid w:val="00C333D0"/>
    <w:rsid w:val="00C33885"/>
    <w:rsid w:val="00C33AAD"/>
    <w:rsid w:val="00C33BED"/>
    <w:rsid w:val="00C33EC7"/>
    <w:rsid w:val="00C342F5"/>
    <w:rsid w:val="00C3447A"/>
    <w:rsid w:val="00C346E7"/>
    <w:rsid w:val="00C349DB"/>
    <w:rsid w:val="00C349F9"/>
    <w:rsid w:val="00C351A9"/>
    <w:rsid w:val="00C35519"/>
    <w:rsid w:val="00C355B0"/>
    <w:rsid w:val="00C3573F"/>
    <w:rsid w:val="00C36FE7"/>
    <w:rsid w:val="00C371E8"/>
    <w:rsid w:val="00C374F3"/>
    <w:rsid w:val="00C37750"/>
    <w:rsid w:val="00C377E9"/>
    <w:rsid w:val="00C3789A"/>
    <w:rsid w:val="00C409BB"/>
    <w:rsid w:val="00C40E19"/>
    <w:rsid w:val="00C40E2E"/>
    <w:rsid w:val="00C4121F"/>
    <w:rsid w:val="00C413F3"/>
    <w:rsid w:val="00C4151D"/>
    <w:rsid w:val="00C416E1"/>
    <w:rsid w:val="00C417DE"/>
    <w:rsid w:val="00C41B44"/>
    <w:rsid w:val="00C41BC7"/>
    <w:rsid w:val="00C41C41"/>
    <w:rsid w:val="00C42861"/>
    <w:rsid w:val="00C42869"/>
    <w:rsid w:val="00C42A15"/>
    <w:rsid w:val="00C42B68"/>
    <w:rsid w:val="00C42BE7"/>
    <w:rsid w:val="00C42C54"/>
    <w:rsid w:val="00C42CF7"/>
    <w:rsid w:val="00C42FB7"/>
    <w:rsid w:val="00C439C5"/>
    <w:rsid w:val="00C43A87"/>
    <w:rsid w:val="00C43D04"/>
    <w:rsid w:val="00C4421F"/>
    <w:rsid w:val="00C4439F"/>
    <w:rsid w:val="00C44995"/>
    <w:rsid w:val="00C44B6B"/>
    <w:rsid w:val="00C450B9"/>
    <w:rsid w:val="00C4537C"/>
    <w:rsid w:val="00C45385"/>
    <w:rsid w:val="00C461AB"/>
    <w:rsid w:val="00C463C6"/>
    <w:rsid w:val="00C46663"/>
    <w:rsid w:val="00C469D4"/>
    <w:rsid w:val="00C46B6D"/>
    <w:rsid w:val="00C46D9C"/>
    <w:rsid w:val="00C470AC"/>
    <w:rsid w:val="00C4718F"/>
    <w:rsid w:val="00C471D8"/>
    <w:rsid w:val="00C47385"/>
    <w:rsid w:val="00C479E0"/>
    <w:rsid w:val="00C47BF8"/>
    <w:rsid w:val="00C47C71"/>
    <w:rsid w:val="00C47E26"/>
    <w:rsid w:val="00C50258"/>
    <w:rsid w:val="00C5029E"/>
    <w:rsid w:val="00C5095B"/>
    <w:rsid w:val="00C50B25"/>
    <w:rsid w:val="00C50E1D"/>
    <w:rsid w:val="00C514A8"/>
    <w:rsid w:val="00C51583"/>
    <w:rsid w:val="00C5164E"/>
    <w:rsid w:val="00C51768"/>
    <w:rsid w:val="00C51B1C"/>
    <w:rsid w:val="00C51CF6"/>
    <w:rsid w:val="00C51D03"/>
    <w:rsid w:val="00C51D57"/>
    <w:rsid w:val="00C52330"/>
    <w:rsid w:val="00C5245B"/>
    <w:rsid w:val="00C5257C"/>
    <w:rsid w:val="00C52E02"/>
    <w:rsid w:val="00C537A2"/>
    <w:rsid w:val="00C53DCE"/>
    <w:rsid w:val="00C54026"/>
    <w:rsid w:val="00C541A5"/>
    <w:rsid w:val="00C542F8"/>
    <w:rsid w:val="00C54598"/>
    <w:rsid w:val="00C54622"/>
    <w:rsid w:val="00C54721"/>
    <w:rsid w:val="00C5519E"/>
    <w:rsid w:val="00C55557"/>
    <w:rsid w:val="00C5574E"/>
    <w:rsid w:val="00C55A40"/>
    <w:rsid w:val="00C55CE9"/>
    <w:rsid w:val="00C55ED9"/>
    <w:rsid w:val="00C562BD"/>
    <w:rsid w:val="00C5659A"/>
    <w:rsid w:val="00C566C7"/>
    <w:rsid w:val="00C56711"/>
    <w:rsid w:val="00C56757"/>
    <w:rsid w:val="00C5692E"/>
    <w:rsid w:val="00C56A0E"/>
    <w:rsid w:val="00C56A7B"/>
    <w:rsid w:val="00C56BD4"/>
    <w:rsid w:val="00C56D0C"/>
    <w:rsid w:val="00C56FAF"/>
    <w:rsid w:val="00C570C8"/>
    <w:rsid w:val="00C57208"/>
    <w:rsid w:val="00C57465"/>
    <w:rsid w:val="00C57518"/>
    <w:rsid w:val="00C57C07"/>
    <w:rsid w:val="00C57D51"/>
    <w:rsid w:val="00C6044A"/>
    <w:rsid w:val="00C60604"/>
    <w:rsid w:val="00C606C5"/>
    <w:rsid w:val="00C618EB"/>
    <w:rsid w:val="00C61ADC"/>
    <w:rsid w:val="00C61BFD"/>
    <w:rsid w:val="00C61EFE"/>
    <w:rsid w:val="00C62069"/>
    <w:rsid w:val="00C62073"/>
    <w:rsid w:val="00C63046"/>
    <w:rsid w:val="00C6312F"/>
    <w:rsid w:val="00C64267"/>
    <w:rsid w:val="00C64398"/>
    <w:rsid w:val="00C64972"/>
    <w:rsid w:val="00C64AF6"/>
    <w:rsid w:val="00C6523C"/>
    <w:rsid w:val="00C65553"/>
    <w:rsid w:val="00C655F2"/>
    <w:rsid w:val="00C657FE"/>
    <w:rsid w:val="00C6588B"/>
    <w:rsid w:val="00C65992"/>
    <w:rsid w:val="00C65B4C"/>
    <w:rsid w:val="00C65B61"/>
    <w:rsid w:val="00C66178"/>
    <w:rsid w:val="00C66745"/>
    <w:rsid w:val="00C66893"/>
    <w:rsid w:val="00C66FAA"/>
    <w:rsid w:val="00C67333"/>
    <w:rsid w:val="00C675A9"/>
    <w:rsid w:val="00C67819"/>
    <w:rsid w:val="00C67859"/>
    <w:rsid w:val="00C67A3F"/>
    <w:rsid w:val="00C67B65"/>
    <w:rsid w:val="00C700A1"/>
    <w:rsid w:val="00C70519"/>
    <w:rsid w:val="00C7056E"/>
    <w:rsid w:val="00C7076B"/>
    <w:rsid w:val="00C70B30"/>
    <w:rsid w:val="00C70BE4"/>
    <w:rsid w:val="00C70E53"/>
    <w:rsid w:val="00C71123"/>
    <w:rsid w:val="00C712F7"/>
    <w:rsid w:val="00C715D5"/>
    <w:rsid w:val="00C71823"/>
    <w:rsid w:val="00C7192F"/>
    <w:rsid w:val="00C71934"/>
    <w:rsid w:val="00C71ADF"/>
    <w:rsid w:val="00C71B00"/>
    <w:rsid w:val="00C71B9A"/>
    <w:rsid w:val="00C71C84"/>
    <w:rsid w:val="00C71CDB"/>
    <w:rsid w:val="00C7207C"/>
    <w:rsid w:val="00C7248B"/>
    <w:rsid w:val="00C72551"/>
    <w:rsid w:val="00C72884"/>
    <w:rsid w:val="00C72979"/>
    <w:rsid w:val="00C72BAA"/>
    <w:rsid w:val="00C72F2E"/>
    <w:rsid w:val="00C72FCB"/>
    <w:rsid w:val="00C73523"/>
    <w:rsid w:val="00C735A5"/>
    <w:rsid w:val="00C7389C"/>
    <w:rsid w:val="00C73B4F"/>
    <w:rsid w:val="00C73D94"/>
    <w:rsid w:val="00C7434F"/>
    <w:rsid w:val="00C74B3C"/>
    <w:rsid w:val="00C75176"/>
    <w:rsid w:val="00C75214"/>
    <w:rsid w:val="00C7527D"/>
    <w:rsid w:val="00C75433"/>
    <w:rsid w:val="00C7551A"/>
    <w:rsid w:val="00C75604"/>
    <w:rsid w:val="00C757E3"/>
    <w:rsid w:val="00C75ABF"/>
    <w:rsid w:val="00C75BBC"/>
    <w:rsid w:val="00C76F94"/>
    <w:rsid w:val="00C76FD5"/>
    <w:rsid w:val="00C7730F"/>
    <w:rsid w:val="00C77393"/>
    <w:rsid w:val="00C776EE"/>
    <w:rsid w:val="00C777C0"/>
    <w:rsid w:val="00C779DB"/>
    <w:rsid w:val="00C77AE1"/>
    <w:rsid w:val="00C77DD9"/>
    <w:rsid w:val="00C80203"/>
    <w:rsid w:val="00C8066E"/>
    <w:rsid w:val="00C80D7F"/>
    <w:rsid w:val="00C80DAA"/>
    <w:rsid w:val="00C8138E"/>
    <w:rsid w:val="00C81529"/>
    <w:rsid w:val="00C818B2"/>
    <w:rsid w:val="00C81BA6"/>
    <w:rsid w:val="00C81CEA"/>
    <w:rsid w:val="00C81E2A"/>
    <w:rsid w:val="00C82964"/>
    <w:rsid w:val="00C8316A"/>
    <w:rsid w:val="00C834DB"/>
    <w:rsid w:val="00C83718"/>
    <w:rsid w:val="00C8377C"/>
    <w:rsid w:val="00C8384F"/>
    <w:rsid w:val="00C83F0D"/>
    <w:rsid w:val="00C84068"/>
    <w:rsid w:val="00C84906"/>
    <w:rsid w:val="00C851A5"/>
    <w:rsid w:val="00C8552C"/>
    <w:rsid w:val="00C85715"/>
    <w:rsid w:val="00C85E9E"/>
    <w:rsid w:val="00C85EAC"/>
    <w:rsid w:val="00C86C4F"/>
    <w:rsid w:val="00C87091"/>
    <w:rsid w:val="00C870B7"/>
    <w:rsid w:val="00C870CE"/>
    <w:rsid w:val="00C877CD"/>
    <w:rsid w:val="00C87A4E"/>
    <w:rsid w:val="00C87B6B"/>
    <w:rsid w:val="00C90133"/>
    <w:rsid w:val="00C902E9"/>
    <w:rsid w:val="00C90817"/>
    <w:rsid w:val="00C908B7"/>
    <w:rsid w:val="00C91117"/>
    <w:rsid w:val="00C914B0"/>
    <w:rsid w:val="00C91680"/>
    <w:rsid w:val="00C919E9"/>
    <w:rsid w:val="00C91A1A"/>
    <w:rsid w:val="00C91B49"/>
    <w:rsid w:val="00C91D81"/>
    <w:rsid w:val="00C91E50"/>
    <w:rsid w:val="00C91FD0"/>
    <w:rsid w:val="00C92574"/>
    <w:rsid w:val="00C926F8"/>
    <w:rsid w:val="00C92A3B"/>
    <w:rsid w:val="00C92A42"/>
    <w:rsid w:val="00C92A91"/>
    <w:rsid w:val="00C92ABA"/>
    <w:rsid w:val="00C9305C"/>
    <w:rsid w:val="00C932D4"/>
    <w:rsid w:val="00C93361"/>
    <w:rsid w:val="00C9348C"/>
    <w:rsid w:val="00C9355D"/>
    <w:rsid w:val="00C93614"/>
    <w:rsid w:val="00C93DB4"/>
    <w:rsid w:val="00C94050"/>
    <w:rsid w:val="00C946C0"/>
    <w:rsid w:val="00C94702"/>
    <w:rsid w:val="00C947C4"/>
    <w:rsid w:val="00C9498B"/>
    <w:rsid w:val="00C94A87"/>
    <w:rsid w:val="00C94B05"/>
    <w:rsid w:val="00C94B7B"/>
    <w:rsid w:val="00C94CD0"/>
    <w:rsid w:val="00C9523C"/>
    <w:rsid w:val="00C95552"/>
    <w:rsid w:val="00C95649"/>
    <w:rsid w:val="00C95758"/>
    <w:rsid w:val="00C959F6"/>
    <w:rsid w:val="00C95BC1"/>
    <w:rsid w:val="00C95D8C"/>
    <w:rsid w:val="00C95E2A"/>
    <w:rsid w:val="00C95F67"/>
    <w:rsid w:val="00C966AD"/>
    <w:rsid w:val="00C967F9"/>
    <w:rsid w:val="00C969CA"/>
    <w:rsid w:val="00C96A0D"/>
    <w:rsid w:val="00C96C3E"/>
    <w:rsid w:val="00C96C4B"/>
    <w:rsid w:val="00C97151"/>
    <w:rsid w:val="00C9748C"/>
    <w:rsid w:val="00C9772C"/>
    <w:rsid w:val="00C97959"/>
    <w:rsid w:val="00C97CB0"/>
    <w:rsid w:val="00C97D29"/>
    <w:rsid w:val="00CA0510"/>
    <w:rsid w:val="00CA0537"/>
    <w:rsid w:val="00CA09AC"/>
    <w:rsid w:val="00CA1298"/>
    <w:rsid w:val="00CA12E3"/>
    <w:rsid w:val="00CA1324"/>
    <w:rsid w:val="00CA15ED"/>
    <w:rsid w:val="00CA18F2"/>
    <w:rsid w:val="00CA1AD4"/>
    <w:rsid w:val="00CA1D4D"/>
    <w:rsid w:val="00CA1F57"/>
    <w:rsid w:val="00CA2483"/>
    <w:rsid w:val="00CA29EA"/>
    <w:rsid w:val="00CA2DA1"/>
    <w:rsid w:val="00CA2EC3"/>
    <w:rsid w:val="00CA31CC"/>
    <w:rsid w:val="00CA33B9"/>
    <w:rsid w:val="00CA345D"/>
    <w:rsid w:val="00CA3589"/>
    <w:rsid w:val="00CA3D3D"/>
    <w:rsid w:val="00CA3F7A"/>
    <w:rsid w:val="00CA4164"/>
    <w:rsid w:val="00CA4871"/>
    <w:rsid w:val="00CA49C5"/>
    <w:rsid w:val="00CA4A6A"/>
    <w:rsid w:val="00CA506B"/>
    <w:rsid w:val="00CA52B8"/>
    <w:rsid w:val="00CA52DA"/>
    <w:rsid w:val="00CA5340"/>
    <w:rsid w:val="00CA571F"/>
    <w:rsid w:val="00CA59FC"/>
    <w:rsid w:val="00CA5F46"/>
    <w:rsid w:val="00CA621A"/>
    <w:rsid w:val="00CA6722"/>
    <w:rsid w:val="00CA6D4E"/>
    <w:rsid w:val="00CA712E"/>
    <w:rsid w:val="00CA7653"/>
    <w:rsid w:val="00CA76F5"/>
    <w:rsid w:val="00CA7A85"/>
    <w:rsid w:val="00CA7B4B"/>
    <w:rsid w:val="00CB06B9"/>
    <w:rsid w:val="00CB0732"/>
    <w:rsid w:val="00CB0767"/>
    <w:rsid w:val="00CB0808"/>
    <w:rsid w:val="00CB0976"/>
    <w:rsid w:val="00CB1046"/>
    <w:rsid w:val="00CB10B8"/>
    <w:rsid w:val="00CB1595"/>
    <w:rsid w:val="00CB16A4"/>
    <w:rsid w:val="00CB19DB"/>
    <w:rsid w:val="00CB1B1D"/>
    <w:rsid w:val="00CB2E22"/>
    <w:rsid w:val="00CB2E6C"/>
    <w:rsid w:val="00CB36A8"/>
    <w:rsid w:val="00CB3996"/>
    <w:rsid w:val="00CB3D7A"/>
    <w:rsid w:val="00CB452A"/>
    <w:rsid w:val="00CB47ED"/>
    <w:rsid w:val="00CB5082"/>
    <w:rsid w:val="00CB57F4"/>
    <w:rsid w:val="00CB5A77"/>
    <w:rsid w:val="00CB6402"/>
    <w:rsid w:val="00CB6F1C"/>
    <w:rsid w:val="00CB7021"/>
    <w:rsid w:val="00CB732C"/>
    <w:rsid w:val="00CB7447"/>
    <w:rsid w:val="00CB7468"/>
    <w:rsid w:val="00CB7B04"/>
    <w:rsid w:val="00CB7B59"/>
    <w:rsid w:val="00CB7BB6"/>
    <w:rsid w:val="00CB7BD0"/>
    <w:rsid w:val="00CB7F3C"/>
    <w:rsid w:val="00CB7FB9"/>
    <w:rsid w:val="00CB895E"/>
    <w:rsid w:val="00CC0387"/>
    <w:rsid w:val="00CC05FA"/>
    <w:rsid w:val="00CC0B35"/>
    <w:rsid w:val="00CC0ED7"/>
    <w:rsid w:val="00CC1270"/>
    <w:rsid w:val="00CC139A"/>
    <w:rsid w:val="00CC1420"/>
    <w:rsid w:val="00CC15EC"/>
    <w:rsid w:val="00CC16CD"/>
    <w:rsid w:val="00CC1B0A"/>
    <w:rsid w:val="00CC1C7A"/>
    <w:rsid w:val="00CC1E06"/>
    <w:rsid w:val="00CC1E7A"/>
    <w:rsid w:val="00CC2575"/>
    <w:rsid w:val="00CC26F0"/>
    <w:rsid w:val="00CC2AEE"/>
    <w:rsid w:val="00CC2B1B"/>
    <w:rsid w:val="00CC3376"/>
    <w:rsid w:val="00CC3507"/>
    <w:rsid w:val="00CC3537"/>
    <w:rsid w:val="00CC3994"/>
    <w:rsid w:val="00CC3F36"/>
    <w:rsid w:val="00CC40C6"/>
    <w:rsid w:val="00CC40EB"/>
    <w:rsid w:val="00CC435E"/>
    <w:rsid w:val="00CC4767"/>
    <w:rsid w:val="00CC496D"/>
    <w:rsid w:val="00CC4E31"/>
    <w:rsid w:val="00CC4F64"/>
    <w:rsid w:val="00CC552E"/>
    <w:rsid w:val="00CC560A"/>
    <w:rsid w:val="00CC571D"/>
    <w:rsid w:val="00CC5A64"/>
    <w:rsid w:val="00CC629A"/>
    <w:rsid w:val="00CC6658"/>
    <w:rsid w:val="00CC7252"/>
    <w:rsid w:val="00CC7406"/>
    <w:rsid w:val="00CC77FE"/>
    <w:rsid w:val="00CC79AD"/>
    <w:rsid w:val="00CC7C0A"/>
    <w:rsid w:val="00CC7C80"/>
    <w:rsid w:val="00CC7F16"/>
    <w:rsid w:val="00CD0134"/>
    <w:rsid w:val="00CD04DA"/>
    <w:rsid w:val="00CD058C"/>
    <w:rsid w:val="00CD0E61"/>
    <w:rsid w:val="00CD0E6D"/>
    <w:rsid w:val="00CD0F68"/>
    <w:rsid w:val="00CD1508"/>
    <w:rsid w:val="00CD1D6F"/>
    <w:rsid w:val="00CD1FB4"/>
    <w:rsid w:val="00CD274B"/>
    <w:rsid w:val="00CD292B"/>
    <w:rsid w:val="00CD299B"/>
    <w:rsid w:val="00CD308B"/>
    <w:rsid w:val="00CD30D7"/>
    <w:rsid w:val="00CD30E5"/>
    <w:rsid w:val="00CD340D"/>
    <w:rsid w:val="00CD3465"/>
    <w:rsid w:val="00CD361D"/>
    <w:rsid w:val="00CD36EE"/>
    <w:rsid w:val="00CD3975"/>
    <w:rsid w:val="00CD3A3E"/>
    <w:rsid w:val="00CD3B98"/>
    <w:rsid w:val="00CD3E14"/>
    <w:rsid w:val="00CD3F5C"/>
    <w:rsid w:val="00CD4096"/>
    <w:rsid w:val="00CD4216"/>
    <w:rsid w:val="00CD445D"/>
    <w:rsid w:val="00CD4594"/>
    <w:rsid w:val="00CD4958"/>
    <w:rsid w:val="00CD4B5C"/>
    <w:rsid w:val="00CD4C45"/>
    <w:rsid w:val="00CD518C"/>
    <w:rsid w:val="00CD5991"/>
    <w:rsid w:val="00CD5BC7"/>
    <w:rsid w:val="00CD5E67"/>
    <w:rsid w:val="00CD5FAE"/>
    <w:rsid w:val="00CD602B"/>
    <w:rsid w:val="00CD6794"/>
    <w:rsid w:val="00CD7031"/>
    <w:rsid w:val="00CD71FB"/>
    <w:rsid w:val="00CD733F"/>
    <w:rsid w:val="00CD7F20"/>
    <w:rsid w:val="00CE031E"/>
    <w:rsid w:val="00CE0333"/>
    <w:rsid w:val="00CE0942"/>
    <w:rsid w:val="00CE0A19"/>
    <w:rsid w:val="00CE0B8F"/>
    <w:rsid w:val="00CE0DCC"/>
    <w:rsid w:val="00CE0FE1"/>
    <w:rsid w:val="00CE107A"/>
    <w:rsid w:val="00CE1117"/>
    <w:rsid w:val="00CE119A"/>
    <w:rsid w:val="00CE1569"/>
    <w:rsid w:val="00CE1BE5"/>
    <w:rsid w:val="00CE203A"/>
    <w:rsid w:val="00CE2368"/>
    <w:rsid w:val="00CE2391"/>
    <w:rsid w:val="00CE2409"/>
    <w:rsid w:val="00CE2451"/>
    <w:rsid w:val="00CE2F77"/>
    <w:rsid w:val="00CE36AD"/>
    <w:rsid w:val="00CE3937"/>
    <w:rsid w:val="00CE4438"/>
    <w:rsid w:val="00CE4813"/>
    <w:rsid w:val="00CE4EB6"/>
    <w:rsid w:val="00CE4F44"/>
    <w:rsid w:val="00CE54DB"/>
    <w:rsid w:val="00CE54F2"/>
    <w:rsid w:val="00CE5A85"/>
    <w:rsid w:val="00CE6171"/>
    <w:rsid w:val="00CE68CA"/>
    <w:rsid w:val="00CE6C2F"/>
    <w:rsid w:val="00CE6D59"/>
    <w:rsid w:val="00CE763B"/>
    <w:rsid w:val="00CE7B65"/>
    <w:rsid w:val="00CE7CA5"/>
    <w:rsid w:val="00CF055C"/>
    <w:rsid w:val="00CF0636"/>
    <w:rsid w:val="00CF08BD"/>
    <w:rsid w:val="00CF0C0B"/>
    <w:rsid w:val="00CF1034"/>
    <w:rsid w:val="00CF1181"/>
    <w:rsid w:val="00CF1853"/>
    <w:rsid w:val="00CF19E5"/>
    <w:rsid w:val="00CF1D2D"/>
    <w:rsid w:val="00CF1D54"/>
    <w:rsid w:val="00CF1D81"/>
    <w:rsid w:val="00CF1EE4"/>
    <w:rsid w:val="00CF23D0"/>
    <w:rsid w:val="00CF2502"/>
    <w:rsid w:val="00CF2765"/>
    <w:rsid w:val="00CF2996"/>
    <w:rsid w:val="00CF2BDC"/>
    <w:rsid w:val="00CF2DC9"/>
    <w:rsid w:val="00CF31B5"/>
    <w:rsid w:val="00CF3378"/>
    <w:rsid w:val="00CF46C3"/>
    <w:rsid w:val="00CF4777"/>
    <w:rsid w:val="00CF48DA"/>
    <w:rsid w:val="00CF50D7"/>
    <w:rsid w:val="00CF5287"/>
    <w:rsid w:val="00CF564A"/>
    <w:rsid w:val="00CF5652"/>
    <w:rsid w:val="00CF573D"/>
    <w:rsid w:val="00CF59B9"/>
    <w:rsid w:val="00CF5A45"/>
    <w:rsid w:val="00CF5F86"/>
    <w:rsid w:val="00CF5F9E"/>
    <w:rsid w:val="00CF6235"/>
    <w:rsid w:val="00CF6794"/>
    <w:rsid w:val="00CF67F8"/>
    <w:rsid w:val="00CF689E"/>
    <w:rsid w:val="00CF6A04"/>
    <w:rsid w:val="00CF6B0B"/>
    <w:rsid w:val="00CF6CAF"/>
    <w:rsid w:val="00CF7BD7"/>
    <w:rsid w:val="00CF7CB6"/>
    <w:rsid w:val="00CF7F1C"/>
    <w:rsid w:val="00CF7F27"/>
    <w:rsid w:val="00CF7F40"/>
    <w:rsid w:val="00D0008C"/>
    <w:rsid w:val="00D00215"/>
    <w:rsid w:val="00D00EC3"/>
    <w:rsid w:val="00D00F2B"/>
    <w:rsid w:val="00D00F84"/>
    <w:rsid w:val="00D01262"/>
    <w:rsid w:val="00D01A1F"/>
    <w:rsid w:val="00D01CD9"/>
    <w:rsid w:val="00D01DB0"/>
    <w:rsid w:val="00D01F98"/>
    <w:rsid w:val="00D021AE"/>
    <w:rsid w:val="00D0243B"/>
    <w:rsid w:val="00D026E1"/>
    <w:rsid w:val="00D026E5"/>
    <w:rsid w:val="00D02875"/>
    <w:rsid w:val="00D02DB6"/>
    <w:rsid w:val="00D030BC"/>
    <w:rsid w:val="00D03D13"/>
    <w:rsid w:val="00D0452D"/>
    <w:rsid w:val="00D05082"/>
    <w:rsid w:val="00D05AB4"/>
    <w:rsid w:val="00D06231"/>
    <w:rsid w:val="00D06418"/>
    <w:rsid w:val="00D0681B"/>
    <w:rsid w:val="00D06DA5"/>
    <w:rsid w:val="00D06E0A"/>
    <w:rsid w:val="00D070DE"/>
    <w:rsid w:val="00D07A67"/>
    <w:rsid w:val="00D07C1A"/>
    <w:rsid w:val="00D07DB3"/>
    <w:rsid w:val="00D07E51"/>
    <w:rsid w:val="00D100AC"/>
    <w:rsid w:val="00D10396"/>
    <w:rsid w:val="00D103D2"/>
    <w:rsid w:val="00D10B22"/>
    <w:rsid w:val="00D10E9E"/>
    <w:rsid w:val="00D110A8"/>
    <w:rsid w:val="00D110BF"/>
    <w:rsid w:val="00D111C6"/>
    <w:rsid w:val="00D11392"/>
    <w:rsid w:val="00D118C8"/>
    <w:rsid w:val="00D11F10"/>
    <w:rsid w:val="00D12298"/>
    <w:rsid w:val="00D122AA"/>
    <w:rsid w:val="00D12C91"/>
    <w:rsid w:val="00D130F8"/>
    <w:rsid w:val="00D13435"/>
    <w:rsid w:val="00D1354C"/>
    <w:rsid w:val="00D13573"/>
    <w:rsid w:val="00D13691"/>
    <w:rsid w:val="00D139F7"/>
    <w:rsid w:val="00D13C1C"/>
    <w:rsid w:val="00D14DE4"/>
    <w:rsid w:val="00D14EC7"/>
    <w:rsid w:val="00D15EF9"/>
    <w:rsid w:val="00D161CF"/>
    <w:rsid w:val="00D16426"/>
    <w:rsid w:val="00D16736"/>
    <w:rsid w:val="00D169BC"/>
    <w:rsid w:val="00D16EEC"/>
    <w:rsid w:val="00D17164"/>
    <w:rsid w:val="00D1723E"/>
    <w:rsid w:val="00D1764F"/>
    <w:rsid w:val="00D177F9"/>
    <w:rsid w:val="00D17BD9"/>
    <w:rsid w:val="00D17EE1"/>
    <w:rsid w:val="00D17F4E"/>
    <w:rsid w:val="00D200FE"/>
    <w:rsid w:val="00D20660"/>
    <w:rsid w:val="00D2099F"/>
    <w:rsid w:val="00D20B8A"/>
    <w:rsid w:val="00D20E74"/>
    <w:rsid w:val="00D20F05"/>
    <w:rsid w:val="00D2110C"/>
    <w:rsid w:val="00D21312"/>
    <w:rsid w:val="00D21772"/>
    <w:rsid w:val="00D2177F"/>
    <w:rsid w:val="00D21949"/>
    <w:rsid w:val="00D2213A"/>
    <w:rsid w:val="00D2214C"/>
    <w:rsid w:val="00D22C5A"/>
    <w:rsid w:val="00D22F6C"/>
    <w:rsid w:val="00D235EC"/>
    <w:rsid w:val="00D23AF5"/>
    <w:rsid w:val="00D23BB9"/>
    <w:rsid w:val="00D23BC9"/>
    <w:rsid w:val="00D23E43"/>
    <w:rsid w:val="00D23E80"/>
    <w:rsid w:val="00D240E2"/>
    <w:rsid w:val="00D2436E"/>
    <w:rsid w:val="00D24972"/>
    <w:rsid w:val="00D24D21"/>
    <w:rsid w:val="00D251FA"/>
    <w:rsid w:val="00D25376"/>
    <w:rsid w:val="00D25CCD"/>
    <w:rsid w:val="00D267B9"/>
    <w:rsid w:val="00D268AC"/>
    <w:rsid w:val="00D26CF3"/>
    <w:rsid w:val="00D272CA"/>
    <w:rsid w:val="00D275D3"/>
    <w:rsid w:val="00D27C79"/>
    <w:rsid w:val="00D27F27"/>
    <w:rsid w:val="00D27FA0"/>
    <w:rsid w:val="00D30F36"/>
    <w:rsid w:val="00D311AB"/>
    <w:rsid w:val="00D3139E"/>
    <w:rsid w:val="00D3162E"/>
    <w:rsid w:val="00D317F0"/>
    <w:rsid w:val="00D320B7"/>
    <w:rsid w:val="00D325A8"/>
    <w:rsid w:val="00D326D9"/>
    <w:rsid w:val="00D32BDC"/>
    <w:rsid w:val="00D32DC4"/>
    <w:rsid w:val="00D32DC6"/>
    <w:rsid w:val="00D332E7"/>
    <w:rsid w:val="00D336F6"/>
    <w:rsid w:val="00D33C48"/>
    <w:rsid w:val="00D3411D"/>
    <w:rsid w:val="00D341DF"/>
    <w:rsid w:val="00D3464E"/>
    <w:rsid w:val="00D3475E"/>
    <w:rsid w:val="00D348BB"/>
    <w:rsid w:val="00D34AE2"/>
    <w:rsid w:val="00D34C69"/>
    <w:rsid w:val="00D34C85"/>
    <w:rsid w:val="00D354CE"/>
    <w:rsid w:val="00D356B5"/>
    <w:rsid w:val="00D35FED"/>
    <w:rsid w:val="00D36161"/>
    <w:rsid w:val="00D363E6"/>
    <w:rsid w:val="00D369A7"/>
    <w:rsid w:val="00D3715D"/>
    <w:rsid w:val="00D37737"/>
    <w:rsid w:val="00D37BD5"/>
    <w:rsid w:val="00D37E38"/>
    <w:rsid w:val="00D408B9"/>
    <w:rsid w:val="00D40950"/>
    <w:rsid w:val="00D40C2B"/>
    <w:rsid w:val="00D41283"/>
    <w:rsid w:val="00D41602"/>
    <w:rsid w:val="00D419B6"/>
    <w:rsid w:val="00D41A26"/>
    <w:rsid w:val="00D41DFE"/>
    <w:rsid w:val="00D421FB"/>
    <w:rsid w:val="00D42270"/>
    <w:rsid w:val="00D4273B"/>
    <w:rsid w:val="00D42843"/>
    <w:rsid w:val="00D42E91"/>
    <w:rsid w:val="00D434E4"/>
    <w:rsid w:val="00D437C5"/>
    <w:rsid w:val="00D43A79"/>
    <w:rsid w:val="00D43ABF"/>
    <w:rsid w:val="00D43D31"/>
    <w:rsid w:val="00D442AD"/>
    <w:rsid w:val="00D44523"/>
    <w:rsid w:val="00D44795"/>
    <w:rsid w:val="00D44A83"/>
    <w:rsid w:val="00D44F83"/>
    <w:rsid w:val="00D45499"/>
    <w:rsid w:val="00D45A27"/>
    <w:rsid w:val="00D45D52"/>
    <w:rsid w:val="00D45DE0"/>
    <w:rsid w:val="00D46CD8"/>
    <w:rsid w:val="00D47355"/>
    <w:rsid w:val="00D4748B"/>
    <w:rsid w:val="00D4754C"/>
    <w:rsid w:val="00D501BB"/>
    <w:rsid w:val="00D50627"/>
    <w:rsid w:val="00D50DBB"/>
    <w:rsid w:val="00D511C4"/>
    <w:rsid w:val="00D5180D"/>
    <w:rsid w:val="00D51B79"/>
    <w:rsid w:val="00D51BC9"/>
    <w:rsid w:val="00D51C1C"/>
    <w:rsid w:val="00D5254B"/>
    <w:rsid w:val="00D526F0"/>
    <w:rsid w:val="00D5274D"/>
    <w:rsid w:val="00D52917"/>
    <w:rsid w:val="00D52918"/>
    <w:rsid w:val="00D5306A"/>
    <w:rsid w:val="00D532A8"/>
    <w:rsid w:val="00D53691"/>
    <w:rsid w:val="00D53A12"/>
    <w:rsid w:val="00D53A38"/>
    <w:rsid w:val="00D53F7E"/>
    <w:rsid w:val="00D5419D"/>
    <w:rsid w:val="00D5437C"/>
    <w:rsid w:val="00D54919"/>
    <w:rsid w:val="00D552A9"/>
    <w:rsid w:val="00D552BB"/>
    <w:rsid w:val="00D55381"/>
    <w:rsid w:val="00D553F2"/>
    <w:rsid w:val="00D5562E"/>
    <w:rsid w:val="00D55654"/>
    <w:rsid w:val="00D556FB"/>
    <w:rsid w:val="00D55826"/>
    <w:rsid w:val="00D55959"/>
    <w:rsid w:val="00D55CB9"/>
    <w:rsid w:val="00D55E74"/>
    <w:rsid w:val="00D55F25"/>
    <w:rsid w:val="00D56058"/>
    <w:rsid w:val="00D5618A"/>
    <w:rsid w:val="00D567C3"/>
    <w:rsid w:val="00D56DB0"/>
    <w:rsid w:val="00D56F7D"/>
    <w:rsid w:val="00D57318"/>
    <w:rsid w:val="00D576BD"/>
    <w:rsid w:val="00D5784B"/>
    <w:rsid w:val="00D60343"/>
    <w:rsid w:val="00D61574"/>
    <w:rsid w:val="00D61804"/>
    <w:rsid w:val="00D61B87"/>
    <w:rsid w:val="00D6219B"/>
    <w:rsid w:val="00D62285"/>
    <w:rsid w:val="00D624C2"/>
    <w:rsid w:val="00D62A12"/>
    <w:rsid w:val="00D633ED"/>
    <w:rsid w:val="00D635F6"/>
    <w:rsid w:val="00D636AA"/>
    <w:rsid w:val="00D63ECA"/>
    <w:rsid w:val="00D63EFB"/>
    <w:rsid w:val="00D63F92"/>
    <w:rsid w:val="00D64251"/>
    <w:rsid w:val="00D6453C"/>
    <w:rsid w:val="00D6491A"/>
    <w:rsid w:val="00D64D38"/>
    <w:rsid w:val="00D6537D"/>
    <w:rsid w:val="00D65886"/>
    <w:rsid w:val="00D658AF"/>
    <w:rsid w:val="00D65A7E"/>
    <w:rsid w:val="00D65D69"/>
    <w:rsid w:val="00D65FC0"/>
    <w:rsid w:val="00D660A7"/>
    <w:rsid w:val="00D66421"/>
    <w:rsid w:val="00D664E5"/>
    <w:rsid w:val="00D66C88"/>
    <w:rsid w:val="00D66DF9"/>
    <w:rsid w:val="00D67A50"/>
    <w:rsid w:val="00D67DE6"/>
    <w:rsid w:val="00D67EE2"/>
    <w:rsid w:val="00D67F14"/>
    <w:rsid w:val="00D67F95"/>
    <w:rsid w:val="00D701C7"/>
    <w:rsid w:val="00D70369"/>
    <w:rsid w:val="00D70547"/>
    <w:rsid w:val="00D709F7"/>
    <w:rsid w:val="00D709FE"/>
    <w:rsid w:val="00D70A9C"/>
    <w:rsid w:val="00D70CB3"/>
    <w:rsid w:val="00D71386"/>
    <w:rsid w:val="00D71640"/>
    <w:rsid w:val="00D71C4B"/>
    <w:rsid w:val="00D71D18"/>
    <w:rsid w:val="00D7243A"/>
    <w:rsid w:val="00D726D2"/>
    <w:rsid w:val="00D728C1"/>
    <w:rsid w:val="00D72BD0"/>
    <w:rsid w:val="00D72D88"/>
    <w:rsid w:val="00D7314A"/>
    <w:rsid w:val="00D73250"/>
    <w:rsid w:val="00D73388"/>
    <w:rsid w:val="00D7372E"/>
    <w:rsid w:val="00D739DE"/>
    <w:rsid w:val="00D73C7F"/>
    <w:rsid w:val="00D7409B"/>
    <w:rsid w:val="00D74294"/>
    <w:rsid w:val="00D7452A"/>
    <w:rsid w:val="00D748DF"/>
    <w:rsid w:val="00D74BB2"/>
    <w:rsid w:val="00D74DF7"/>
    <w:rsid w:val="00D756B1"/>
    <w:rsid w:val="00D75882"/>
    <w:rsid w:val="00D75C1D"/>
    <w:rsid w:val="00D75C39"/>
    <w:rsid w:val="00D76063"/>
    <w:rsid w:val="00D76203"/>
    <w:rsid w:val="00D768A3"/>
    <w:rsid w:val="00D7694E"/>
    <w:rsid w:val="00D8000D"/>
    <w:rsid w:val="00D80300"/>
    <w:rsid w:val="00D803E7"/>
    <w:rsid w:val="00D8073C"/>
    <w:rsid w:val="00D809AB"/>
    <w:rsid w:val="00D809EE"/>
    <w:rsid w:val="00D80F51"/>
    <w:rsid w:val="00D811F8"/>
    <w:rsid w:val="00D81332"/>
    <w:rsid w:val="00D82080"/>
    <w:rsid w:val="00D822E6"/>
    <w:rsid w:val="00D82715"/>
    <w:rsid w:val="00D828CA"/>
    <w:rsid w:val="00D82A98"/>
    <w:rsid w:val="00D82B32"/>
    <w:rsid w:val="00D832E8"/>
    <w:rsid w:val="00D83B1E"/>
    <w:rsid w:val="00D83DE9"/>
    <w:rsid w:val="00D84039"/>
    <w:rsid w:val="00D8404B"/>
    <w:rsid w:val="00D8450D"/>
    <w:rsid w:val="00D847DA"/>
    <w:rsid w:val="00D84B76"/>
    <w:rsid w:val="00D84B92"/>
    <w:rsid w:val="00D8527E"/>
    <w:rsid w:val="00D85348"/>
    <w:rsid w:val="00D8536C"/>
    <w:rsid w:val="00D854D2"/>
    <w:rsid w:val="00D858BF"/>
    <w:rsid w:val="00D85F81"/>
    <w:rsid w:val="00D865A1"/>
    <w:rsid w:val="00D8676A"/>
    <w:rsid w:val="00D867A0"/>
    <w:rsid w:val="00D8761C"/>
    <w:rsid w:val="00D87638"/>
    <w:rsid w:val="00D87A90"/>
    <w:rsid w:val="00D87BED"/>
    <w:rsid w:val="00D87C9B"/>
    <w:rsid w:val="00D87D58"/>
    <w:rsid w:val="00D90ECE"/>
    <w:rsid w:val="00D90F60"/>
    <w:rsid w:val="00D91507"/>
    <w:rsid w:val="00D919E3"/>
    <w:rsid w:val="00D9207B"/>
    <w:rsid w:val="00D920A1"/>
    <w:rsid w:val="00D9231A"/>
    <w:rsid w:val="00D923F1"/>
    <w:rsid w:val="00D92402"/>
    <w:rsid w:val="00D9261B"/>
    <w:rsid w:val="00D92A6D"/>
    <w:rsid w:val="00D92E62"/>
    <w:rsid w:val="00D932F5"/>
    <w:rsid w:val="00D9344B"/>
    <w:rsid w:val="00D935AB"/>
    <w:rsid w:val="00D93A82"/>
    <w:rsid w:val="00D93E4E"/>
    <w:rsid w:val="00D94133"/>
    <w:rsid w:val="00D941D8"/>
    <w:rsid w:val="00D943E9"/>
    <w:rsid w:val="00D94BAC"/>
    <w:rsid w:val="00D94EC0"/>
    <w:rsid w:val="00D94F96"/>
    <w:rsid w:val="00D953D4"/>
    <w:rsid w:val="00D95504"/>
    <w:rsid w:val="00D95AF9"/>
    <w:rsid w:val="00D95B8E"/>
    <w:rsid w:val="00D9615C"/>
    <w:rsid w:val="00D967E7"/>
    <w:rsid w:val="00D9683A"/>
    <w:rsid w:val="00D972DF"/>
    <w:rsid w:val="00D977DE"/>
    <w:rsid w:val="00D97915"/>
    <w:rsid w:val="00D97A25"/>
    <w:rsid w:val="00DA09C9"/>
    <w:rsid w:val="00DA0F47"/>
    <w:rsid w:val="00DA1114"/>
    <w:rsid w:val="00DA11CE"/>
    <w:rsid w:val="00DA1453"/>
    <w:rsid w:val="00DA1822"/>
    <w:rsid w:val="00DA199C"/>
    <w:rsid w:val="00DA1A34"/>
    <w:rsid w:val="00DA1E7E"/>
    <w:rsid w:val="00DA28FE"/>
    <w:rsid w:val="00DA2A25"/>
    <w:rsid w:val="00DA2D15"/>
    <w:rsid w:val="00DA2E22"/>
    <w:rsid w:val="00DA318E"/>
    <w:rsid w:val="00DA3605"/>
    <w:rsid w:val="00DA4717"/>
    <w:rsid w:val="00DA48D7"/>
    <w:rsid w:val="00DA5A00"/>
    <w:rsid w:val="00DA5E77"/>
    <w:rsid w:val="00DA6507"/>
    <w:rsid w:val="00DA6845"/>
    <w:rsid w:val="00DA6B8E"/>
    <w:rsid w:val="00DA6F2B"/>
    <w:rsid w:val="00DA6F38"/>
    <w:rsid w:val="00DA70D5"/>
    <w:rsid w:val="00DA78D7"/>
    <w:rsid w:val="00DA79F9"/>
    <w:rsid w:val="00DA7C55"/>
    <w:rsid w:val="00DB002A"/>
    <w:rsid w:val="00DB0059"/>
    <w:rsid w:val="00DB00F9"/>
    <w:rsid w:val="00DB028B"/>
    <w:rsid w:val="00DB02DB"/>
    <w:rsid w:val="00DB046E"/>
    <w:rsid w:val="00DB0D3D"/>
    <w:rsid w:val="00DB13DC"/>
    <w:rsid w:val="00DB145C"/>
    <w:rsid w:val="00DB1836"/>
    <w:rsid w:val="00DB1BCC"/>
    <w:rsid w:val="00DB1CED"/>
    <w:rsid w:val="00DB1F8C"/>
    <w:rsid w:val="00DB1FC0"/>
    <w:rsid w:val="00DB2928"/>
    <w:rsid w:val="00DB2BB3"/>
    <w:rsid w:val="00DB2E22"/>
    <w:rsid w:val="00DB2EDD"/>
    <w:rsid w:val="00DB3958"/>
    <w:rsid w:val="00DB3B14"/>
    <w:rsid w:val="00DB433F"/>
    <w:rsid w:val="00DB44E0"/>
    <w:rsid w:val="00DB4760"/>
    <w:rsid w:val="00DB5E1F"/>
    <w:rsid w:val="00DB61B6"/>
    <w:rsid w:val="00DB6359"/>
    <w:rsid w:val="00DB7A0C"/>
    <w:rsid w:val="00DB7FC9"/>
    <w:rsid w:val="00DC00A1"/>
    <w:rsid w:val="00DC04D4"/>
    <w:rsid w:val="00DC0623"/>
    <w:rsid w:val="00DC0782"/>
    <w:rsid w:val="00DC08C9"/>
    <w:rsid w:val="00DC14AB"/>
    <w:rsid w:val="00DC173A"/>
    <w:rsid w:val="00DC19D8"/>
    <w:rsid w:val="00DC1C8B"/>
    <w:rsid w:val="00DC1D04"/>
    <w:rsid w:val="00DC1E4C"/>
    <w:rsid w:val="00DC21D9"/>
    <w:rsid w:val="00DC2234"/>
    <w:rsid w:val="00DC25AD"/>
    <w:rsid w:val="00DC2613"/>
    <w:rsid w:val="00DC26D3"/>
    <w:rsid w:val="00DC2817"/>
    <w:rsid w:val="00DC2829"/>
    <w:rsid w:val="00DC2B9C"/>
    <w:rsid w:val="00DC2CCF"/>
    <w:rsid w:val="00DC2EA9"/>
    <w:rsid w:val="00DC307B"/>
    <w:rsid w:val="00DC310A"/>
    <w:rsid w:val="00DC3F06"/>
    <w:rsid w:val="00DC400F"/>
    <w:rsid w:val="00DC4213"/>
    <w:rsid w:val="00DC4378"/>
    <w:rsid w:val="00DC4512"/>
    <w:rsid w:val="00DC4D8B"/>
    <w:rsid w:val="00DC5193"/>
    <w:rsid w:val="00DC51BD"/>
    <w:rsid w:val="00DC59E2"/>
    <w:rsid w:val="00DC5CF3"/>
    <w:rsid w:val="00DC5D91"/>
    <w:rsid w:val="00DC67B0"/>
    <w:rsid w:val="00DC69B8"/>
    <w:rsid w:val="00DC6BA8"/>
    <w:rsid w:val="00DC6D42"/>
    <w:rsid w:val="00DC7A70"/>
    <w:rsid w:val="00DC7D60"/>
    <w:rsid w:val="00DC7F94"/>
    <w:rsid w:val="00DD0246"/>
    <w:rsid w:val="00DD069A"/>
    <w:rsid w:val="00DD0930"/>
    <w:rsid w:val="00DD09A5"/>
    <w:rsid w:val="00DD0AD8"/>
    <w:rsid w:val="00DD0DA5"/>
    <w:rsid w:val="00DD0ED0"/>
    <w:rsid w:val="00DD10D6"/>
    <w:rsid w:val="00DD1698"/>
    <w:rsid w:val="00DD1A10"/>
    <w:rsid w:val="00DD1FFA"/>
    <w:rsid w:val="00DD2B8B"/>
    <w:rsid w:val="00DD2BF7"/>
    <w:rsid w:val="00DD2FFB"/>
    <w:rsid w:val="00DD34B5"/>
    <w:rsid w:val="00DD3562"/>
    <w:rsid w:val="00DD3691"/>
    <w:rsid w:val="00DD3763"/>
    <w:rsid w:val="00DD3903"/>
    <w:rsid w:val="00DD3C30"/>
    <w:rsid w:val="00DD3C82"/>
    <w:rsid w:val="00DD3D8A"/>
    <w:rsid w:val="00DD3DD7"/>
    <w:rsid w:val="00DD41F7"/>
    <w:rsid w:val="00DD46B2"/>
    <w:rsid w:val="00DD4B38"/>
    <w:rsid w:val="00DD4B55"/>
    <w:rsid w:val="00DD4C7C"/>
    <w:rsid w:val="00DD4DA6"/>
    <w:rsid w:val="00DD4F15"/>
    <w:rsid w:val="00DD5127"/>
    <w:rsid w:val="00DD51CB"/>
    <w:rsid w:val="00DD5521"/>
    <w:rsid w:val="00DD5A0C"/>
    <w:rsid w:val="00DD5D69"/>
    <w:rsid w:val="00DD5E0F"/>
    <w:rsid w:val="00DD5E42"/>
    <w:rsid w:val="00DD5F75"/>
    <w:rsid w:val="00DD600B"/>
    <w:rsid w:val="00DD64D0"/>
    <w:rsid w:val="00DD652E"/>
    <w:rsid w:val="00DD6ABA"/>
    <w:rsid w:val="00DD6EDD"/>
    <w:rsid w:val="00DD6F2D"/>
    <w:rsid w:val="00DD72DB"/>
    <w:rsid w:val="00DD76A9"/>
    <w:rsid w:val="00DD78FC"/>
    <w:rsid w:val="00DD7B09"/>
    <w:rsid w:val="00DD7BD3"/>
    <w:rsid w:val="00DD7C3E"/>
    <w:rsid w:val="00DD7E01"/>
    <w:rsid w:val="00DE08BB"/>
    <w:rsid w:val="00DE1102"/>
    <w:rsid w:val="00DE1C46"/>
    <w:rsid w:val="00DE1E26"/>
    <w:rsid w:val="00DE1E90"/>
    <w:rsid w:val="00DE2117"/>
    <w:rsid w:val="00DE22ED"/>
    <w:rsid w:val="00DE2357"/>
    <w:rsid w:val="00DE24E6"/>
    <w:rsid w:val="00DE273C"/>
    <w:rsid w:val="00DE2BBE"/>
    <w:rsid w:val="00DE3018"/>
    <w:rsid w:val="00DE31FC"/>
    <w:rsid w:val="00DE3766"/>
    <w:rsid w:val="00DE3BA2"/>
    <w:rsid w:val="00DE3BEC"/>
    <w:rsid w:val="00DE3EB4"/>
    <w:rsid w:val="00DE3ECC"/>
    <w:rsid w:val="00DE4465"/>
    <w:rsid w:val="00DE44DD"/>
    <w:rsid w:val="00DE454B"/>
    <w:rsid w:val="00DE45F3"/>
    <w:rsid w:val="00DE465F"/>
    <w:rsid w:val="00DE47BB"/>
    <w:rsid w:val="00DE4FC1"/>
    <w:rsid w:val="00DE4FE6"/>
    <w:rsid w:val="00DE556C"/>
    <w:rsid w:val="00DE5751"/>
    <w:rsid w:val="00DE59CD"/>
    <w:rsid w:val="00DE5A25"/>
    <w:rsid w:val="00DE5A7C"/>
    <w:rsid w:val="00DE621F"/>
    <w:rsid w:val="00DE6596"/>
    <w:rsid w:val="00DE6737"/>
    <w:rsid w:val="00DE674F"/>
    <w:rsid w:val="00DE6F46"/>
    <w:rsid w:val="00DE6F51"/>
    <w:rsid w:val="00DE766B"/>
    <w:rsid w:val="00DE7735"/>
    <w:rsid w:val="00DE7A6B"/>
    <w:rsid w:val="00DE7F12"/>
    <w:rsid w:val="00DF0253"/>
    <w:rsid w:val="00DF05CC"/>
    <w:rsid w:val="00DF067D"/>
    <w:rsid w:val="00DF07AD"/>
    <w:rsid w:val="00DF09F8"/>
    <w:rsid w:val="00DF0DEF"/>
    <w:rsid w:val="00DF17A3"/>
    <w:rsid w:val="00DF1BDB"/>
    <w:rsid w:val="00DF1E42"/>
    <w:rsid w:val="00DF206F"/>
    <w:rsid w:val="00DF217B"/>
    <w:rsid w:val="00DF220B"/>
    <w:rsid w:val="00DF23A2"/>
    <w:rsid w:val="00DF24B3"/>
    <w:rsid w:val="00DF27EB"/>
    <w:rsid w:val="00DF2810"/>
    <w:rsid w:val="00DF2CD4"/>
    <w:rsid w:val="00DF323B"/>
    <w:rsid w:val="00DF3364"/>
    <w:rsid w:val="00DF346F"/>
    <w:rsid w:val="00DF3ACC"/>
    <w:rsid w:val="00DF4332"/>
    <w:rsid w:val="00DF4380"/>
    <w:rsid w:val="00DF4548"/>
    <w:rsid w:val="00DF4610"/>
    <w:rsid w:val="00DF518F"/>
    <w:rsid w:val="00DF5389"/>
    <w:rsid w:val="00DF5604"/>
    <w:rsid w:val="00DF564B"/>
    <w:rsid w:val="00DF5901"/>
    <w:rsid w:val="00DF6158"/>
    <w:rsid w:val="00DF64F8"/>
    <w:rsid w:val="00DF6AC5"/>
    <w:rsid w:val="00DF6B4C"/>
    <w:rsid w:val="00DF7461"/>
    <w:rsid w:val="00DF748D"/>
    <w:rsid w:val="00DF79D6"/>
    <w:rsid w:val="00DF7E44"/>
    <w:rsid w:val="00DF7FB6"/>
    <w:rsid w:val="00DF7FD4"/>
    <w:rsid w:val="00E007A5"/>
    <w:rsid w:val="00E0096B"/>
    <w:rsid w:val="00E00E87"/>
    <w:rsid w:val="00E01014"/>
    <w:rsid w:val="00E018F9"/>
    <w:rsid w:val="00E01AD4"/>
    <w:rsid w:val="00E02087"/>
    <w:rsid w:val="00E02392"/>
    <w:rsid w:val="00E025BD"/>
    <w:rsid w:val="00E0277F"/>
    <w:rsid w:val="00E0287B"/>
    <w:rsid w:val="00E02DA3"/>
    <w:rsid w:val="00E02F90"/>
    <w:rsid w:val="00E0311D"/>
    <w:rsid w:val="00E03157"/>
    <w:rsid w:val="00E03169"/>
    <w:rsid w:val="00E03FA8"/>
    <w:rsid w:val="00E043E5"/>
    <w:rsid w:val="00E04673"/>
    <w:rsid w:val="00E047B4"/>
    <w:rsid w:val="00E0494E"/>
    <w:rsid w:val="00E04CE6"/>
    <w:rsid w:val="00E04E8B"/>
    <w:rsid w:val="00E04EBE"/>
    <w:rsid w:val="00E055BB"/>
    <w:rsid w:val="00E05E4B"/>
    <w:rsid w:val="00E05F32"/>
    <w:rsid w:val="00E0603C"/>
    <w:rsid w:val="00E0653B"/>
    <w:rsid w:val="00E0730D"/>
    <w:rsid w:val="00E07685"/>
    <w:rsid w:val="00E076B4"/>
    <w:rsid w:val="00E0777D"/>
    <w:rsid w:val="00E07D7D"/>
    <w:rsid w:val="00E07F3B"/>
    <w:rsid w:val="00E103A5"/>
    <w:rsid w:val="00E1095C"/>
    <w:rsid w:val="00E114CC"/>
    <w:rsid w:val="00E11594"/>
    <w:rsid w:val="00E11641"/>
    <w:rsid w:val="00E11988"/>
    <w:rsid w:val="00E1271B"/>
    <w:rsid w:val="00E12E17"/>
    <w:rsid w:val="00E12E53"/>
    <w:rsid w:val="00E1327D"/>
    <w:rsid w:val="00E13398"/>
    <w:rsid w:val="00E13738"/>
    <w:rsid w:val="00E137C7"/>
    <w:rsid w:val="00E141B4"/>
    <w:rsid w:val="00E14365"/>
    <w:rsid w:val="00E14842"/>
    <w:rsid w:val="00E14E0A"/>
    <w:rsid w:val="00E1555A"/>
    <w:rsid w:val="00E156E0"/>
    <w:rsid w:val="00E15DA9"/>
    <w:rsid w:val="00E160FE"/>
    <w:rsid w:val="00E1622F"/>
    <w:rsid w:val="00E163A4"/>
    <w:rsid w:val="00E163D5"/>
    <w:rsid w:val="00E1681C"/>
    <w:rsid w:val="00E168D0"/>
    <w:rsid w:val="00E169ED"/>
    <w:rsid w:val="00E174B8"/>
    <w:rsid w:val="00E17774"/>
    <w:rsid w:val="00E17B3A"/>
    <w:rsid w:val="00E201D3"/>
    <w:rsid w:val="00E20257"/>
    <w:rsid w:val="00E20600"/>
    <w:rsid w:val="00E2086C"/>
    <w:rsid w:val="00E208CB"/>
    <w:rsid w:val="00E2095D"/>
    <w:rsid w:val="00E20B98"/>
    <w:rsid w:val="00E20CEE"/>
    <w:rsid w:val="00E21039"/>
    <w:rsid w:val="00E211DC"/>
    <w:rsid w:val="00E21559"/>
    <w:rsid w:val="00E216B6"/>
    <w:rsid w:val="00E21D6B"/>
    <w:rsid w:val="00E21E81"/>
    <w:rsid w:val="00E22C9D"/>
    <w:rsid w:val="00E22EC9"/>
    <w:rsid w:val="00E239C7"/>
    <w:rsid w:val="00E23A6F"/>
    <w:rsid w:val="00E243D0"/>
    <w:rsid w:val="00E244F9"/>
    <w:rsid w:val="00E245C1"/>
    <w:rsid w:val="00E24A20"/>
    <w:rsid w:val="00E24B04"/>
    <w:rsid w:val="00E24BDC"/>
    <w:rsid w:val="00E24D0B"/>
    <w:rsid w:val="00E24E11"/>
    <w:rsid w:val="00E24E41"/>
    <w:rsid w:val="00E24F2B"/>
    <w:rsid w:val="00E25526"/>
    <w:rsid w:val="00E25794"/>
    <w:rsid w:val="00E258A6"/>
    <w:rsid w:val="00E266EB"/>
    <w:rsid w:val="00E26A84"/>
    <w:rsid w:val="00E26C7E"/>
    <w:rsid w:val="00E26FF4"/>
    <w:rsid w:val="00E27440"/>
    <w:rsid w:val="00E2748B"/>
    <w:rsid w:val="00E2761F"/>
    <w:rsid w:val="00E30256"/>
    <w:rsid w:val="00E3032B"/>
    <w:rsid w:val="00E30414"/>
    <w:rsid w:val="00E30729"/>
    <w:rsid w:val="00E30D21"/>
    <w:rsid w:val="00E30EB8"/>
    <w:rsid w:val="00E31177"/>
    <w:rsid w:val="00E315E2"/>
    <w:rsid w:val="00E317E6"/>
    <w:rsid w:val="00E31B4B"/>
    <w:rsid w:val="00E31C91"/>
    <w:rsid w:val="00E32960"/>
    <w:rsid w:val="00E32C47"/>
    <w:rsid w:val="00E32CED"/>
    <w:rsid w:val="00E332AE"/>
    <w:rsid w:val="00E33752"/>
    <w:rsid w:val="00E34315"/>
    <w:rsid w:val="00E34713"/>
    <w:rsid w:val="00E34873"/>
    <w:rsid w:val="00E349C2"/>
    <w:rsid w:val="00E34C88"/>
    <w:rsid w:val="00E35116"/>
    <w:rsid w:val="00E358EB"/>
    <w:rsid w:val="00E35C9B"/>
    <w:rsid w:val="00E36397"/>
    <w:rsid w:val="00E3665A"/>
    <w:rsid w:val="00E366B2"/>
    <w:rsid w:val="00E3676B"/>
    <w:rsid w:val="00E367D0"/>
    <w:rsid w:val="00E36CC8"/>
    <w:rsid w:val="00E36E0E"/>
    <w:rsid w:val="00E37B5C"/>
    <w:rsid w:val="00E37E71"/>
    <w:rsid w:val="00E40116"/>
    <w:rsid w:val="00E40314"/>
    <w:rsid w:val="00E4052B"/>
    <w:rsid w:val="00E40750"/>
    <w:rsid w:val="00E40769"/>
    <w:rsid w:val="00E40813"/>
    <w:rsid w:val="00E409BD"/>
    <w:rsid w:val="00E41059"/>
    <w:rsid w:val="00E4209E"/>
    <w:rsid w:val="00E4216F"/>
    <w:rsid w:val="00E42B5E"/>
    <w:rsid w:val="00E42E8B"/>
    <w:rsid w:val="00E42FD4"/>
    <w:rsid w:val="00E43122"/>
    <w:rsid w:val="00E43147"/>
    <w:rsid w:val="00E434AF"/>
    <w:rsid w:val="00E4369F"/>
    <w:rsid w:val="00E43980"/>
    <w:rsid w:val="00E43AE4"/>
    <w:rsid w:val="00E43F30"/>
    <w:rsid w:val="00E443C1"/>
    <w:rsid w:val="00E4460B"/>
    <w:rsid w:val="00E448B6"/>
    <w:rsid w:val="00E44A08"/>
    <w:rsid w:val="00E44BB4"/>
    <w:rsid w:val="00E44F27"/>
    <w:rsid w:val="00E455A7"/>
    <w:rsid w:val="00E4597C"/>
    <w:rsid w:val="00E45E4D"/>
    <w:rsid w:val="00E45EAD"/>
    <w:rsid w:val="00E46793"/>
    <w:rsid w:val="00E4679F"/>
    <w:rsid w:val="00E46D9C"/>
    <w:rsid w:val="00E478E3"/>
    <w:rsid w:val="00E47E76"/>
    <w:rsid w:val="00E5038C"/>
    <w:rsid w:val="00E5042C"/>
    <w:rsid w:val="00E51096"/>
    <w:rsid w:val="00E5128D"/>
    <w:rsid w:val="00E5136F"/>
    <w:rsid w:val="00E51A0F"/>
    <w:rsid w:val="00E51C13"/>
    <w:rsid w:val="00E51E2A"/>
    <w:rsid w:val="00E520AB"/>
    <w:rsid w:val="00E52662"/>
    <w:rsid w:val="00E526E2"/>
    <w:rsid w:val="00E528C3"/>
    <w:rsid w:val="00E52ABF"/>
    <w:rsid w:val="00E52E33"/>
    <w:rsid w:val="00E52E38"/>
    <w:rsid w:val="00E530D5"/>
    <w:rsid w:val="00E53CD8"/>
    <w:rsid w:val="00E540FA"/>
    <w:rsid w:val="00E549B7"/>
    <w:rsid w:val="00E54F0F"/>
    <w:rsid w:val="00E55378"/>
    <w:rsid w:val="00E561A5"/>
    <w:rsid w:val="00E57106"/>
    <w:rsid w:val="00E57222"/>
    <w:rsid w:val="00E57229"/>
    <w:rsid w:val="00E57316"/>
    <w:rsid w:val="00E57496"/>
    <w:rsid w:val="00E576E8"/>
    <w:rsid w:val="00E57714"/>
    <w:rsid w:val="00E57B28"/>
    <w:rsid w:val="00E57E7A"/>
    <w:rsid w:val="00E57E8A"/>
    <w:rsid w:val="00E57F23"/>
    <w:rsid w:val="00E60CB2"/>
    <w:rsid w:val="00E60F12"/>
    <w:rsid w:val="00E613CA"/>
    <w:rsid w:val="00E61B0D"/>
    <w:rsid w:val="00E61B17"/>
    <w:rsid w:val="00E61B86"/>
    <w:rsid w:val="00E61E59"/>
    <w:rsid w:val="00E621F4"/>
    <w:rsid w:val="00E62491"/>
    <w:rsid w:val="00E62729"/>
    <w:rsid w:val="00E627A6"/>
    <w:rsid w:val="00E62BB2"/>
    <w:rsid w:val="00E63031"/>
    <w:rsid w:val="00E631B5"/>
    <w:rsid w:val="00E633CA"/>
    <w:rsid w:val="00E6385D"/>
    <w:rsid w:val="00E63DC7"/>
    <w:rsid w:val="00E63DE7"/>
    <w:rsid w:val="00E63EC6"/>
    <w:rsid w:val="00E63FC1"/>
    <w:rsid w:val="00E64730"/>
    <w:rsid w:val="00E64778"/>
    <w:rsid w:val="00E6493B"/>
    <w:rsid w:val="00E64FB4"/>
    <w:rsid w:val="00E6521D"/>
    <w:rsid w:val="00E652FB"/>
    <w:rsid w:val="00E65348"/>
    <w:rsid w:val="00E65492"/>
    <w:rsid w:val="00E6620A"/>
    <w:rsid w:val="00E6666C"/>
    <w:rsid w:val="00E669FF"/>
    <w:rsid w:val="00E66C20"/>
    <w:rsid w:val="00E66F29"/>
    <w:rsid w:val="00E67614"/>
    <w:rsid w:val="00E6777A"/>
    <w:rsid w:val="00E67AFE"/>
    <w:rsid w:val="00E67BFB"/>
    <w:rsid w:val="00E70291"/>
    <w:rsid w:val="00E703B8"/>
    <w:rsid w:val="00E708ED"/>
    <w:rsid w:val="00E70A3F"/>
    <w:rsid w:val="00E70C81"/>
    <w:rsid w:val="00E711B1"/>
    <w:rsid w:val="00E71242"/>
    <w:rsid w:val="00E7137D"/>
    <w:rsid w:val="00E713DF"/>
    <w:rsid w:val="00E7149F"/>
    <w:rsid w:val="00E71C46"/>
    <w:rsid w:val="00E71FDA"/>
    <w:rsid w:val="00E7241C"/>
    <w:rsid w:val="00E7244F"/>
    <w:rsid w:val="00E7277E"/>
    <w:rsid w:val="00E72935"/>
    <w:rsid w:val="00E72D6D"/>
    <w:rsid w:val="00E72DD3"/>
    <w:rsid w:val="00E73259"/>
    <w:rsid w:val="00E73508"/>
    <w:rsid w:val="00E735C2"/>
    <w:rsid w:val="00E73812"/>
    <w:rsid w:val="00E746D1"/>
    <w:rsid w:val="00E74A26"/>
    <w:rsid w:val="00E74C07"/>
    <w:rsid w:val="00E74C23"/>
    <w:rsid w:val="00E74DBD"/>
    <w:rsid w:val="00E755B0"/>
    <w:rsid w:val="00E75ABC"/>
    <w:rsid w:val="00E75ED2"/>
    <w:rsid w:val="00E76235"/>
    <w:rsid w:val="00E76341"/>
    <w:rsid w:val="00E76906"/>
    <w:rsid w:val="00E7727B"/>
    <w:rsid w:val="00E77502"/>
    <w:rsid w:val="00E7752B"/>
    <w:rsid w:val="00E77702"/>
    <w:rsid w:val="00E77726"/>
    <w:rsid w:val="00E777D3"/>
    <w:rsid w:val="00E7790A"/>
    <w:rsid w:val="00E77CFF"/>
    <w:rsid w:val="00E804F4"/>
    <w:rsid w:val="00E806BF"/>
    <w:rsid w:val="00E807B2"/>
    <w:rsid w:val="00E808C1"/>
    <w:rsid w:val="00E80B4E"/>
    <w:rsid w:val="00E80E79"/>
    <w:rsid w:val="00E80EF1"/>
    <w:rsid w:val="00E81047"/>
    <w:rsid w:val="00E8188F"/>
    <w:rsid w:val="00E81A0F"/>
    <w:rsid w:val="00E81D18"/>
    <w:rsid w:val="00E821CA"/>
    <w:rsid w:val="00E823ED"/>
    <w:rsid w:val="00E8280C"/>
    <w:rsid w:val="00E82FF1"/>
    <w:rsid w:val="00E833CA"/>
    <w:rsid w:val="00E8354D"/>
    <w:rsid w:val="00E8392A"/>
    <w:rsid w:val="00E83E4C"/>
    <w:rsid w:val="00E83F2C"/>
    <w:rsid w:val="00E84005"/>
    <w:rsid w:val="00E8479D"/>
    <w:rsid w:val="00E84D41"/>
    <w:rsid w:val="00E84DDD"/>
    <w:rsid w:val="00E85144"/>
    <w:rsid w:val="00E852E1"/>
    <w:rsid w:val="00E85804"/>
    <w:rsid w:val="00E858EA"/>
    <w:rsid w:val="00E859C5"/>
    <w:rsid w:val="00E86B53"/>
    <w:rsid w:val="00E86F11"/>
    <w:rsid w:val="00E8719B"/>
    <w:rsid w:val="00E871A9"/>
    <w:rsid w:val="00E877EA"/>
    <w:rsid w:val="00E904AF"/>
    <w:rsid w:val="00E90841"/>
    <w:rsid w:val="00E9084F"/>
    <w:rsid w:val="00E910C4"/>
    <w:rsid w:val="00E910CC"/>
    <w:rsid w:val="00E91149"/>
    <w:rsid w:val="00E9120B"/>
    <w:rsid w:val="00E91644"/>
    <w:rsid w:val="00E91899"/>
    <w:rsid w:val="00E91933"/>
    <w:rsid w:val="00E91BF9"/>
    <w:rsid w:val="00E92522"/>
    <w:rsid w:val="00E92610"/>
    <w:rsid w:val="00E92827"/>
    <w:rsid w:val="00E92A81"/>
    <w:rsid w:val="00E92E7C"/>
    <w:rsid w:val="00E9317F"/>
    <w:rsid w:val="00E933FB"/>
    <w:rsid w:val="00E933FC"/>
    <w:rsid w:val="00E93819"/>
    <w:rsid w:val="00E93AB8"/>
    <w:rsid w:val="00E94247"/>
    <w:rsid w:val="00E94360"/>
    <w:rsid w:val="00E9456F"/>
    <w:rsid w:val="00E9468C"/>
    <w:rsid w:val="00E94E01"/>
    <w:rsid w:val="00E950B4"/>
    <w:rsid w:val="00E9566A"/>
    <w:rsid w:val="00E95B04"/>
    <w:rsid w:val="00E95EED"/>
    <w:rsid w:val="00E9612A"/>
    <w:rsid w:val="00E969B1"/>
    <w:rsid w:val="00E96C83"/>
    <w:rsid w:val="00E96D53"/>
    <w:rsid w:val="00E96FAE"/>
    <w:rsid w:val="00E9722A"/>
    <w:rsid w:val="00E9759C"/>
    <w:rsid w:val="00E979B1"/>
    <w:rsid w:val="00E97E01"/>
    <w:rsid w:val="00E97E69"/>
    <w:rsid w:val="00EA006F"/>
    <w:rsid w:val="00EA0166"/>
    <w:rsid w:val="00EA0170"/>
    <w:rsid w:val="00EA0584"/>
    <w:rsid w:val="00EA089A"/>
    <w:rsid w:val="00EA08C9"/>
    <w:rsid w:val="00EA0960"/>
    <w:rsid w:val="00EA0A9D"/>
    <w:rsid w:val="00EA0B34"/>
    <w:rsid w:val="00EA0F4E"/>
    <w:rsid w:val="00EA19DB"/>
    <w:rsid w:val="00EA1A11"/>
    <w:rsid w:val="00EA1B87"/>
    <w:rsid w:val="00EA25F7"/>
    <w:rsid w:val="00EA27EB"/>
    <w:rsid w:val="00EA288D"/>
    <w:rsid w:val="00EA2AB0"/>
    <w:rsid w:val="00EA2DAE"/>
    <w:rsid w:val="00EA34D3"/>
    <w:rsid w:val="00EA3747"/>
    <w:rsid w:val="00EA39A7"/>
    <w:rsid w:val="00EA4004"/>
    <w:rsid w:val="00EA44B5"/>
    <w:rsid w:val="00EA4839"/>
    <w:rsid w:val="00EA4948"/>
    <w:rsid w:val="00EA5435"/>
    <w:rsid w:val="00EA5500"/>
    <w:rsid w:val="00EA57D2"/>
    <w:rsid w:val="00EA5AAC"/>
    <w:rsid w:val="00EA5DA1"/>
    <w:rsid w:val="00EA5F02"/>
    <w:rsid w:val="00EA5FAA"/>
    <w:rsid w:val="00EA6373"/>
    <w:rsid w:val="00EA6840"/>
    <w:rsid w:val="00EA6948"/>
    <w:rsid w:val="00EA6A89"/>
    <w:rsid w:val="00EA6AD4"/>
    <w:rsid w:val="00EA6AE1"/>
    <w:rsid w:val="00EA6EC6"/>
    <w:rsid w:val="00EA6EFF"/>
    <w:rsid w:val="00EA6FB9"/>
    <w:rsid w:val="00EA72FC"/>
    <w:rsid w:val="00EA732A"/>
    <w:rsid w:val="00EA73EB"/>
    <w:rsid w:val="00EA765B"/>
    <w:rsid w:val="00EA76E6"/>
    <w:rsid w:val="00EA78CA"/>
    <w:rsid w:val="00EA7CF2"/>
    <w:rsid w:val="00EB00BB"/>
    <w:rsid w:val="00EB0277"/>
    <w:rsid w:val="00EB0466"/>
    <w:rsid w:val="00EB0C72"/>
    <w:rsid w:val="00EB18E9"/>
    <w:rsid w:val="00EB1A50"/>
    <w:rsid w:val="00EB1DDF"/>
    <w:rsid w:val="00EB21C5"/>
    <w:rsid w:val="00EB2338"/>
    <w:rsid w:val="00EB263B"/>
    <w:rsid w:val="00EB2998"/>
    <w:rsid w:val="00EB2A3D"/>
    <w:rsid w:val="00EB2AFB"/>
    <w:rsid w:val="00EB2FA6"/>
    <w:rsid w:val="00EB3116"/>
    <w:rsid w:val="00EB3C8C"/>
    <w:rsid w:val="00EB40D9"/>
    <w:rsid w:val="00EB4638"/>
    <w:rsid w:val="00EB49D7"/>
    <w:rsid w:val="00EB4C51"/>
    <w:rsid w:val="00EB509D"/>
    <w:rsid w:val="00EB51D4"/>
    <w:rsid w:val="00EB58AA"/>
    <w:rsid w:val="00EB6205"/>
    <w:rsid w:val="00EB6552"/>
    <w:rsid w:val="00EB6B5C"/>
    <w:rsid w:val="00EB6FF4"/>
    <w:rsid w:val="00EB71E5"/>
    <w:rsid w:val="00EB761E"/>
    <w:rsid w:val="00EB7740"/>
    <w:rsid w:val="00EB7990"/>
    <w:rsid w:val="00EB7A3F"/>
    <w:rsid w:val="00EB7EAE"/>
    <w:rsid w:val="00EB7F4C"/>
    <w:rsid w:val="00EC0261"/>
    <w:rsid w:val="00EC0853"/>
    <w:rsid w:val="00EC0AB6"/>
    <w:rsid w:val="00EC0B98"/>
    <w:rsid w:val="00EC0E4E"/>
    <w:rsid w:val="00EC0E57"/>
    <w:rsid w:val="00EC0E65"/>
    <w:rsid w:val="00EC12C3"/>
    <w:rsid w:val="00EC1353"/>
    <w:rsid w:val="00EC14B8"/>
    <w:rsid w:val="00EC1728"/>
    <w:rsid w:val="00EC18E6"/>
    <w:rsid w:val="00EC1984"/>
    <w:rsid w:val="00EC19A2"/>
    <w:rsid w:val="00EC1C18"/>
    <w:rsid w:val="00EC2046"/>
    <w:rsid w:val="00EC234C"/>
    <w:rsid w:val="00EC2801"/>
    <w:rsid w:val="00EC280F"/>
    <w:rsid w:val="00EC2812"/>
    <w:rsid w:val="00EC297A"/>
    <w:rsid w:val="00EC2C23"/>
    <w:rsid w:val="00EC2CCE"/>
    <w:rsid w:val="00EC2EF1"/>
    <w:rsid w:val="00EC2FFF"/>
    <w:rsid w:val="00EC393F"/>
    <w:rsid w:val="00EC39BC"/>
    <w:rsid w:val="00EC43B5"/>
    <w:rsid w:val="00EC4907"/>
    <w:rsid w:val="00EC49D8"/>
    <w:rsid w:val="00EC49FD"/>
    <w:rsid w:val="00EC5397"/>
    <w:rsid w:val="00EC53E1"/>
    <w:rsid w:val="00EC5499"/>
    <w:rsid w:val="00EC54DF"/>
    <w:rsid w:val="00EC6212"/>
    <w:rsid w:val="00EC6273"/>
    <w:rsid w:val="00EC62EF"/>
    <w:rsid w:val="00EC6A26"/>
    <w:rsid w:val="00EC6CBA"/>
    <w:rsid w:val="00EC739C"/>
    <w:rsid w:val="00EC7545"/>
    <w:rsid w:val="00EC7715"/>
    <w:rsid w:val="00EC7768"/>
    <w:rsid w:val="00EC7813"/>
    <w:rsid w:val="00EC7EFC"/>
    <w:rsid w:val="00ED0060"/>
    <w:rsid w:val="00ED0F0B"/>
    <w:rsid w:val="00ED11A0"/>
    <w:rsid w:val="00ED142F"/>
    <w:rsid w:val="00ED17A5"/>
    <w:rsid w:val="00ED1908"/>
    <w:rsid w:val="00ED1922"/>
    <w:rsid w:val="00ED1E79"/>
    <w:rsid w:val="00ED205E"/>
    <w:rsid w:val="00ED20BB"/>
    <w:rsid w:val="00ED2278"/>
    <w:rsid w:val="00ED27F6"/>
    <w:rsid w:val="00ED2A92"/>
    <w:rsid w:val="00ED2B78"/>
    <w:rsid w:val="00ED2D2A"/>
    <w:rsid w:val="00ED30BD"/>
    <w:rsid w:val="00ED3316"/>
    <w:rsid w:val="00ED3529"/>
    <w:rsid w:val="00ED3EFE"/>
    <w:rsid w:val="00ED4200"/>
    <w:rsid w:val="00ED4288"/>
    <w:rsid w:val="00ED42B3"/>
    <w:rsid w:val="00ED442E"/>
    <w:rsid w:val="00ED4509"/>
    <w:rsid w:val="00ED498C"/>
    <w:rsid w:val="00ED4D17"/>
    <w:rsid w:val="00ED4EB0"/>
    <w:rsid w:val="00ED5073"/>
    <w:rsid w:val="00ED589A"/>
    <w:rsid w:val="00ED58D4"/>
    <w:rsid w:val="00ED5B04"/>
    <w:rsid w:val="00ED5CDD"/>
    <w:rsid w:val="00ED61B2"/>
    <w:rsid w:val="00ED6557"/>
    <w:rsid w:val="00ED675E"/>
    <w:rsid w:val="00ED6D8D"/>
    <w:rsid w:val="00ED6FCE"/>
    <w:rsid w:val="00ED71CB"/>
    <w:rsid w:val="00ED73BE"/>
    <w:rsid w:val="00ED7BFC"/>
    <w:rsid w:val="00EDE106"/>
    <w:rsid w:val="00EE02C6"/>
    <w:rsid w:val="00EE044C"/>
    <w:rsid w:val="00EE065C"/>
    <w:rsid w:val="00EE08EB"/>
    <w:rsid w:val="00EE09ED"/>
    <w:rsid w:val="00EE150D"/>
    <w:rsid w:val="00EE1527"/>
    <w:rsid w:val="00EE1BBA"/>
    <w:rsid w:val="00EE1CA3"/>
    <w:rsid w:val="00EE1F79"/>
    <w:rsid w:val="00EE2262"/>
    <w:rsid w:val="00EE2412"/>
    <w:rsid w:val="00EE2596"/>
    <w:rsid w:val="00EE259B"/>
    <w:rsid w:val="00EE2871"/>
    <w:rsid w:val="00EE2922"/>
    <w:rsid w:val="00EE2F49"/>
    <w:rsid w:val="00EE30E9"/>
    <w:rsid w:val="00EE3A1C"/>
    <w:rsid w:val="00EE3F30"/>
    <w:rsid w:val="00EE400B"/>
    <w:rsid w:val="00EE4384"/>
    <w:rsid w:val="00EE4466"/>
    <w:rsid w:val="00EE44CF"/>
    <w:rsid w:val="00EE4E56"/>
    <w:rsid w:val="00EE5025"/>
    <w:rsid w:val="00EE50AA"/>
    <w:rsid w:val="00EE55D3"/>
    <w:rsid w:val="00EE5782"/>
    <w:rsid w:val="00EE592E"/>
    <w:rsid w:val="00EE59B8"/>
    <w:rsid w:val="00EE5B24"/>
    <w:rsid w:val="00EE5D9F"/>
    <w:rsid w:val="00EE5EDC"/>
    <w:rsid w:val="00EE6010"/>
    <w:rsid w:val="00EE62F3"/>
    <w:rsid w:val="00EE635C"/>
    <w:rsid w:val="00EE63FC"/>
    <w:rsid w:val="00EE66BE"/>
    <w:rsid w:val="00EE6B69"/>
    <w:rsid w:val="00EE6CD3"/>
    <w:rsid w:val="00EE700E"/>
    <w:rsid w:val="00EE7157"/>
    <w:rsid w:val="00EE7333"/>
    <w:rsid w:val="00EE750F"/>
    <w:rsid w:val="00EE767E"/>
    <w:rsid w:val="00EE76E4"/>
    <w:rsid w:val="00EE7D9C"/>
    <w:rsid w:val="00EF082B"/>
    <w:rsid w:val="00EF083D"/>
    <w:rsid w:val="00EF0EE3"/>
    <w:rsid w:val="00EF1627"/>
    <w:rsid w:val="00EF1E12"/>
    <w:rsid w:val="00EF20D7"/>
    <w:rsid w:val="00EF2A45"/>
    <w:rsid w:val="00EF2EB0"/>
    <w:rsid w:val="00EF300A"/>
    <w:rsid w:val="00EF323D"/>
    <w:rsid w:val="00EF3407"/>
    <w:rsid w:val="00EF3419"/>
    <w:rsid w:val="00EF3961"/>
    <w:rsid w:val="00EF4310"/>
    <w:rsid w:val="00EF4BA6"/>
    <w:rsid w:val="00EF4E1A"/>
    <w:rsid w:val="00EF5325"/>
    <w:rsid w:val="00EF537B"/>
    <w:rsid w:val="00EF5761"/>
    <w:rsid w:val="00EF5D2F"/>
    <w:rsid w:val="00EF5F36"/>
    <w:rsid w:val="00EF6031"/>
    <w:rsid w:val="00EF60DF"/>
    <w:rsid w:val="00EF6463"/>
    <w:rsid w:val="00EF64AD"/>
    <w:rsid w:val="00EF67C0"/>
    <w:rsid w:val="00EF6FB3"/>
    <w:rsid w:val="00EF7333"/>
    <w:rsid w:val="00EF7557"/>
    <w:rsid w:val="00EF75CB"/>
    <w:rsid w:val="00EF7670"/>
    <w:rsid w:val="00EF7675"/>
    <w:rsid w:val="00EF7B22"/>
    <w:rsid w:val="00EF7D57"/>
    <w:rsid w:val="00F00060"/>
    <w:rsid w:val="00F00406"/>
    <w:rsid w:val="00F004EB"/>
    <w:rsid w:val="00F00550"/>
    <w:rsid w:val="00F00622"/>
    <w:rsid w:val="00F00C7E"/>
    <w:rsid w:val="00F0119C"/>
    <w:rsid w:val="00F018F8"/>
    <w:rsid w:val="00F01940"/>
    <w:rsid w:val="00F01B52"/>
    <w:rsid w:val="00F020BB"/>
    <w:rsid w:val="00F02687"/>
    <w:rsid w:val="00F02704"/>
    <w:rsid w:val="00F02A4F"/>
    <w:rsid w:val="00F02BDB"/>
    <w:rsid w:val="00F03120"/>
    <w:rsid w:val="00F0323C"/>
    <w:rsid w:val="00F036A3"/>
    <w:rsid w:val="00F0398F"/>
    <w:rsid w:val="00F03DFC"/>
    <w:rsid w:val="00F03EEB"/>
    <w:rsid w:val="00F043C5"/>
    <w:rsid w:val="00F0441B"/>
    <w:rsid w:val="00F04431"/>
    <w:rsid w:val="00F047CE"/>
    <w:rsid w:val="00F04963"/>
    <w:rsid w:val="00F04BAB"/>
    <w:rsid w:val="00F04C2E"/>
    <w:rsid w:val="00F050BF"/>
    <w:rsid w:val="00F05CFE"/>
    <w:rsid w:val="00F05F0F"/>
    <w:rsid w:val="00F0603D"/>
    <w:rsid w:val="00F06308"/>
    <w:rsid w:val="00F067EE"/>
    <w:rsid w:val="00F06C37"/>
    <w:rsid w:val="00F06C75"/>
    <w:rsid w:val="00F071D8"/>
    <w:rsid w:val="00F07290"/>
    <w:rsid w:val="00F0735C"/>
    <w:rsid w:val="00F073AA"/>
    <w:rsid w:val="00F07485"/>
    <w:rsid w:val="00F07623"/>
    <w:rsid w:val="00F07763"/>
    <w:rsid w:val="00F1036D"/>
    <w:rsid w:val="00F1094A"/>
    <w:rsid w:val="00F10BE0"/>
    <w:rsid w:val="00F11366"/>
    <w:rsid w:val="00F11599"/>
    <w:rsid w:val="00F11AEC"/>
    <w:rsid w:val="00F11C96"/>
    <w:rsid w:val="00F11CD0"/>
    <w:rsid w:val="00F11E27"/>
    <w:rsid w:val="00F11EF2"/>
    <w:rsid w:val="00F12841"/>
    <w:rsid w:val="00F12ABB"/>
    <w:rsid w:val="00F12E74"/>
    <w:rsid w:val="00F13F98"/>
    <w:rsid w:val="00F144CB"/>
    <w:rsid w:val="00F14D63"/>
    <w:rsid w:val="00F14D98"/>
    <w:rsid w:val="00F14F90"/>
    <w:rsid w:val="00F1512F"/>
    <w:rsid w:val="00F15327"/>
    <w:rsid w:val="00F153B1"/>
    <w:rsid w:val="00F153BB"/>
    <w:rsid w:val="00F15604"/>
    <w:rsid w:val="00F15768"/>
    <w:rsid w:val="00F15D7A"/>
    <w:rsid w:val="00F1616E"/>
    <w:rsid w:val="00F1644C"/>
    <w:rsid w:val="00F16593"/>
    <w:rsid w:val="00F1665D"/>
    <w:rsid w:val="00F16BB1"/>
    <w:rsid w:val="00F16C91"/>
    <w:rsid w:val="00F17052"/>
    <w:rsid w:val="00F17A41"/>
    <w:rsid w:val="00F17BCA"/>
    <w:rsid w:val="00F17CE2"/>
    <w:rsid w:val="00F203B4"/>
    <w:rsid w:val="00F2048F"/>
    <w:rsid w:val="00F204BB"/>
    <w:rsid w:val="00F205F8"/>
    <w:rsid w:val="00F20867"/>
    <w:rsid w:val="00F20F8D"/>
    <w:rsid w:val="00F2150A"/>
    <w:rsid w:val="00F21D24"/>
    <w:rsid w:val="00F21F71"/>
    <w:rsid w:val="00F22070"/>
    <w:rsid w:val="00F2250B"/>
    <w:rsid w:val="00F22538"/>
    <w:rsid w:val="00F22ADF"/>
    <w:rsid w:val="00F22CC3"/>
    <w:rsid w:val="00F22E17"/>
    <w:rsid w:val="00F22EB5"/>
    <w:rsid w:val="00F23005"/>
    <w:rsid w:val="00F233A5"/>
    <w:rsid w:val="00F235E4"/>
    <w:rsid w:val="00F23808"/>
    <w:rsid w:val="00F23AC2"/>
    <w:rsid w:val="00F23B7C"/>
    <w:rsid w:val="00F24052"/>
    <w:rsid w:val="00F24A0E"/>
    <w:rsid w:val="00F24C78"/>
    <w:rsid w:val="00F24E20"/>
    <w:rsid w:val="00F252BB"/>
    <w:rsid w:val="00F25B36"/>
    <w:rsid w:val="00F260FF"/>
    <w:rsid w:val="00F26458"/>
    <w:rsid w:val="00F26466"/>
    <w:rsid w:val="00F26EA6"/>
    <w:rsid w:val="00F278BF"/>
    <w:rsid w:val="00F27C3E"/>
    <w:rsid w:val="00F27D2F"/>
    <w:rsid w:val="00F30033"/>
    <w:rsid w:val="00F3079D"/>
    <w:rsid w:val="00F30AC3"/>
    <w:rsid w:val="00F30B17"/>
    <w:rsid w:val="00F30E65"/>
    <w:rsid w:val="00F31183"/>
    <w:rsid w:val="00F3136B"/>
    <w:rsid w:val="00F3141E"/>
    <w:rsid w:val="00F314F1"/>
    <w:rsid w:val="00F31B43"/>
    <w:rsid w:val="00F31D92"/>
    <w:rsid w:val="00F31DE1"/>
    <w:rsid w:val="00F32178"/>
    <w:rsid w:val="00F323C4"/>
    <w:rsid w:val="00F32418"/>
    <w:rsid w:val="00F32524"/>
    <w:rsid w:val="00F327EA"/>
    <w:rsid w:val="00F32BE4"/>
    <w:rsid w:val="00F32D3F"/>
    <w:rsid w:val="00F32E36"/>
    <w:rsid w:val="00F33284"/>
    <w:rsid w:val="00F332C2"/>
    <w:rsid w:val="00F33641"/>
    <w:rsid w:val="00F3376F"/>
    <w:rsid w:val="00F33FC1"/>
    <w:rsid w:val="00F34A99"/>
    <w:rsid w:val="00F34EC3"/>
    <w:rsid w:val="00F35650"/>
    <w:rsid w:val="00F357C7"/>
    <w:rsid w:val="00F3582E"/>
    <w:rsid w:val="00F3598C"/>
    <w:rsid w:val="00F368A0"/>
    <w:rsid w:val="00F36A7F"/>
    <w:rsid w:val="00F36B27"/>
    <w:rsid w:val="00F36E9D"/>
    <w:rsid w:val="00F37232"/>
    <w:rsid w:val="00F3746D"/>
    <w:rsid w:val="00F377BC"/>
    <w:rsid w:val="00F37C2F"/>
    <w:rsid w:val="00F37CEC"/>
    <w:rsid w:val="00F37D79"/>
    <w:rsid w:val="00F4078C"/>
    <w:rsid w:val="00F40E58"/>
    <w:rsid w:val="00F41322"/>
    <w:rsid w:val="00F415B9"/>
    <w:rsid w:val="00F415D3"/>
    <w:rsid w:val="00F41745"/>
    <w:rsid w:val="00F417F3"/>
    <w:rsid w:val="00F41A01"/>
    <w:rsid w:val="00F41AA3"/>
    <w:rsid w:val="00F42842"/>
    <w:rsid w:val="00F42CC7"/>
    <w:rsid w:val="00F430B9"/>
    <w:rsid w:val="00F435E2"/>
    <w:rsid w:val="00F436B9"/>
    <w:rsid w:val="00F43F7B"/>
    <w:rsid w:val="00F44011"/>
    <w:rsid w:val="00F4421B"/>
    <w:rsid w:val="00F443AE"/>
    <w:rsid w:val="00F44938"/>
    <w:rsid w:val="00F44D11"/>
    <w:rsid w:val="00F44EC9"/>
    <w:rsid w:val="00F45689"/>
    <w:rsid w:val="00F458DC"/>
    <w:rsid w:val="00F45C0B"/>
    <w:rsid w:val="00F45D99"/>
    <w:rsid w:val="00F4613B"/>
    <w:rsid w:val="00F461C7"/>
    <w:rsid w:val="00F46937"/>
    <w:rsid w:val="00F46AAC"/>
    <w:rsid w:val="00F46E40"/>
    <w:rsid w:val="00F46F6C"/>
    <w:rsid w:val="00F4734E"/>
    <w:rsid w:val="00F4741C"/>
    <w:rsid w:val="00F4760A"/>
    <w:rsid w:val="00F47C30"/>
    <w:rsid w:val="00F47EA1"/>
    <w:rsid w:val="00F47F7D"/>
    <w:rsid w:val="00F50486"/>
    <w:rsid w:val="00F5048A"/>
    <w:rsid w:val="00F50554"/>
    <w:rsid w:val="00F50976"/>
    <w:rsid w:val="00F509EF"/>
    <w:rsid w:val="00F51345"/>
    <w:rsid w:val="00F516C4"/>
    <w:rsid w:val="00F51929"/>
    <w:rsid w:val="00F51A78"/>
    <w:rsid w:val="00F51C78"/>
    <w:rsid w:val="00F51F12"/>
    <w:rsid w:val="00F520C3"/>
    <w:rsid w:val="00F52534"/>
    <w:rsid w:val="00F52581"/>
    <w:rsid w:val="00F5281A"/>
    <w:rsid w:val="00F528D4"/>
    <w:rsid w:val="00F52B82"/>
    <w:rsid w:val="00F52B8E"/>
    <w:rsid w:val="00F534C0"/>
    <w:rsid w:val="00F53CFD"/>
    <w:rsid w:val="00F53D6D"/>
    <w:rsid w:val="00F53E16"/>
    <w:rsid w:val="00F53FEB"/>
    <w:rsid w:val="00F54162"/>
    <w:rsid w:val="00F54A96"/>
    <w:rsid w:val="00F54AF5"/>
    <w:rsid w:val="00F54D33"/>
    <w:rsid w:val="00F54D80"/>
    <w:rsid w:val="00F54F08"/>
    <w:rsid w:val="00F54FAB"/>
    <w:rsid w:val="00F55126"/>
    <w:rsid w:val="00F55263"/>
    <w:rsid w:val="00F554EB"/>
    <w:rsid w:val="00F557E3"/>
    <w:rsid w:val="00F56603"/>
    <w:rsid w:val="00F56665"/>
    <w:rsid w:val="00F5698C"/>
    <w:rsid w:val="00F56C24"/>
    <w:rsid w:val="00F56E18"/>
    <w:rsid w:val="00F56FC0"/>
    <w:rsid w:val="00F570B2"/>
    <w:rsid w:val="00F57182"/>
    <w:rsid w:val="00F572AE"/>
    <w:rsid w:val="00F575CF"/>
    <w:rsid w:val="00F57790"/>
    <w:rsid w:val="00F57857"/>
    <w:rsid w:val="00F5790A"/>
    <w:rsid w:val="00F60614"/>
    <w:rsid w:val="00F60A17"/>
    <w:rsid w:val="00F60B53"/>
    <w:rsid w:val="00F60D17"/>
    <w:rsid w:val="00F61B8B"/>
    <w:rsid w:val="00F61C33"/>
    <w:rsid w:val="00F61CA1"/>
    <w:rsid w:val="00F61DA9"/>
    <w:rsid w:val="00F61E78"/>
    <w:rsid w:val="00F6228A"/>
    <w:rsid w:val="00F62653"/>
    <w:rsid w:val="00F6286E"/>
    <w:rsid w:val="00F6287C"/>
    <w:rsid w:val="00F62E94"/>
    <w:rsid w:val="00F6309C"/>
    <w:rsid w:val="00F631B8"/>
    <w:rsid w:val="00F632E8"/>
    <w:rsid w:val="00F635C5"/>
    <w:rsid w:val="00F6362A"/>
    <w:rsid w:val="00F6378F"/>
    <w:rsid w:val="00F639A8"/>
    <w:rsid w:val="00F63AD1"/>
    <w:rsid w:val="00F63E92"/>
    <w:rsid w:val="00F64340"/>
    <w:rsid w:val="00F64467"/>
    <w:rsid w:val="00F64AAA"/>
    <w:rsid w:val="00F64AE9"/>
    <w:rsid w:val="00F6513E"/>
    <w:rsid w:val="00F65218"/>
    <w:rsid w:val="00F655FE"/>
    <w:rsid w:val="00F65956"/>
    <w:rsid w:val="00F65CC8"/>
    <w:rsid w:val="00F65F9A"/>
    <w:rsid w:val="00F6661B"/>
    <w:rsid w:val="00F66841"/>
    <w:rsid w:val="00F66D95"/>
    <w:rsid w:val="00F66DA9"/>
    <w:rsid w:val="00F675E3"/>
    <w:rsid w:val="00F67C69"/>
    <w:rsid w:val="00F67F7E"/>
    <w:rsid w:val="00F70064"/>
    <w:rsid w:val="00F702A2"/>
    <w:rsid w:val="00F70650"/>
    <w:rsid w:val="00F7091B"/>
    <w:rsid w:val="00F70B16"/>
    <w:rsid w:val="00F70B33"/>
    <w:rsid w:val="00F70CBC"/>
    <w:rsid w:val="00F711F1"/>
    <w:rsid w:val="00F7190F"/>
    <w:rsid w:val="00F71C7E"/>
    <w:rsid w:val="00F71C95"/>
    <w:rsid w:val="00F71F48"/>
    <w:rsid w:val="00F720A2"/>
    <w:rsid w:val="00F72105"/>
    <w:rsid w:val="00F72479"/>
    <w:rsid w:val="00F733AC"/>
    <w:rsid w:val="00F734B7"/>
    <w:rsid w:val="00F734D1"/>
    <w:rsid w:val="00F736E3"/>
    <w:rsid w:val="00F73857"/>
    <w:rsid w:val="00F73A89"/>
    <w:rsid w:val="00F73AF8"/>
    <w:rsid w:val="00F7464B"/>
    <w:rsid w:val="00F74B49"/>
    <w:rsid w:val="00F74E39"/>
    <w:rsid w:val="00F7521C"/>
    <w:rsid w:val="00F7526A"/>
    <w:rsid w:val="00F75450"/>
    <w:rsid w:val="00F75C55"/>
    <w:rsid w:val="00F75F7E"/>
    <w:rsid w:val="00F761BC"/>
    <w:rsid w:val="00F761BF"/>
    <w:rsid w:val="00F763A3"/>
    <w:rsid w:val="00F767E8"/>
    <w:rsid w:val="00F767FE"/>
    <w:rsid w:val="00F76929"/>
    <w:rsid w:val="00F76939"/>
    <w:rsid w:val="00F76EF8"/>
    <w:rsid w:val="00F7734A"/>
    <w:rsid w:val="00F77D38"/>
    <w:rsid w:val="00F77DEC"/>
    <w:rsid w:val="00F80664"/>
    <w:rsid w:val="00F80A77"/>
    <w:rsid w:val="00F80AFC"/>
    <w:rsid w:val="00F80F6A"/>
    <w:rsid w:val="00F80FF8"/>
    <w:rsid w:val="00F810F0"/>
    <w:rsid w:val="00F81861"/>
    <w:rsid w:val="00F81F03"/>
    <w:rsid w:val="00F820B8"/>
    <w:rsid w:val="00F822BD"/>
    <w:rsid w:val="00F82546"/>
    <w:rsid w:val="00F82748"/>
    <w:rsid w:val="00F82D75"/>
    <w:rsid w:val="00F82E16"/>
    <w:rsid w:val="00F830BD"/>
    <w:rsid w:val="00F83230"/>
    <w:rsid w:val="00F83841"/>
    <w:rsid w:val="00F83A89"/>
    <w:rsid w:val="00F83B22"/>
    <w:rsid w:val="00F83C05"/>
    <w:rsid w:val="00F83C59"/>
    <w:rsid w:val="00F83CC0"/>
    <w:rsid w:val="00F83F2B"/>
    <w:rsid w:val="00F84AF9"/>
    <w:rsid w:val="00F85052"/>
    <w:rsid w:val="00F852D7"/>
    <w:rsid w:val="00F85747"/>
    <w:rsid w:val="00F8585B"/>
    <w:rsid w:val="00F85CFD"/>
    <w:rsid w:val="00F85E42"/>
    <w:rsid w:val="00F860BF"/>
    <w:rsid w:val="00F861AC"/>
    <w:rsid w:val="00F861F0"/>
    <w:rsid w:val="00F862B1"/>
    <w:rsid w:val="00F862F1"/>
    <w:rsid w:val="00F865AC"/>
    <w:rsid w:val="00F86684"/>
    <w:rsid w:val="00F867CF"/>
    <w:rsid w:val="00F86A3F"/>
    <w:rsid w:val="00F874CD"/>
    <w:rsid w:val="00F87B69"/>
    <w:rsid w:val="00F87DD0"/>
    <w:rsid w:val="00F87E69"/>
    <w:rsid w:val="00F9017F"/>
    <w:rsid w:val="00F90309"/>
    <w:rsid w:val="00F903B0"/>
    <w:rsid w:val="00F90581"/>
    <w:rsid w:val="00F9085C"/>
    <w:rsid w:val="00F90B1F"/>
    <w:rsid w:val="00F9101F"/>
    <w:rsid w:val="00F910E6"/>
    <w:rsid w:val="00F9110F"/>
    <w:rsid w:val="00F91233"/>
    <w:rsid w:val="00F91297"/>
    <w:rsid w:val="00F9133B"/>
    <w:rsid w:val="00F91A96"/>
    <w:rsid w:val="00F91AAF"/>
    <w:rsid w:val="00F91C20"/>
    <w:rsid w:val="00F91C63"/>
    <w:rsid w:val="00F91E99"/>
    <w:rsid w:val="00F922D3"/>
    <w:rsid w:val="00F92A4A"/>
    <w:rsid w:val="00F93736"/>
    <w:rsid w:val="00F9373D"/>
    <w:rsid w:val="00F93D52"/>
    <w:rsid w:val="00F93E9D"/>
    <w:rsid w:val="00F941C4"/>
    <w:rsid w:val="00F94307"/>
    <w:rsid w:val="00F94775"/>
    <w:rsid w:val="00F950A1"/>
    <w:rsid w:val="00F95653"/>
    <w:rsid w:val="00F95AD4"/>
    <w:rsid w:val="00F95BCD"/>
    <w:rsid w:val="00F95EB2"/>
    <w:rsid w:val="00F96782"/>
    <w:rsid w:val="00F96F48"/>
    <w:rsid w:val="00F96FC4"/>
    <w:rsid w:val="00F97730"/>
    <w:rsid w:val="00F9782E"/>
    <w:rsid w:val="00F97A68"/>
    <w:rsid w:val="00FA007F"/>
    <w:rsid w:val="00FA03B6"/>
    <w:rsid w:val="00FA0F20"/>
    <w:rsid w:val="00FA1630"/>
    <w:rsid w:val="00FA1A53"/>
    <w:rsid w:val="00FA1E6C"/>
    <w:rsid w:val="00FA2094"/>
    <w:rsid w:val="00FA2914"/>
    <w:rsid w:val="00FA2B04"/>
    <w:rsid w:val="00FA2F94"/>
    <w:rsid w:val="00FA319F"/>
    <w:rsid w:val="00FA334F"/>
    <w:rsid w:val="00FA36C3"/>
    <w:rsid w:val="00FA3AE6"/>
    <w:rsid w:val="00FA44D3"/>
    <w:rsid w:val="00FA4578"/>
    <w:rsid w:val="00FA4892"/>
    <w:rsid w:val="00FA4B8C"/>
    <w:rsid w:val="00FA4DE6"/>
    <w:rsid w:val="00FA5258"/>
    <w:rsid w:val="00FA5271"/>
    <w:rsid w:val="00FA5469"/>
    <w:rsid w:val="00FA5607"/>
    <w:rsid w:val="00FA56E9"/>
    <w:rsid w:val="00FA5719"/>
    <w:rsid w:val="00FA6193"/>
    <w:rsid w:val="00FA650D"/>
    <w:rsid w:val="00FA68C3"/>
    <w:rsid w:val="00FA6924"/>
    <w:rsid w:val="00FA6E4F"/>
    <w:rsid w:val="00FA7049"/>
    <w:rsid w:val="00FA71BB"/>
    <w:rsid w:val="00FA799F"/>
    <w:rsid w:val="00FA7CCB"/>
    <w:rsid w:val="00FA7E07"/>
    <w:rsid w:val="00FB03A0"/>
    <w:rsid w:val="00FB0435"/>
    <w:rsid w:val="00FB0CD9"/>
    <w:rsid w:val="00FB141D"/>
    <w:rsid w:val="00FB153A"/>
    <w:rsid w:val="00FB1656"/>
    <w:rsid w:val="00FB16FB"/>
    <w:rsid w:val="00FB1826"/>
    <w:rsid w:val="00FB1AAE"/>
    <w:rsid w:val="00FB1F5E"/>
    <w:rsid w:val="00FB20B7"/>
    <w:rsid w:val="00FB236B"/>
    <w:rsid w:val="00FB282A"/>
    <w:rsid w:val="00FB2868"/>
    <w:rsid w:val="00FB2979"/>
    <w:rsid w:val="00FB2A52"/>
    <w:rsid w:val="00FB2D35"/>
    <w:rsid w:val="00FB3291"/>
    <w:rsid w:val="00FB32A4"/>
    <w:rsid w:val="00FB33A7"/>
    <w:rsid w:val="00FB3A55"/>
    <w:rsid w:val="00FB49EF"/>
    <w:rsid w:val="00FB51E1"/>
    <w:rsid w:val="00FB56B7"/>
    <w:rsid w:val="00FB5727"/>
    <w:rsid w:val="00FB594D"/>
    <w:rsid w:val="00FB5A5C"/>
    <w:rsid w:val="00FB5F3F"/>
    <w:rsid w:val="00FB6813"/>
    <w:rsid w:val="00FB69B2"/>
    <w:rsid w:val="00FB6ACC"/>
    <w:rsid w:val="00FB6B4C"/>
    <w:rsid w:val="00FB70D7"/>
    <w:rsid w:val="00FB7582"/>
    <w:rsid w:val="00FB78D7"/>
    <w:rsid w:val="00FB7AAB"/>
    <w:rsid w:val="00FB7D11"/>
    <w:rsid w:val="00FB7F8E"/>
    <w:rsid w:val="00FC019A"/>
    <w:rsid w:val="00FC026C"/>
    <w:rsid w:val="00FC032F"/>
    <w:rsid w:val="00FC0384"/>
    <w:rsid w:val="00FC0FD7"/>
    <w:rsid w:val="00FC13BE"/>
    <w:rsid w:val="00FC1447"/>
    <w:rsid w:val="00FC1558"/>
    <w:rsid w:val="00FC1884"/>
    <w:rsid w:val="00FC1895"/>
    <w:rsid w:val="00FC1ACC"/>
    <w:rsid w:val="00FC1ACF"/>
    <w:rsid w:val="00FC1C81"/>
    <w:rsid w:val="00FC1CC1"/>
    <w:rsid w:val="00FC1E88"/>
    <w:rsid w:val="00FC230C"/>
    <w:rsid w:val="00FC2373"/>
    <w:rsid w:val="00FC2491"/>
    <w:rsid w:val="00FC2592"/>
    <w:rsid w:val="00FC25F6"/>
    <w:rsid w:val="00FC2704"/>
    <w:rsid w:val="00FC2DDA"/>
    <w:rsid w:val="00FC3722"/>
    <w:rsid w:val="00FC3EE1"/>
    <w:rsid w:val="00FC409B"/>
    <w:rsid w:val="00FC42EB"/>
    <w:rsid w:val="00FC477C"/>
    <w:rsid w:val="00FC49BB"/>
    <w:rsid w:val="00FC4A2D"/>
    <w:rsid w:val="00FC4B42"/>
    <w:rsid w:val="00FC4D80"/>
    <w:rsid w:val="00FC4FB5"/>
    <w:rsid w:val="00FC5130"/>
    <w:rsid w:val="00FC5386"/>
    <w:rsid w:val="00FC552C"/>
    <w:rsid w:val="00FC58B1"/>
    <w:rsid w:val="00FC5F9B"/>
    <w:rsid w:val="00FC637F"/>
    <w:rsid w:val="00FC6742"/>
    <w:rsid w:val="00FC68AE"/>
    <w:rsid w:val="00FC68C2"/>
    <w:rsid w:val="00FC6F2F"/>
    <w:rsid w:val="00FC701F"/>
    <w:rsid w:val="00FC7C87"/>
    <w:rsid w:val="00FD00BE"/>
    <w:rsid w:val="00FD01A8"/>
    <w:rsid w:val="00FD0208"/>
    <w:rsid w:val="00FD030B"/>
    <w:rsid w:val="00FD0CA4"/>
    <w:rsid w:val="00FD12BF"/>
    <w:rsid w:val="00FD2061"/>
    <w:rsid w:val="00FD21C3"/>
    <w:rsid w:val="00FD22EB"/>
    <w:rsid w:val="00FD364E"/>
    <w:rsid w:val="00FD375B"/>
    <w:rsid w:val="00FD3800"/>
    <w:rsid w:val="00FD3ADA"/>
    <w:rsid w:val="00FD3D0E"/>
    <w:rsid w:val="00FD45D8"/>
    <w:rsid w:val="00FD462A"/>
    <w:rsid w:val="00FD4E0C"/>
    <w:rsid w:val="00FD4FD5"/>
    <w:rsid w:val="00FD51CD"/>
    <w:rsid w:val="00FD5371"/>
    <w:rsid w:val="00FD616B"/>
    <w:rsid w:val="00FD642F"/>
    <w:rsid w:val="00FD65E9"/>
    <w:rsid w:val="00FD6BE1"/>
    <w:rsid w:val="00FD6CCC"/>
    <w:rsid w:val="00FD710D"/>
    <w:rsid w:val="00FD7282"/>
    <w:rsid w:val="00FD7427"/>
    <w:rsid w:val="00FD76FB"/>
    <w:rsid w:val="00FD7E58"/>
    <w:rsid w:val="00FE0025"/>
    <w:rsid w:val="00FE0833"/>
    <w:rsid w:val="00FE0C28"/>
    <w:rsid w:val="00FE1494"/>
    <w:rsid w:val="00FE1A4D"/>
    <w:rsid w:val="00FE1B5B"/>
    <w:rsid w:val="00FE1C24"/>
    <w:rsid w:val="00FE2187"/>
    <w:rsid w:val="00FE2214"/>
    <w:rsid w:val="00FE2610"/>
    <w:rsid w:val="00FE2728"/>
    <w:rsid w:val="00FE2850"/>
    <w:rsid w:val="00FE2BB3"/>
    <w:rsid w:val="00FE2C40"/>
    <w:rsid w:val="00FE2CDB"/>
    <w:rsid w:val="00FE2E02"/>
    <w:rsid w:val="00FE3273"/>
    <w:rsid w:val="00FE367F"/>
    <w:rsid w:val="00FE3931"/>
    <w:rsid w:val="00FE3DED"/>
    <w:rsid w:val="00FE3F3C"/>
    <w:rsid w:val="00FE405A"/>
    <w:rsid w:val="00FE464D"/>
    <w:rsid w:val="00FE55E3"/>
    <w:rsid w:val="00FE564D"/>
    <w:rsid w:val="00FE5AB5"/>
    <w:rsid w:val="00FE5F1D"/>
    <w:rsid w:val="00FE5FDD"/>
    <w:rsid w:val="00FE6436"/>
    <w:rsid w:val="00FE6524"/>
    <w:rsid w:val="00FE66EE"/>
    <w:rsid w:val="00FE6701"/>
    <w:rsid w:val="00FE686B"/>
    <w:rsid w:val="00FE687A"/>
    <w:rsid w:val="00FE68EA"/>
    <w:rsid w:val="00FE722C"/>
    <w:rsid w:val="00FE762E"/>
    <w:rsid w:val="00FE768D"/>
    <w:rsid w:val="00FF0473"/>
    <w:rsid w:val="00FF0FC4"/>
    <w:rsid w:val="00FF10FE"/>
    <w:rsid w:val="00FF1140"/>
    <w:rsid w:val="00FF1D63"/>
    <w:rsid w:val="00FF1E2F"/>
    <w:rsid w:val="00FF2313"/>
    <w:rsid w:val="00FF239E"/>
    <w:rsid w:val="00FF23AA"/>
    <w:rsid w:val="00FF2754"/>
    <w:rsid w:val="00FF2843"/>
    <w:rsid w:val="00FF29DC"/>
    <w:rsid w:val="00FF2AE7"/>
    <w:rsid w:val="00FF2BE2"/>
    <w:rsid w:val="00FF31D5"/>
    <w:rsid w:val="00FF36F8"/>
    <w:rsid w:val="00FF3C3E"/>
    <w:rsid w:val="00FF4328"/>
    <w:rsid w:val="00FF482D"/>
    <w:rsid w:val="00FF5276"/>
    <w:rsid w:val="00FF5455"/>
    <w:rsid w:val="00FF5810"/>
    <w:rsid w:val="00FF5A93"/>
    <w:rsid w:val="00FF5B42"/>
    <w:rsid w:val="00FF5BB5"/>
    <w:rsid w:val="00FF5D44"/>
    <w:rsid w:val="00FF6112"/>
    <w:rsid w:val="00FF6754"/>
    <w:rsid w:val="00FF6AC9"/>
    <w:rsid w:val="00FF701A"/>
    <w:rsid w:val="00FF7115"/>
    <w:rsid w:val="00FF77ED"/>
    <w:rsid w:val="00FF79D8"/>
    <w:rsid w:val="0114E94E"/>
    <w:rsid w:val="011687F1"/>
    <w:rsid w:val="011799ED"/>
    <w:rsid w:val="012F5051"/>
    <w:rsid w:val="013B1C8A"/>
    <w:rsid w:val="01841E41"/>
    <w:rsid w:val="019A5C1C"/>
    <w:rsid w:val="01C1258E"/>
    <w:rsid w:val="01CE0BFD"/>
    <w:rsid w:val="01FB17EB"/>
    <w:rsid w:val="02124937"/>
    <w:rsid w:val="021BD49C"/>
    <w:rsid w:val="021C0462"/>
    <w:rsid w:val="02203A38"/>
    <w:rsid w:val="022C99FA"/>
    <w:rsid w:val="022D9CD7"/>
    <w:rsid w:val="02733629"/>
    <w:rsid w:val="027414B5"/>
    <w:rsid w:val="02795581"/>
    <w:rsid w:val="027D03E7"/>
    <w:rsid w:val="029F638C"/>
    <w:rsid w:val="02A2B780"/>
    <w:rsid w:val="02D6D92B"/>
    <w:rsid w:val="02D92481"/>
    <w:rsid w:val="02DBD20A"/>
    <w:rsid w:val="03058475"/>
    <w:rsid w:val="032ECB44"/>
    <w:rsid w:val="0347A646"/>
    <w:rsid w:val="03623A40"/>
    <w:rsid w:val="036BB744"/>
    <w:rsid w:val="037C8300"/>
    <w:rsid w:val="038476F2"/>
    <w:rsid w:val="038F14E4"/>
    <w:rsid w:val="039D89D0"/>
    <w:rsid w:val="03B4BB22"/>
    <w:rsid w:val="03B7BBC5"/>
    <w:rsid w:val="03B9C439"/>
    <w:rsid w:val="03C6ADEE"/>
    <w:rsid w:val="03CDCC2F"/>
    <w:rsid w:val="03CE59C1"/>
    <w:rsid w:val="03D65032"/>
    <w:rsid w:val="03E15427"/>
    <w:rsid w:val="03F5D72C"/>
    <w:rsid w:val="03F942CE"/>
    <w:rsid w:val="03FFB906"/>
    <w:rsid w:val="0400732C"/>
    <w:rsid w:val="0401512C"/>
    <w:rsid w:val="0414973F"/>
    <w:rsid w:val="0450D736"/>
    <w:rsid w:val="0454303A"/>
    <w:rsid w:val="04597A4E"/>
    <w:rsid w:val="045ED1B7"/>
    <w:rsid w:val="0474DF6C"/>
    <w:rsid w:val="0485700A"/>
    <w:rsid w:val="049E7091"/>
    <w:rsid w:val="04B96E75"/>
    <w:rsid w:val="04BC3ADC"/>
    <w:rsid w:val="04C41ED8"/>
    <w:rsid w:val="04CC83E1"/>
    <w:rsid w:val="04D941AE"/>
    <w:rsid w:val="04DBA2DF"/>
    <w:rsid w:val="05017D7E"/>
    <w:rsid w:val="05066964"/>
    <w:rsid w:val="051EA081"/>
    <w:rsid w:val="0542B41E"/>
    <w:rsid w:val="0544AEA3"/>
    <w:rsid w:val="0548AA56"/>
    <w:rsid w:val="0551C4B2"/>
    <w:rsid w:val="0552CCE7"/>
    <w:rsid w:val="0556B2CB"/>
    <w:rsid w:val="0563DB2C"/>
    <w:rsid w:val="056442FA"/>
    <w:rsid w:val="0566CA97"/>
    <w:rsid w:val="056D4CD7"/>
    <w:rsid w:val="056DC27B"/>
    <w:rsid w:val="05C5EA13"/>
    <w:rsid w:val="05E15F49"/>
    <w:rsid w:val="05F09A5E"/>
    <w:rsid w:val="05F3DF51"/>
    <w:rsid w:val="05F7115F"/>
    <w:rsid w:val="05FBCBD9"/>
    <w:rsid w:val="06082F0E"/>
    <w:rsid w:val="062F16B4"/>
    <w:rsid w:val="063D6DF8"/>
    <w:rsid w:val="06449611"/>
    <w:rsid w:val="064988AD"/>
    <w:rsid w:val="064FE891"/>
    <w:rsid w:val="0658FECD"/>
    <w:rsid w:val="067C35D2"/>
    <w:rsid w:val="06822C10"/>
    <w:rsid w:val="068C1BAB"/>
    <w:rsid w:val="069339C9"/>
    <w:rsid w:val="069D4C36"/>
    <w:rsid w:val="06AD8AEE"/>
    <w:rsid w:val="06C19866"/>
    <w:rsid w:val="06E237AB"/>
    <w:rsid w:val="07025C18"/>
    <w:rsid w:val="07157C2E"/>
    <w:rsid w:val="071DC06D"/>
    <w:rsid w:val="07378ADA"/>
    <w:rsid w:val="074A9185"/>
    <w:rsid w:val="0757A426"/>
    <w:rsid w:val="07591836"/>
    <w:rsid w:val="075C36CE"/>
    <w:rsid w:val="0771FF8E"/>
    <w:rsid w:val="077363A3"/>
    <w:rsid w:val="078B5EC0"/>
    <w:rsid w:val="07A3A722"/>
    <w:rsid w:val="07C00866"/>
    <w:rsid w:val="07C67AFF"/>
    <w:rsid w:val="07C774CC"/>
    <w:rsid w:val="07D4E2A7"/>
    <w:rsid w:val="07D56FEF"/>
    <w:rsid w:val="07D7ABE9"/>
    <w:rsid w:val="07DC6A19"/>
    <w:rsid w:val="07DFB20A"/>
    <w:rsid w:val="07F4F140"/>
    <w:rsid w:val="08063B25"/>
    <w:rsid w:val="081D46BE"/>
    <w:rsid w:val="08210FFC"/>
    <w:rsid w:val="0828520D"/>
    <w:rsid w:val="08340429"/>
    <w:rsid w:val="08368F6D"/>
    <w:rsid w:val="0839E82F"/>
    <w:rsid w:val="0847FAC9"/>
    <w:rsid w:val="085318E7"/>
    <w:rsid w:val="087B8A4B"/>
    <w:rsid w:val="08827AB7"/>
    <w:rsid w:val="0884B159"/>
    <w:rsid w:val="08850547"/>
    <w:rsid w:val="0897878E"/>
    <w:rsid w:val="089D2AA5"/>
    <w:rsid w:val="08A0FABD"/>
    <w:rsid w:val="08A7AD96"/>
    <w:rsid w:val="08AC281E"/>
    <w:rsid w:val="08C663C8"/>
    <w:rsid w:val="08EBEDC1"/>
    <w:rsid w:val="0949521B"/>
    <w:rsid w:val="096EB097"/>
    <w:rsid w:val="098EC741"/>
    <w:rsid w:val="099C0179"/>
    <w:rsid w:val="09A957F5"/>
    <w:rsid w:val="09AAFB4D"/>
    <w:rsid w:val="09D8154B"/>
    <w:rsid w:val="09DC924B"/>
    <w:rsid w:val="09DEF28C"/>
    <w:rsid w:val="0A07545E"/>
    <w:rsid w:val="0A0BE0D8"/>
    <w:rsid w:val="0A1096EA"/>
    <w:rsid w:val="0A14DEE1"/>
    <w:rsid w:val="0A1824F5"/>
    <w:rsid w:val="0A1E4B18"/>
    <w:rsid w:val="0A1FA69E"/>
    <w:rsid w:val="0A219EC6"/>
    <w:rsid w:val="0A3357EF"/>
    <w:rsid w:val="0A44CD4B"/>
    <w:rsid w:val="0A523F27"/>
    <w:rsid w:val="0A5319C1"/>
    <w:rsid w:val="0A7FB939"/>
    <w:rsid w:val="0A97FFAA"/>
    <w:rsid w:val="0A9AACD6"/>
    <w:rsid w:val="0AB711B9"/>
    <w:rsid w:val="0AC299EA"/>
    <w:rsid w:val="0ACF1206"/>
    <w:rsid w:val="0AF08783"/>
    <w:rsid w:val="0AFA6957"/>
    <w:rsid w:val="0AFBE59E"/>
    <w:rsid w:val="0B0376C3"/>
    <w:rsid w:val="0B18A656"/>
    <w:rsid w:val="0B1D8813"/>
    <w:rsid w:val="0B2C85C3"/>
    <w:rsid w:val="0B39A7A0"/>
    <w:rsid w:val="0B44B8A4"/>
    <w:rsid w:val="0B469F72"/>
    <w:rsid w:val="0B7F37F0"/>
    <w:rsid w:val="0B7FA85A"/>
    <w:rsid w:val="0B819DB2"/>
    <w:rsid w:val="0B99E31A"/>
    <w:rsid w:val="0BB605D2"/>
    <w:rsid w:val="0BB84565"/>
    <w:rsid w:val="0BC23675"/>
    <w:rsid w:val="0BD6CD4A"/>
    <w:rsid w:val="0BEC1224"/>
    <w:rsid w:val="0BEEF6F8"/>
    <w:rsid w:val="0BF9E864"/>
    <w:rsid w:val="0C180125"/>
    <w:rsid w:val="0C1F6044"/>
    <w:rsid w:val="0C277D5E"/>
    <w:rsid w:val="0C27C45B"/>
    <w:rsid w:val="0C32A03C"/>
    <w:rsid w:val="0C3CFD56"/>
    <w:rsid w:val="0C583335"/>
    <w:rsid w:val="0C5E81FB"/>
    <w:rsid w:val="0C631FC6"/>
    <w:rsid w:val="0C633099"/>
    <w:rsid w:val="0C64925A"/>
    <w:rsid w:val="0C713A02"/>
    <w:rsid w:val="0C7A817B"/>
    <w:rsid w:val="0C82DF30"/>
    <w:rsid w:val="0C8A67A0"/>
    <w:rsid w:val="0CC06E01"/>
    <w:rsid w:val="0CC09D13"/>
    <w:rsid w:val="0CE7B0E3"/>
    <w:rsid w:val="0CFA5704"/>
    <w:rsid w:val="0CFBF0D2"/>
    <w:rsid w:val="0D167DC0"/>
    <w:rsid w:val="0D1F7ABC"/>
    <w:rsid w:val="0D30D0FA"/>
    <w:rsid w:val="0D54979A"/>
    <w:rsid w:val="0D5917DA"/>
    <w:rsid w:val="0D5FCC72"/>
    <w:rsid w:val="0D6C0EF1"/>
    <w:rsid w:val="0D6D7B66"/>
    <w:rsid w:val="0D9BA9B6"/>
    <w:rsid w:val="0DAF5D9E"/>
    <w:rsid w:val="0DB8F47B"/>
    <w:rsid w:val="0DC444B2"/>
    <w:rsid w:val="0DCC4E96"/>
    <w:rsid w:val="0DDF044A"/>
    <w:rsid w:val="0DE306EE"/>
    <w:rsid w:val="0DEDE3FA"/>
    <w:rsid w:val="0DEDFB4F"/>
    <w:rsid w:val="0E2D5FED"/>
    <w:rsid w:val="0E3693AD"/>
    <w:rsid w:val="0E3B70A6"/>
    <w:rsid w:val="0E5EF239"/>
    <w:rsid w:val="0E63DE80"/>
    <w:rsid w:val="0E7DD4B3"/>
    <w:rsid w:val="0E940F17"/>
    <w:rsid w:val="0E9B96FB"/>
    <w:rsid w:val="0EB8326F"/>
    <w:rsid w:val="0EB8D59D"/>
    <w:rsid w:val="0EC7AEE5"/>
    <w:rsid w:val="0ECCF1A5"/>
    <w:rsid w:val="0ED2E1E8"/>
    <w:rsid w:val="0ED4636D"/>
    <w:rsid w:val="0ED498CA"/>
    <w:rsid w:val="0EF2111B"/>
    <w:rsid w:val="0F00CC35"/>
    <w:rsid w:val="0F062784"/>
    <w:rsid w:val="0F18792B"/>
    <w:rsid w:val="0F2C7545"/>
    <w:rsid w:val="0F2FFB28"/>
    <w:rsid w:val="0F3BE5F0"/>
    <w:rsid w:val="0F41544E"/>
    <w:rsid w:val="0F442FCA"/>
    <w:rsid w:val="0F5915BC"/>
    <w:rsid w:val="0F5E9140"/>
    <w:rsid w:val="0F66868D"/>
    <w:rsid w:val="0F7398AB"/>
    <w:rsid w:val="0F83A237"/>
    <w:rsid w:val="0F83DA68"/>
    <w:rsid w:val="0F8A6328"/>
    <w:rsid w:val="0F8BE054"/>
    <w:rsid w:val="0F921A44"/>
    <w:rsid w:val="0F93E0EF"/>
    <w:rsid w:val="0FACF88D"/>
    <w:rsid w:val="0FB228B8"/>
    <w:rsid w:val="0FB98EB3"/>
    <w:rsid w:val="0FBA605A"/>
    <w:rsid w:val="0FBC8A41"/>
    <w:rsid w:val="10077E98"/>
    <w:rsid w:val="1015DA3C"/>
    <w:rsid w:val="102EBABB"/>
    <w:rsid w:val="1035B656"/>
    <w:rsid w:val="104CE550"/>
    <w:rsid w:val="1051DECD"/>
    <w:rsid w:val="105B7940"/>
    <w:rsid w:val="108FA8F4"/>
    <w:rsid w:val="109B46DB"/>
    <w:rsid w:val="10A065CE"/>
    <w:rsid w:val="10AA8ABD"/>
    <w:rsid w:val="10B6570D"/>
    <w:rsid w:val="10BAA7FE"/>
    <w:rsid w:val="10D3254F"/>
    <w:rsid w:val="10E4CFC8"/>
    <w:rsid w:val="1105D4CB"/>
    <w:rsid w:val="1105F1AA"/>
    <w:rsid w:val="113378CC"/>
    <w:rsid w:val="11428528"/>
    <w:rsid w:val="115650DF"/>
    <w:rsid w:val="1158A1DA"/>
    <w:rsid w:val="115BEF0A"/>
    <w:rsid w:val="118D2ECA"/>
    <w:rsid w:val="118E8901"/>
    <w:rsid w:val="11A02432"/>
    <w:rsid w:val="11A1D26B"/>
    <w:rsid w:val="11A93D36"/>
    <w:rsid w:val="11B07EB4"/>
    <w:rsid w:val="11B2DE27"/>
    <w:rsid w:val="11B9C140"/>
    <w:rsid w:val="11C69778"/>
    <w:rsid w:val="11DC2A81"/>
    <w:rsid w:val="11ECEA43"/>
    <w:rsid w:val="120A5A5F"/>
    <w:rsid w:val="122BB5B1"/>
    <w:rsid w:val="123F62B3"/>
    <w:rsid w:val="12597C6D"/>
    <w:rsid w:val="125B3343"/>
    <w:rsid w:val="125B6875"/>
    <w:rsid w:val="12767F54"/>
    <w:rsid w:val="128FC34D"/>
    <w:rsid w:val="12939D20"/>
    <w:rsid w:val="1294F827"/>
    <w:rsid w:val="129923AF"/>
    <w:rsid w:val="129EB201"/>
    <w:rsid w:val="12B1F3FF"/>
    <w:rsid w:val="12CAEA39"/>
    <w:rsid w:val="12D220D0"/>
    <w:rsid w:val="12E0E669"/>
    <w:rsid w:val="12F9DFF9"/>
    <w:rsid w:val="1301FA29"/>
    <w:rsid w:val="1320D484"/>
    <w:rsid w:val="133C376E"/>
    <w:rsid w:val="1343F128"/>
    <w:rsid w:val="1349CFBF"/>
    <w:rsid w:val="13647F57"/>
    <w:rsid w:val="136A51EB"/>
    <w:rsid w:val="138B632E"/>
    <w:rsid w:val="13AB0600"/>
    <w:rsid w:val="13AFF14C"/>
    <w:rsid w:val="13D01C93"/>
    <w:rsid w:val="13D16AB1"/>
    <w:rsid w:val="13DE4BEC"/>
    <w:rsid w:val="13FFCF49"/>
    <w:rsid w:val="1408D00D"/>
    <w:rsid w:val="14188A4E"/>
    <w:rsid w:val="141966E6"/>
    <w:rsid w:val="14205D0E"/>
    <w:rsid w:val="14328A17"/>
    <w:rsid w:val="1447580A"/>
    <w:rsid w:val="14578F0F"/>
    <w:rsid w:val="146284A3"/>
    <w:rsid w:val="146DE38A"/>
    <w:rsid w:val="147807EA"/>
    <w:rsid w:val="1478E1CC"/>
    <w:rsid w:val="1479338B"/>
    <w:rsid w:val="148E265F"/>
    <w:rsid w:val="149B7FC4"/>
    <w:rsid w:val="149D4E7C"/>
    <w:rsid w:val="14ABD39B"/>
    <w:rsid w:val="14AE3E6E"/>
    <w:rsid w:val="14B68D77"/>
    <w:rsid w:val="14BCA8A6"/>
    <w:rsid w:val="14D25617"/>
    <w:rsid w:val="14D28767"/>
    <w:rsid w:val="14DD31D0"/>
    <w:rsid w:val="14E97867"/>
    <w:rsid w:val="14F3D50F"/>
    <w:rsid w:val="14F877FC"/>
    <w:rsid w:val="150D294A"/>
    <w:rsid w:val="151D19DE"/>
    <w:rsid w:val="151D3329"/>
    <w:rsid w:val="151F42ED"/>
    <w:rsid w:val="15256029"/>
    <w:rsid w:val="152F23E6"/>
    <w:rsid w:val="154BCD6D"/>
    <w:rsid w:val="15590AF9"/>
    <w:rsid w:val="15656AFB"/>
    <w:rsid w:val="15A0D86F"/>
    <w:rsid w:val="15A5FB42"/>
    <w:rsid w:val="15A6BFD2"/>
    <w:rsid w:val="15AEA0A7"/>
    <w:rsid w:val="15BCE82D"/>
    <w:rsid w:val="15D86347"/>
    <w:rsid w:val="15F15F1D"/>
    <w:rsid w:val="15FF2A27"/>
    <w:rsid w:val="16209E7E"/>
    <w:rsid w:val="162215B4"/>
    <w:rsid w:val="1630D830"/>
    <w:rsid w:val="1633A3A8"/>
    <w:rsid w:val="164ABEBD"/>
    <w:rsid w:val="165A1E54"/>
    <w:rsid w:val="1671C29E"/>
    <w:rsid w:val="167485E4"/>
    <w:rsid w:val="167979F5"/>
    <w:rsid w:val="1683C8C0"/>
    <w:rsid w:val="1685AA7F"/>
    <w:rsid w:val="1688CFB7"/>
    <w:rsid w:val="16A0A80D"/>
    <w:rsid w:val="16A299D0"/>
    <w:rsid w:val="16A5D4C2"/>
    <w:rsid w:val="16A5DFFF"/>
    <w:rsid w:val="16BD2418"/>
    <w:rsid w:val="16DAE05B"/>
    <w:rsid w:val="16F35896"/>
    <w:rsid w:val="16FF2F92"/>
    <w:rsid w:val="17104F04"/>
    <w:rsid w:val="1733DD5C"/>
    <w:rsid w:val="1734EF80"/>
    <w:rsid w:val="17424410"/>
    <w:rsid w:val="1753A521"/>
    <w:rsid w:val="1758EF07"/>
    <w:rsid w:val="176EC291"/>
    <w:rsid w:val="177EB528"/>
    <w:rsid w:val="1796A146"/>
    <w:rsid w:val="17978DCC"/>
    <w:rsid w:val="179B9AC3"/>
    <w:rsid w:val="17B85EDC"/>
    <w:rsid w:val="17CB308E"/>
    <w:rsid w:val="17E3177B"/>
    <w:rsid w:val="17E52C7D"/>
    <w:rsid w:val="17EDDB12"/>
    <w:rsid w:val="17F3F954"/>
    <w:rsid w:val="17F593C5"/>
    <w:rsid w:val="17FAF2CF"/>
    <w:rsid w:val="180AECD5"/>
    <w:rsid w:val="180C8BFE"/>
    <w:rsid w:val="18110C8A"/>
    <w:rsid w:val="1819CEC2"/>
    <w:rsid w:val="183120FB"/>
    <w:rsid w:val="183A0EBD"/>
    <w:rsid w:val="1861C1CF"/>
    <w:rsid w:val="1878C974"/>
    <w:rsid w:val="18C2C98E"/>
    <w:rsid w:val="18E05CAF"/>
    <w:rsid w:val="18E2156A"/>
    <w:rsid w:val="18EAED63"/>
    <w:rsid w:val="18F6A04C"/>
    <w:rsid w:val="18FCEF83"/>
    <w:rsid w:val="191745CD"/>
    <w:rsid w:val="191AC649"/>
    <w:rsid w:val="194A8ED2"/>
    <w:rsid w:val="19508DB6"/>
    <w:rsid w:val="196700EF"/>
    <w:rsid w:val="19810A01"/>
    <w:rsid w:val="19994EF5"/>
    <w:rsid w:val="199C95CD"/>
    <w:rsid w:val="19C51291"/>
    <w:rsid w:val="19CD9FFC"/>
    <w:rsid w:val="19CE4B21"/>
    <w:rsid w:val="19CE561C"/>
    <w:rsid w:val="19D1B7DE"/>
    <w:rsid w:val="19D67C61"/>
    <w:rsid w:val="19D9E454"/>
    <w:rsid w:val="19E03BEE"/>
    <w:rsid w:val="19F1171D"/>
    <w:rsid w:val="19F57A2E"/>
    <w:rsid w:val="1A0976F0"/>
    <w:rsid w:val="1A09F567"/>
    <w:rsid w:val="1A0E900B"/>
    <w:rsid w:val="1A1B10CA"/>
    <w:rsid w:val="1A2402EB"/>
    <w:rsid w:val="1A28743A"/>
    <w:rsid w:val="1A34AC4B"/>
    <w:rsid w:val="1A522931"/>
    <w:rsid w:val="1A52B6BB"/>
    <w:rsid w:val="1A624145"/>
    <w:rsid w:val="1A6753CE"/>
    <w:rsid w:val="1A70DB93"/>
    <w:rsid w:val="1A785075"/>
    <w:rsid w:val="1A81C296"/>
    <w:rsid w:val="1A84CDBD"/>
    <w:rsid w:val="1A8C2852"/>
    <w:rsid w:val="1A8EBFD5"/>
    <w:rsid w:val="1A91CBDE"/>
    <w:rsid w:val="1AA1F1A0"/>
    <w:rsid w:val="1ACD0064"/>
    <w:rsid w:val="1AD32183"/>
    <w:rsid w:val="1ADDC0A3"/>
    <w:rsid w:val="1AEB20BB"/>
    <w:rsid w:val="1AF61461"/>
    <w:rsid w:val="1AF69FB2"/>
    <w:rsid w:val="1AFFF5DD"/>
    <w:rsid w:val="1B0BBDD2"/>
    <w:rsid w:val="1B51105B"/>
    <w:rsid w:val="1B5E4ADF"/>
    <w:rsid w:val="1B9DEF90"/>
    <w:rsid w:val="1B9DFD72"/>
    <w:rsid w:val="1B9EFBD6"/>
    <w:rsid w:val="1BA37F2A"/>
    <w:rsid w:val="1BAC96A1"/>
    <w:rsid w:val="1BB1A61A"/>
    <w:rsid w:val="1BB386E0"/>
    <w:rsid w:val="1BB59F1D"/>
    <w:rsid w:val="1BBF752E"/>
    <w:rsid w:val="1BCC8D23"/>
    <w:rsid w:val="1BDA6CC3"/>
    <w:rsid w:val="1BFE5866"/>
    <w:rsid w:val="1C10D67D"/>
    <w:rsid w:val="1C2BB7B8"/>
    <w:rsid w:val="1C2D6D08"/>
    <w:rsid w:val="1C2FDFCC"/>
    <w:rsid w:val="1C314C71"/>
    <w:rsid w:val="1C3B2746"/>
    <w:rsid w:val="1C41F17D"/>
    <w:rsid w:val="1C44B379"/>
    <w:rsid w:val="1C4AB7E9"/>
    <w:rsid w:val="1C686ED8"/>
    <w:rsid w:val="1C74D502"/>
    <w:rsid w:val="1C886EAC"/>
    <w:rsid w:val="1CA027F6"/>
    <w:rsid w:val="1CA71431"/>
    <w:rsid w:val="1CA87D74"/>
    <w:rsid w:val="1CA8BD24"/>
    <w:rsid w:val="1CAF1CDD"/>
    <w:rsid w:val="1CB00184"/>
    <w:rsid w:val="1CB7DADE"/>
    <w:rsid w:val="1CC23CA0"/>
    <w:rsid w:val="1CC4A99E"/>
    <w:rsid w:val="1CE1A316"/>
    <w:rsid w:val="1CF30A44"/>
    <w:rsid w:val="1CF42CEE"/>
    <w:rsid w:val="1D0D5DF8"/>
    <w:rsid w:val="1D124771"/>
    <w:rsid w:val="1D1EFFED"/>
    <w:rsid w:val="1D305C04"/>
    <w:rsid w:val="1D345968"/>
    <w:rsid w:val="1D55155D"/>
    <w:rsid w:val="1D62F596"/>
    <w:rsid w:val="1D72DAAF"/>
    <w:rsid w:val="1D741110"/>
    <w:rsid w:val="1D7D4B76"/>
    <w:rsid w:val="1DA3F1AB"/>
    <w:rsid w:val="1DA558C3"/>
    <w:rsid w:val="1DA5B9B2"/>
    <w:rsid w:val="1DA98980"/>
    <w:rsid w:val="1DB0B386"/>
    <w:rsid w:val="1DB313AB"/>
    <w:rsid w:val="1DB5A4B2"/>
    <w:rsid w:val="1DC433A2"/>
    <w:rsid w:val="1DC6E9F6"/>
    <w:rsid w:val="1DD7286A"/>
    <w:rsid w:val="1DDB5BEF"/>
    <w:rsid w:val="1DE8F18B"/>
    <w:rsid w:val="1E08EDF8"/>
    <w:rsid w:val="1E0D333A"/>
    <w:rsid w:val="1E1A2C52"/>
    <w:rsid w:val="1E3D9B45"/>
    <w:rsid w:val="1E3E93D5"/>
    <w:rsid w:val="1E471C62"/>
    <w:rsid w:val="1E4FA77B"/>
    <w:rsid w:val="1E6AAE29"/>
    <w:rsid w:val="1E6D18D2"/>
    <w:rsid w:val="1E6D535A"/>
    <w:rsid w:val="1E701314"/>
    <w:rsid w:val="1E733A25"/>
    <w:rsid w:val="1E8178A6"/>
    <w:rsid w:val="1E855623"/>
    <w:rsid w:val="1E8D2552"/>
    <w:rsid w:val="1E8FFD4F"/>
    <w:rsid w:val="1E93A724"/>
    <w:rsid w:val="1E951296"/>
    <w:rsid w:val="1E9EA8FC"/>
    <w:rsid w:val="1EAFA518"/>
    <w:rsid w:val="1EB3B210"/>
    <w:rsid w:val="1EB7DDB4"/>
    <w:rsid w:val="1EB9AEEE"/>
    <w:rsid w:val="1EBF651D"/>
    <w:rsid w:val="1ED3C927"/>
    <w:rsid w:val="1EDD1925"/>
    <w:rsid w:val="1EE1470A"/>
    <w:rsid w:val="1F13933F"/>
    <w:rsid w:val="1F50FCB4"/>
    <w:rsid w:val="1F52F3D5"/>
    <w:rsid w:val="1F63014F"/>
    <w:rsid w:val="1F740DCE"/>
    <w:rsid w:val="1F752FF5"/>
    <w:rsid w:val="1F84E2D9"/>
    <w:rsid w:val="1F85D2F8"/>
    <w:rsid w:val="1F8AF82E"/>
    <w:rsid w:val="1F9192B6"/>
    <w:rsid w:val="1FA94064"/>
    <w:rsid w:val="1FC07200"/>
    <w:rsid w:val="1FD06FFB"/>
    <w:rsid w:val="1FF3F90E"/>
    <w:rsid w:val="1FFD5A84"/>
    <w:rsid w:val="20016307"/>
    <w:rsid w:val="202674A2"/>
    <w:rsid w:val="202F44FB"/>
    <w:rsid w:val="2036AAAF"/>
    <w:rsid w:val="20410A21"/>
    <w:rsid w:val="20524214"/>
    <w:rsid w:val="205EB437"/>
    <w:rsid w:val="20777801"/>
    <w:rsid w:val="207AE730"/>
    <w:rsid w:val="20817DC8"/>
    <w:rsid w:val="20818CA6"/>
    <w:rsid w:val="2083A1F4"/>
    <w:rsid w:val="20F8B97D"/>
    <w:rsid w:val="20FA97BE"/>
    <w:rsid w:val="21084C7D"/>
    <w:rsid w:val="210B5540"/>
    <w:rsid w:val="21113206"/>
    <w:rsid w:val="2126F566"/>
    <w:rsid w:val="212C8D46"/>
    <w:rsid w:val="213558C1"/>
    <w:rsid w:val="213AB470"/>
    <w:rsid w:val="213B935E"/>
    <w:rsid w:val="214BC468"/>
    <w:rsid w:val="214DF1A5"/>
    <w:rsid w:val="2157D413"/>
    <w:rsid w:val="21706E41"/>
    <w:rsid w:val="217E3B0E"/>
    <w:rsid w:val="2185AD90"/>
    <w:rsid w:val="21A50790"/>
    <w:rsid w:val="21B90331"/>
    <w:rsid w:val="21C139E9"/>
    <w:rsid w:val="21D49812"/>
    <w:rsid w:val="21E1C1F1"/>
    <w:rsid w:val="21E72349"/>
    <w:rsid w:val="21F42BB8"/>
    <w:rsid w:val="21FB8DDA"/>
    <w:rsid w:val="22027123"/>
    <w:rsid w:val="220B5C6E"/>
    <w:rsid w:val="223B2CA9"/>
    <w:rsid w:val="223FF101"/>
    <w:rsid w:val="22424C83"/>
    <w:rsid w:val="2249F7B2"/>
    <w:rsid w:val="225F1572"/>
    <w:rsid w:val="2274CCBA"/>
    <w:rsid w:val="227FFD57"/>
    <w:rsid w:val="22820FCB"/>
    <w:rsid w:val="228C8996"/>
    <w:rsid w:val="229169F0"/>
    <w:rsid w:val="2294C201"/>
    <w:rsid w:val="2299FA8E"/>
    <w:rsid w:val="229B1AF5"/>
    <w:rsid w:val="229BB26D"/>
    <w:rsid w:val="22BE2E3C"/>
    <w:rsid w:val="22C39285"/>
    <w:rsid w:val="22C3D312"/>
    <w:rsid w:val="22F9DEEF"/>
    <w:rsid w:val="23109AB5"/>
    <w:rsid w:val="231BF073"/>
    <w:rsid w:val="23259B4C"/>
    <w:rsid w:val="233D086F"/>
    <w:rsid w:val="2341258D"/>
    <w:rsid w:val="2360D8B4"/>
    <w:rsid w:val="23610B85"/>
    <w:rsid w:val="236AEB22"/>
    <w:rsid w:val="236DCB5B"/>
    <w:rsid w:val="237569F0"/>
    <w:rsid w:val="23764EF1"/>
    <w:rsid w:val="2381EEE8"/>
    <w:rsid w:val="238DF621"/>
    <w:rsid w:val="239A7E40"/>
    <w:rsid w:val="23A59D09"/>
    <w:rsid w:val="23B2302B"/>
    <w:rsid w:val="23B67B9F"/>
    <w:rsid w:val="23B9AA23"/>
    <w:rsid w:val="23C378F3"/>
    <w:rsid w:val="23CEFD96"/>
    <w:rsid w:val="23CFC6BA"/>
    <w:rsid w:val="23EB9B73"/>
    <w:rsid w:val="23ED6ECE"/>
    <w:rsid w:val="2401C3E0"/>
    <w:rsid w:val="242DCF7F"/>
    <w:rsid w:val="24347B22"/>
    <w:rsid w:val="244157D3"/>
    <w:rsid w:val="24635160"/>
    <w:rsid w:val="246A4D0A"/>
    <w:rsid w:val="246C85A4"/>
    <w:rsid w:val="246CF48F"/>
    <w:rsid w:val="246DB8F7"/>
    <w:rsid w:val="246E5555"/>
    <w:rsid w:val="2470AAFC"/>
    <w:rsid w:val="248C0186"/>
    <w:rsid w:val="24A9123C"/>
    <w:rsid w:val="24AF97C6"/>
    <w:rsid w:val="24B24F00"/>
    <w:rsid w:val="24B2F35D"/>
    <w:rsid w:val="24C360DA"/>
    <w:rsid w:val="24D03B88"/>
    <w:rsid w:val="24E241DA"/>
    <w:rsid w:val="24EEF50A"/>
    <w:rsid w:val="24FD34B2"/>
    <w:rsid w:val="2519E8D2"/>
    <w:rsid w:val="252790E4"/>
    <w:rsid w:val="253730B6"/>
    <w:rsid w:val="253F5441"/>
    <w:rsid w:val="254E4A77"/>
    <w:rsid w:val="256677EF"/>
    <w:rsid w:val="257A7FB4"/>
    <w:rsid w:val="257C8720"/>
    <w:rsid w:val="2587643A"/>
    <w:rsid w:val="25912EC2"/>
    <w:rsid w:val="25992D3A"/>
    <w:rsid w:val="25C01153"/>
    <w:rsid w:val="25C11E94"/>
    <w:rsid w:val="25C86C4D"/>
    <w:rsid w:val="25F23AC0"/>
    <w:rsid w:val="25F53DEB"/>
    <w:rsid w:val="25F5CC87"/>
    <w:rsid w:val="2615D27F"/>
    <w:rsid w:val="2620B5BC"/>
    <w:rsid w:val="2621CED4"/>
    <w:rsid w:val="2645B91D"/>
    <w:rsid w:val="2667E91E"/>
    <w:rsid w:val="267E9451"/>
    <w:rsid w:val="267FB6BB"/>
    <w:rsid w:val="26834E23"/>
    <w:rsid w:val="26865BE6"/>
    <w:rsid w:val="26912463"/>
    <w:rsid w:val="269814CF"/>
    <w:rsid w:val="26B451C6"/>
    <w:rsid w:val="26BC18BE"/>
    <w:rsid w:val="26C2E5C1"/>
    <w:rsid w:val="26C77AC9"/>
    <w:rsid w:val="26DAE0AF"/>
    <w:rsid w:val="26DD48A1"/>
    <w:rsid w:val="26E65A0A"/>
    <w:rsid w:val="26ECBD96"/>
    <w:rsid w:val="26FC55D0"/>
    <w:rsid w:val="27011AC8"/>
    <w:rsid w:val="271B17DA"/>
    <w:rsid w:val="2723B891"/>
    <w:rsid w:val="2729F834"/>
    <w:rsid w:val="27336A2E"/>
    <w:rsid w:val="27404BA5"/>
    <w:rsid w:val="2746C418"/>
    <w:rsid w:val="27490BE2"/>
    <w:rsid w:val="27495D12"/>
    <w:rsid w:val="274BC818"/>
    <w:rsid w:val="276347E9"/>
    <w:rsid w:val="27643630"/>
    <w:rsid w:val="2772E2FF"/>
    <w:rsid w:val="278DDE10"/>
    <w:rsid w:val="27918515"/>
    <w:rsid w:val="2799F616"/>
    <w:rsid w:val="279F8A9B"/>
    <w:rsid w:val="27AB9055"/>
    <w:rsid w:val="27B2A8F7"/>
    <w:rsid w:val="27B33DA2"/>
    <w:rsid w:val="27DA32E7"/>
    <w:rsid w:val="27EC5C69"/>
    <w:rsid w:val="27F690AD"/>
    <w:rsid w:val="28074C55"/>
    <w:rsid w:val="280ED04D"/>
    <w:rsid w:val="2810E166"/>
    <w:rsid w:val="282D356F"/>
    <w:rsid w:val="2832D743"/>
    <w:rsid w:val="283C3188"/>
    <w:rsid w:val="286211A2"/>
    <w:rsid w:val="28701F50"/>
    <w:rsid w:val="2870B688"/>
    <w:rsid w:val="28809CC7"/>
    <w:rsid w:val="289A7E38"/>
    <w:rsid w:val="289DC4DD"/>
    <w:rsid w:val="28A4E2EE"/>
    <w:rsid w:val="28DEEC99"/>
    <w:rsid w:val="28E66AAE"/>
    <w:rsid w:val="2909AAB9"/>
    <w:rsid w:val="29352465"/>
    <w:rsid w:val="29390E28"/>
    <w:rsid w:val="2961AC46"/>
    <w:rsid w:val="297BB473"/>
    <w:rsid w:val="298BFA16"/>
    <w:rsid w:val="299631AC"/>
    <w:rsid w:val="29A307E7"/>
    <w:rsid w:val="29D121EA"/>
    <w:rsid w:val="29F01136"/>
    <w:rsid w:val="29F65525"/>
    <w:rsid w:val="29FAC86A"/>
    <w:rsid w:val="2A05A251"/>
    <w:rsid w:val="2A05B3A0"/>
    <w:rsid w:val="2A060BF7"/>
    <w:rsid w:val="2A06F774"/>
    <w:rsid w:val="2A0C2256"/>
    <w:rsid w:val="2A1A2AE9"/>
    <w:rsid w:val="2A1E47F1"/>
    <w:rsid w:val="2A22FD92"/>
    <w:rsid w:val="2A452A06"/>
    <w:rsid w:val="2A4AC993"/>
    <w:rsid w:val="2A5BCFE7"/>
    <w:rsid w:val="2A5E30CF"/>
    <w:rsid w:val="2A760403"/>
    <w:rsid w:val="2A829FB6"/>
    <w:rsid w:val="2A921DE3"/>
    <w:rsid w:val="2AADE204"/>
    <w:rsid w:val="2AC16169"/>
    <w:rsid w:val="2AC21088"/>
    <w:rsid w:val="2AC796A5"/>
    <w:rsid w:val="2ACB4957"/>
    <w:rsid w:val="2AF375F6"/>
    <w:rsid w:val="2B0DF7E3"/>
    <w:rsid w:val="2B20CEF7"/>
    <w:rsid w:val="2B41E755"/>
    <w:rsid w:val="2B47C41E"/>
    <w:rsid w:val="2B4A7D90"/>
    <w:rsid w:val="2B5A756E"/>
    <w:rsid w:val="2B60B095"/>
    <w:rsid w:val="2B62C8E3"/>
    <w:rsid w:val="2B634AB9"/>
    <w:rsid w:val="2B6A9159"/>
    <w:rsid w:val="2B6D8FDF"/>
    <w:rsid w:val="2B80A89C"/>
    <w:rsid w:val="2B9ADB2D"/>
    <w:rsid w:val="2B9CD341"/>
    <w:rsid w:val="2BDE31F4"/>
    <w:rsid w:val="2BE2E5A8"/>
    <w:rsid w:val="2BE70119"/>
    <w:rsid w:val="2BF6363C"/>
    <w:rsid w:val="2BF7FD35"/>
    <w:rsid w:val="2C10B4BD"/>
    <w:rsid w:val="2C150522"/>
    <w:rsid w:val="2C1E4FDB"/>
    <w:rsid w:val="2C23B6C3"/>
    <w:rsid w:val="2C656F08"/>
    <w:rsid w:val="2C6E3167"/>
    <w:rsid w:val="2C7CFEA2"/>
    <w:rsid w:val="2C7ED2E7"/>
    <w:rsid w:val="2C88C0ED"/>
    <w:rsid w:val="2C8C1396"/>
    <w:rsid w:val="2CA03D74"/>
    <w:rsid w:val="2CA4E67C"/>
    <w:rsid w:val="2CB267F0"/>
    <w:rsid w:val="2CBAB788"/>
    <w:rsid w:val="2CBF11EB"/>
    <w:rsid w:val="2CCA1556"/>
    <w:rsid w:val="2CE2E368"/>
    <w:rsid w:val="2CF64930"/>
    <w:rsid w:val="2D04D601"/>
    <w:rsid w:val="2D22B00E"/>
    <w:rsid w:val="2D241508"/>
    <w:rsid w:val="2D3D40B0"/>
    <w:rsid w:val="2D3DFC85"/>
    <w:rsid w:val="2D537F34"/>
    <w:rsid w:val="2D5BEE47"/>
    <w:rsid w:val="2D70F25C"/>
    <w:rsid w:val="2D896061"/>
    <w:rsid w:val="2DA60BFF"/>
    <w:rsid w:val="2DABE581"/>
    <w:rsid w:val="2DB02E0A"/>
    <w:rsid w:val="2DBC937A"/>
    <w:rsid w:val="2DBFD01E"/>
    <w:rsid w:val="2DC16290"/>
    <w:rsid w:val="2DCD517B"/>
    <w:rsid w:val="2DCD7A2E"/>
    <w:rsid w:val="2DD4A162"/>
    <w:rsid w:val="2DEB5216"/>
    <w:rsid w:val="2DFABC66"/>
    <w:rsid w:val="2DFB31B3"/>
    <w:rsid w:val="2E0627D3"/>
    <w:rsid w:val="2E2A88D2"/>
    <w:rsid w:val="2E5A6036"/>
    <w:rsid w:val="2E6D4EB7"/>
    <w:rsid w:val="2E8B617F"/>
    <w:rsid w:val="2E95AFA9"/>
    <w:rsid w:val="2E964767"/>
    <w:rsid w:val="2EA711DA"/>
    <w:rsid w:val="2EACEBF5"/>
    <w:rsid w:val="2ED99D34"/>
    <w:rsid w:val="2EDC9484"/>
    <w:rsid w:val="2EF5589D"/>
    <w:rsid w:val="2F001A4A"/>
    <w:rsid w:val="2F099206"/>
    <w:rsid w:val="2F0E0280"/>
    <w:rsid w:val="2F14693B"/>
    <w:rsid w:val="2F38879C"/>
    <w:rsid w:val="2F4E87D0"/>
    <w:rsid w:val="2F58E6AC"/>
    <w:rsid w:val="2F598534"/>
    <w:rsid w:val="2F659F53"/>
    <w:rsid w:val="2F8C6A09"/>
    <w:rsid w:val="2F8D7678"/>
    <w:rsid w:val="2F8FFED4"/>
    <w:rsid w:val="2FADE1F1"/>
    <w:rsid w:val="2FB88E91"/>
    <w:rsid w:val="2FB932A5"/>
    <w:rsid w:val="2FD51B85"/>
    <w:rsid w:val="2FDB2B66"/>
    <w:rsid w:val="2FDFFEB7"/>
    <w:rsid w:val="2FE29CAF"/>
    <w:rsid w:val="2FE50D55"/>
    <w:rsid w:val="2FEE9351"/>
    <w:rsid w:val="2FF0A51B"/>
    <w:rsid w:val="2FF7EF75"/>
    <w:rsid w:val="300CFC39"/>
    <w:rsid w:val="300DC168"/>
    <w:rsid w:val="3021CD7D"/>
    <w:rsid w:val="30468F3A"/>
    <w:rsid w:val="3046C435"/>
    <w:rsid w:val="307B30F5"/>
    <w:rsid w:val="30927332"/>
    <w:rsid w:val="30B17DCF"/>
    <w:rsid w:val="30C5E21F"/>
    <w:rsid w:val="30EDE006"/>
    <w:rsid w:val="30F0D38A"/>
    <w:rsid w:val="30F55595"/>
    <w:rsid w:val="310E7DF2"/>
    <w:rsid w:val="3118911C"/>
    <w:rsid w:val="31193987"/>
    <w:rsid w:val="3144EF29"/>
    <w:rsid w:val="3149B168"/>
    <w:rsid w:val="314D8D87"/>
    <w:rsid w:val="315CF5D7"/>
    <w:rsid w:val="3174693C"/>
    <w:rsid w:val="319F92ED"/>
    <w:rsid w:val="31AD6FE5"/>
    <w:rsid w:val="31B54CAC"/>
    <w:rsid w:val="31B6548B"/>
    <w:rsid w:val="31CD8882"/>
    <w:rsid w:val="31D9F1B4"/>
    <w:rsid w:val="31E2281C"/>
    <w:rsid w:val="31EAECC5"/>
    <w:rsid w:val="32093151"/>
    <w:rsid w:val="320FDCCA"/>
    <w:rsid w:val="3219C4EC"/>
    <w:rsid w:val="321B7B5D"/>
    <w:rsid w:val="32262F86"/>
    <w:rsid w:val="322D6191"/>
    <w:rsid w:val="322FEE12"/>
    <w:rsid w:val="32401497"/>
    <w:rsid w:val="324B9517"/>
    <w:rsid w:val="32505A9A"/>
    <w:rsid w:val="325C02C3"/>
    <w:rsid w:val="3260A47F"/>
    <w:rsid w:val="3266B38D"/>
    <w:rsid w:val="32743DE7"/>
    <w:rsid w:val="3274964A"/>
    <w:rsid w:val="327652BF"/>
    <w:rsid w:val="328D346B"/>
    <w:rsid w:val="32A400EA"/>
    <w:rsid w:val="32AE197F"/>
    <w:rsid w:val="32B1110D"/>
    <w:rsid w:val="32B54B87"/>
    <w:rsid w:val="32B6DD33"/>
    <w:rsid w:val="32EBF8F1"/>
    <w:rsid w:val="32EC8A82"/>
    <w:rsid w:val="32FC8EA2"/>
    <w:rsid w:val="32FD58EB"/>
    <w:rsid w:val="331052B4"/>
    <w:rsid w:val="33219F99"/>
    <w:rsid w:val="332D7ACA"/>
    <w:rsid w:val="333E8FE3"/>
    <w:rsid w:val="334C8308"/>
    <w:rsid w:val="334FBC44"/>
    <w:rsid w:val="3372BDDF"/>
    <w:rsid w:val="337A9342"/>
    <w:rsid w:val="3386D64C"/>
    <w:rsid w:val="33962757"/>
    <w:rsid w:val="339896E1"/>
    <w:rsid w:val="3399D897"/>
    <w:rsid w:val="33B9647E"/>
    <w:rsid w:val="33CD0C2C"/>
    <w:rsid w:val="33D35FFA"/>
    <w:rsid w:val="33E59299"/>
    <w:rsid w:val="33F518E0"/>
    <w:rsid w:val="3404863C"/>
    <w:rsid w:val="3407BFA2"/>
    <w:rsid w:val="3410382C"/>
    <w:rsid w:val="3416F124"/>
    <w:rsid w:val="34192794"/>
    <w:rsid w:val="34316E5D"/>
    <w:rsid w:val="344323EA"/>
    <w:rsid w:val="344EB314"/>
    <w:rsid w:val="34595FB7"/>
    <w:rsid w:val="345A0B99"/>
    <w:rsid w:val="34763D79"/>
    <w:rsid w:val="34786466"/>
    <w:rsid w:val="347B8E31"/>
    <w:rsid w:val="347C6CB9"/>
    <w:rsid w:val="348A1212"/>
    <w:rsid w:val="34A11676"/>
    <w:rsid w:val="34A8004E"/>
    <w:rsid w:val="34B1110E"/>
    <w:rsid w:val="34B2B36C"/>
    <w:rsid w:val="34B64225"/>
    <w:rsid w:val="34B7DEFF"/>
    <w:rsid w:val="34BEF8F9"/>
    <w:rsid w:val="34C169DB"/>
    <w:rsid w:val="34C3FDAD"/>
    <w:rsid w:val="34D30FFD"/>
    <w:rsid w:val="34D8E578"/>
    <w:rsid w:val="34E70B74"/>
    <w:rsid w:val="34E909E5"/>
    <w:rsid w:val="350084EC"/>
    <w:rsid w:val="3501A05E"/>
    <w:rsid w:val="351B66DA"/>
    <w:rsid w:val="351E25C9"/>
    <w:rsid w:val="3522F7F1"/>
    <w:rsid w:val="35297A5D"/>
    <w:rsid w:val="353A2031"/>
    <w:rsid w:val="355041DB"/>
    <w:rsid w:val="3551D993"/>
    <w:rsid w:val="356E8B08"/>
    <w:rsid w:val="357DCBB8"/>
    <w:rsid w:val="357E4CA9"/>
    <w:rsid w:val="3586BFDD"/>
    <w:rsid w:val="35885834"/>
    <w:rsid w:val="3589949B"/>
    <w:rsid w:val="358C4811"/>
    <w:rsid w:val="358D770D"/>
    <w:rsid w:val="35A44744"/>
    <w:rsid w:val="35B0F4BB"/>
    <w:rsid w:val="35BF6DD4"/>
    <w:rsid w:val="35CFB970"/>
    <w:rsid w:val="35DA6B9E"/>
    <w:rsid w:val="35F40128"/>
    <w:rsid w:val="35F5B9A2"/>
    <w:rsid w:val="35FF07EE"/>
    <w:rsid w:val="360BB97C"/>
    <w:rsid w:val="36148073"/>
    <w:rsid w:val="36177474"/>
    <w:rsid w:val="3632A60E"/>
    <w:rsid w:val="36454F69"/>
    <w:rsid w:val="36464FD5"/>
    <w:rsid w:val="36560B2D"/>
    <w:rsid w:val="366480F5"/>
    <w:rsid w:val="36700A52"/>
    <w:rsid w:val="367198D3"/>
    <w:rsid w:val="3673E356"/>
    <w:rsid w:val="36778DBD"/>
    <w:rsid w:val="369339E6"/>
    <w:rsid w:val="36A2D123"/>
    <w:rsid w:val="36B0E21F"/>
    <w:rsid w:val="36C4A907"/>
    <w:rsid w:val="36D39FAC"/>
    <w:rsid w:val="36D4BD15"/>
    <w:rsid w:val="36D4E7BF"/>
    <w:rsid w:val="36FA7F6F"/>
    <w:rsid w:val="36FCE883"/>
    <w:rsid w:val="371D0BA5"/>
    <w:rsid w:val="37200F52"/>
    <w:rsid w:val="37231EA6"/>
    <w:rsid w:val="372380B8"/>
    <w:rsid w:val="372490C8"/>
    <w:rsid w:val="374319EE"/>
    <w:rsid w:val="374E2D3F"/>
    <w:rsid w:val="37529C91"/>
    <w:rsid w:val="3754DF06"/>
    <w:rsid w:val="3762BFDE"/>
    <w:rsid w:val="37993E95"/>
    <w:rsid w:val="37A84D1D"/>
    <w:rsid w:val="37AA606A"/>
    <w:rsid w:val="37DF5AE7"/>
    <w:rsid w:val="37E46F88"/>
    <w:rsid w:val="37FB1A1B"/>
    <w:rsid w:val="3802130F"/>
    <w:rsid w:val="38148A91"/>
    <w:rsid w:val="38249882"/>
    <w:rsid w:val="3825C55D"/>
    <w:rsid w:val="38263978"/>
    <w:rsid w:val="3830F8FC"/>
    <w:rsid w:val="384A484E"/>
    <w:rsid w:val="387B8C87"/>
    <w:rsid w:val="387BFEAA"/>
    <w:rsid w:val="3891EE0E"/>
    <w:rsid w:val="38965B90"/>
    <w:rsid w:val="38C79CAF"/>
    <w:rsid w:val="38CAADF2"/>
    <w:rsid w:val="38CE38F6"/>
    <w:rsid w:val="38D149DA"/>
    <w:rsid w:val="38E58A5D"/>
    <w:rsid w:val="38F6C286"/>
    <w:rsid w:val="38FD579C"/>
    <w:rsid w:val="39073E04"/>
    <w:rsid w:val="3922CD3A"/>
    <w:rsid w:val="3924D83A"/>
    <w:rsid w:val="3925D280"/>
    <w:rsid w:val="3936CBD1"/>
    <w:rsid w:val="3989646A"/>
    <w:rsid w:val="39B01F32"/>
    <w:rsid w:val="39B1D56D"/>
    <w:rsid w:val="39D74F7A"/>
    <w:rsid w:val="39D91031"/>
    <w:rsid w:val="39DE24AE"/>
    <w:rsid w:val="39F88D7E"/>
    <w:rsid w:val="39FE076A"/>
    <w:rsid w:val="3A017723"/>
    <w:rsid w:val="3A06D5D3"/>
    <w:rsid w:val="3A07624D"/>
    <w:rsid w:val="3A18100B"/>
    <w:rsid w:val="3A2A2E1B"/>
    <w:rsid w:val="3A3A94BA"/>
    <w:rsid w:val="3A456E9D"/>
    <w:rsid w:val="3A4B15BD"/>
    <w:rsid w:val="3A4BAADF"/>
    <w:rsid w:val="3A4D2B40"/>
    <w:rsid w:val="3A4DA79C"/>
    <w:rsid w:val="3A5773BD"/>
    <w:rsid w:val="3A5CA2D0"/>
    <w:rsid w:val="3A6FA5C3"/>
    <w:rsid w:val="3A7BCDC5"/>
    <w:rsid w:val="3A7D67C4"/>
    <w:rsid w:val="3A83B9C3"/>
    <w:rsid w:val="3AB10A1A"/>
    <w:rsid w:val="3ACF9EB9"/>
    <w:rsid w:val="3AD01B31"/>
    <w:rsid w:val="3B06288C"/>
    <w:rsid w:val="3B13F11E"/>
    <w:rsid w:val="3B219EB8"/>
    <w:rsid w:val="3B21FC95"/>
    <w:rsid w:val="3B28B340"/>
    <w:rsid w:val="3B291A16"/>
    <w:rsid w:val="3B326DCE"/>
    <w:rsid w:val="3B35436F"/>
    <w:rsid w:val="3B4B9B57"/>
    <w:rsid w:val="3B4E7FF0"/>
    <w:rsid w:val="3B4F9D7A"/>
    <w:rsid w:val="3B6190F3"/>
    <w:rsid w:val="3B7C9F6B"/>
    <w:rsid w:val="3B8EEDF0"/>
    <w:rsid w:val="3BAB56D9"/>
    <w:rsid w:val="3BDC46FA"/>
    <w:rsid w:val="3BFCACD5"/>
    <w:rsid w:val="3C1A3D60"/>
    <w:rsid w:val="3C2063B2"/>
    <w:rsid w:val="3C279F75"/>
    <w:rsid w:val="3C323601"/>
    <w:rsid w:val="3C39F4A8"/>
    <w:rsid w:val="3C587FB7"/>
    <w:rsid w:val="3C68B37B"/>
    <w:rsid w:val="3C6B95E6"/>
    <w:rsid w:val="3C7DFB4A"/>
    <w:rsid w:val="3C8974A5"/>
    <w:rsid w:val="3C970259"/>
    <w:rsid w:val="3CA89033"/>
    <w:rsid w:val="3CAAEB01"/>
    <w:rsid w:val="3CB314AB"/>
    <w:rsid w:val="3CD6EF97"/>
    <w:rsid w:val="3CDE1D6C"/>
    <w:rsid w:val="3CE08387"/>
    <w:rsid w:val="3CFDD79C"/>
    <w:rsid w:val="3D17F9A1"/>
    <w:rsid w:val="3D280EE4"/>
    <w:rsid w:val="3D2F96C8"/>
    <w:rsid w:val="3D30E37E"/>
    <w:rsid w:val="3D4A69A3"/>
    <w:rsid w:val="3D59FDEF"/>
    <w:rsid w:val="3D6773D2"/>
    <w:rsid w:val="3D7FD1E6"/>
    <w:rsid w:val="3D81708A"/>
    <w:rsid w:val="3D878C9B"/>
    <w:rsid w:val="3D946CE3"/>
    <w:rsid w:val="3DA00581"/>
    <w:rsid w:val="3DA63EA0"/>
    <w:rsid w:val="3DA6C427"/>
    <w:rsid w:val="3DBB7F6D"/>
    <w:rsid w:val="3DC38912"/>
    <w:rsid w:val="3DCD9533"/>
    <w:rsid w:val="3DD7FFDD"/>
    <w:rsid w:val="3DDA26F9"/>
    <w:rsid w:val="3DE1099F"/>
    <w:rsid w:val="3DE1BA70"/>
    <w:rsid w:val="3DE7D0CF"/>
    <w:rsid w:val="3DEE0A0C"/>
    <w:rsid w:val="3DF0E18E"/>
    <w:rsid w:val="3DFA7D2B"/>
    <w:rsid w:val="3E1FE768"/>
    <w:rsid w:val="3E2F4B07"/>
    <w:rsid w:val="3E4CE35F"/>
    <w:rsid w:val="3E512186"/>
    <w:rsid w:val="3E546D97"/>
    <w:rsid w:val="3E62F137"/>
    <w:rsid w:val="3E759973"/>
    <w:rsid w:val="3E7EB154"/>
    <w:rsid w:val="3E85893A"/>
    <w:rsid w:val="3EA13733"/>
    <w:rsid w:val="3EB718F4"/>
    <w:rsid w:val="3EC2034E"/>
    <w:rsid w:val="3ECE8164"/>
    <w:rsid w:val="3EE8EED4"/>
    <w:rsid w:val="3EEF4BB6"/>
    <w:rsid w:val="3F0BEA34"/>
    <w:rsid w:val="3F125413"/>
    <w:rsid w:val="3F267341"/>
    <w:rsid w:val="3F51C5C5"/>
    <w:rsid w:val="3F6C9BCC"/>
    <w:rsid w:val="3F7CCD6A"/>
    <w:rsid w:val="3F916251"/>
    <w:rsid w:val="3F9DBE22"/>
    <w:rsid w:val="3FA0A4EA"/>
    <w:rsid w:val="3FA8C4E8"/>
    <w:rsid w:val="3FB06DE8"/>
    <w:rsid w:val="3FD618C6"/>
    <w:rsid w:val="3FDEC502"/>
    <w:rsid w:val="3FF1AD80"/>
    <w:rsid w:val="3FFC9B85"/>
    <w:rsid w:val="401A692F"/>
    <w:rsid w:val="40662E78"/>
    <w:rsid w:val="4079C518"/>
    <w:rsid w:val="407A5880"/>
    <w:rsid w:val="407D3E3D"/>
    <w:rsid w:val="4081AA4C"/>
    <w:rsid w:val="408DD5AF"/>
    <w:rsid w:val="40AB0273"/>
    <w:rsid w:val="40B59B6D"/>
    <w:rsid w:val="40B61A8A"/>
    <w:rsid w:val="40E51223"/>
    <w:rsid w:val="40F4E426"/>
    <w:rsid w:val="40F546F9"/>
    <w:rsid w:val="40FF1FA1"/>
    <w:rsid w:val="40FF6591"/>
    <w:rsid w:val="41004A25"/>
    <w:rsid w:val="4117A3B1"/>
    <w:rsid w:val="4121938B"/>
    <w:rsid w:val="412559CE"/>
    <w:rsid w:val="4129892B"/>
    <w:rsid w:val="415AA2E9"/>
    <w:rsid w:val="415E7430"/>
    <w:rsid w:val="4197281A"/>
    <w:rsid w:val="41A5E2E1"/>
    <w:rsid w:val="41C1F571"/>
    <w:rsid w:val="41CD4BC8"/>
    <w:rsid w:val="41E295CB"/>
    <w:rsid w:val="41E9CE7C"/>
    <w:rsid w:val="41F0392F"/>
    <w:rsid w:val="42184A10"/>
    <w:rsid w:val="421E4A60"/>
    <w:rsid w:val="42367A70"/>
    <w:rsid w:val="4241C59D"/>
    <w:rsid w:val="4261F815"/>
    <w:rsid w:val="42653740"/>
    <w:rsid w:val="426D9E30"/>
    <w:rsid w:val="4287B48A"/>
    <w:rsid w:val="42880F35"/>
    <w:rsid w:val="42A7AA63"/>
    <w:rsid w:val="42AD64DF"/>
    <w:rsid w:val="42D148DB"/>
    <w:rsid w:val="42DC4F0B"/>
    <w:rsid w:val="42ECA152"/>
    <w:rsid w:val="42F4C79D"/>
    <w:rsid w:val="4316042E"/>
    <w:rsid w:val="43193399"/>
    <w:rsid w:val="432EB768"/>
    <w:rsid w:val="4343E129"/>
    <w:rsid w:val="434784EB"/>
    <w:rsid w:val="4347D988"/>
    <w:rsid w:val="434F21F1"/>
    <w:rsid w:val="436C6ADB"/>
    <w:rsid w:val="436CDFA7"/>
    <w:rsid w:val="437C5612"/>
    <w:rsid w:val="437F4E42"/>
    <w:rsid w:val="43A58004"/>
    <w:rsid w:val="43C30B06"/>
    <w:rsid w:val="43D6A592"/>
    <w:rsid w:val="43E06120"/>
    <w:rsid w:val="43E4A13B"/>
    <w:rsid w:val="43E59FDE"/>
    <w:rsid w:val="43E774BE"/>
    <w:rsid w:val="43E77861"/>
    <w:rsid w:val="43E9233A"/>
    <w:rsid w:val="44085DD9"/>
    <w:rsid w:val="4411DDD1"/>
    <w:rsid w:val="442F8CA4"/>
    <w:rsid w:val="44470EBF"/>
    <w:rsid w:val="444BEFC5"/>
    <w:rsid w:val="44515B9C"/>
    <w:rsid w:val="44712105"/>
    <w:rsid w:val="448802E8"/>
    <w:rsid w:val="44CF9B09"/>
    <w:rsid w:val="44D05115"/>
    <w:rsid w:val="44D0D32B"/>
    <w:rsid w:val="44D12B4C"/>
    <w:rsid w:val="44D73B13"/>
    <w:rsid w:val="44E2639C"/>
    <w:rsid w:val="44F443BA"/>
    <w:rsid w:val="450604E2"/>
    <w:rsid w:val="450CF06F"/>
    <w:rsid w:val="452CB9E7"/>
    <w:rsid w:val="45365AE5"/>
    <w:rsid w:val="45461515"/>
    <w:rsid w:val="454A09EE"/>
    <w:rsid w:val="4590BF9E"/>
    <w:rsid w:val="4598F25A"/>
    <w:rsid w:val="459D3DCE"/>
    <w:rsid w:val="45B93D9C"/>
    <w:rsid w:val="45C5E9FC"/>
    <w:rsid w:val="45E30754"/>
    <w:rsid w:val="45E533B2"/>
    <w:rsid w:val="45E9BCA1"/>
    <w:rsid w:val="45EBD036"/>
    <w:rsid w:val="45FF2314"/>
    <w:rsid w:val="460CEBD9"/>
    <w:rsid w:val="46137755"/>
    <w:rsid w:val="462022CB"/>
    <w:rsid w:val="462255A1"/>
    <w:rsid w:val="462D6E21"/>
    <w:rsid w:val="463A042C"/>
    <w:rsid w:val="46427C79"/>
    <w:rsid w:val="466B2413"/>
    <w:rsid w:val="466BC78E"/>
    <w:rsid w:val="46721E9A"/>
    <w:rsid w:val="4692E3E0"/>
    <w:rsid w:val="469615A6"/>
    <w:rsid w:val="46B20358"/>
    <w:rsid w:val="46C36ADC"/>
    <w:rsid w:val="46D74868"/>
    <w:rsid w:val="46DBD13E"/>
    <w:rsid w:val="46DCA02C"/>
    <w:rsid w:val="471B6467"/>
    <w:rsid w:val="472018A3"/>
    <w:rsid w:val="47220CC2"/>
    <w:rsid w:val="472E1B14"/>
    <w:rsid w:val="4733FE44"/>
    <w:rsid w:val="473AF0E1"/>
    <w:rsid w:val="47402B09"/>
    <w:rsid w:val="475B38DC"/>
    <w:rsid w:val="476EC6C4"/>
    <w:rsid w:val="477017AB"/>
    <w:rsid w:val="477393A2"/>
    <w:rsid w:val="4784A4B9"/>
    <w:rsid w:val="478ADC3F"/>
    <w:rsid w:val="4791F6E0"/>
    <w:rsid w:val="4795A272"/>
    <w:rsid w:val="47979CBA"/>
    <w:rsid w:val="479C1282"/>
    <w:rsid w:val="47AB82EA"/>
    <w:rsid w:val="47AEA7FA"/>
    <w:rsid w:val="47CCFBD1"/>
    <w:rsid w:val="47CE8FC4"/>
    <w:rsid w:val="47E3A128"/>
    <w:rsid w:val="47F35D2B"/>
    <w:rsid w:val="48075A5F"/>
    <w:rsid w:val="48096E1E"/>
    <w:rsid w:val="4811460F"/>
    <w:rsid w:val="482CA0F0"/>
    <w:rsid w:val="48378FF8"/>
    <w:rsid w:val="4840DE44"/>
    <w:rsid w:val="48497772"/>
    <w:rsid w:val="486544FF"/>
    <w:rsid w:val="486B3CAF"/>
    <w:rsid w:val="486FD0A7"/>
    <w:rsid w:val="4878F127"/>
    <w:rsid w:val="4883D7BD"/>
    <w:rsid w:val="48957747"/>
    <w:rsid w:val="489DD165"/>
    <w:rsid w:val="48BAC2FF"/>
    <w:rsid w:val="48BC10C1"/>
    <w:rsid w:val="48D31703"/>
    <w:rsid w:val="48D8CD6D"/>
    <w:rsid w:val="48E58B78"/>
    <w:rsid w:val="48F02408"/>
    <w:rsid w:val="492D6075"/>
    <w:rsid w:val="4930347B"/>
    <w:rsid w:val="4939712C"/>
    <w:rsid w:val="49448C9B"/>
    <w:rsid w:val="4960C602"/>
    <w:rsid w:val="496C1280"/>
    <w:rsid w:val="497604DB"/>
    <w:rsid w:val="497C6F6A"/>
    <w:rsid w:val="49983BE2"/>
    <w:rsid w:val="49A1A812"/>
    <w:rsid w:val="49C582D4"/>
    <w:rsid w:val="49F60287"/>
    <w:rsid w:val="4A0D4948"/>
    <w:rsid w:val="4A0F4853"/>
    <w:rsid w:val="4A2E186A"/>
    <w:rsid w:val="4A3B2C47"/>
    <w:rsid w:val="4A54C476"/>
    <w:rsid w:val="4A6F1497"/>
    <w:rsid w:val="4A9F4858"/>
    <w:rsid w:val="4A9FB454"/>
    <w:rsid w:val="4AA83B1B"/>
    <w:rsid w:val="4AAD20B8"/>
    <w:rsid w:val="4AF713C7"/>
    <w:rsid w:val="4AF774A6"/>
    <w:rsid w:val="4AFDB976"/>
    <w:rsid w:val="4B035E3B"/>
    <w:rsid w:val="4B2CD838"/>
    <w:rsid w:val="4B37F553"/>
    <w:rsid w:val="4B3DF23C"/>
    <w:rsid w:val="4B44A800"/>
    <w:rsid w:val="4B59B768"/>
    <w:rsid w:val="4B615A7A"/>
    <w:rsid w:val="4B8789A2"/>
    <w:rsid w:val="4B8EF343"/>
    <w:rsid w:val="4BA3F389"/>
    <w:rsid w:val="4BF8F65F"/>
    <w:rsid w:val="4C0E3AAA"/>
    <w:rsid w:val="4C190944"/>
    <w:rsid w:val="4C1C1C0B"/>
    <w:rsid w:val="4C21E09C"/>
    <w:rsid w:val="4C38E05A"/>
    <w:rsid w:val="4C3D88A7"/>
    <w:rsid w:val="4C56F285"/>
    <w:rsid w:val="4C7D4CEC"/>
    <w:rsid w:val="4C866F49"/>
    <w:rsid w:val="4C918F5E"/>
    <w:rsid w:val="4C92667C"/>
    <w:rsid w:val="4C936008"/>
    <w:rsid w:val="4CA1E430"/>
    <w:rsid w:val="4CAA7DE9"/>
    <w:rsid w:val="4CABA6FD"/>
    <w:rsid w:val="4CC6DC3C"/>
    <w:rsid w:val="4CCDCA7A"/>
    <w:rsid w:val="4CDB0806"/>
    <w:rsid w:val="4CDDFBA7"/>
    <w:rsid w:val="4D083DDE"/>
    <w:rsid w:val="4D1FDDF2"/>
    <w:rsid w:val="4D5A27D1"/>
    <w:rsid w:val="4D5ABCC1"/>
    <w:rsid w:val="4D5E385D"/>
    <w:rsid w:val="4D6C4763"/>
    <w:rsid w:val="4DC49746"/>
    <w:rsid w:val="4DC49E99"/>
    <w:rsid w:val="4DCBFDC4"/>
    <w:rsid w:val="4E196DE9"/>
    <w:rsid w:val="4E252706"/>
    <w:rsid w:val="4E256D82"/>
    <w:rsid w:val="4E26D499"/>
    <w:rsid w:val="4E2F06CD"/>
    <w:rsid w:val="4E30C186"/>
    <w:rsid w:val="4E405015"/>
    <w:rsid w:val="4E43882C"/>
    <w:rsid w:val="4E496949"/>
    <w:rsid w:val="4E5D83E9"/>
    <w:rsid w:val="4E5D93FD"/>
    <w:rsid w:val="4E5DA657"/>
    <w:rsid w:val="4E63F7E5"/>
    <w:rsid w:val="4E87C1F1"/>
    <w:rsid w:val="4E8CEFC1"/>
    <w:rsid w:val="4E8DC4FC"/>
    <w:rsid w:val="4E917421"/>
    <w:rsid w:val="4EA01D51"/>
    <w:rsid w:val="4EA31FC9"/>
    <w:rsid w:val="4EA400DD"/>
    <w:rsid w:val="4EA5F3F4"/>
    <w:rsid w:val="4EAE919D"/>
    <w:rsid w:val="4EB0BF1E"/>
    <w:rsid w:val="4EC6C51F"/>
    <w:rsid w:val="4ED81FF0"/>
    <w:rsid w:val="4EE97879"/>
    <w:rsid w:val="4EEA6E21"/>
    <w:rsid w:val="4EEC984D"/>
    <w:rsid w:val="4EED34C4"/>
    <w:rsid w:val="4EF68FAA"/>
    <w:rsid w:val="4F5D7C8F"/>
    <w:rsid w:val="4F753B76"/>
    <w:rsid w:val="4F7DF452"/>
    <w:rsid w:val="4FB53B41"/>
    <w:rsid w:val="4FC4A490"/>
    <w:rsid w:val="4FDEF271"/>
    <w:rsid w:val="4FE46830"/>
    <w:rsid w:val="5015E58C"/>
    <w:rsid w:val="502BAD18"/>
    <w:rsid w:val="50322023"/>
    <w:rsid w:val="5044FCD9"/>
    <w:rsid w:val="5045DC2F"/>
    <w:rsid w:val="505400B4"/>
    <w:rsid w:val="50758621"/>
    <w:rsid w:val="50817842"/>
    <w:rsid w:val="5096C070"/>
    <w:rsid w:val="509F0149"/>
    <w:rsid w:val="50B4C2F8"/>
    <w:rsid w:val="50B83941"/>
    <w:rsid w:val="50DB4F2C"/>
    <w:rsid w:val="50DF1001"/>
    <w:rsid w:val="50EBC29E"/>
    <w:rsid w:val="50F94AA5"/>
    <w:rsid w:val="510D3053"/>
    <w:rsid w:val="511D7BCA"/>
    <w:rsid w:val="5126B769"/>
    <w:rsid w:val="5127B9AF"/>
    <w:rsid w:val="5138BB93"/>
    <w:rsid w:val="514F1697"/>
    <w:rsid w:val="514FB8B2"/>
    <w:rsid w:val="515DA66F"/>
    <w:rsid w:val="516316EA"/>
    <w:rsid w:val="517C0DA4"/>
    <w:rsid w:val="519B8BD4"/>
    <w:rsid w:val="519F72B6"/>
    <w:rsid w:val="51A0A3BE"/>
    <w:rsid w:val="51A3AED0"/>
    <w:rsid w:val="51C4DF78"/>
    <w:rsid w:val="51C7373A"/>
    <w:rsid w:val="51D025FD"/>
    <w:rsid w:val="51E1C983"/>
    <w:rsid w:val="51F37018"/>
    <w:rsid w:val="520A822F"/>
    <w:rsid w:val="520E17A3"/>
    <w:rsid w:val="521E6AAE"/>
    <w:rsid w:val="5223D468"/>
    <w:rsid w:val="522860E9"/>
    <w:rsid w:val="522B297B"/>
    <w:rsid w:val="52373926"/>
    <w:rsid w:val="5240A31E"/>
    <w:rsid w:val="52449E52"/>
    <w:rsid w:val="52595F97"/>
    <w:rsid w:val="526EB910"/>
    <w:rsid w:val="528B52F7"/>
    <w:rsid w:val="5290558D"/>
    <w:rsid w:val="52B7DD2E"/>
    <w:rsid w:val="52C27A1E"/>
    <w:rsid w:val="52D390CB"/>
    <w:rsid w:val="52E2B261"/>
    <w:rsid w:val="5303AF16"/>
    <w:rsid w:val="5314F907"/>
    <w:rsid w:val="531E6B32"/>
    <w:rsid w:val="532E93AE"/>
    <w:rsid w:val="533B3F34"/>
    <w:rsid w:val="53460316"/>
    <w:rsid w:val="5349E5EF"/>
    <w:rsid w:val="5351C124"/>
    <w:rsid w:val="53551686"/>
    <w:rsid w:val="5373E384"/>
    <w:rsid w:val="537B35C6"/>
    <w:rsid w:val="5388DBCB"/>
    <w:rsid w:val="539FC2D5"/>
    <w:rsid w:val="53C2E35B"/>
    <w:rsid w:val="53CD46FC"/>
    <w:rsid w:val="5406E9E1"/>
    <w:rsid w:val="540CD85B"/>
    <w:rsid w:val="540FEF1E"/>
    <w:rsid w:val="54131907"/>
    <w:rsid w:val="5414FE6D"/>
    <w:rsid w:val="542B5AC8"/>
    <w:rsid w:val="54442084"/>
    <w:rsid w:val="544AE04D"/>
    <w:rsid w:val="544EA0D9"/>
    <w:rsid w:val="5455F6C8"/>
    <w:rsid w:val="54631BDD"/>
    <w:rsid w:val="54706BAC"/>
    <w:rsid w:val="5485721F"/>
    <w:rsid w:val="5489388C"/>
    <w:rsid w:val="54AD76BA"/>
    <w:rsid w:val="54C58C31"/>
    <w:rsid w:val="54CB9309"/>
    <w:rsid w:val="54EC008F"/>
    <w:rsid w:val="54F7785B"/>
    <w:rsid w:val="550762B3"/>
    <w:rsid w:val="552611D0"/>
    <w:rsid w:val="55281FE7"/>
    <w:rsid w:val="552FAA81"/>
    <w:rsid w:val="553877D0"/>
    <w:rsid w:val="553A0BDC"/>
    <w:rsid w:val="555573F8"/>
    <w:rsid w:val="555C1AAE"/>
    <w:rsid w:val="55709387"/>
    <w:rsid w:val="5580AC37"/>
    <w:rsid w:val="558A44DF"/>
    <w:rsid w:val="558EAF86"/>
    <w:rsid w:val="559453E9"/>
    <w:rsid w:val="559CF8D2"/>
    <w:rsid w:val="55B57EB3"/>
    <w:rsid w:val="55E2181A"/>
    <w:rsid w:val="55E37611"/>
    <w:rsid w:val="55EE5E14"/>
    <w:rsid w:val="55FD1CBF"/>
    <w:rsid w:val="5617C768"/>
    <w:rsid w:val="561A13E2"/>
    <w:rsid w:val="561F9E2A"/>
    <w:rsid w:val="5636092C"/>
    <w:rsid w:val="564B68D1"/>
    <w:rsid w:val="565CDB5F"/>
    <w:rsid w:val="5665DA53"/>
    <w:rsid w:val="567E6FAD"/>
    <w:rsid w:val="568D6391"/>
    <w:rsid w:val="56A80B8B"/>
    <w:rsid w:val="56C8FF70"/>
    <w:rsid w:val="56CE6F5A"/>
    <w:rsid w:val="571CD37D"/>
    <w:rsid w:val="57261540"/>
    <w:rsid w:val="572A68DD"/>
    <w:rsid w:val="573486C4"/>
    <w:rsid w:val="575A27CD"/>
    <w:rsid w:val="576C5554"/>
    <w:rsid w:val="577E1BD2"/>
    <w:rsid w:val="57B54D94"/>
    <w:rsid w:val="57CB1577"/>
    <w:rsid w:val="57D4FA40"/>
    <w:rsid w:val="57DDB14F"/>
    <w:rsid w:val="57EB3F53"/>
    <w:rsid w:val="57F16FB4"/>
    <w:rsid w:val="57FCCDE8"/>
    <w:rsid w:val="581B5587"/>
    <w:rsid w:val="582AFB7F"/>
    <w:rsid w:val="582E1C9E"/>
    <w:rsid w:val="58571A01"/>
    <w:rsid w:val="58685403"/>
    <w:rsid w:val="586DB0E1"/>
    <w:rsid w:val="588B2D65"/>
    <w:rsid w:val="589A8EB0"/>
    <w:rsid w:val="58A8E309"/>
    <w:rsid w:val="58B3EC19"/>
    <w:rsid w:val="58CF41BA"/>
    <w:rsid w:val="58CFE1BF"/>
    <w:rsid w:val="58EA55C3"/>
    <w:rsid w:val="58F727FE"/>
    <w:rsid w:val="593459FF"/>
    <w:rsid w:val="593CCC65"/>
    <w:rsid w:val="59521F81"/>
    <w:rsid w:val="595F0A04"/>
    <w:rsid w:val="59689775"/>
    <w:rsid w:val="59722B9D"/>
    <w:rsid w:val="5992ECED"/>
    <w:rsid w:val="59976F59"/>
    <w:rsid w:val="599BEB4F"/>
    <w:rsid w:val="59A36C08"/>
    <w:rsid w:val="59B16226"/>
    <w:rsid w:val="59B782CE"/>
    <w:rsid w:val="59C83C6A"/>
    <w:rsid w:val="59C9A3C4"/>
    <w:rsid w:val="59D1165F"/>
    <w:rsid w:val="59D6A4CC"/>
    <w:rsid w:val="59F49286"/>
    <w:rsid w:val="5A1C2FE2"/>
    <w:rsid w:val="5A1E15DA"/>
    <w:rsid w:val="5A246DB4"/>
    <w:rsid w:val="5A29CD40"/>
    <w:rsid w:val="5A319BC5"/>
    <w:rsid w:val="5A370D79"/>
    <w:rsid w:val="5A40040B"/>
    <w:rsid w:val="5A5BB680"/>
    <w:rsid w:val="5A73F924"/>
    <w:rsid w:val="5A7596BF"/>
    <w:rsid w:val="5A7795FE"/>
    <w:rsid w:val="5A7A2220"/>
    <w:rsid w:val="5A85D6EC"/>
    <w:rsid w:val="5A8FD917"/>
    <w:rsid w:val="5A9CF858"/>
    <w:rsid w:val="5AB48503"/>
    <w:rsid w:val="5AC33EB1"/>
    <w:rsid w:val="5AC883CD"/>
    <w:rsid w:val="5ACD20C5"/>
    <w:rsid w:val="5AEB8769"/>
    <w:rsid w:val="5AEEE043"/>
    <w:rsid w:val="5AF05B06"/>
    <w:rsid w:val="5AF5E293"/>
    <w:rsid w:val="5AFB1797"/>
    <w:rsid w:val="5AFC0955"/>
    <w:rsid w:val="5B0E472B"/>
    <w:rsid w:val="5B1D0DDA"/>
    <w:rsid w:val="5B27EFD1"/>
    <w:rsid w:val="5B33D732"/>
    <w:rsid w:val="5B39E9FD"/>
    <w:rsid w:val="5B4DB476"/>
    <w:rsid w:val="5B4FFFA9"/>
    <w:rsid w:val="5B643EE6"/>
    <w:rsid w:val="5B67951F"/>
    <w:rsid w:val="5B6B769C"/>
    <w:rsid w:val="5B79BD41"/>
    <w:rsid w:val="5B81C86C"/>
    <w:rsid w:val="5B858755"/>
    <w:rsid w:val="5B8B4296"/>
    <w:rsid w:val="5B92393D"/>
    <w:rsid w:val="5BA31927"/>
    <w:rsid w:val="5BE3B87E"/>
    <w:rsid w:val="5BE65027"/>
    <w:rsid w:val="5BED011A"/>
    <w:rsid w:val="5BEDA242"/>
    <w:rsid w:val="5BEFF97B"/>
    <w:rsid w:val="5BF55D3D"/>
    <w:rsid w:val="5C0A4EAC"/>
    <w:rsid w:val="5C156640"/>
    <w:rsid w:val="5C1AAAC2"/>
    <w:rsid w:val="5C24202C"/>
    <w:rsid w:val="5C293979"/>
    <w:rsid w:val="5C2EC8C0"/>
    <w:rsid w:val="5C3381FA"/>
    <w:rsid w:val="5C6321DB"/>
    <w:rsid w:val="5C6AA9BF"/>
    <w:rsid w:val="5C6B6349"/>
    <w:rsid w:val="5C6ED278"/>
    <w:rsid w:val="5C7293C2"/>
    <w:rsid w:val="5C74E341"/>
    <w:rsid w:val="5C75525D"/>
    <w:rsid w:val="5C8313BD"/>
    <w:rsid w:val="5C9B282D"/>
    <w:rsid w:val="5CA27A73"/>
    <w:rsid w:val="5CB6A52F"/>
    <w:rsid w:val="5CBB5865"/>
    <w:rsid w:val="5CC57AF0"/>
    <w:rsid w:val="5CC6662C"/>
    <w:rsid w:val="5CC7BBFE"/>
    <w:rsid w:val="5CC8B727"/>
    <w:rsid w:val="5CD7D016"/>
    <w:rsid w:val="5CE7EF8D"/>
    <w:rsid w:val="5CE855E7"/>
    <w:rsid w:val="5CE95018"/>
    <w:rsid w:val="5CF35B23"/>
    <w:rsid w:val="5CFD6413"/>
    <w:rsid w:val="5D29D68D"/>
    <w:rsid w:val="5D4A0C0D"/>
    <w:rsid w:val="5D5B0720"/>
    <w:rsid w:val="5D77A1A9"/>
    <w:rsid w:val="5D92FF58"/>
    <w:rsid w:val="5D9BB8B8"/>
    <w:rsid w:val="5D9D2BC4"/>
    <w:rsid w:val="5DB3104F"/>
    <w:rsid w:val="5DB90F76"/>
    <w:rsid w:val="5DBB5D94"/>
    <w:rsid w:val="5DC692ED"/>
    <w:rsid w:val="5DC8F4A3"/>
    <w:rsid w:val="5DD7E907"/>
    <w:rsid w:val="5DFBB900"/>
    <w:rsid w:val="5E06BAC4"/>
    <w:rsid w:val="5E0F5A5A"/>
    <w:rsid w:val="5E141BB7"/>
    <w:rsid w:val="5E1A595F"/>
    <w:rsid w:val="5E35581C"/>
    <w:rsid w:val="5E3D19CA"/>
    <w:rsid w:val="5E4E9D8E"/>
    <w:rsid w:val="5E660725"/>
    <w:rsid w:val="5E80BBBF"/>
    <w:rsid w:val="5E8483D5"/>
    <w:rsid w:val="5E9F3531"/>
    <w:rsid w:val="5ECB7929"/>
    <w:rsid w:val="5ECE7A79"/>
    <w:rsid w:val="5ED4CDED"/>
    <w:rsid w:val="5EF24F8D"/>
    <w:rsid w:val="5F195798"/>
    <w:rsid w:val="5F1A1DC9"/>
    <w:rsid w:val="5F3BC835"/>
    <w:rsid w:val="5F4C151F"/>
    <w:rsid w:val="5F5B7B52"/>
    <w:rsid w:val="5F9DC574"/>
    <w:rsid w:val="5FA9E991"/>
    <w:rsid w:val="5FB5C790"/>
    <w:rsid w:val="5FB91EC7"/>
    <w:rsid w:val="5FC51784"/>
    <w:rsid w:val="5FD80DA5"/>
    <w:rsid w:val="5FEFAD5C"/>
    <w:rsid w:val="5FFE2C9E"/>
    <w:rsid w:val="60058D43"/>
    <w:rsid w:val="602F3483"/>
    <w:rsid w:val="6044090D"/>
    <w:rsid w:val="604C8824"/>
    <w:rsid w:val="606065AC"/>
    <w:rsid w:val="606692A0"/>
    <w:rsid w:val="6075E3EC"/>
    <w:rsid w:val="608467FC"/>
    <w:rsid w:val="6099FDF0"/>
    <w:rsid w:val="60A1E440"/>
    <w:rsid w:val="60AC613C"/>
    <w:rsid w:val="60C686AF"/>
    <w:rsid w:val="60DB4C01"/>
    <w:rsid w:val="60DE0358"/>
    <w:rsid w:val="60E16EFE"/>
    <w:rsid w:val="60EC614C"/>
    <w:rsid w:val="60F55699"/>
    <w:rsid w:val="61076FD9"/>
    <w:rsid w:val="611BB504"/>
    <w:rsid w:val="613B7824"/>
    <w:rsid w:val="61402013"/>
    <w:rsid w:val="61480C31"/>
    <w:rsid w:val="61751F15"/>
    <w:rsid w:val="618D3311"/>
    <w:rsid w:val="61DCC1FC"/>
    <w:rsid w:val="61DE0FC5"/>
    <w:rsid w:val="61E607F7"/>
    <w:rsid w:val="61ECCB30"/>
    <w:rsid w:val="61EE9B6A"/>
    <w:rsid w:val="61F4C8D9"/>
    <w:rsid w:val="61F5BFCC"/>
    <w:rsid w:val="620002BA"/>
    <w:rsid w:val="62017446"/>
    <w:rsid w:val="6206A2EF"/>
    <w:rsid w:val="62324699"/>
    <w:rsid w:val="6236A531"/>
    <w:rsid w:val="6236B605"/>
    <w:rsid w:val="62398938"/>
    <w:rsid w:val="62423E9F"/>
    <w:rsid w:val="6248AB24"/>
    <w:rsid w:val="6250C2AF"/>
    <w:rsid w:val="625E003B"/>
    <w:rsid w:val="625F3FFE"/>
    <w:rsid w:val="626C126B"/>
    <w:rsid w:val="62802FAA"/>
    <w:rsid w:val="628625B3"/>
    <w:rsid w:val="6286CE9D"/>
    <w:rsid w:val="62992751"/>
    <w:rsid w:val="629B4D48"/>
    <w:rsid w:val="62A1C949"/>
    <w:rsid w:val="62B0E8D5"/>
    <w:rsid w:val="62B6C287"/>
    <w:rsid w:val="62BF6C54"/>
    <w:rsid w:val="62C6CC51"/>
    <w:rsid w:val="62CE9926"/>
    <w:rsid w:val="62E0BB3E"/>
    <w:rsid w:val="62E62BBE"/>
    <w:rsid w:val="63044741"/>
    <w:rsid w:val="63111BB0"/>
    <w:rsid w:val="633FA4B5"/>
    <w:rsid w:val="63449B61"/>
    <w:rsid w:val="6345AE41"/>
    <w:rsid w:val="635F6DFB"/>
    <w:rsid w:val="63613DD8"/>
    <w:rsid w:val="63699005"/>
    <w:rsid w:val="63705933"/>
    <w:rsid w:val="637CB658"/>
    <w:rsid w:val="638870D9"/>
    <w:rsid w:val="63929ECA"/>
    <w:rsid w:val="63A288AC"/>
    <w:rsid w:val="63AF1622"/>
    <w:rsid w:val="63B04610"/>
    <w:rsid w:val="63C85CEC"/>
    <w:rsid w:val="63CA0D56"/>
    <w:rsid w:val="63CC4703"/>
    <w:rsid w:val="63D1B4A5"/>
    <w:rsid w:val="640BA969"/>
    <w:rsid w:val="6413A842"/>
    <w:rsid w:val="6437BFA2"/>
    <w:rsid w:val="6463791B"/>
    <w:rsid w:val="64735DC4"/>
    <w:rsid w:val="648F505D"/>
    <w:rsid w:val="649FC0C1"/>
    <w:rsid w:val="64A2DB38"/>
    <w:rsid w:val="64B6E64A"/>
    <w:rsid w:val="64BA705B"/>
    <w:rsid w:val="64DBA19D"/>
    <w:rsid w:val="64E3A31D"/>
    <w:rsid w:val="64E96499"/>
    <w:rsid w:val="64FAED3D"/>
    <w:rsid w:val="651B715A"/>
    <w:rsid w:val="652D6A5D"/>
    <w:rsid w:val="65312EF8"/>
    <w:rsid w:val="654A8FD1"/>
    <w:rsid w:val="6556647F"/>
    <w:rsid w:val="6558CFA5"/>
    <w:rsid w:val="6574131D"/>
    <w:rsid w:val="65788F2F"/>
    <w:rsid w:val="6579277A"/>
    <w:rsid w:val="65A8F766"/>
    <w:rsid w:val="65B76D92"/>
    <w:rsid w:val="65C313B8"/>
    <w:rsid w:val="65C4A790"/>
    <w:rsid w:val="65E02CD2"/>
    <w:rsid w:val="65E5373B"/>
    <w:rsid w:val="65E9DE3A"/>
    <w:rsid w:val="65ED5329"/>
    <w:rsid w:val="663118E1"/>
    <w:rsid w:val="6633489B"/>
    <w:rsid w:val="663C5E1C"/>
    <w:rsid w:val="6658E545"/>
    <w:rsid w:val="6667C070"/>
    <w:rsid w:val="668B362C"/>
    <w:rsid w:val="668DA73A"/>
    <w:rsid w:val="66A9326B"/>
    <w:rsid w:val="66B8F620"/>
    <w:rsid w:val="66BF2EC8"/>
    <w:rsid w:val="66C1B8CF"/>
    <w:rsid w:val="66C1F72B"/>
    <w:rsid w:val="66C24477"/>
    <w:rsid w:val="66E3C9D6"/>
    <w:rsid w:val="66F63893"/>
    <w:rsid w:val="66FBA0A5"/>
    <w:rsid w:val="66FE9466"/>
    <w:rsid w:val="6728C706"/>
    <w:rsid w:val="672AF82A"/>
    <w:rsid w:val="673FFA81"/>
    <w:rsid w:val="674B49BA"/>
    <w:rsid w:val="674E44D7"/>
    <w:rsid w:val="675D2E0E"/>
    <w:rsid w:val="67764F11"/>
    <w:rsid w:val="677C2AAB"/>
    <w:rsid w:val="678D3905"/>
    <w:rsid w:val="67905CA2"/>
    <w:rsid w:val="679DBDAE"/>
    <w:rsid w:val="67A2B6B0"/>
    <w:rsid w:val="67A90377"/>
    <w:rsid w:val="67AC92BC"/>
    <w:rsid w:val="67C7816A"/>
    <w:rsid w:val="67D57F09"/>
    <w:rsid w:val="67F1F44D"/>
    <w:rsid w:val="6807577D"/>
    <w:rsid w:val="6814E052"/>
    <w:rsid w:val="683D4B2B"/>
    <w:rsid w:val="68461C8A"/>
    <w:rsid w:val="6851BF78"/>
    <w:rsid w:val="68525BD1"/>
    <w:rsid w:val="685972CF"/>
    <w:rsid w:val="685CADFE"/>
    <w:rsid w:val="685CBC16"/>
    <w:rsid w:val="685DC78C"/>
    <w:rsid w:val="6861D890"/>
    <w:rsid w:val="68658BCD"/>
    <w:rsid w:val="686B37AC"/>
    <w:rsid w:val="6875E047"/>
    <w:rsid w:val="6886226F"/>
    <w:rsid w:val="68900EAE"/>
    <w:rsid w:val="68A92CD1"/>
    <w:rsid w:val="68ACA285"/>
    <w:rsid w:val="68B0C10E"/>
    <w:rsid w:val="68D27FEC"/>
    <w:rsid w:val="68DC38E0"/>
    <w:rsid w:val="68E40C3C"/>
    <w:rsid w:val="69001F7E"/>
    <w:rsid w:val="6900D6DA"/>
    <w:rsid w:val="69081E30"/>
    <w:rsid w:val="690BACFD"/>
    <w:rsid w:val="690CB70A"/>
    <w:rsid w:val="691FE473"/>
    <w:rsid w:val="692E4158"/>
    <w:rsid w:val="6935966B"/>
    <w:rsid w:val="693749B9"/>
    <w:rsid w:val="69383C4F"/>
    <w:rsid w:val="69385198"/>
    <w:rsid w:val="69468B8B"/>
    <w:rsid w:val="695F45CC"/>
    <w:rsid w:val="6968C930"/>
    <w:rsid w:val="696B8D29"/>
    <w:rsid w:val="698D6F9A"/>
    <w:rsid w:val="69938481"/>
    <w:rsid w:val="69C3739F"/>
    <w:rsid w:val="69EB1F9D"/>
    <w:rsid w:val="69F42153"/>
    <w:rsid w:val="69FEB86D"/>
    <w:rsid w:val="6A0BB3A8"/>
    <w:rsid w:val="6A1765B9"/>
    <w:rsid w:val="6A22B930"/>
    <w:rsid w:val="6A4656FA"/>
    <w:rsid w:val="6A4D9319"/>
    <w:rsid w:val="6A666A6B"/>
    <w:rsid w:val="6A71D0AE"/>
    <w:rsid w:val="6AC39D9E"/>
    <w:rsid w:val="6ADDE6DE"/>
    <w:rsid w:val="6AED1372"/>
    <w:rsid w:val="6AF17A69"/>
    <w:rsid w:val="6B0B72A0"/>
    <w:rsid w:val="6B0F6D4F"/>
    <w:rsid w:val="6B350A8C"/>
    <w:rsid w:val="6B391984"/>
    <w:rsid w:val="6B489ED5"/>
    <w:rsid w:val="6B797EAB"/>
    <w:rsid w:val="6BA1E8E0"/>
    <w:rsid w:val="6BA8683E"/>
    <w:rsid w:val="6BC6A0DD"/>
    <w:rsid w:val="6BCB2540"/>
    <w:rsid w:val="6BE303BF"/>
    <w:rsid w:val="6BE8D435"/>
    <w:rsid w:val="6BF4676C"/>
    <w:rsid w:val="6BFF1A58"/>
    <w:rsid w:val="6C10C5B3"/>
    <w:rsid w:val="6C2A03EF"/>
    <w:rsid w:val="6C3CD39E"/>
    <w:rsid w:val="6C49C034"/>
    <w:rsid w:val="6C648E1B"/>
    <w:rsid w:val="6C67D2FE"/>
    <w:rsid w:val="6C7B8296"/>
    <w:rsid w:val="6C96579A"/>
    <w:rsid w:val="6C9D9A28"/>
    <w:rsid w:val="6CA47CBF"/>
    <w:rsid w:val="6CAF33FD"/>
    <w:rsid w:val="6CBA53AA"/>
    <w:rsid w:val="6CC86BB9"/>
    <w:rsid w:val="6CCECF0A"/>
    <w:rsid w:val="6CCFDBB1"/>
    <w:rsid w:val="6CFFC8C5"/>
    <w:rsid w:val="6D1C6D44"/>
    <w:rsid w:val="6D22C05F"/>
    <w:rsid w:val="6D231849"/>
    <w:rsid w:val="6D496168"/>
    <w:rsid w:val="6D53AD6A"/>
    <w:rsid w:val="6D53E03B"/>
    <w:rsid w:val="6D75E215"/>
    <w:rsid w:val="6D7C7908"/>
    <w:rsid w:val="6D8187F4"/>
    <w:rsid w:val="6D8F18A4"/>
    <w:rsid w:val="6D923957"/>
    <w:rsid w:val="6D9F3EE0"/>
    <w:rsid w:val="6DC69888"/>
    <w:rsid w:val="6DE2D0CC"/>
    <w:rsid w:val="6DEBA9C5"/>
    <w:rsid w:val="6E040D05"/>
    <w:rsid w:val="6E153AC2"/>
    <w:rsid w:val="6E2E50C0"/>
    <w:rsid w:val="6E398E04"/>
    <w:rsid w:val="6E483C43"/>
    <w:rsid w:val="6E4DC8CB"/>
    <w:rsid w:val="6E502731"/>
    <w:rsid w:val="6E582FE9"/>
    <w:rsid w:val="6EA0026F"/>
    <w:rsid w:val="6EA9EF23"/>
    <w:rsid w:val="6EB25B53"/>
    <w:rsid w:val="6EC9358E"/>
    <w:rsid w:val="6EDA1703"/>
    <w:rsid w:val="6EFDE497"/>
    <w:rsid w:val="6EFE5CCC"/>
    <w:rsid w:val="6F0D38B4"/>
    <w:rsid w:val="6F197C58"/>
    <w:rsid w:val="6F205F48"/>
    <w:rsid w:val="6F280D13"/>
    <w:rsid w:val="6F308531"/>
    <w:rsid w:val="6F406F49"/>
    <w:rsid w:val="6F418718"/>
    <w:rsid w:val="6F4EECF4"/>
    <w:rsid w:val="6F60734C"/>
    <w:rsid w:val="6F7D23D4"/>
    <w:rsid w:val="6F852189"/>
    <w:rsid w:val="6FA73374"/>
    <w:rsid w:val="6FAFB172"/>
    <w:rsid w:val="6FB6C1CE"/>
    <w:rsid w:val="7005ECAB"/>
    <w:rsid w:val="702ED0C5"/>
    <w:rsid w:val="704E6C01"/>
    <w:rsid w:val="70522456"/>
    <w:rsid w:val="7052E551"/>
    <w:rsid w:val="705DDB44"/>
    <w:rsid w:val="708AF678"/>
    <w:rsid w:val="708E7623"/>
    <w:rsid w:val="70B708AD"/>
    <w:rsid w:val="70B84BAE"/>
    <w:rsid w:val="70C84BF9"/>
    <w:rsid w:val="70C85890"/>
    <w:rsid w:val="710FC626"/>
    <w:rsid w:val="7117C8EF"/>
    <w:rsid w:val="714A4E50"/>
    <w:rsid w:val="715BAF53"/>
    <w:rsid w:val="715E6BEB"/>
    <w:rsid w:val="716F1433"/>
    <w:rsid w:val="717A0832"/>
    <w:rsid w:val="717B578E"/>
    <w:rsid w:val="71A9C7A9"/>
    <w:rsid w:val="71AA87C9"/>
    <w:rsid w:val="71BA4459"/>
    <w:rsid w:val="71BAD314"/>
    <w:rsid w:val="71C2F6CB"/>
    <w:rsid w:val="71EA7A1B"/>
    <w:rsid w:val="7200A7A4"/>
    <w:rsid w:val="7206F4F1"/>
    <w:rsid w:val="72368864"/>
    <w:rsid w:val="723F073B"/>
    <w:rsid w:val="724DF0BD"/>
    <w:rsid w:val="72592B8D"/>
    <w:rsid w:val="7261F24F"/>
    <w:rsid w:val="728B2D27"/>
    <w:rsid w:val="728E74A5"/>
    <w:rsid w:val="7299C75E"/>
    <w:rsid w:val="729BAE84"/>
    <w:rsid w:val="729E5D6E"/>
    <w:rsid w:val="729F470F"/>
    <w:rsid w:val="72B23497"/>
    <w:rsid w:val="72B32691"/>
    <w:rsid w:val="72BDF124"/>
    <w:rsid w:val="72CCDF57"/>
    <w:rsid w:val="72E00FC0"/>
    <w:rsid w:val="72E75CBD"/>
    <w:rsid w:val="72F4A199"/>
    <w:rsid w:val="73121718"/>
    <w:rsid w:val="73176C00"/>
    <w:rsid w:val="733695BE"/>
    <w:rsid w:val="735AC897"/>
    <w:rsid w:val="7361E355"/>
    <w:rsid w:val="736EE837"/>
    <w:rsid w:val="73873456"/>
    <w:rsid w:val="73892DA0"/>
    <w:rsid w:val="73899342"/>
    <w:rsid w:val="738D075F"/>
    <w:rsid w:val="7390A211"/>
    <w:rsid w:val="73A6E9AE"/>
    <w:rsid w:val="73ABAC09"/>
    <w:rsid w:val="73BEFA46"/>
    <w:rsid w:val="73D226EF"/>
    <w:rsid w:val="73D966BD"/>
    <w:rsid w:val="73E49F67"/>
    <w:rsid w:val="73E67D07"/>
    <w:rsid w:val="73E82723"/>
    <w:rsid w:val="73E8D65B"/>
    <w:rsid w:val="73EBB81D"/>
    <w:rsid w:val="73EEE517"/>
    <w:rsid w:val="7417E0DB"/>
    <w:rsid w:val="7436F16D"/>
    <w:rsid w:val="743F9B33"/>
    <w:rsid w:val="7450F89B"/>
    <w:rsid w:val="7454DECC"/>
    <w:rsid w:val="746BA1C2"/>
    <w:rsid w:val="749BA712"/>
    <w:rsid w:val="749E8591"/>
    <w:rsid w:val="74AA62DC"/>
    <w:rsid w:val="74B0D06F"/>
    <w:rsid w:val="74B4EAC5"/>
    <w:rsid w:val="74B582F1"/>
    <w:rsid w:val="74BCDA83"/>
    <w:rsid w:val="74D0E1E8"/>
    <w:rsid w:val="74DD142C"/>
    <w:rsid w:val="74DF0AF3"/>
    <w:rsid w:val="74EE521B"/>
    <w:rsid w:val="74FC1796"/>
    <w:rsid w:val="75166300"/>
    <w:rsid w:val="752C51F4"/>
    <w:rsid w:val="75388FEC"/>
    <w:rsid w:val="754007B8"/>
    <w:rsid w:val="7540AD67"/>
    <w:rsid w:val="7547F59B"/>
    <w:rsid w:val="754EA8CD"/>
    <w:rsid w:val="75502575"/>
    <w:rsid w:val="7552B06A"/>
    <w:rsid w:val="756C2C31"/>
    <w:rsid w:val="756FE59B"/>
    <w:rsid w:val="757C37A3"/>
    <w:rsid w:val="7580C092"/>
    <w:rsid w:val="7584261C"/>
    <w:rsid w:val="759D04F7"/>
    <w:rsid w:val="75ADBE14"/>
    <w:rsid w:val="75B2615F"/>
    <w:rsid w:val="75C585E2"/>
    <w:rsid w:val="75CAF412"/>
    <w:rsid w:val="75DCB3D1"/>
    <w:rsid w:val="75E25D95"/>
    <w:rsid w:val="75E9C511"/>
    <w:rsid w:val="75EB3A12"/>
    <w:rsid w:val="75F5EBF5"/>
    <w:rsid w:val="75FA119D"/>
    <w:rsid w:val="76126B8F"/>
    <w:rsid w:val="761275A9"/>
    <w:rsid w:val="76143A65"/>
    <w:rsid w:val="76478012"/>
    <w:rsid w:val="764BF67D"/>
    <w:rsid w:val="7667C38D"/>
    <w:rsid w:val="7669780B"/>
    <w:rsid w:val="766C6304"/>
    <w:rsid w:val="76994657"/>
    <w:rsid w:val="76AC1BB1"/>
    <w:rsid w:val="76C9AF37"/>
    <w:rsid w:val="76CD1029"/>
    <w:rsid w:val="76D0B893"/>
    <w:rsid w:val="76DF34D0"/>
    <w:rsid w:val="76F217A0"/>
    <w:rsid w:val="76F94AC7"/>
    <w:rsid w:val="77023FCD"/>
    <w:rsid w:val="7704E241"/>
    <w:rsid w:val="770CEFD5"/>
    <w:rsid w:val="7723E580"/>
    <w:rsid w:val="772B6F65"/>
    <w:rsid w:val="77417772"/>
    <w:rsid w:val="775D69C1"/>
    <w:rsid w:val="77645A2D"/>
    <w:rsid w:val="778A93BE"/>
    <w:rsid w:val="77A7C7AA"/>
    <w:rsid w:val="77B99A6C"/>
    <w:rsid w:val="77FD27E5"/>
    <w:rsid w:val="77FDF22E"/>
    <w:rsid w:val="77FF7DB6"/>
    <w:rsid w:val="7808406C"/>
    <w:rsid w:val="781A1149"/>
    <w:rsid w:val="781AA540"/>
    <w:rsid w:val="78220840"/>
    <w:rsid w:val="783FD23A"/>
    <w:rsid w:val="7857929B"/>
    <w:rsid w:val="786C0B86"/>
    <w:rsid w:val="787D2D1C"/>
    <w:rsid w:val="78809BE2"/>
    <w:rsid w:val="7894BBA7"/>
    <w:rsid w:val="789E259D"/>
    <w:rsid w:val="78A82894"/>
    <w:rsid w:val="78DF378E"/>
    <w:rsid w:val="78E1464E"/>
    <w:rsid w:val="78FAD0D0"/>
    <w:rsid w:val="78FB90B6"/>
    <w:rsid w:val="78FFC0B8"/>
    <w:rsid w:val="790D2C46"/>
    <w:rsid w:val="79114AA7"/>
    <w:rsid w:val="79116BF9"/>
    <w:rsid w:val="792D4ABC"/>
    <w:rsid w:val="793568EB"/>
    <w:rsid w:val="793C4531"/>
    <w:rsid w:val="793F9E34"/>
    <w:rsid w:val="794BBBB4"/>
    <w:rsid w:val="7966C5B2"/>
    <w:rsid w:val="798D055F"/>
    <w:rsid w:val="7991450A"/>
    <w:rsid w:val="7994DB0E"/>
    <w:rsid w:val="79ACE638"/>
    <w:rsid w:val="79B4E89E"/>
    <w:rsid w:val="79BEF40F"/>
    <w:rsid w:val="79C2368D"/>
    <w:rsid w:val="79E44BAD"/>
    <w:rsid w:val="7A017638"/>
    <w:rsid w:val="7A050FFE"/>
    <w:rsid w:val="7A116F5E"/>
    <w:rsid w:val="7A23A55E"/>
    <w:rsid w:val="7A365C81"/>
    <w:rsid w:val="7A64BF88"/>
    <w:rsid w:val="7A680E61"/>
    <w:rsid w:val="7A6B7701"/>
    <w:rsid w:val="7A71F2CD"/>
    <w:rsid w:val="7A7990CC"/>
    <w:rsid w:val="7A818253"/>
    <w:rsid w:val="7A97C6E0"/>
    <w:rsid w:val="7A993868"/>
    <w:rsid w:val="7A9DECDC"/>
    <w:rsid w:val="7AAD7E10"/>
    <w:rsid w:val="7ADAD0C8"/>
    <w:rsid w:val="7B059D09"/>
    <w:rsid w:val="7B0FCD3B"/>
    <w:rsid w:val="7B28F5B0"/>
    <w:rsid w:val="7B2F629E"/>
    <w:rsid w:val="7B53558E"/>
    <w:rsid w:val="7B5AAB39"/>
    <w:rsid w:val="7B5F5578"/>
    <w:rsid w:val="7B6AB783"/>
    <w:rsid w:val="7B93DADE"/>
    <w:rsid w:val="7B95DE53"/>
    <w:rsid w:val="7B97BF86"/>
    <w:rsid w:val="7BE2A526"/>
    <w:rsid w:val="7BF6A578"/>
    <w:rsid w:val="7BF7A553"/>
    <w:rsid w:val="7BF88FA2"/>
    <w:rsid w:val="7BFB2A1E"/>
    <w:rsid w:val="7C027FB9"/>
    <w:rsid w:val="7C0666A0"/>
    <w:rsid w:val="7C14CE7A"/>
    <w:rsid w:val="7C21F7C6"/>
    <w:rsid w:val="7C392C7C"/>
    <w:rsid w:val="7C6C1625"/>
    <w:rsid w:val="7C7FDF26"/>
    <w:rsid w:val="7C8A83A0"/>
    <w:rsid w:val="7C96866C"/>
    <w:rsid w:val="7CAC6A5E"/>
    <w:rsid w:val="7CBB39C0"/>
    <w:rsid w:val="7CC2C084"/>
    <w:rsid w:val="7CCCD77F"/>
    <w:rsid w:val="7CCED624"/>
    <w:rsid w:val="7CFA3BF5"/>
    <w:rsid w:val="7CFC0BA3"/>
    <w:rsid w:val="7CFCB997"/>
    <w:rsid w:val="7D001882"/>
    <w:rsid w:val="7D2D2C72"/>
    <w:rsid w:val="7D302D55"/>
    <w:rsid w:val="7D3EE741"/>
    <w:rsid w:val="7D496183"/>
    <w:rsid w:val="7D5461BD"/>
    <w:rsid w:val="7D67926B"/>
    <w:rsid w:val="7D6DB1C2"/>
    <w:rsid w:val="7D70F471"/>
    <w:rsid w:val="7D87D75A"/>
    <w:rsid w:val="7D9FBBF2"/>
    <w:rsid w:val="7DBD106B"/>
    <w:rsid w:val="7DCD551C"/>
    <w:rsid w:val="7DFB04DE"/>
    <w:rsid w:val="7DFCB03B"/>
    <w:rsid w:val="7DFE7AAA"/>
    <w:rsid w:val="7E1AFB85"/>
    <w:rsid w:val="7E20662A"/>
    <w:rsid w:val="7E5C2A6C"/>
    <w:rsid w:val="7E643317"/>
    <w:rsid w:val="7E82945F"/>
    <w:rsid w:val="7E8CD793"/>
    <w:rsid w:val="7E9387E8"/>
    <w:rsid w:val="7E969193"/>
    <w:rsid w:val="7EA17DD3"/>
    <w:rsid w:val="7EA2A48C"/>
    <w:rsid w:val="7EB24C9E"/>
    <w:rsid w:val="7ECB4333"/>
    <w:rsid w:val="7ECFC7BD"/>
    <w:rsid w:val="7ED225E3"/>
    <w:rsid w:val="7EDE7C1C"/>
    <w:rsid w:val="7EEF177E"/>
    <w:rsid w:val="7EF519B2"/>
    <w:rsid w:val="7EF7E1AA"/>
    <w:rsid w:val="7EF9436B"/>
    <w:rsid w:val="7F183DEA"/>
    <w:rsid w:val="7F1944E4"/>
    <w:rsid w:val="7F1AD87B"/>
    <w:rsid w:val="7F48AD39"/>
    <w:rsid w:val="7F4CE870"/>
    <w:rsid w:val="7F67467B"/>
    <w:rsid w:val="7F67F40B"/>
    <w:rsid w:val="7F729D0F"/>
    <w:rsid w:val="7F80D563"/>
    <w:rsid w:val="7FA09A66"/>
    <w:rsid w:val="7FA13B77"/>
    <w:rsid w:val="7FAB4CFB"/>
    <w:rsid w:val="7FAD4D20"/>
    <w:rsid w:val="7FBB6F4D"/>
    <w:rsid w:val="7FBF964B"/>
    <w:rsid w:val="7FD38544"/>
    <w:rsid w:val="7FD3FF3E"/>
    <w:rsid w:val="7FD51AF6"/>
    <w:rsid w:val="7FDEBFE4"/>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C0EF4F"/>
  <w15:docId w15:val="{64DFB8F1-4D13-4089-9061-649C1B55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7091B"/>
    <w:rPr>
      <w:rFonts w:ascii="Cambria" w:hAnsi="Cambria"/>
      <w:lang w:eastAsia="en-US"/>
    </w:rPr>
  </w:style>
  <w:style w:type="paragraph" w:styleId="Heading1">
    <w:name w:val="heading 1"/>
    <w:next w:val="DHHSbody"/>
    <w:link w:val="Heading1Char"/>
    <w:uiPriority w:val="9"/>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9"/>
    <w:qFormat/>
    <w:rsid w:val="00032BA9"/>
    <w:pPr>
      <w:keepNext/>
      <w:keepLines/>
      <w:spacing w:before="240" w:after="90" w:line="320" w:lineRule="atLeast"/>
      <w:outlineLvl w:val="1"/>
    </w:pPr>
    <w:rPr>
      <w:rFonts w:ascii="Arial" w:hAnsi="Arial"/>
      <w:b/>
      <w:color w:val="004EA8"/>
      <w:sz w:val="32"/>
      <w:szCs w:val="28"/>
      <w:lang w:eastAsia="en-US"/>
    </w:rPr>
  </w:style>
  <w:style w:type="paragraph" w:styleId="Heading3">
    <w:name w:val="heading 3"/>
    <w:next w:val="DHHSbody"/>
    <w:link w:val="Heading3Char"/>
    <w:uiPriority w:val="9"/>
    <w:qFormat/>
    <w:rsid w:val="00032BA9"/>
    <w:pPr>
      <w:keepNext/>
      <w:keepLines/>
      <w:spacing w:before="280" w:after="120" w:line="280" w:lineRule="atLeast"/>
      <w:outlineLvl w:val="2"/>
    </w:pPr>
    <w:rPr>
      <w:rFonts w:ascii="Arial" w:eastAsia="MS Gothic" w:hAnsi="Arial"/>
      <w:bCs/>
      <w:sz w:val="30"/>
      <w:szCs w:val="26"/>
      <w:lang w:eastAsia="en-US"/>
    </w:rPr>
  </w:style>
  <w:style w:type="paragraph" w:styleId="Heading4">
    <w:name w:val="heading 4"/>
    <w:next w:val="DHHSbody"/>
    <w:link w:val="Heading4Char"/>
    <w:uiPriority w:val="9"/>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3241"/>
    <w:rPr>
      <w:rFonts w:ascii="Arial" w:hAnsi="Arial"/>
      <w:bCs/>
      <w:color w:val="004EA8"/>
      <w:sz w:val="44"/>
      <w:szCs w:val="44"/>
      <w:lang w:eastAsia="en-US"/>
    </w:rPr>
  </w:style>
  <w:style w:type="character" w:customStyle="1" w:styleId="Heading2Char">
    <w:name w:val="Heading 2 Char"/>
    <w:link w:val="Heading2"/>
    <w:uiPriority w:val="9"/>
    <w:rsid w:val="00032BA9"/>
    <w:rPr>
      <w:rFonts w:ascii="Arial" w:hAnsi="Arial"/>
      <w:b/>
      <w:color w:val="004EA8"/>
      <w:sz w:val="32"/>
      <w:szCs w:val="28"/>
      <w:lang w:eastAsia="en-US"/>
    </w:rPr>
  </w:style>
  <w:style w:type="character" w:customStyle="1" w:styleId="Heading3Char">
    <w:name w:val="Heading 3 Char"/>
    <w:link w:val="Heading3"/>
    <w:uiPriority w:val="9"/>
    <w:rsid w:val="00032BA9"/>
    <w:rPr>
      <w:rFonts w:ascii="Arial" w:eastAsia="MS Gothic" w:hAnsi="Arial"/>
      <w:bCs/>
      <w:sz w:val="30"/>
      <w:szCs w:val="26"/>
      <w:lang w:eastAsia="en-US"/>
    </w:rPr>
  </w:style>
  <w:style w:type="character" w:customStyle="1" w:styleId="Heading4Char">
    <w:name w:val="Heading 4 Char"/>
    <w:link w:val="Heading4"/>
    <w:uiPriority w:val="9"/>
    <w:rsid w:val="00EE6CD3"/>
    <w:rPr>
      <w:rFonts w:ascii="Arial" w:eastAsia="MS Mincho" w:hAnsi="Arial" w:cs="Times New Roman"/>
      <w:b/>
      <w:bCs/>
    </w:rPr>
  </w:style>
  <w:style w:type="paragraph" w:styleId="Header">
    <w:name w:val="header"/>
    <w:basedOn w:val="DHHSheader"/>
    <w:link w:val="HeaderChar"/>
    <w:uiPriority w:val="99"/>
    <w:rsid w:val="004E380D"/>
  </w:style>
  <w:style w:type="paragraph" w:styleId="Footer">
    <w:name w:val="footer"/>
    <w:basedOn w:val="DHHSfooter"/>
    <w:link w:val="FooterChar"/>
    <w:uiPriority w:val="99"/>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99"/>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0D0B9B"/>
    <w:pPr>
      <w:keepNext/>
      <w:keepLines/>
      <w:tabs>
        <w:tab w:val="right" w:leader="dot" w:pos="9299"/>
      </w:tabs>
      <w:spacing w:before="160" w:after="60" w:line="270" w:lineRule="atLeast"/>
      <w:ind w:right="680"/>
    </w:pPr>
    <w:rPr>
      <w:rFonts w:ascii="Arial" w:hAnsi="Arial"/>
      <w:b/>
      <w:noProof/>
      <w:sz w:val="21"/>
    </w:rPr>
  </w:style>
  <w:style w:type="paragraph" w:styleId="TOC2">
    <w:name w:val="toc 2"/>
    <w:basedOn w:val="Normal"/>
    <w:next w:val="Normal"/>
    <w:uiPriority w:val="39"/>
    <w:rsid w:val="000D0B9B"/>
    <w:pPr>
      <w:keepNext/>
      <w:keepLines/>
      <w:tabs>
        <w:tab w:val="right" w:leader="dot" w:pos="9299"/>
      </w:tabs>
      <w:spacing w:after="60" w:line="270" w:lineRule="atLeast"/>
      <w:ind w:right="680"/>
    </w:pPr>
    <w:rPr>
      <w:rFonts w:ascii="Arial" w:hAnsi="Arial"/>
      <w:noProof/>
      <w:sz w:val="21"/>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uiPriority w:val="39"/>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1"/>
      </w:numPr>
      <w:spacing w:after="40"/>
    </w:pPr>
  </w:style>
  <w:style w:type="paragraph" w:customStyle="1" w:styleId="DHHSnumberloweralpha">
    <w:name w:val="DHHS number lower alpha"/>
    <w:basedOn w:val="DHHSbody"/>
    <w:uiPriority w:val="3"/>
    <w:rsid w:val="00CF7CB6"/>
    <w:pPr>
      <w:numPr>
        <w:ilvl w:val="2"/>
        <w:numId w:val="13"/>
      </w:numPr>
      <w:tabs>
        <w:tab w:val="clear" w:pos="397"/>
        <w:tab w:val="num" w:pos="360"/>
      </w:tabs>
      <w:ind w:left="0" w:firstLine="0"/>
    </w:pPr>
  </w:style>
  <w:style w:type="paragraph" w:customStyle="1" w:styleId="DHHSnumberloweralphaindent">
    <w:name w:val="DHHS number lower alpha indent"/>
    <w:basedOn w:val="DHHSbody"/>
    <w:uiPriority w:val="3"/>
    <w:rsid w:val="00CF7CB6"/>
    <w:pPr>
      <w:numPr>
        <w:ilvl w:val="3"/>
        <w:numId w:val="13"/>
      </w:numPr>
      <w:tabs>
        <w:tab w:val="clear" w:pos="794"/>
        <w:tab w:val="num" w:pos="360"/>
      </w:tabs>
      <w:ind w:left="0" w:firstLine="0"/>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tabs>
        <w:tab w:val="num" w:pos="397"/>
      </w:tabs>
      <w:spacing w:after="40"/>
      <w:ind w:left="2520" w:hanging="283"/>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13"/>
      </w:numPr>
      <w:tabs>
        <w:tab w:val="clear" w:pos="681"/>
        <w:tab w:val="num" w:pos="360"/>
        <w:tab w:val="num" w:pos="397"/>
      </w:tabs>
      <w:ind w:left="0" w:firstLine="0"/>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numId w:val="0"/>
      </w:numPr>
      <w:tabs>
        <w:tab w:val="num" w:pos="794"/>
      </w:tabs>
      <w:spacing w:after="120"/>
      <w:ind w:left="2520" w:hanging="397"/>
    </w:pPr>
  </w:style>
  <w:style w:type="paragraph" w:customStyle="1" w:styleId="DHHSbullet2lastline">
    <w:name w:val="DHHS bullet 2 last line"/>
    <w:basedOn w:val="DHHSbullet2"/>
    <w:uiPriority w:val="2"/>
    <w:qFormat/>
    <w:rsid w:val="00CF7CB6"/>
    <w:pPr>
      <w:spacing w:after="120"/>
      <w:ind w:left="3240"/>
    </w:pPr>
  </w:style>
  <w:style w:type="paragraph" w:customStyle="1" w:styleId="DHHStablebullet">
    <w:name w:val="DHHS table bullet"/>
    <w:basedOn w:val="DHHStabletext"/>
    <w:uiPriority w:val="3"/>
    <w:qFormat/>
    <w:rsid w:val="00CF7CB6"/>
    <w:pPr>
      <w:numPr>
        <w:ilvl w:val="6"/>
        <w:numId w:val="13"/>
      </w:numPr>
      <w:tabs>
        <w:tab w:val="num" w:pos="360"/>
      </w:tabs>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1"/>
      </w:numPr>
    </w:pPr>
  </w:style>
  <w:style w:type="paragraph" w:customStyle="1" w:styleId="DHHSbulletindent">
    <w:name w:val="DHHS bullet indent"/>
    <w:basedOn w:val="DHHSbody"/>
    <w:uiPriority w:val="4"/>
    <w:rsid w:val="00CF7CB6"/>
    <w:pPr>
      <w:numPr>
        <w:ilvl w:val="4"/>
        <w:numId w:val="1"/>
      </w:numPr>
      <w:spacing w:after="40"/>
    </w:pPr>
  </w:style>
  <w:style w:type="paragraph" w:customStyle="1" w:styleId="DHHSbulletindentlastline">
    <w:name w:val="DHHS bullet indent last line"/>
    <w:basedOn w:val="DHHSbody"/>
    <w:uiPriority w:val="4"/>
    <w:rsid w:val="00CF7CB6"/>
    <w:pPr>
      <w:numPr>
        <w:ilvl w:val="5"/>
        <w:numId w:val="1"/>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13"/>
      </w:numPr>
      <w:tabs>
        <w:tab w:val="clear" w:pos="397"/>
        <w:tab w:val="num" w:pos="360"/>
      </w:tabs>
      <w:ind w:left="0" w:firstLine="0"/>
    </w:pPr>
  </w:style>
  <w:style w:type="paragraph" w:customStyle="1" w:styleId="DHHSnumberlowerromanindent">
    <w:name w:val="DHHS number lower roman indent"/>
    <w:basedOn w:val="DHHSbody"/>
    <w:uiPriority w:val="3"/>
    <w:rsid w:val="00CF7CB6"/>
    <w:pPr>
      <w:numPr>
        <w:ilvl w:val="5"/>
        <w:numId w:val="13"/>
      </w:numPr>
      <w:tabs>
        <w:tab w:val="clear" w:pos="794"/>
        <w:tab w:val="num" w:pos="360"/>
      </w:tabs>
      <w:ind w:left="0" w:firstLine="0"/>
    </w:pPr>
  </w:style>
  <w:style w:type="paragraph" w:customStyle="1" w:styleId="DHHSnumberdigitindent">
    <w:name w:val="DHHS number digit indent"/>
    <w:basedOn w:val="DHHSnumberloweralphaindent"/>
    <w:uiPriority w:val="3"/>
    <w:rsid w:val="00CF7CB6"/>
    <w:pPr>
      <w:numPr>
        <w:ilvl w:val="1"/>
      </w:numPr>
      <w:tabs>
        <w:tab w:val="clear" w:pos="794"/>
        <w:tab w:val="num" w:pos="360"/>
      </w:tabs>
      <w:ind w:left="0" w:firstLine="0"/>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F806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664"/>
    <w:rPr>
      <w:rFonts w:ascii="Segoe UI" w:hAnsi="Segoe UI" w:cs="Segoe UI"/>
      <w:sz w:val="18"/>
      <w:szCs w:val="18"/>
      <w:lang w:eastAsia="en-US"/>
    </w:rPr>
  </w:style>
  <w:style w:type="character" w:customStyle="1" w:styleId="normaltextrun">
    <w:name w:val="normaltextrun"/>
    <w:basedOn w:val="DefaultParagraphFont"/>
    <w:rsid w:val="00381B2F"/>
  </w:style>
  <w:style w:type="character" w:customStyle="1" w:styleId="FootnoteTextChar">
    <w:name w:val="Footnote Text Char"/>
    <w:basedOn w:val="DefaultParagraphFont"/>
    <w:link w:val="FootnoteText"/>
    <w:uiPriority w:val="99"/>
    <w:rsid w:val="00381B2F"/>
    <w:rPr>
      <w:rFonts w:ascii="Arial" w:eastAsia="MS Gothic" w:hAnsi="Arial" w:cs="Arial"/>
      <w:sz w:val="16"/>
      <w:szCs w:val="16"/>
      <w:lang w:eastAsia="en-US"/>
    </w:rPr>
  </w:style>
  <w:style w:type="paragraph" w:customStyle="1" w:styleId="paragraph">
    <w:name w:val="paragraph"/>
    <w:basedOn w:val="Normal"/>
    <w:rsid w:val="00381B2F"/>
    <w:pPr>
      <w:spacing w:before="100" w:beforeAutospacing="1" w:after="100" w:afterAutospacing="1"/>
    </w:pPr>
    <w:rPr>
      <w:rFonts w:ascii="Times New Roman" w:hAnsi="Times New Roman"/>
      <w:sz w:val="24"/>
      <w:szCs w:val="24"/>
      <w:lang w:eastAsia="en-AU"/>
    </w:rPr>
  </w:style>
  <w:style w:type="character" w:customStyle="1" w:styleId="eop">
    <w:name w:val="eop"/>
    <w:basedOn w:val="DefaultParagraphFont"/>
    <w:rsid w:val="00381B2F"/>
  </w:style>
  <w:style w:type="paragraph" w:styleId="ListParagraph">
    <w:name w:val="List Paragraph"/>
    <w:basedOn w:val="Normal"/>
    <w:uiPriority w:val="34"/>
    <w:qFormat/>
    <w:rsid w:val="00381B2F"/>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81B2F"/>
    <w:rPr>
      <w:rFonts w:ascii="Arial" w:hAnsi="Arial" w:cs="Arial"/>
      <w:sz w:val="18"/>
      <w:szCs w:val="18"/>
      <w:lang w:eastAsia="en-US"/>
    </w:rPr>
  </w:style>
  <w:style w:type="character" w:customStyle="1" w:styleId="FooterChar">
    <w:name w:val="Footer Char"/>
    <w:basedOn w:val="DefaultParagraphFont"/>
    <w:link w:val="Footer"/>
    <w:uiPriority w:val="99"/>
    <w:rsid w:val="00381B2F"/>
    <w:rPr>
      <w:rFonts w:ascii="Arial" w:hAnsi="Arial" w:cs="Arial"/>
      <w:sz w:val="18"/>
      <w:szCs w:val="18"/>
      <w:lang w:eastAsia="en-US"/>
    </w:rPr>
  </w:style>
  <w:style w:type="character" w:styleId="CommentReference">
    <w:name w:val="annotation reference"/>
    <w:basedOn w:val="DefaultParagraphFont"/>
    <w:uiPriority w:val="99"/>
    <w:semiHidden/>
    <w:unhideWhenUsed/>
    <w:rsid w:val="00381B2F"/>
    <w:rPr>
      <w:sz w:val="16"/>
      <w:szCs w:val="16"/>
    </w:rPr>
  </w:style>
  <w:style w:type="paragraph" w:styleId="CommentText">
    <w:name w:val="annotation text"/>
    <w:basedOn w:val="Normal"/>
    <w:link w:val="CommentTextChar"/>
    <w:uiPriority w:val="99"/>
    <w:unhideWhenUsed/>
    <w:rsid w:val="00381B2F"/>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381B2F"/>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381B2F"/>
    <w:rPr>
      <w:b/>
      <w:bCs/>
    </w:rPr>
  </w:style>
  <w:style w:type="character" w:customStyle="1" w:styleId="CommentSubjectChar">
    <w:name w:val="Comment Subject Char"/>
    <w:basedOn w:val="CommentTextChar"/>
    <w:link w:val="CommentSubject"/>
    <w:uiPriority w:val="99"/>
    <w:semiHidden/>
    <w:rsid w:val="00381B2F"/>
    <w:rPr>
      <w:rFonts w:asciiTheme="minorHAnsi" w:eastAsiaTheme="minorHAnsi" w:hAnsiTheme="minorHAnsi" w:cstheme="minorBidi"/>
      <w:b/>
      <w:bCs/>
      <w:lang w:eastAsia="en-US"/>
    </w:rPr>
  </w:style>
  <w:style w:type="character" w:styleId="Mention">
    <w:name w:val="Mention"/>
    <w:basedOn w:val="DefaultParagraphFont"/>
    <w:uiPriority w:val="99"/>
    <w:unhideWhenUsed/>
    <w:rsid w:val="00381B2F"/>
    <w:rPr>
      <w:color w:val="2B579A"/>
      <w:shd w:val="clear" w:color="auto" w:fill="E6E6E6"/>
    </w:rPr>
  </w:style>
  <w:style w:type="character" w:styleId="UnresolvedMention">
    <w:name w:val="Unresolved Mention"/>
    <w:basedOn w:val="DefaultParagraphFont"/>
    <w:uiPriority w:val="99"/>
    <w:unhideWhenUsed/>
    <w:rsid w:val="00381B2F"/>
    <w:rPr>
      <w:color w:val="605E5C"/>
      <w:shd w:val="clear" w:color="auto" w:fill="E1DFDD"/>
    </w:rPr>
  </w:style>
  <w:style w:type="paragraph" w:styleId="Revision">
    <w:name w:val="Revision"/>
    <w:hidden/>
    <w:uiPriority w:val="99"/>
    <w:semiHidden/>
    <w:rsid w:val="00381B2F"/>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381B2F"/>
    <w:pPr>
      <w:spacing w:before="100" w:beforeAutospacing="1" w:after="100" w:afterAutospacing="1"/>
    </w:pPr>
    <w:rPr>
      <w:rFonts w:ascii="Times New Roman" w:hAnsi="Times New Roman"/>
      <w:sz w:val="24"/>
      <w:szCs w:val="24"/>
      <w:lang w:eastAsia="en-AU"/>
    </w:rPr>
  </w:style>
  <w:style w:type="character" w:customStyle="1" w:styleId="spellingerror">
    <w:name w:val="spellingerror"/>
    <w:basedOn w:val="DefaultParagraphFont"/>
    <w:rsid w:val="00DD0930"/>
  </w:style>
  <w:style w:type="character" w:customStyle="1" w:styleId="contextualspellingandgrammarerror">
    <w:name w:val="contextualspellingandgrammarerror"/>
    <w:basedOn w:val="DefaultParagraphFont"/>
    <w:rsid w:val="00DD0930"/>
  </w:style>
  <w:style w:type="paragraph" w:customStyle="1" w:styleId="Body">
    <w:name w:val="Body"/>
    <w:basedOn w:val="Normal"/>
    <w:rsid w:val="00643556"/>
    <w:pPr>
      <w:spacing w:after="160" w:line="280" w:lineRule="atLeast"/>
    </w:pPr>
    <w:rPr>
      <w:rFonts w:ascii="Arial" w:eastAsia="Times" w:hAnsi="Arial"/>
      <w:sz w:val="21"/>
      <w:szCs w:val="21"/>
    </w:rPr>
  </w:style>
  <w:style w:type="paragraph" w:customStyle="1" w:styleId="Bullet1">
    <w:name w:val="Bullet 1"/>
    <w:basedOn w:val="DHHSbullet1"/>
    <w:rsid w:val="00643556"/>
    <w:pPr>
      <w:spacing w:line="280" w:lineRule="atLeast"/>
    </w:pPr>
    <w:rPr>
      <w:sz w:val="21"/>
      <w:szCs w:val="21"/>
    </w:rPr>
  </w:style>
  <w:style w:type="paragraph" w:customStyle="1" w:styleId="Bodyafterbullets">
    <w:name w:val="Body after bullets"/>
    <w:basedOn w:val="Body"/>
    <w:rsid w:val="00643556"/>
    <w:pPr>
      <w:spacing w:before="160"/>
    </w:pPr>
  </w:style>
  <w:style w:type="paragraph" w:customStyle="1" w:styleId="Tabletext">
    <w:name w:val="Table text"/>
    <w:basedOn w:val="DHHStabletext"/>
    <w:rsid w:val="000D0B9B"/>
    <w:rPr>
      <w:sz w:val="21"/>
      <w:szCs w:val="21"/>
      <w:lang w:val="en-US"/>
    </w:rPr>
  </w:style>
  <w:style w:type="paragraph" w:customStyle="1" w:styleId="Tablecolhead">
    <w:name w:val="Table col head"/>
    <w:basedOn w:val="DHHStablecolhead"/>
    <w:rsid w:val="000D0B9B"/>
    <w:rPr>
      <w:sz w:val="21"/>
      <w:szCs w:val="21"/>
    </w:rPr>
  </w:style>
  <w:style w:type="paragraph" w:customStyle="1" w:styleId="Tablecaption">
    <w:name w:val="Table caption"/>
    <w:basedOn w:val="DHHStablecaption"/>
    <w:rsid w:val="000D0B9B"/>
    <w:rPr>
      <w:sz w:val="21"/>
      <w:szCs w:val="21"/>
    </w:rPr>
  </w:style>
  <w:style w:type="paragraph" w:customStyle="1" w:styleId="Figurecaption">
    <w:name w:val="Figure caption"/>
    <w:basedOn w:val="Tablecaption"/>
    <w:rsid w:val="007B2175"/>
    <w:rPr>
      <w:lang w:val="en-US"/>
    </w:rPr>
  </w:style>
  <w:style w:type="paragraph" w:customStyle="1" w:styleId="Bodyaftertable">
    <w:name w:val="Body after table"/>
    <w:basedOn w:val="Bodyafterbullets"/>
    <w:rsid w:val="00643556"/>
    <w:pPr>
      <w:spacing w:before="200"/>
    </w:pPr>
  </w:style>
  <w:style w:type="paragraph" w:customStyle="1" w:styleId="Tablefigurenote">
    <w:name w:val="Table/figure note"/>
    <w:basedOn w:val="DHHStablefigurenote"/>
    <w:rsid w:val="00643556"/>
    <w:rPr>
      <w:rFonts w:eastAsia="Arial"/>
      <w:i w:val="0"/>
      <w:iCs/>
      <w:lang w:val="en-US"/>
    </w:rPr>
  </w:style>
  <w:style w:type="paragraph" w:customStyle="1" w:styleId="Bodynospace">
    <w:name w:val="Body no space"/>
    <w:basedOn w:val="Body"/>
    <w:rsid w:val="00D40C2B"/>
    <w:pPr>
      <w:spacing w:after="0"/>
    </w:pPr>
  </w:style>
  <w:style w:type="paragraph" w:customStyle="1" w:styleId="Boxtitle">
    <w:name w:val="Box title"/>
    <w:basedOn w:val="Body"/>
    <w:rsid w:val="00BF3C21"/>
    <w:pPr>
      <w:spacing w:before="120"/>
    </w:pPr>
    <w:rPr>
      <w:b/>
      <w:bCs/>
    </w:rPr>
  </w:style>
  <w:style w:type="paragraph" w:customStyle="1" w:styleId="Documenttitle">
    <w:name w:val="Document title"/>
    <w:uiPriority w:val="8"/>
    <w:rsid w:val="00B41C39"/>
    <w:pPr>
      <w:spacing w:after="240" w:line="560" w:lineRule="atLeast"/>
    </w:pPr>
    <w:rPr>
      <w:rFonts w:ascii="Arial" w:hAnsi="Arial"/>
      <w:b/>
      <w:color w:val="201547"/>
      <w:sz w:val="48"/>
      <w:szCs w:val="50"/>
      <w:lang w:eastAsia="en-US"/>
    </w:rPr>
  </w:style>
  <w:style w:type="paragraph" w:customStyle="1" w:styleId="Documentsubtitle">
    <w:name w:val="Document subtitle"/>
    <w:uiPriority w:val="8"/>
    <w:rsid w:val="00B41C39"/>
    <w:pPr>
      <w:spacing w:after="120"/>
    </w:pPr>
    <w:rPr>
      <w:rFonts w:ascii="Arial" w:hAnsi="Arial"/>
      <w:color w:val="53565A"/>
      <w:sz w:val="28"/>
      <w:szCs w:val="24"/>
      <w:lang w:eastAsia="en-US"/>
    </w:rPr>
  </w:style>
  <w:style w:type="paragraph" w:customStyle="1" w:styleId="Bannermarking">
    <w:name w:val="Banner marking"/>
    <w:basedOn w:val="Normal"/>
    <w:uiPriority w:val="11"/>
    <w:rsid w:val="00B41C39"/>
    <w:pPr>
      <w:spacing w:line="280" w:lineRule="atLeast"/>
    </w:pPr>
    <w:rPr>
      <w:rFonts w:ascii="Arial" w:eastAsia="Times" w:hAnsi="Arial"/>
      <w:b/>
      <w:bCs/>
      <w:color w:val="000000" w:themeColor="tex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0721">
      <w:bodyDiv w:val="1"/>
      <w:marLeft w:val="0"/>
      <w:marRight w:val="0"/>
      <w:marTop w:val="0"/>
      <w:marBottom w:val="0"/>
      <w:divBdr>
        <w:top w:val="none" w:sz="0" w:space="0" w:color="auto"/>
        <w:left w:val="none" w:sz="0" w:space="0" w:color="auto"/>
        <w:bottom w:val="none" w:sz="0" w:space="0" w:color="auto"/>
        <w:right w:val="none" w:sz="0" w:space="0" w:color="auto"/>
      </w:divBdr>
    </w:div>
    <w:div w:id="211502881">
      <w:bodyDiv w:val="1"/>
      <w:marLeft w:val="0"/>
      <w:marRight w:val="0"/>
      <w:marTop w:val="0"/>
      <w:marBottom w:val="0"/>
      <w:divBdr>
        <w:top w:val="none" w:sz="0" w:space="0" w:color="auto"/>
        <w:left w:val="none" w:sz="0" w:space="0" w:color="auto"/>
        <w:bottom w:val="none" w:sz="0" w:space="0" w:color="auto"/>
        <w:right w:val="none" w:sz="0" w:space="0" w:color="auto"/>
      </w:divBdr>
    </w:div>
    <w:div w:id="932278119">
      <w:bodyDiv w:val="1"/>
      <w:marLeft w:val="0"/>
      <w:marRight w:val="0"/>
      <w:marTop w:val="0"/>
      <w:marBottom w:val="0"/>
      <w:divBdr>
        <w:top w:val="none" w:sz="0" w:space="0" w:color="auto"/>
        <w:left w:val="none" w:sz="0" w:space="0" w:color="auto"/>
        <w:bottom w:val="none" w:sz="0" w:space="0" w:color="auto"/>
        <w:right w:val="none" w:sz="0" w:space="0" w:color="auto"/>
      </w:divBdr>
    </w:div>
    <w:div w:id="1205750100">
      <w:bodyDiv w:val="1"/>
      <w:marLeft w:val="0"/>
      <w:marRight w:val="0"/>
      <w:marTop w:val="0"/>
      <w:marBottom w:val="0"/>
      <w:divBdr>
        <w:top w:val="none" w:sz="0" w:space="0" w:color="auto"/>
        <w:left w:val="none" w:sz="0" w:space="0" w:color="auto"/>
        <w:bottom w:val="none" w:sz="0" w:space="0" w:color="auto"/>
        <w:right w:val="none" w:sz="0" w:space="0" w:color="auto"/>
      </w:divBdr>
    </w:div>
    <w:div w:id="1223247435">
      <w:bodyDiv w:val="1"/>
      <w:marLeft w:val="0"/>
      <w:marRight w:val="0"/>
      <w:marTop w:val="0"/>
      <w:marBottom w:val="0"/>
      <w:divBdr>
        <w:top w:val="none" w:sz="0" w:space="0" w:color="auto"/>
        <w:left w:val="none" w:sz="0" w:space="0" w:color="auto"/>
        <w:bottom w:val="none" w:sz="0" w:space="0" w:color="auto"/>
        <w:right w:val="none" w:sz="0" w:space="0" w:color="auto"/>
      </w:divBdr>
    </w:div>
    <w:div w:id="1481384193">
      <w:bodyDiv w:val="1"/>
      <w:marLeft w:val="0"/>
      <w:marRight w:val="0"/>
      <w:marTop w:val="0"/>
      <w:marBottom w:val="0"/>
      <w:divBdr>
        <w:top w:val="none" w:sz="0" w:space="0" w:color="auto"/>
        <w:left w:val="none" w:sz="0" w:space="0" w:color="auto"/>
        <w:bottom w:val="none" w:sz="0" w:space="0" w:color="auto"/>
        <w:right w:val="none" w:sz="0" w:space="0" w:color="auto"/>
      </w:divBdr>
    </w:div>
    <w:div w:id="1693416414">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211301479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chart" Target="charts/chart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chart" Target="charts/chart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health.vic.gov.au/practice-and-service-quality/mental-health-act-2014" TargetMode="External"/><Relationship Id="rId20" Type="http://schemas.openxmlformats.org/officeDocument/2006/relationships/hyperlink" Target="mailto:ocp@dhhs.vic.gov.au"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health.vic.gov.au/key-staff/publications-from-the-chief-psychiatrist" TargetMode="External"/><Relationship Id="rId23" Type="http://schemas.openxmlformats.org/officeDocument/2006/relationships/footer" Target="footer3.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2.health.vic.gov.au/about/publications/researchandreports/chief-psychiatrist-quality-and-safety-bullet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cp@dhhs.vic.gov.au" TargetMode="External"/><Relationship Id="rId22" Type="http://schemas.openxmlformats.org/officeDocument/2006/relationships/header" Target="header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hhsvicgovau.sharepoint.com/sites/OfficeoftheChiefPsychiatrist-DHHS-GRP/Shared%20Documents/Data%20Strategy/Data/Annual%20Reports/FY%2021-22/OCP%20-%20AR%2021-22%20-%20Resolve%20extract%20-%20Enquiries%20-%202022.09.0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hhsvicgovau.sharepoint.com/sites/OfficeoftheChiefPsychiatrist-DHHS-GRP/Shared%20Documents/Data%20Strategy/Data/Annual%20Reports/FY%2021-22/OCP%20-%20AR%2021-22%20-%20Resolve%20extract%20-%20Reportable%20Deaths%20-%202022.10.06.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'Pivot AR 21-22'!$H$15</c:f>
              <c:strCache>
                <c:ptCount val="1"/>
                <c:pt idx="0">
                  <c:v>Q1</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'Pivot AR 21-22'!$K$14:$O$14</c:f>
              <c:strCache>
                <c:ptCount val="5"/>
                <c:pt idx="0">
                  <c:v>2017–18</c:v>
                </c:pt>
                <c:pt idx="1">
                  <c:v>2018–19</c:v>
                </c:pt>
                <c:pt idx="2">
                  <c:v>2019–20</c:v>
                </c:pt>
                <c:pt idx="3">
                  <c:v>2020–21</c:v>
                </c:pt>
                <c:pt idx="4">
                  <c:v>2021-22</c:v>
                </c:pt>
              </c:strCache>
            </c:strRef>
          </c:cat>
          <c:val>
            <c:numRef>
              <c:f>'Pivot AR 21-22'!$K$15:$O$15</c:f>
              <c:numCache>
                <c:formatCode>General</c:formatCode>
                <c:ptCount val="5"/>
                <c:pt idx="0">
                  <c:v>72</c:v>
                </c:pt>
                <c:pt idx="1">
                  <c:v>105</c:v>
                </c:pt>
                <c:pt idx="2">
                  <c:v>134</c:v>
                </c:pt>
                <c:pt idx="3">
                  <c:v>287</c:v>
                </c:pt>
                <c:pt idx="4">
                  <c:v>294</c:v>
                </c:pt>
              </c:numCache>
            </c:numRef>
          </c:val>
          <c:extLst>
            <c:ext xmlns:c16="http://schemas.microsoft.com/office/drawing/2014/chart" uri="{C3380CC4-5D6E-409C-BE32-E72D297353CC}">
              <c16:uniqueId val="{00000000-1B20-4C8E-8B36-873AA33289DB}"/>
            </c:ext>
          </c:extLst>
        </c:ser>
        <c:ser>
          <c:idx val="1"/>
          <c:order val="1"/>
          <c:tx>
            <c:strRef>
              <c:f>'Pivot AR 21-22'!$H$16</c:f>
              <c:strCache>
                <c:ptCount val="1"/>
                <c:pt idx="0">
                  <c:v>Q2</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'Pivot AR 21-22'!$K$14:$O$14</c:f>
              <c:strCache>
                <c:ptCount val="5"/>
                <c:pt idx="0">
                  <c:v>2017–18</c:v>
                </c:pt>
                <c:pt idx="1">
                  <c:v>2018–19</c:v>
                </c:pt>
                <c:pt idx="2">
                  <c:v>2019–20</c:v>
                </c:pt>
                <c:pt idx="3">
                  <c:v>2020–21</c:v>
                </c:pt>
                <c:pt idx="4">
                  <c:v>2021-22</c:v>
                </c:pt>
              </c:strCache>
            </c:strRef>
          </c:cat>
          <c:val>
            <c:numRef>
              <c:f>'Pivot AR 21-22'!$K$16:$O$16</c:f>
              <c:numCache>
                <c:formatCode>General</c:formatCode>
                <c:ptCount val="5"/>
                <c:pt idx="0">
                  <c:v>95</c:v>
                </c:pt>
                <c:pt idx="1">
                  <c:v>143</c:v>
                </c:pt>
                <c:pt idx="2">
                  <c:v>157</c:v>
                </c:pt>
                <c:pt idx="3">
                  <c:v>209</c:v>
                </c:pt>
                <c:pt idx="4">
                  <c:v>320</c:v>
                </c:pt>
              </c:numCache>
            </c:numRef>
          </c:val>
          <c:extLst>
            <c:ext xmlns:c16="http://schemas.microsoft.com/office/drawing/2014/chart" uri="{C3380CC4-5D6E-409C-BE32-E72D297353CC}">
              <c16:uniqueId val="{00000001-1B20-4C8E-8B36-873AA33289DB}"/>
            </c:ext>
          </c:extLst>
        </c:ser>
        <c:ser>
          <c:idx val="2"/>
          <c:order val="2"/>
          <c:tx>
            <c:strRef>
              <c:f>'Pivot AR 21-22'!$H$17</c:f>
              <c:strCache>
                <c:ptCount val="1"/>
                <c:pt idx="0">
                  <c:v>Q3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'Pivot AR 21-22'!$K$14:$O$14</c:f>
              <c:strCache>
                <c:ptCount val="5"/>
                <c:pt idx="0">
                  <c:v>2017–18</c:v>
                </c:pt>
                <c:pt idx="1">
                  <c:v>2018–19</c:v>
                </c:pt>
                <c:pt idx="2">
                  <c:v>2019–20</c:v>
                </c:pt>
                <c:pt idx="3">
                  <c:v>2020–21</c:v>
                </c:pt>
                <c:pt idx="4">
                  <c:v>2021-22</c:v>
                </c:pt>
              </c:strCache>
            </c:strRef>
          </c:cat>
          <c:val>
            <c:numRef>
              <c:f>'Pivot AR 21-22'!$K$17:$O$17</c:f>
              <c:numCache>
                <c:formatCode>General</c:formatCode>
                <c:ptCount val="5"/>
                <c:pt idx="0">
                  <c:v>105</c:v>
                </c:pt>
                <c:pt idx="1">
                  <c:v>161</c:v>
                </c:pt>
                <c:pt idx="2">
                  <c:v>142</c:v>
                </c:pt>
                <c:pt idx="3">
                  <c:v>226</c:v>
                </c:pt>
                <c:pt idx="4">
                  <c:v>382</c:v>
                </c:pt>
              </c:numCache>
            </c:numRef>
          </c:val>
          <c:extLst>
            <c:ext xmlns:c16="http://schemas.microsoft.com/office/drawing/2014/chart" uri="{C3380CC4-5D6E-409C-BE32-E72D297353CC}">
              <c16:uniqueId val="{00000002-1B20-4C8E-8B36-873AA33289DB}"/>
            </c:ext>
          </c:extLst>
        </c:ser>
        <c:ser>
          <c:idx val="3"/>
          <c:order val="3"/>
          <c:tx>
            <c:strRef>
              <c:f>'Pivot AR 21-22'!$H$18</c:f>
              <c:strCache>
                <c:ptCount val="1"/>
                <c:pt idx="0">
                  <c:v>Q4</c:v>
                </c:pt>
              </c:strCache>
            </c:strRef>
          </c:tx>
          <c:spPr>
            <a:solidFill>
              <a:schemeClr val="accent4">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'Pivot AR 21-22'!$K$14:$O$14</c:f>
              <c:strCache>
                <c:ptCount val="5"/>
                <c:pt idx="0">
                  <c:v>2017–18</c:v>
                </c:pt>
                <c:pt idx="1">
                  <c:v>2018–19</c:v>
                </c:pt>
                <c:pt idx="2">
                  <c:v>2019–20</c:v>
                </c:pt>
                <c:pt idx="3">
                  <c:v>2020–21</c:v>
                </c:pt>
                <c:pt idx="4">
                  <c:v>2021-22</c:v>
                </c:pt>
              </c:strCache>
            </c:strRef>
          </c:cat>
          <c:val>
            <c:numRef>
              <c:f>'Pivot AR 21-22'!$K$18:$O$18</c:f>
              <c:numCache>
                <c:formatCode>General</c:formatCode>
                <c:ptCount val="5"/>
                <c:pt idx="0">
                  <c:v>93</c:v>
                </c:pt>
                <c:pt idx="1">
                  <c:v>122</c:v>
                </c:pt>
                <c:pt idx="2">
                  <c:v>218</c:v>
                </c:pt>
                <c:pt idx="3">
                  <c:v>271</c:v>
                </c:pt>
                <c:pt idx="4">
                  <c:v>318</c:v>
                </c:pt>
              </c:numCache>
            </c:numRef>
          </c:val>
          <c:extLst>
            <c:ext xmlns:c16="http://schemas.microsoft.com/office/drawing/2014/chart" uri="{C3380CC4-5D6E-409C-BE32-E72D297353CC}">
              <c16:uniqueId val="{00000003-1B20-4C8E-8B36-873AA33289DB}"/>
            </c:ext>
          </c:extLst>
        </c:ser>
        <c:dLbls>
          <c:showLegendKey val="0"/>
          <c:showVal val="0"/>
          <c:showCatName val="0"/>
          <c:showSerName val="0"/>
          <c:showPercent val="0"/>
          <c:showBubbleSize val="0"/>
        </c:dLbls>
        <c:gapWidth val="110"/>
        <c:overlap val="-20"/>
        <c:axId val="1221628400"/>
        <c:axId val="1221634304"/>
      </c:barChart>
      <c:lineChart>
        <c:grouping val="standard"/>
        <c:varyColors val="0"/>
        <c:ser>
          <c:idx val="4"/>
          <c:order val="4"/>
          <c:tx>
            <c:strRef>
              <c:f>'Pivot AR 21-22'!$H$19</c:f>
              <c:strCache>
                <c:ptCount val="1"/>
                <c:pt idx="0">
                  <c:v>Total</c:v>
                </c:pt>
              </c:strCache>
            </c:strRef>
          </c:tx>
          <c:spPr>
            <a:ln w="28575" cap="rnd">
              <a:solidFill>
                <a:schemeClr val="accent6">
                  <a:lumMod val="60000"/>
                  <a:lumOff val="4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'Pivot AR 21-22'!$K$14:$O$14</c:f>
              <c:strCache>
                <c:ptCount val="5"/>
                <c:pt idx="0">
                  <c:v>2017–18</c:v>
                </c:pt>
                <c:pt idx="1">
                  <c:v>2018–19</c:v>
                </c:pt>
                <c:pt idx="2">
                  <c:v>2019–20</c:v>
                </c:pt>
                <c:pt idx="3">
                  <c:v>2020–21</c:v>
                </c:pt>
                <c:pt idx="4">
                  <c:v>2021-22</c:v>
                </c:pt>
              </c:strCache>
            </c:strRef>
          </c:cat>
          <c:val>
            <c:numRef>
              <c:f>'Pivot AR 21-22'!$K$19:$O$19</c:f>
              <c:numCache>
                <c:formatCode>General</c:formatCode>
                <c:ptCount val="5"/>
                <c:pt idx="0">
                  <c:v>365</c:v>
                </c:pt>
                <c:pt idx="1">
                  <c:v>531</c:v>
                </c:pt>
                <c:pt idx="2">
                  <c:v>651</c:v>
                </c:pt>
                <c:pt idx="3">
                  <c:v>993</c:v>
                </c:pt>
                <c:pt idx="4">
                  <c:v>1314</c:v>
                </c:pt>
              </c:numCache>
            </c:numRef>
          </c:val>
          <c:smooth val="0"/>
          <c:extLst>
            <c:ext xmlns:c16="http://schemas.microsoft.com/office/drawing/2014/chart" uri="{C3380CC4-5D6E-409C-BE32-E72D297353CC}">
              <c16:uniqueId val="{00000004-1B20-4C8E-8B36-873AA33289DB}"/>
            </c:ext>
          </c:extLst>
        </c:ser>
        <c:dLbls>
          <c:showLegendKey val="0"/>
          <c:showVal val="1"/>
          <c:showCatName val="0"/>
          <c:showSerName val="0"/>
          <c:showPercent val="0"/>
          <c:showBubbleSize val="0"/>
        </c:dLbls>
        <c:marker val="1"/>
        <c:smooth val="0"/>
        <c:axId val="1221628400"/>
        <c:axId val="1221634304"/>
      </c:lineChart>
      <c:catAx>
        <c:axId val="1221628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1634304"/>
        <c:crosses val="autoZero"/>
        <c:auto val="1"/>
        <c:lblAlgn val="ctr"/>
        <c:lblOffset val="100"/>
        <c:noMultiLvlLbl val="0"/>
      </c:catAx>
      <c:valAx>
        <c:axId val="1221634304"/>
        <c:scaling>
          <c:orientation val="minMax"/>
        </c:scaling>
        <c:delete val="1"/>
        <c:axPos val="l"/>
        <c:numFmt formatCode="General" sourceLinked="1"/>
        <c:majorTickMark val="none"/>
        <c:minorTickMark val="none"/>
        <c:tickLblPos val="nextTo"/>
        <c:crossAx val="1221628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Pivot!$B$66</c:f>
              <c:strCache>
                <c:ptCount val="1"/>
                <c:pt idx="0">
                  <c:v>Community deaths</c:v>
                </c:pt>
              </c:strCache>
            </c:strRef>
          </c:tx>
          <c:spPr>
            <a:solidFill>
              <a:schemeClr val="accent5">
                <a:lumMod val="60000"/>
                <a:lumOff val="40000"/>
              </a:schemeClr>
            </a:solidFill>
            <a:ln w="12700" cap="flat" cmpd="sng" algn="ctr">
              <a:solidFill>
                <a:schemeClr val="accent5">
                  <a:lumMod val="60000"/>
                  <a:lumOff val="40000"/>
                </a:schemeClr>
              </a:solidFill>
              <a:prstDash val="solid"/>
              <a:miter lim="800000"/>
            </a:ln>
            <a:effectLst/>
          </c:spPr>
          <c:invertIfNegative val="0"/>
          <c:dLbls>
            <c:dLbl>
              <c:idx val="0"/>
              <c:tx>
                <c:rich>
                  <a:bodyPr/>
                  <a:lstStyle/>
                  <a:p>
                    <a:r>
                      <a:rPr lang="en-US"/>
                      <a:t>6.32</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8F2-40B1-8DF0-B60088BBD81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Pivot!$A$67:$A$71</c:f>
              <c:strCache>
                <c:ptCount val="5"/>
                <c:pt idx="0">
                  <c:v>FY 17/18</c:v>
                </c:pt>
                <c:pt idx="1">
                  <c:v>FY 18/19</c:v>
                </c:pt>
                <c:pt idx="2">
                  <c:v>FY 19/20</c:v>
                </c:pt>
                <c:pt idx="3">
                  <c:v>FY 20/21</c:v>
                </c:pt>
                <c:pt idx="4">
                  <c:v>FY 21/22</c:v>
                </c:pt>
              </c:strCache>
            </c:strRef>
          </c:cat>
          <c:val>
            <c:numRef>
              <c:f>Pivot!$B$67:$B$71</c:f>
              <c:numCache>
                <c:formatCode>0.00</c:formatCode>
                <c:ptCount val="5"/>
                <c:pt idx="0">
                  <c:v>6.3151305885423099</c:v>
                </c:pt>
                <c:pt idx="1">
                  <c:v>6.5043569336369096</c:v>
                </c:pt>
                <c:pt idx="2">
                  <c:v>5.4237791853186472</c:v>
                </c:pt>
                <c:pt idx="3">
                  <c:v>4.4156711732744345</c:v>
                </c:pt>
                <c:pt idx="4">
                  <c:v>4.5625233757810104</c:v>
                </c:pt>
              </c:numCache>
            </c:numRef>
          </c:val>
          <c:extLst>
            <c:ext xmlns:c16="http://schemas.microsoft.com/office/drawing/2014/chart" uri="{C3380CC4-5D6E-409C-BE32-E72D297353CC}">
              <c16:uniqueId val="{00000000-A4A6-487F-99D4-EB6A62CE5C2B}"/>
            </c:ext>
          </c:extLst>
        </c:ser>
        <c:ser>
          <c:idx val="1"/>
          <c:order val="1"/>
          <c:tx>
            <c:strRef>
              <c:f>Pivot!$C$66</c:f>
              <c:strCache>
                <c:ptCount val="1"/>
                <c:pt idx="0">
                  <c:v>Inpatient deaths</c:v>
                </c:pt>
              </c:strCache>
            </c:strRef>
          </c:tx>
          <c:spPr>
            <a:solidFill>
              <a:schemeClr val="accent2">
                <a:lumMod val="60000"/>
                <a:lumOff val="40000"/>
              </a:schemeClr>
            </a:solidFill>
            <a:ln>
              <a:solidFill>
                <a:schemeClr val="accent2">
                  <a:lumMod val="60000"/>
                  <a:lumOff val="4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Pivot!$A$67:$A$71</c:f>
              <c:strCache>
                <c:ptCount val="5"/>
                <c:pt idx="0">
                  <c:v>FY 17/18</c:v>
                </c:pt>
                <c:pt idx="1">
                  <c:v>FY 18/19</c:v>
                </c:pt>
                <c:pt idx="2">
                  <c:v>FY 19/20</c:v>
                </c:pt>
                <c:pt idx="3">
                  <c:v>FY 20/21</c:v>
                </c:pt>
                <c:pt idx="4">
                  <c:v>FY 21/22</c:v>
                </c:pt>
              </c:strCache>
            </c:strRef>
          </c:cat>
          <c:val>
            <c:numRef>
              <c:f>Pivot!$C$67:$C$71</c:f>
              <c:numCache>
                <c:formatCode>0.00</c:formatCode>
                <c:ptCount val="5"/>
                <c:pt idx="0">
                  <c:v>0.58817392736423479</c:v>
                </c:pt>
                <c:pt idx="1">
                  <c:v>0.36388010817549149</c:v>
                </c:pt>
                <c:pt idx="2">
                  <c:v>0.62410609803666628</c:v>
                </c:pt>
                <c:pt idx="3">
                  <c:v>0.24774392721341712</c:v>
                </c:pt>
                <c:pt idx="4">
                  <c:v>0.24314387896011652</c:v>
                </c:pt>
              </c:numCache>
            </c:numRef>
          </c:val>
          <c:extLst>
            <c:ext xmlns:c16="http://schemas.microsoft.com/office/drawing/2014/chart" uri="{C3380CC4-5D6E-409C-BE32-E72D297353CC}">
              <c16:uniqueId val="{00000001-A4A6-487F-99D4-EB6A62CE5C2B}"/>
            </c:ext>
          </c:extLst>
        </c:ser>
        <c:dLbls>
          <c:showLegendKey val="0"/>
          <c:showVal val="0"/>
          <c:showCatName val="0"/>
          <c:showSerName val="0"/>
          <c:showPercent val="0"/>
          <c:showBubbleSize val="0"/>
        </c:dLbls>
        <c:gapWidth val="100"/>
        <c:overlap val="-20"/>
        <c:axId val="831249704"/>
        <c:axId val="831255280"/>
      </c:barChart>
      <c:lineChart>
        <c:grouping val="standard"/>
        <c:varyColors val="0"/>
        <c:ser>
          <c:idx val="2"/>
          <c:order val="2"/>
          <c:tx>
            <c:strRef>
              <c:f>Pivot!$D$66</c:f>
              <c:strCache>
                <c:ptCount val="1"/>
                <c:pt idx="0">
                  <c:v>All deaths</c:v>
                </c:pt>
              </c:strCache>
            </c:strRef>
          </c:tx>
          <c:spPr>
            <a:ln w="12700" cap="flat" cmpd="sng" algn="ctr">
              <a:solidFill>
                <a:schemeClr val="accent6">
                  <a:lumMod val="60000"/>
                  <a:lumOff val="40000"/>
                </a:schemeClr>
              </a:solidFill>
              <a:prstDash val="solid"/>
              <a:miter lim="800000"/>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Pivot!$A$67:$A$71</c:f>
              <c:strCache>
                <c:ptCount val="5"/>
                <c:pt idx="0">
                  <c:v>FY 17/18</c:v>
                </c:pt>
                <c:pt idx="1">
                  <c:v>FY 18/19</c:v>
                </c:pt>
                <c:pt idx="2">
                  <c:v>FY 19/20</c:v>
                </c:pt>
                <c:pt idx="3">
                  <c:v>FY 20/21</c:v>
                </c:pt>
                <c:pt idx="4">
                  <c:v>FY 21/22</c:v>
                </c:pt>
              </c:strCache>
            </c:strRef>
          </c:cat>
          <c:val>
            <c:numRef>
              <c:f>Pivot!$D$67:$D$71</c:f>
              <c:numCache>
                <c:formatCode>0.00</c:formatCode>
                <c:ptCount val="5"/>
                <c:pt idx="0">
                  <c:v>6.9033045159065454</c:v>
                </c:pt>
                <c:pt idx="1">
                  <c:v>6.8682370418124021</c:v>
                </c:pt>
                <c:pt idx="2">
                  <c:v>6.0478852833553134</c:v>
                </c:pt>
                <c:pt idx="3">
                  <c:v>4.6634151004878515</c:v>
                </c:pt>
                <c:pt idx="4">
                  <c:v>4.8056672547411274</c:v>
                </c:pt>
              </c:numCache>
            </c:numRef>
          </c:val>
          <c:smooth val="0"/>
          <c:extLst>
            <c:ext xmlns:c16="http://schemas.microsoft.com/office/drawing/2014/chart" uri="{C3380CC4-5D6E-409C-BE32-E72D297353CC}">
              <c16:uniqueId val="{00000002-A4A6-487F-99D4-EB6A62CE5C2B}"/>
            </c:ext>
          </c:extLst>
        </c:ser>
        <c:dLbls>
          <c:showLegendKey val="0"/>
          <c:showVal val="0"/>
          <c:showCatName val="0"/>
          <c:showSerName val="0"/>
          <c:showPercent val="0"/>
          <c:showBubbleSize val="0"/>
        </c:dLbls>
        <c:marker val="1"/>
        <c:smooth val="0"/>
        <c:axId val="831249704"/>
        <c:axId val="831255280"/>
      </c:lineChart>
      <c:catAx>
        <c:axId val="831249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1255280"/>
        <c:crosses val="autoZero"/>
        <c:auto val="1"/>
        <c:lblAlgn val="ctr"/>
        <c:lblOffset val="100"/>
        <c:noMultiLvlLbl val="0"/>
      </c:catAx>
      <c:valAx>
        <c:axId val="831255280"/>
        <c:scaling>
          <c:orientation val="minMax"/>
        </c:scaling>
        <c:delete val="1"/>
        <c:axPos val="l"/>
        <c:numFmt formatCode="0.00" sourceLinked="1"/>
        <c:majorTickMark val="none"/>
        <c:minorTickMark val="none"/>
        <c:tickLblPos val="nextTo"/>
        <c:crossAx val="831249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F4D80087-C819-4413-B080-4DAD87E8FB99}">
    <t:Anchor>
      <t:Comment id="651527358"/>
    </t:Anchor>
    <t:History>
      <t:Event id="{A7AFF0C6-485A-40EC-A509-F153FBC4E71F}" time="2022-09-21T03:00:21.123Z">
        <t:Attribution userId="S::maria.rivas.priday@health.vic.gov.au::faa4bf08-de3f-4f92-ade7-d52e46c29560" userProvider="AD" userName="Maria M Rivas Priday (Health)"/>
        <t:Anchor>
          <t:Comment id="302936485"/>
        </t:Anchor>
        <t:Create/>
      </t:Event>
      <t:Event id="{D75234F7-E448-4C1B-B786-2ACAB84DDE6B}" time="2022-09-21T03:00:21.123Z">
        <t:Attribution userId="S::maria.rivas.priday@health.vic.gov.au::faa4bf08-de3f-4f92-ade7-d52e46c29560" userProvider="AD" userName="Maria M Rivas Priday (Health)"/>
        <t:Anchor>
          <t:Comment id="302936485"/>
        </t:Anchor>
        <t:Assign userId="S::george.vasilev@health.vic.gov.au::1fd56ff2-e84f-4951-9a67-8831ffd1fae9" userProvider="AD" userName="George Vasilev (Health)"/>
      </t:Event>
      <t:Event id="{C2A691A3-6932-4116-87B9-26CEA472B4CF}" time="2022-09-21T03:00:21.123Z">
        <t:Attribution userId="S::maria.rivas.priday@health.vic.gov.au::faa4bf08-de3f-4f92-ade7-d52e46c29560" userProvider="AD" userName="Maria M Rivas Priday (Health)"/>
        <t:Anchor>
          <t:Comment id="302936485"/>
        </t:Anchor>
        <t:SetTitle title="@George Vasilev (Health) Yes I do. Are the 12 out of scope last year's number?"/>
      </t:Event>
    </t:History>
  </t:Task>
  <t:Task id="{DFBD24AB-9B49-40A6-AB9E-E9B8B7BAA370}">
    <t:Anchor>
      <t:Comment id="879000353"/>
    </t:Anchor>
    <t:History>
      <t:Event id="{CCD2DAE6-BD14-4352-AE53-D1DAF3B87485}" time="2021-09-09T09:17:32.58Z">
        <t:Attribution userId="S::dom.baetens@health.vic.gov.au::1ae88f1b-ff41-49c4-bbe0-b9fcb19c29c6" userProvider="AD" userName="Dom Baetens (Health)"/>
        <t:Anchor>
          <t:Comment id="879000353"/>
        </t:Anchor>
        <t:Create/>
      </t:Event>
      <t:Event id="{5B37B73B-5D66-4270-8D9A-D4D65A7F0526}" time="2021-09-09T09:17:32.58Z">
        <t:Attribution userId="S::dom.baetens@health.vic.gov.au::1ae88f1b-ff41-49c4-bbe0-b9fcb19c29c6" userProvider="AD" userName="Dom Baetens (Health)"/>
        <t:Anchor>
          <t:Comment id="879000353"/>
        </t:Anchor>
        <t:Assign userId="S::george.vasilev@health.vic.gov.au::1fd56ff2-e84f-4951-9a67-8831ffd1fae9" userProvider="AD" userName="George Vasilev (Health)"/>
      </t:Event>
      <t:Event id="{54BECB28-0306-41A7-999C-495FCA7B8485}" time="2021-09-09T09:17:32.58Z">
        <t:Attribution userId="S::dom.baetens@health.vic.gov.au::1ae88f1b-ff41-49c4-bbe0-b9fcb19c29c6" userProvider="AD" userName="Dom Baetens (Health)"/>
        <t:Anchor>
          <t:Comment id="879000353"/>
        </t:Anchor>
        <t:SetTitle title="@George Vasilev (Health) - did you want us to provide examples George?"/>
      </t:Event>
    </t:History>
  </t:Task>
  <t:Task id="{877ACF5D-DCF3-47CA-86B1-2AB5FB3FA331}">
    <t:Anchor>
      <t:Comment id="175961191"/>
    </t:Anchor>
    <t:History>
      <t:Event id="{CF76EF5A-389A-4222-9E88-73784738BFA1}" time="2021-09-09T09:36:54.149Z">
        <t:Attribution userId="S::dom.baetens@health.vic.gov.au::1ae88f1b-ff41-49c4-bbe0-b9fcb19c29c6" userProvider="AD" userName="Dom Baetens (Health)"/>
        <t:Anchor>
          <t:Comment id="175961191"/>
        </t:Anchor>
        <t:Create/>
      </t:Event>
      <t:Event id="{FA6D0FE7-A63C-41A7-B98D-4CA7C6A15A9D}" time="2021-09-09T09:36:54.149Z">
        <t:Attribution userId="S::dom.baetens@health.vic.gov.au::1ae88f1b-ff41-49c4-bbe0-b9fcb19c29c6" userProvider="AD" userName="Dom Baetens (Health)"/>
        <t:Anchor>
          <t:Comment id="175961191"/>
        </t:Anchor>
        <t:Assign userId="S::Neil.Coventry@health.vic.gov.au::d8e1249d-d624-41f4-8fbe-d1c32b993ca5" userProvider="AD" userName="Neil Coventry (Health)"/>
      </t:Event>
      <t:Event id="{03ED069C-E3A6-4FF1-BB8A-26158A4B8EB0}" time="2021-09-09T09:36:54.149Z">
        <t:Attribution userId="S::dom.baetens@health.vic.gov.au::1ae88f1b-ff41-49c4-bbe0-b9fcb19c29c6" userProvider="AD" userName="Dom Baetens (Health)"/>
        <t:Anchor>
          <t:Comment id="175961191"/>
        </t:Anchor>
        <t:SetTitle title="@Katherine Utry (Health) @Neil Coventry (Health) @David K Huppert (Health) @Sathya Rao (Health) - dare we comment on increased presentations and contact related to subsections of the community e.g. youth, eating disorders? We would need to cross …"/>
      </t:Event>
    </t:History>
  </t:Task>
  <t:Task id="{DA7B9AF3-C4C7-4771-B50C-323C2494CC4E}">
    <t:Anchor>
      <t:Comment id="139863397"/>
    </t:Anchor>
    <t:History>
      <t:Event id="{EEF28B1D-DC35-4ACC-A93E-7C367F37E7F1}" time="2021-09-09T11:10:09.783Z">
        <t:Attribution userId="S::dom.baetens@health.vic.gov.au::1ae88f1b-ff41-49c4-bbe0-b9fcb19c29c6" userProvider="AD" userName="Dom Baetens (Health)"/>
        <t:Anchor>
          <t:Comment id="139863397"/>
        </t:Anchor>
        <t:Create/>
      </t:Event>
      <t:Event id="{F2ADD898-8973-4E46-A73C-66668871610A}" time="2021-09-09T11:10:09.783Z">
        <t:Attribution userId="S::dom.baetens@health.vic.gov.au::1ae88f1b-ff41-49c4-bbe0-b9fcb19c29c6" userProvider="AD" userName="Dom Baetens (Health)"/>
        <t:Anchor>
          <t:Comment id="139863397"/>
        </t:Anchor>
        <t:Assign userId="S::David.k.Huppert@health.vic.gov.au::60f882b0-90e0-4459-851f-3b16fb018b60" userProvider="AD" userName="David K Huppert (Health)"/>
      </t:Event>
      <t:Event id="{A7891B83-4F59-4106-A53A-A7BDF418CAF3}" time="2021-09-09T11:10:09.783Z">
        <t:Attribution userId="S::dom.baetens@health.vic.gov.au::1ae88f1b-ff41-49c4-bbe0-b9fcb19c29c6" userProvider="AD" userName="Dom Baetens (Health)"/>
        <t:Anchor>
          <t:Comment id="139863397"/>
        </t:Anchor>
        <t:SetTitle title="@David K Huppert (Health) when did we get Forensicare to change its reporting around seclusion in terms of ongoing seclusion? Would that impact on this data?"/>
      </t:Event>
    </t:History>
  </t:Task>
  <t:Task id="{036154BB-2211-4C80-A970-55DF4CFC51FC}">
    <t:Anchor>
      <t:Comment id="651527595"/>
    </t:Anchor>
    <t:History>
      <t:Event id="{04B24055-2D2E-4DF3-B531-89FDCB8A4B3F}" time="2022-09-21T02:58:05.695Z">
        <t:Attribution userId="S::maria.rivas.priday@health.vic.gov.au::faa4bf08-de3f-4f92-ade7-d52e46c29560" userProvider="AD" userName="Maria M Rivas Priday (Health)"/>
        <t:Anchor>
          <t:Comment id="1257094410"/>
        </t:Anchor>
        <t:Create/>
      </t:Event>
      <t:Event id="{30A5139D-63F4-4FBD-8F84-AFFEFA92918A}" time="2022-09-21T02:58:05.695Z">
        <t:Attribution userId="S::maria.rivas.priday@health.vic.gov.au::faa4bf08-de3f-4f92-ade7-d52e46c29560" userProvider="AD" userName="Maria M Rivas Priday (Health)"/>
        <t:Anchor>
          <t:Comment id="1257094410"/>
        </t:Anchor>
        <t:Assign userId="S::george.vasilev@health.vic.gov.au::1fd56ff2-e84f-4951-9a67-8831ffd1fae9" userProvider="AD" userName="George Vasilev (Health)"/>
      </t:Event>
      <t:Event id="{4A055083-0391-4549-AD2E-CFBFF7A0A3A0}" time="2022-09-21T02:58:05.695Z">
        <t:Attribution userId="S::maria.rivas.priday@health.vic.gov.au::faa4bf08-de3f-4f92-ade7-d52e46c29560" userProvider="AD" userName="Maria M Rivas Priday (Health)"/>
        <t:Anchor>
          <t:Comment id="1257094410"/>
        </t:Anchor>
        <t:SetTitle title="@George Vasilev (Health), I'm currently auditing the 64 Inpatient deaths to ensure they have been classified correctly this number will most likely change and decrease. Once I finish I will send them to David for him to do the final check. Sorry it i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04F20F19C4104BBBAB94593FED5702" ma:contentTypeVersion="14" ma:contentTypeDescription="Create a new document." ma:contentTypeScope="" ma:versionID="3efd0b2939f975329263b72399036474">
  <xsd:schema xmlns:xsd="http://www.w3.org/2001/XMLSchema" xmlns:xs="http://www.w3.org/2001/XMLSchema" xmlns:p="http://schemas.microsoft.com/office/2006/metadata/properties" xmlns:ns2="3fdefc27-9daa-4412-9bc3-ba173f0af375" xmlns:ns3="81ce4eaa-4cb8-4908-9479-89279dfc8e74" xmlns:ns4="5ce0f2b5-5be5-4508-bce9-d7011ece0659" targetNamespace="http://schemas.microsoft.com/office/2006/metadata/properties" ma:root="true" ma:fieldsID="5365200c4b162039848eeb643d4b84a8" ns2:_="" ns3:_="" ns4:_="">
    <xsd:import namespace="3fdefc27-9daa-4412-9bc3-ba173f0af375"/>
    <xsd:import namespace="81ce4eaa-4cb8-4908-9479-89279dfc8e7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efc27-9daa-4412-9bc3-ba173f0af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ce4eaa-4cb8-4908-9479-89279dfc8e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7f40d39-d9c4-4750-b992-a0f32e5c75c5}" ma:internalName="TaxCatchAll" ma:showField="CatchAllData" ma:web="81ce4eaa-4cb8-4908-9479-89279dfc8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1ce4eaa-4cb8-4908-9479-89279dfc8e74">
      <UserInfo>
        <DisplayName>Daniel O'Connor (MHT)</DisplayName>
        <AccountId>22</AccountId>
        <AccountType/>
      </UserInfo>
      <UserInfo>
        <DisplayName>David K Huppert (Health)</DisplayName>
        <AccountId>16</AccountId>
        <AccountType/>
      </UserInfo>
      <UserInfo>
        <DisplayName>Dom Baetens (Health)</DisplayName>
        <AccountId>68</AccountId>
        <AccountType/>
      </UserInfo>
      <UserInfo>
        <DisplayName>Sathya Rao (Health)</DisplayName>
        <AccountId>126</AccountId>
        <AccountType/>
      </UserInfo>
      <UserInfo>
        <DisplayName>Sayesha Hasija (Health)</DisplayName>
        <AccountId>123</AccountId>
        <AccountType/>
      </UserInfo>
      <UserInfo>
        <DisplayName>Maria M Rivas Priday (Health)</DisplayName>
        <AccountId>20</AccountId>
        <AccountType/>
      </UserInfo>
      <UserInfo>
        <DisplayName>Moses Abbatangelo (Health)</DisplayName>
        <AccountId>71</AccountId>
        <AccountType/>
      </UserInfo>
      <UserInfo>
        <DisplayName>Katherine Utry (Health)</DisplayName>
        <AccountId>14</AccountId>
        <AccountType/>
      </UserInfo>
      <UserInfo>
        <DisplayName>Neil Coventry (Health)</DisplayName>
        <AccountId>42</AccountId>
        <AccountType/>
      </UserInfo>
      <UserInfo>
        <DisplayName>Ruth De Sa (Health)</DisplayName>
        <AccountId>17</AccountId>
        <AccountType/>
      </UserInfo>
      <UserInfo>
        <DisplayName>George Vasilev (Health)</DisplayName>
        <AccountId>93</AccountId>
        <AccountType/>
      </UserInfo>
    </SharedWithUsers>
    <TaxCatchAll xmlns="5ce0f2b5-5be5-4508-bce9-d7011ece0659" xsi:nil="true"/>
    <lcf76f155ced4ddcb4097134ff3c332f xmlns="3fdefc27-9daa-4412-9bc3-ba173f0af3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4B5B52-5AA8-47A7-A5D8-49E282B6E3D3}">
  <ds:schemaRefs>
    <ds:schemaRef ds:uri="http://schemas.openxmlformats.org/officeDocument/2006/bibliography"/>
  </ds:schemaRefs>
</ds:datastoreItem>
</file>

<file path=customXml/itemProps2.xml><?xml version="1.0" encoding="utf-8"?>
<ds:datastoreItem xmlns:ds="http://schemas.openxmlformats.org/officeDocument/2006/customXml" ds:itemID="{C5C979ED-22C3-47D1-A084-A6111F03DE37}">
  <ds:schemaRefs>
    <ds:schemaRef ds:uri="http://schemas.microsoft.com/sharepoint/v3/contenttype/forms"/>
  </ds:schemaRefs>
</ds:datastoreItem>
</file>

<file path=customXml/itemProps3.xml><?xml version="1.0" encoding="utf-8"?>
<ds:datastoreItem xmlns:ds="http://schemas.openxmlformats.org/officeDocument/2006/customXml" ds:itemID="{FD9D9B3A-55CF-4093-BF4E-8D3B5DB36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efc27-9daa-4412-9bc3-ba173f0af375"/>
    <ds:schemaRef ds:uri="81ce4eaa-4cb8-4908-9479-89279dfc8e7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D92642-FCF0-4B26-9B07-968FA704AF7B}">
  <ds:schemaRefs>
    <ds:schemaRef ds:uri="http://purl.org/dc/terms/"/>
    <ds:schemaRef ds:uri="3fdefc27-9daa-4412-9bc3-ba173f0af375"/>
    <ds:schemaRef ds:uri="81ce4eaa-4cb8-4908-9479-89279dfc8e74"/>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5ce0f2b5-5be5-4508-bce9-d7011ece0659"/>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12446</Words>
  <Characters>69496</Characters>
  <Application>Microsoft Office Word</Application>
  <DocSecurity>6</DocSecurity>
  <Lines>579</Lines>
  <Paragraphs>163</Paragraphs>
  <ScaleCrop>false</ScaleCrop>
  <HeadingPairs>
    <vt:vector size="2" baseType="variant">
      <vt:variant>
        <vt:lpstr>Title</vt:lpstr>
      </vt:variant>
      <vt:variant>
        <vt:i4>1</vt:i4>
      </vt:variant>
    </vt:vector>
  </HeadingPairs>
  <TitlesOfParts>
    <vt:vector size="1" baseType="lpstr">
      <vt:lpstr>Chief Psychiatrist’s annual report 2021–22</vt:lpstr>
    </vt:vector>
  </TitlesOfParts>
  <Company>State Government of Victoria, Department of Health</Company>
  <LinksUpToDate>false</LinksUpToDate>
  <CharactersWithSpaces>81779</CharactersWithSpaces>
  <SharedDoc>false</SharedDoc>
  <HyperlinkBase/>
  <HLinks>
    <vt:vector size="156" baseType="variant">
      <vt:variant>
        <vt:i4>2883607</vt:i4>
      </vt:variant>
      <vt:variant>
        <vt:i4>141</vt:i4>
      </vt:variant>
      <vt:variant>
        <vt:i4>0</vt:i4>
      </vt:variant>
      <vt:variant>
        <vt:i4>5</vt:i4>
      </vt:variant>
      <vt:variant>
        <vt:lpwstr>mailto:ocp@dhhs.vic.gov.au</vt:lpwstr>
      </vt:variant>
      <vt:variant>
        <vt:lpwstr/>
      </vt:variant>
      <vt:variant>
        <vt:i4>7798828</vt:i4>
      </vt:variant>
      <vt:variant>
        <vt:i4>138</vt:i4>
      </vt:variant>
      <vt:variant>
        <vt:i4>0</vt:i4>
      </vt:variant>
      <vt:variant>
        <vt:i4>5</vt:i4>
      </vt:variant>
      <vt:variant>
        <vt:lpwstr>https://www2.health.vic.gov.au/about/publications/researchandreports/chief-psychiatrist-quality-and-safety-bulletin</vt:lpwstr>
      </vt:variant>
      <vt:variant>
        <vt:lpwstr/>
      </vt:variant>
      <vt:variant>
        <vt:i4>5111876</vt:i4>
      </vt:variant>
      <vt:variant>
        <vt:i4>135</vt:i4>
      </vt:variant>
      <vt:variant>
        <vt:i4>0</vt:i4>
      </vt:variant>
      <vt:variant>
        <vt:i4>5</vt:i4>
      </vt:variant>
      <vt:variant>
        <vt:lpwstr>https://www.health.vic.gov.au/practice-and-service-quality/mental-health-act-2014</vt:lpwstr>
      </vt:variant>
      <vt:variant>
        <vt:lpwstr/>
      </vt:variant>
      <vt:variant>
        <vt:i4>1441852</vt:i4>
      </vt:variant>
      <vt:variant>
        <vt:i4>128</vt:i4>
      </vt:variant>
      <vt:variant>
        <vt:i4>0</vt:i4>
      </vt:variant>
      <vt:variant>
        <vt:i4>5</vt:i4>
      </vt:variant>
      <vt:variant>
        <vt:lpwstr/>
      </vt:variant>
      <vt:variant>
        <vt:lpwstr>_Toc117085250</vt:lpwstr>
      </vt:variant>
      <vt:variant>
        <vt:i4>1507388</vt:i4>
      </vt:variant>
      <vt:variant>
        <vt:i4>122</vt:i4>
      </vt:variant>
      <vt:variant>
        <vt:i4>0</vt:i4>
      </vt:variant>
      <vt:variant>
        <vt:i4>5</vt:i4>
      </vt:variant>
      <vt:variant>
        <vt:lpwstr/>
      </vt:variant>
      <vt:variant>
        <vt:lpwstr>_Toc117085249</vt:lpwstr>
      </vt:variant>
      <vt:variant>
        <vt:i4>1507388</vt:i4>
      </vt:variant>
      <vt:variant>
        <vt:i4>116</vt:i4>
      </vt:variant>
      <vt:variant>
        <vt:i4>0</vt:i4>
      </vt:variant>
      <vt:variant>
        <vt:i4>5</vt:i4>
      </vt:variant>
      <vt:variant>
        <vt:lpwstr/>
      </vt:variant>
      <vt:variant>
        <vt:lpwstr>_Toc117085248</vt:lpwstr>
      </vt:variant>
      <vt:variant>
        <vt:i4>1507388</vt:i4>
      </vt:variant>
      <vt:variant>
        <vt:i4>110</vt:i4>
      </vt:variant>
      <vt:variant>
        <vt:i4>0</vt:i4>
      </vt:variant>
      <vt:variant>
        <vt:i4>5</vt:i4>
      </vt:variant>
      <vt:variant>
        <vt:lpwstr/>
      </vt:variant>
      <vt:variant>
        <vt:lpwstr>_Toc117085247</vt:lpwstr>
      </vt:variant>
      <vt:variant>
        <vt:i4>1507388</vt:i4>
      </vt:variant>
      <vt:variant>
        <vt:i4>104</vt:i4>
      </vt:variant>
      <vt:variant>
        <vt:i4>0</vt:i4>
      </vt:variant>
      <vt:variant>
        <vt:i4>5</vt:i4>
      </vt:variant>
      <vt:variant>
        <vt:lpwstr/>
      </vt:variant>
      <vt:variant>
        <vt:lpwstr>_Toc117085246</vt:lpwstr>
      </vt:variant>
      <vt:variant>
        <vt:i4>1507388</vt:i4>
      </vt:variant>
      <vt:variant>
        <vt:i4>98</vt:i4>
      </vt:variant>
      <vt:variant>
        <vt:i4>0</vt:i4>
      </vt:variant>
      <vt:variant>
        <vt:i4>5</vt:i4>
      </vt:variant>
      <vt:variant>
        <vt:lpwstr/>
      </vt:variant>
      <vt:variant>
        <vt:lpwstr>_Toc117085245</vt:lpwstr>
      </vt:variant>
      <vt:variant>
        <vt:i4>1507388</vt:i4>
      </vt:variant>
      <vt:variant>
        <vt:i4>92</vt:i4>
      </vt:variant>
      <vt:variant>
        <vt:i4>0</vt:i4>
      </vt:variant>
      <vt:variant>
        <vt:i4>5</vt:i4>
      </vt:variant>
      <vt:variant>
        <vt:lpwstr/>
      </vt:variant>
      <vt:variant>
        <vt:lpwstr>_Toc117085244</vt:lpwstr>
      </vt:variant>
      <vt:variant>
        <vt:i4>1507388</vt:i4>
      </vt:variant>
      <vt:variant>
        <vt:i4>86</vt:i4>
      </vt:variant>
      <vt:variant>
        <vt:i4>0</vt:i4>
      </vt:variant>
      <vt:variant>
        <vt:i4>5</vt:i4>
      </vt:variant>
      <vt:variant>
        <vt:lpwstr/>
      </vt:variant>
      <vt:variant>
        <vt:lpwstr>_Toc117085243</vt:lpwstr>
      </vt:variant>
      <vt:variant>
        <vt:i4>1507388</vt:i4>
      </vt:variant>
      <vt:variant>
        <vt:i4>80</vt:i4>
      </vt:variant>
      <vt:variant>
        <vt:i4>0</vt:i4>
      </vt:variant>
      <vt:variant>
        <vt:i4>5</vt:i4>
      </vt:variant>
      <vt:variant>
        <vt:lpwstr/>
      </vt:variant>
      <vt:variant>
        <vt:lpwstr>_Toc117085242</vt:lpwstr>
      </vt:variant>
      <vt:variant>
        <vt:i4>1507388</vt:i4>
      </vt:variant>
      <vt:variant>
        <vt:i4>74</vt:i4>
      </vt:variant>
      <vt:variant>
        <vt:i4>0</vt:i4>
      </vt:variant>
      <vt:variant>
        <vt:i4>5</vt:i4>
      </vt:variant>
      <vt:variant>
        <vt:lpwstr/>
      </vt:variant>
      <vt:variant>
        <vt:lpwstr>_Toc117085241</vt:lpwstr>
      </vt:variant>
      <vt:variant>
        <vt:i4>1507388</vt:i4>
      </vt:variant>
      <vt:variant>
        <vt:i4>68</vt:i4>
      </vt:variant>
      <vt:variant>
        <vt:i4>0</vt:i4>
      </vt:variant>
      <vt:variant>
        <vt:i4>5</vt:i4>
      </vt:variant>
      <vt:variant>
        <vt:lpwstr/>
      </vt:variant>
      <vt:variant>
        <vt:lpwstr>_Toc117085240</vt:lpwstr>
      </vt:variant>
      <vt:variant>
        <vt:i4>1048636</vt:i4>
      </vt:variant>
      <vt:variant>
        <vt:i4>62</vt:i4>
      </vt:variant>
      <vt:variant>
        <vt:i4>0</vt:i4>
      </vt:variant>
      <vt:variant>
        <vt:i4>5</vt:i4>
      </vt:variant>
      <vt:variant>
        <vt:lpwstr/>
      </vt:variant>
      <vt:variant>
        <vt:lpwstr>_Toc117085239</vt:lpwstr>
      </vt:variant>
      <vt:variant>
        <vt:i4>1048636</vt:i4>
      </vt:variant>
      <vt:variant>
        <vt:i4>56</vt:i4>
      </vt:variant>
      <vt:variant>
        <vt:i4>0</vt:i4>
      </vt:variant>
      <vt:variant>
        <vt:i4>5</vt:i4>
      </vt:variant>
      <vt:variant>
        <vt:lpwstr/>
      </vt:variant>
      <vt:variant>
        <vt:lpwstr>_Toc117085238</vt:lpwstr>
      </vt:variant>
      <vt:variant>
        <vt:i4>1048636</vt:i4>
      </vt:variant>
      <vt:variant>
        <vt:i4>50</vt:i4>
      </vt:variant>
      <vt:variant>
        <vt:i4>0</vt:i4>
      </vt:variant>
      <vt:variant>
        <vt:i4>5</vt:i4>
      </vt:variant>
      <vt:variant>
        <vt:lpwstr/>
      </vt:variant>
      <vt:variant>
        <vt:lpwstr>_Toc117085237</vt:lpwstr>
      </vt:variant>
      <vt:variant>
        <vt:i4>1048636</vt:i4>
      </vt:variant>
      <vt:variant>
        <vt:i4>44</vt:i4>
      </vt:variant>
      <vt:variant>
        <vt:i4>0</vt:i4>
      </vt:variant>
      <vt:variant>
        <vt:i4>5</vt:i4>
      </vt:variant>
      <vt:variant>
        <vt:lpwstr/>
      </vt:variant>
      <vt:variant>
        <vt:lpwstr>_Toc117085236</vt:lpwstr>
      </vt:variant>
      <vt:variant>
        <vt:i4>1048636</vt:i4>
      </vt:variant>
      <vt:variant>
        <vt:i4>38</vt:i4>
      </vt:variant>
      <vt:variant>
        <vt:i4>0</vt:i4>
      </vt:variant>
      <vt:variant>
        <vt:i4>5</vt:i4>
      </vt:variant>
      <vt:variant>
        <vt:lpwstr/>
      </vt:variant>
      <vt:variant>
        <vt:lpwstr>_Toc117085235</vt:lpwstr>
      </vt:variant>
      <vt:variant>
        <vt:i4>1048636</vt:i4>
      </vt:variant>
      <vt:variant>
        <vt:i4>32</vt:i4>
      </vt:variant>
      <vt:variant>
        <vt:i4>0</vt:i4>
      </vt:variant>
      <vt:variant>
        <vt:i4>5</vt:i4>
      </vt:variant>
      <vt:variant>
        <vt:lpwstr/>
      </vt:variant>
      <vt:variant>
        <vt:lpwstr>_Toc117085234</vt:lpwstr>
      </vt:variant>
      <vt:variant>
        <vt:i4>1048636</vt:i4>
      </vt:variant>
      <vt:variant>
        <vt:i4>26</vt:i4>
      </vt:variant>
      <vt:variant>
        <vt:i4>0</vt:i4>
      </vt:variant>
      <vt:variant>
        <vt:i4>5</vt:i4>
      </vt:variant>
      <vt:variant>
        <vt:lpwstr/>
      </vt:variant>
      <vt:variant>
        <vt:lpwstr>_Toc117085233</vt:lpwstr>
      </vt:variant>
      <vt:variant>
        <vt:i4>1048636</vt:i4>
      </vt:variant>
      <vt:variant>
        <vt:i4>20</vt:i4>
      </vt:variant>
      <vt:variant>
        <vt:i4>0</vt:i4>
      </vt:variant>
      <vt:variant>
        <vt:i4>5</vt:i4>
      </vt:variant>
      <vt:variant>
        <vt:lpwstr/>
      </vt:variant>
      <vt:variant>
        <vt:lpwstr>_Toc117085232</vt:lpwstr>
      </vt:variant>
      <vt:variant>
        <vt:i4>1048636</vt:i4>
      </vt:variant>
      <vt:variant>
        <vt:i4>14</vt:i4>
      </vt:variant>
      <vt:variant>
        <vt:i4>0</vt:i4>
      </vt:variant>
      <vt:variant>
        <vt:i4>5</vt:i4>
      </vt:variant>
      <vt:variant>
        <vt:lpwstr/>
      </vt:variant>
      <vt:variant>
        <vt:lpwstr>_Toc117085231</vt:lpwstr>
      </vt:variant>
      <vt:variant>
        <vt:i4>1048636</vt:i4>
      </vt:variant>
      <vt:variant>
        <vt:i4>8</vt:i4>
      </vt:variant>
      <vt:variant>
        <vt:i4>0</vt:i4>
      </vt:variant>
      <vt:variant>
        <vt:i4>5</vt:i4>
      </vt:variant>
      <vt:variant>
        <vt:lpwstr/>
      </vt:variant>
      <vt:variant>
        <vt:lpwstr>_Toc117085230</vt:lpwstr>
      </vt:variant>
      <vt:variant>
        <vt:i4>327756</vt:i4>
      </vt:variant>
      <vt:variant>
        <vt:i4>3</vt:i4>
      </vt:variant>
      <vt:variant>
        <vt:i4>0</vt:i4>
      </vt:variant>
      <vt:variant>
        <vt:i4>5</vt:i4>
      </vt:variant>
      <vt:variant>
        <vt:lpwstr>https://www2.health.vic.gov.au/about/key-staff/chief-psychiatrist</vt:lpwstr>
      </vt:variant>
      <vt:variant>
        <vt:lpwstr/>
      </vt:variant>
      <vt:variant>
        <vt:i4>2883607</vt:i4>
      </vt:variant>
      <vt:variant>
        <vt:i4>0</vt:i4>
      </vt:variant>
      <vt:variant>
        <vt:i4>0</vt:i4>
      </vt:variant>
      <vt:variant>
        <vt:i4>5</vt:i4>
      </vt:variant>
      <vt:variant>
        <vt:lpwstr>mailto:ocp@dhhs.vic.gov.au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Psychiatrist’s annual report 2021–22</dc:title>
  <dc:subject>Chief Psychiatrist’s annual report 2021–22</dc:subject>
  <dc:creator>Mental Health Branch</dc:creator>
  <cp:keywords>Chief Psychiatrist, annual report, 2021–22, mental health, victoria</cp:keywords>
  <cp:lastModifiedBy>Tyler McPherson (Health)</cp:lastModifiedBy>
  <cp:revision>2</cp:revision>
  <cp:lastPrinted>2023-01-11T01:26:00Z</cp:lastPrinted>
  <dcterms:created xsi:type="dcterms:W3CDTF">2023-01-11T01:27:00Z</dcterms:created>
  <dcterms:modified xsi:type="dcterms:W3CDTF">2023-01-11T01:27:00Z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0x0101002F04F20F19C4104BBBAB94593FED5702</vt:lpwstr>
  </property>
  <property fmtid="{D5CDD505-2E9C-101B-9397-08002B2CF9AE}" pid="4" name="MSIP_Label_f20f9b25-8d0c-4146-9c91-3f0a3637bd09_Enabled">
    <vt:lpwstr>true</vt:lpwstr>
  </property>
  <property fmtid="{D5CDD505-2E9C-101B-9397-08002B2CF9AE}" pid="5" name="MSIP_Label_f20f9b25-8d0c-4146-9c91-3f0a3637bd09_SetDate">
    <vt:lpwstr>2021-09-24T03:31:13Z</vt:lpwstr>
  </property>
  <property fmtid="{D5CDD505-2E9C-101B-9397-08002B2CF9AE}" pid="6" name="MSIP_Label_f20f9b25-8d0c-4146-9c91-3f0a3637bd09_Method">
    <vt:lpwstr>Standard</vt:lpwstr>
  </property>
  <property fmtid="{D5CDD505-2E9C-101B-9397-08002B2CF9AE}" pid="7" name="MSIP_Label_f20f9b25-8d0c-4146-9c91-3f0a3637bd09_Name">
    <vt:lpwstr>f20f9b25-8d0c-4146-9c91-3f0a3637bd09</vt:lpwstr>
  </property>
  <property fmtid="{D5CDD505-2E9C-101B-9397-08002B2CF9AE}" pid="8" name="MSIP_Label_f20f9b25-8d0c-4146-9c91-3f0a3637bd09_SiteId">
    <vt:lpwstr>c0e0601f-0fac-449c-9c88-a104c4eb9f28</vt:lpwstr>
  </property>
  <property fmtid="{D5CDD505-2E9C-101B-9397-08002B2CF9AE}" pid="9" name="MSIP_Label_f20f9b25-8d0c-4146-9c91-3f0a3637bd09_ActionId">
    <vt:lpwstr>78f992ff-8633-4a38-92be-4bed48e9b69f</vt:lpwstr>
  </property>
  <property fmtid="{D5CDD505-2E9C-101B-9397-08002B2CF9AE}" pid="10" name="MSIP_Label_f20f9b25-8d0c-4146-9c91-3f0a3637bd09_ContentBits">
    <vt:lpwstr>2</vt:lpwstr>
  </property>
  <property fmtid="{D5CDD505-2E9C-101B-9397-08002B2CF9AE}" pid="11" name="MediaServiceImageTags">
    <vt:lpwstr/>
  </property>
</Properties>
</file>