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78BE5C05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A1645F">
              <w:rPr>
                <w:color w:val="365F91" w:themeColor="accent1" w:themeShade="BF"/>
              </w:rPr>
              <w:t>71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2B005683" w:rsidR="003B5733" w:rsidRPr="00A1389F" w:rsidRDefault="00A53C76" w:rsidP="005F44C0">
            <w:pPr>
              <w:pStyle w:val="Documentsubtitle"/>
            </w:pPr>
            <w:r>
              <w:t>Lived Experience Workforce (LEW)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182782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E5418">
              <w:t>OFFICIAL</w:t>
            </w:r>
            <w:r>
              <w:fldChar w:fldCharType="end"/>
            </w:r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4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3F1D05" w:rsidRDefault="00474E3A" w:rsidP="0024030A">
      <w:pPr>
        <w:pStyle w:val="Heading2"/>
        <w:rPr>
          <w:color w:val="365F91" w:themeColor="accent1" w:themeShade="BF"/>
        </w:rPr>
      </w:pPr>
      <w:bookmarkStart w:id="0" w:name="_Toc63347079"/>
      <w:r>
        <w:rPr>
          <w:color w:val="365F91" w:themeColor="accent1" w:themeShade="BF"/>
        </w:rPr>
        <w:t>Purpose and Scope</w:t>
      </w:r>
    </w:p>
    <w:p w14:paraId="69277A02" w14:textId="1808E595" w:rsidR="00474E3A" w:rsidRDefault="00474E3A" w:rsidP="00A53C76">
      <w:pPr>
        <w:pStyle w:val="Body"/>
      </w:pPr>
      <w:r>
        <w:t xml:space="preserve">To provide guidance </w:t>
      </w:r>
      <w:r w:rsidR="00A53C76">
        <w:t>on set up in CMI/ODS to capture contact data by the Lived Experience Workforce.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3F1D05" w:rsidRDefault="00474E3A" w:rsidP="00F278A4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Overview</w:t>
      </w:r>
    </w:p>
    <w:bookmarkEnd w:id="0"/>
    <w:p w14:paraId="07811FF3" w14:textId="09490293" w:rsidR="00E038B7" w:rsidRDefault="00A53C76" w:rsidP="00A53C76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As part of the Royal Commission into Mental Health Recommendations, the Lived Experience Workforce (LEW) has an important role in reform planning and delivery.</w:t>
      </w:r>
    </w:p>
    <w:p w14:paraId="50F479AC" w14:textId="4DECA522" w:rsidR="00A53C76" w:rsidRDefault="00A53C76" w:rsidP="00A53C76">
      <w:pPr>
        <w:spacing w:after="0" w:line="240" w:lineRule="auto"/>
        <w:rPr>
          <w:rFonts w:cs="Arial"/>
          <w:szCs w:val="21"/>
        </w:rPr>
      </w:pPr>
    </w:p>
    <w:p w14:paraId="0A87E78A" w14:textId="57448700" w:rsidR="00A53C76" w:rsidRDefault="00127975" w:rsidP="00A53C76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The Royal Commission recommended in developing system-wide roles for the full and effective participation of people with lived experience of mental illness or psychological distress (Recommendation 28).</w:t>
      </w:r>
    </w:p>
    <w:p w14:paraId="7AFBF95E" w14:textId="77777777" w:rsidR="00127975" w:rsidRPr="0089687D" w:rsidRDefault="00127975" w:rsidP="00A53C76">
      <w:pPr>
        <w:spacing w:after="0" w:line="240" w:lineRule="auto"/>
        <w:rPr>
          <w:rFonts w:cs="Arial"/>
          <w:szCs w:val="21"/>
        </w:rPr>
      </w:pPr>
    </w:p>
    <w:p w14:paraId="461467E4" w14:textId="77777777" w:rsidR="00A53C76" w:rsidRPr="00A53C76" w:rsidRDefault="00A53C76" w:rsidP="00A53C76">
      <w:pPr>
        <w:pStyle w:val="DHHSbody"/>
        <w:rPr>
          <w:rFonts w:cs="Arial"/>
          <w:iCs/>
          <w:sz w:val="21"/>
          <w:szCs w:val="21"/>
        </w:rPr>
      </w:pPr>
      <w:r w:rsidRPr="00A53C76">
        <w:rPr>
          <w:rFonts w:cs="Arial"/>
          <w:iCs/>
          <w:sz w:val="21"/>
          <w:szCs w:val="21"/>
        </w:rPr>
        <w:t>CMI/ODS activity reporting can be enhanced through the use of specific and consistent user profiles for its workforce. This supports privacy requirements, accurate collection of information and data for research/service improvement.</w:t>
      </w:r>
    </w:p>
    <w:p w14:paraId="17E269E7" w14:textId="77777777" w:rsidR="00A53C76" w:rsidRPr="00A53C76" w:rsidRDefault="00A53C76" w:rsidP="00A53C76">
      <w:pPr>
        <w:pStyle w:val="DHHSbody"/>
        <w:rPr>
          <w:rFonts w:cs="Arial"/>
          <w:iCs/>
          <w:sz w:val="21"/>
          <w:szCs w:val="21"/>
        </w:rPr>
      </w:pPr>
      <w:r w:rsidRPr="00A53C76">
        <w:rPr>
          <w:rFonts w:cs="Arial"/>
          <w:iCs/>
          <w:sz w:val="21"/>
          <w:szCs w:val="21"/>
        </w:rPr>
        <w:t>At a service level CMI data also provides individual service providers with an opportunity to review and improve.</w:t>
      </w:r>
    </w:p>
    <w:p w14:paraId="64056EC0" w14:textId="77777777" w:rsidR="00A53C76" w:rsidRPr="00A53C76" w:rsidRDefault="00A53C76" w:rsidP="00A53C76">
      <w:pPr>
        <w:pStyle w:val="DHHSbody"/>
        <w:rPr>
          <w:rFonts w:cs="Arial"/>
          <w:iCs/>
          <w:sz w:val="21"/>
          <w:szCs w:val="21"/>
        </w:rPr>
      </w:pPr>
      <w:r w:rsidRPr="00A53C76">
        <w:rPr>
          <w:rFonts w:cs="Arial"/>
          <w:iCs/>
          <w:sz w:val="21"/>
          <w:szCs w:val="21"/>
        </w:rPr>
        <w:t>The LEW workforce incorporates;</w:t>
      </w:r>
    </w:p>
    <w:p w14:paraId="3F769F8E" w14:textId="77777777" w:rsidR="00A53C76" w:rsidRPr="00A53C76" w:rsidRDefault="00A53C76" w:rsidP="00F93EFE">
      <w:pPr>
        <w:pStyle w:val="DHHSbody"/>
        <w:numPr>
          <w:ilvl w:val="0"/>
          <w:numId w:val="7"/>
        </w:numPr>
        <w:rPr>
          <w:rFonts w:cs="Arial"/>
          <w:iCs/>
          <w:sz w:val="21"/>
          <w:szCs w:val="21"/>
        </w:rPr>
      </w:pPr>
      <w:r w:rsidRPr="00A53C76">
        <w:rPr>
          <w:rFonts w:cs="Arial"/>
          <w:iCs/>
          <w:sz w:val="21"/>
          <w:szCs w:val="21"/>
        </w:rPr>
        <w:t>Consumer workers</w:t>
      </w:r>
    </w:p>
    <w:p w14:paraId="44D3E254" w14:textId="77777777" w:rsidR="00A53C76" w:rsidRPr="00A53C76" w:rsidRDefault="00A53C76" w:rsidP="00F93EFE">
      <w:pPr>
        <w:pStyle w:val="DHHSbody"/>
        <w:numPr>
          <w:ilvl w:val="0"/>
          <w:numId w:val="7"/>
        </w:numPr>
        <w:rPr>
          <w:rFonts w:cs="Arial"/>
          <w:iCs/>
          <w:sz w:val="21"/>
          <w:szCs w:val="21"/>
        </w:rPr>
      </w:pPr>
      <w:r w:rsidRPr="00A53C76">
        <w:rPr>
          <w:rFonts w:cs="Arial"/>
          <w:iCs/>
          <w:sz w:val="21"/>
          <w:szCs w:val="21"/>
        </w:rPr>
        <w:t>Family/carer workers</w:t>
      </w:r>
    </w:p>
    <w:p w14:paraId="0F9E7EE5" w14:textId="77777777" w:rsidR="00A53C76" w:rsidRPr="00A53C76" w:rsidRDefault="00A53C76" w:rsidP="00F93EFE">
      <w:pPr>
        <w:pStyle w:val="DHHSbody"/>
        <w:numPr>
          <w:ilvl w:val="0"/>
          <w:numId w:val="7"/>
        </w:numPr>
        <w:rPr>
          <w:rFonts w:cs="Arial"/>
          <w:iCs/>
          <w:sz w:val="21"/>
          <w:szCs w:val="21"/>
        </w:rPr>
      </w:pPr>
      <w:r w:rsidRPr="00A53C76">
        <w:rPr>
          <w:rFonts w:cs="Arial"/>
          <w:iCs/>
          <w:sz w:val="21"/>
          <w:szCs w:val="21"/>
        </w:rPr>
        <w:t>Peer workforce</w:t>
      </w:r>
    </w:p>
    <w:p w14:paraId="4E76CA84" w14:textId="77777777" w:rsidR="00A53C76" w:rsidRPr="00A53C76" w:rsidRDefault="00A53C76" w:rsidP="00F93EFE">
      <w:pPr>
        <w:pStyle w:val="DHHSbody"/>
        <w:numPr>
          <w:ilvl w:val="0"/>
          <w:numId w:val="7"/>
        </w:numPr>
        <w:rPr>
          <w:rFonts w:cs="Arial"/>
          <w:iCs/>
          <w:sz w:val="21"/>
          <w:szCs w:val="21"/>
        </w:rPr>
      </w:pPr>
      <w:r w:rsidRPr="00A53C76">
        <w:rPr>
          <w:rFonts w:cs="Arial"/>
          <w:iCs/>
          <w:sz w:val="21"/>
          <w:szCs w:val="21"/>
        </w:rPr>
        <w:t>Expanding post discharge support</w:t>
      </w:r>
    </w:p>
    <w:p w14:paraId="11FBD63E" w14:textId="0FB47AB4" w:rsidR="00C1749E" w:rsidRPr="00951687" w:rsidRDefault="00C1749E" w:rsidP="00951687">
      <w:pPr>
        <w:rPr>
          <w:rFonts w:cs="Arial"/>
        </w:rPr>
      </w:pPr>
    </w:p>
    <w:p w14:paraId="43325044" w14:textId="23A9199F" w:rsidR="009034F9" w:rsidRDefault="00BF7345" w:rsidP="00241FB7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Activity Data Reporting</w:t>
      </w:r>
    </w:p>
    <w:p w14:paraId="171774CD" w14:textId="3A6124E3" w:rsidR="004C394B" w:rsidRDefault="00127975" w:rsidP="00BF7345">
      <w:pPr>
        <w:pStyle w:val="Body"/>
      </w:pPr>
      <w:r>
        <w:t xml:space="preserve">The Lived Experience Workforce (LEW) </w:t>
      </w:r>
      <w:r w:rsidR="004C394B">
        <w:t xml:space="preserve"> </w:t>
      </w:r>
      <w:r>
        <w:t>will be expected to add contacts to CMI</w:t>
      </w:r>
      <w:r w:rsidR="0069456C">
        <w:t>/ODS</w:t>
      </w:r>
      <w:r>
        <w:t xml:space="preserve"> and it is important to ensure the correct HCP Discipline is assigned to this workforce.  Currently Carer Worker and Consumer Worker are identified in the HCP table and these can </w:t>
      </w:r>
      <w:r w:rsidR="0069456C">
        <w:t xml:space="preserve">now </w:t>
      </w:r>
      <w:r>
        <w:t>be re-assigned to LEW Worker as shown below:</w:t>
      </w:r>
    </w:p>
    <w:p w14:paraId="1F7983FB" w14:textId="45A26055" w:rsidR="00127975" w:rsidRDefault="00127975" w:rsidP="00BF7345">
      <w:pPr>
        <w:pStyle w:val="Body"/>
      </w:pPr>
      <w:r>
        <w:rPr>
          <w:noProof/>
        </w:rPr>
        <w:lastRenderedPageBreak/>
        <w:drawing>
          <wp:inline distT="0" distB="0" distL="0" distR="0" wp14:anchorId="41EB2059" wp14:editId="7444D783">
            <wp:extent cx="3305175" cy="4314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668C9" w14:textId="3BD0E27F" w:rsidR="00127975" w:rsidRDefault="00127975" w:rsidP="00BF7345">
      <w:pPr>
        <w:pStyle w:val="Body"/>
      </w:pPr>
      <w:r>
        <w:t>The start date of LEW Worker is 11</w:t>
      </w:r>
      <w:r w:rsidRPr="00127975">
        <w:rPr>
          <w:vertAlign w:val="superscript"/>
        </w:rPr>
        <w:t>th</w:t>
      </w:r>
      <w:r>
        <w:t xml:space="preserve"> December 2015 which should coincide with the commencement date of  Carer Worker and Consumer Worker</w:t>
      </w:r>
      <w:r w:rsidR="0069456C">
        <w:t xml:space="preserve"> so should not cause a problem if changing the discipline of existing carer/consumer workers.</w:t>
      </w:r>
    </w:p>
    <w:p w14:paraId="27B928F6" w14:textId="7912BA66" w:rsidR="004D5A15" w:rsidRDefault="0069456C" w:rsidP="00BF7345">
      <w:pPr>
        <w:pStyle w:val="Body"/>
      </w:pPr>
      <w:r>
        <w:t xml:space="preserve">At this time the HCP Type is unable to be amended to reflect the non-clinical nature of the work of the lived experience workforce </w:t>
      </w:r>
      <w:r w:rsidR="00F93EFE">
        <w:t>therefore it is recommended that the HCP Type of clinician be assigned until this can be amended.</w:t>
      </w:r>
    </w:p>
    <w:p w14:paraId="5E85C347" w14:textId="4CA16E1B" w:rsidR="00F93EFE" w:rsidRDefault="00F93EFE" w:rsidP="00BF7345">
      <w:pPr>
        <w:pStyle w:val="Body"/>
      </w:pPr>
    </w:p>
    <w:p w14:paraId="086D7180" w14:textId="711552CF" w:rsidR="0069456C" w:rsidRDefault="0069456C" w:rsidP="0069456C">
      <w:pPr>
        <w:pStyle w:val="Heading2"/>
      </w:pPr>
      <w:r>
        <w:t>Assigning Roles to Lived Experience Workers</w:t>
      </w:r>
    </w:p>
    <w:p w14:paraId="5A16D0AD" w14:textId="2A31D20A" w:rsidR="0069456C" w:rsidRDefault="0069456C" w:rsidP="0069456C">
      <w:pPr>
        <w:pStyle w:val="Body"/>
      </w:pPr>
      <w:r>
        <w:t>To assign a role in CMI, go to Administration, Profile Maintenance.</w:t>
      </w:r>
    </w:p>
    <w:p w14:paraId="54538E31" w14:textId="035E8916" w:rsidR="0069456C" w:rsidRDefault="0069456C" w:rsidP="0069456C">
      <w:pPr>
        <w:pStyle w:val="Body"/>
      </w:pPr>
      <w:r>
        <w:t>Choose LEW Worker to assign the various functions within CMI that this team can access (see below as an example):</w:t>
      </w:r>
    </w:p>
    <w:p w14:paraId="5CBDCEBB" w14:textId="78B0CF8B" w:rsidR="0069456C" w:rsidRPr="0069456C" w:rsidRDefault="0069456C" w:rsidP="0069456C"/>
    <w:p w14:paraId="3217121D" w14:textId="3A1EBDE0" w:rsidR="0069456C" w:rsidRPr="0069456C" w:rsidRDefault="0069456C" w:rsidP="0069456C"/>
    <w:p w14:paraId="4866FDF6" w14:textId="32299A10" w:rsidR="0069456C" w:rsidRPr="0069456C" w:rsidRDefault="0069456C" w:rsidP="0069456C"/>
    <w:p w14:paraId="01082D89" w14:textId="31C78C74" w:rsidR="0069456C" w:rsidRPr="0069456C" w:rsidRDefault="0069456C" w:rsidP="0069456C"/>
    <w:p w14:paraId="4F641402" w14:textId="4D607C36" w:rsidR="0069456C" w:rsidRPr="0069456C" w:rsidRDefault="0069456C" w:rsidP="0069456C"/>
    <w:p w14:paraId="441120BB" w14:textId="25FB2C61" w:rsidR="00F93EFE" w:rsidRPr="00F93EFE" w:rsidRDefault="00F93EFE" w:rsidP="00F93EFE">
      <w:pPr>
        <w:tabs>
          <w:tab w:val="left" w:pos="2865"/>
        </w:tabs>
      </w:pPr>
      <w:r>
        <w:tab/>
      </w:r>
    </w:p>
    <w:p w14:paraId="264A4012" w14:textId="1A52F7B5" w:rsidR="002D6FED" w:rsidRDefault="0069456C" w:rsidP="002D6FED">
      <w:r>
        <w:rPr>
          <w:noProof/>
        </w:rPr>
        <w:lastRenderedPageBreak/>
        <w:drawing>
          <wp:inline distT="0" distB="0" distL="0" distR="0" wp14:anchorId="25956E20" wp14:editId="0CCCDC73">
            <wp:extent cx="6479540" cy="4117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9E69" w14:textId="77777777" w:rsidR="00F93EFE" w:rsidRPr="002D6FED" w:rsidRDefault="00F93EFE" w:rsidP="002D6FED"/>
    <w:p w14:paraId="141440A0" w14:textId="77777777" w:rsidR="0069456C" w:rsidRDefault="0069456C" w:rsidP="0069456C">
      <w:r>
        <w:t>The lived experience team members may require access to the following functions:</w:t>
      </w:r>
    </w:p>
    <w:p w14:paraId="205CBC04" w14:textId="13C8A951" w:rsidR="0069456C" w:rsidRDefault="0069456C" w:rsidP="00F93EFE">
      <w:pPr>
        <w:pStyle w:val="ListParagraph"/>
        <w:numPr>
          <w:ilvl w:val="0"/>
          <w:numId w:val="9"/>
        </w:numPr>
      </w:pPr>
      <w:r>
        <w:t>Client enquiry</w:t>
      </w:r>
    </w:p>
    <w:p w14:paraId="52FB588B" w14:textId="526A9EAF" w:rsidR="0069456C" w:rsidRDefault="0069456C" w:rsidP="00F93EFE">
      <w:pPr>
        <w:pStyle w:val="ListParagraph"/>
        <w:numPr>
          <w:ilvl w:val="0"/>
          <w:numId w:val="8"/>
        </w:numPr>
      </w:pPr>
      <w:r>
        <w:t>Contacts forms data entry</w:t>
      </w:r>
    </w:p>
    <w:p w14:paraId="5F5685ED" w14:textId="0295778F" w:rsidR="0069456C" w:rsidRDefault="0069456C" w:rsidP="00F93EFE">
      <w:pPr>
        <w:pStyle w:val="ListParagraph"/>
        <w:numPr>
          <w:ilvl w:val="0"/>
          <w:numId w:val="8"/>
        </w:numPr>
      </w:pPr>
      <w:r>
        <w:t>Contacts</w:t>
      </w:r>
    </w:p>
    <w:p w14:paraId="0C964B28" w14:textId="63A4FE8B" w:rsidR="0069456C" w:rsidRDefault="0069456C" w:rsidP="00F93EFE">
      <w:pPr>
        <w:pStyle w:val="ListParagraph"/>
        <w:numPr>
          <w:ilvl w:val="0"/>
          <w:numId w:val="8"/>
        </w:numPr>
      </w:pPr>
      <w:r>
        <w:t>Screening register</w:t>
      </w:r>
    </w:p>
    <w:p w14:paraId="4BC609B0" w14:textId="1F0D7635" w:rsidR="0069456C" w:rsidRDefault="0069456C" w:rsidP="00F93EFE">
      <w:pPr>
        <w:pStyle w:val="ListParagraph"/>
        <w:numPr>
          <w:ilvl w:val="0"/>
          <w:numId w:val="8"/>
        </w:numPr>
      </w:pPr>
      <w:r>
        <w:t>Admission</w:t>
      </w:r>
    </w:p>
    <w:p w14:paraId="4F6AED34" w14:textId="0975B03C" w:rsidR="0069456C" w:rsidRDefault="0069456C" w:rsidP="00F93EFE">
      <w:pPr>
        <w:pStyle w:val="ListParagraph"/>
        <w:numPr>
          <w:ilvl w:val="0"/>
          <w:numId w:val="8"/>
        </w:numPr>
      </w:pPr>
      <w:r>
        <w:t>Case summary</w:t>
      </w:r>
    </w:p>
    <w:p w14:paraId="02F6A8D8" w14:textId="517A4227" w:rsidR="0069456C" w:rsidRPr="002D6FED" w:rsidRDefault="0069456C" w:rsidP="00F93EFE">
      <w:pPr>
        <w:pStyle w:val="ListParagraph"/>
        <w:numPr>
          <w:ilvl w:val="0"/>
          <w:numId w:val="8"/>
        </w:numPr>
      </w:pPr>
      <w:r>
        <w:t>Nominated person</w:t>
      </w:r>
    </w:p>
    <w:p w14:paraId="59B26929" w14:textId="20ED6113" w:rsidR="002D6FED" w:rsidRDefault="002D6FED" w:rsidP="002D6FED"/>
    <w:p w14:paraId="4DB1D764" w14:textId="3AA0E7BA" w:rsidR="00777674" w:rsidRPr="00777674" w:rsidRDefault="00777674" w:rsidP="00777674"/>
    <w:p w14:paraId="49E6A096" w14:textId="2FAB886A" w:rsidR="00777674" w:rsidRPr="00777674" w:rsidRDefault="00777674" w:rsidP="00777674"/>
    <w:p w14:paraId="629D0FE4" w14:textId="3E777F4F" w:rsidR="00777674" w:rsidRPr="00777674" w:rsidRDefault="00777674" w:rsidP="00777674"/>
    <w:p w14:paraId="095BDF9B" w14:textId="249DF1FC" w:rsidR="00777674" w:rsidRPr="00777674" w:rsidRDefault="00777674" w:rsidP="00777674">
      <w:pPr>
        <w:tabs>
          <w:tab w:val="left" w:pos="2130"/>
        </w:tabs>
      </w:pPr>
      <w:r>
        <w:tab/>
      </w:r>
    </w:p>
    <w:p w14:paraId="3AEC2362" w14:textId="77777777" w:rsidR="00A304EA" w:rsidRPr="003F1D05" w:rsidRDefault="00A304EA" w:rsidP="003F1D05">
      <w:pPr>
        <w:pStyle w:val="Heading3"/>
        <w:rPr>
          <w:color w:val="365F91" w:themeColor="accent1" w:themeShade="BF"/>
        </w:rPr>
      </w:pPr>
      <w:r w:rsidRPr="003F1D05">
        <w:rPr>
          <w:color w:val="365F91" w:themeColor="accent1" w:themeShade="BF"/>
        </w:rPr>
        <w:lastRenderedPageBreak/>
        <w:t>For More Information</w:t>
      </w:r>
    </w:p>
    <w:p w14:paraId="10163FFF" w14:textId="399E0401" w:rsidR="00A304EA" w:rsidRPr="0089687D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  <w:hyperlink r:id="rId17" w:history="1">
        <w:r w:rsidRPr="0089687D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40A1C180" w14:textId="7C594A22" w:rsidR="00A304EA" w:rsidRPr="0089687D" w:rsidRDefault="00A304EA" w:rsidP="00A304EA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8" w:history="1">
        <w:r w:rsidR="00CD3700" w:rsidRPr="0089687D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 w:rsidTr="00113D5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0FCA" w14:textId="34E11B96" w:rsidR="000C0404" w:rsidRPr="0089687D" w:rsidRDefault="000C0404" w:rsidP="00113D55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19" w:history="1">
              <w:r w:rsidRPr="0089687D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89687D">
              <w:rPr>
                <w:rFonts w:cs="Arial"/>
                <w:sz w:val="21"/>
                <w:szCs w:val="21"/>
              </w:rPr>
              <w:t>MHDReporting@</w:t>
            </w:r>
            <w:r w:rsidR="00866D94" w:rsidRPr="0089687D">
              <w:rPr>
                <w:rFonts w:cs="Arial"/>
                <w:sz w:val="21"/>
                <w:szCs w:val="21"/>
              </w:rPr>
              <w:t>health</w:t>
            </w:r>
            <w:r w:rsidRPr="0089687D">
              <w:rPr>
                <w:rFonts w:cs="Arial"/>
                <w:sz w:val="21"/>
                <w:szCs w:val="21"/>
              </w:rPr>
              <w:t>.vic.gov.au&gt;</w:t>
            </w:r>
          </w:p>
          <w:p w14:paraId="69426989" w14:textId="234AFE82" w:rsidR="000C0404" w:rsidRDefault="000C0404" w:rsidP="00113D5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0F12947A" w14:textId="338EA3E8" w:rsidR="00581617" w:rsidRPr="0089687D" w:rsidRDefault="00581617" w:rsidP="00113D55">
            <w:pPr>
              <w:pStyle w:val="DHHSbody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ISSN </w:t>
            </w:r>
            <w:r>
              <w:rPr>
                <w:rFonts w:cs="Arial"/>
                <w:color w:val="000000"/>
              </w:rPr>
              <w:t>2653-620X</w:t>
            </w:r>
            <w:r>
              <w:rPr>
                <w:rFonts w:cs="Arial"/>
                <w:b/>
                <w:bCs/>
                <w:color w:val="000000"/>
              </w:rPr>
              <w:t xml:space="preserve"> - Online (pdf/word)</w:t>
            </w:r>
          </w:p>
          <w:p w14:paraId="33D78C9B" w14:textId="1562A20C" w:rsidR="000C0404" w:rsidRPr="0089687D" w:rsidRDefault="000C0404" w:rsidP="00113D5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Available at </w:t>
            </w:r>
            <w:hyperlink r:id="rId20" w:history="1">
              <w:r w:rsidRPr="0089687D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89687D">
              <w:rPr>
                <w:rFonts w:cs="Arial"/>
                <w:sz w:val="21"/>
                <w:szCs w:val="21"/>
              </w:rPr>
              <w:t xml:space="preserve"> </w:t>
            </w:r>
            <w:r w:rsidR="0089687D">
              <w:rPr>
                <w:rFonts w:cs="Arial"/>
                <w:sz w:val="21"/>
                <w:szCs w:val="21"/>
              </w:rPr>
              <w:t>-</w:t>
            </w:r>
            <w:r w:rsidRPr="0089687D">
              <w:rPr>
                <w:rFonts w:cs="Arial"/>
                <w:sz w:val="21"/>
                <w:szCs w:val="21"/>
              </w:rPr>
              <w:t xml:space="preserve"> https://www.health.vic.gov.au/research-and-reporting/bulletins-and-program-management-circulars-pmc&gt;</w:t>
            </w:r>
          </w:p>
          <w:p w14:paraId="6F39D5FF" w14:textId="343B4EAF" w:rsidR="000C0404" w:rsidRPr="006B6A18" w:rsidRDefault="000C0404" w:rsidP="00113D55">
            <w:pPr>
              <w:pStyle w:val="DHHSbody"/>
              <w:rPr>
                <w:rFonts w:cs="Arial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 w:rsidR="0069456C">
              <w:rPr>
                <w:rFonts w:cs="Arial"/>
                <w:sz w:val="21"/>
                <w:szCs w:val="21"/>
              </w:rPr>
              <w:t>November</w:t>
            </w:r>
            <w:r w:rsidRPr="0089687D">
              <w:rPr>
                <w:rFonts w:cs="Arial"/>
                <w:sz w:val="21"/>
                <w:szCs w:val="21"/>
              </w:rPr>
              <w:t xml:space="preserve"> 2022</w:t>
            </w:r>
          </w:p>
        </w:tc>
      </w:tr>
    </w:tbl>
    <w:p w14:paraId="4D974E2D" w14:textId="77777777" w:rsidR="00162CA9" w:rsidRDefault="00162CA9" w:rsidP="00CD3700">
      <w:pPr>
        <w:pStyle w:val="Body"/>
      </w:pPr>
    </w:p>
    <w:sectPr w:rsidR="00162CA9" w:rsidSect="00CD3700">
      <w:footerReference w:type="default" r:id="rId21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F180" w14:textId="77777777" w:rsidR="00EE5418" w:rsidRDefault="00EE5418">
      <w:r>
        <w:separator/>
      </w:r>
    </w:p>
  </w:endnote>
  <w:endnote w:type="continuationSeparator" w:id="0">
    <w:p w14:paraId="48B75FC5" w14:textId="77777777" w:rsidR="00EE5418" w:rsidRDefault="00E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7783" w14:textId="77777777" w:rsidR="00182782" w:rsidRDefault="00182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19FE6326" w:rsidR="00E261B3" w:rsidRPr="00F65AA9" w:rsidRDefault="002C2DB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2E7A1A" wp14:editId="0C21BC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9a34fad95d51c0611e33b2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CC9E3" w14:textId="3395349F" w:rsidR="002C2DB2" w:rsidRPr="002C2DB2" w:rsidRDefault="002C2DB2" w:rsidP="002C2DB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2DB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E7A1A" id="_x0000_t202" coordsize="21600,21600" o:spt="202" path="m,l,21600r21600,l21600,xe">
              <v:stroke joinstyle="miter"/>
              <v:path gradientshapeok="t" o:connecttype="rect"/>
            </v:shapetype>
            <v:shape id="MSIPCMd9a34fad95d51c0611e33b2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E8CC9E3" w14:textId="3395349F" w:rsidR="002C2DB2" w:rsidRPr="002C2DB2" w:rsidRDefault="002C2DB2" w:rsidP="002C2DB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2DB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680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6CCACAB4" w:rsidR="00E261B3" w:rsidRDefault="002C2D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3ACF5753" wp14:editId="58F804F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f8847c6851325b3aa3809d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02DB31" w14:textId="32119265" w:rsidR="002C2DB2" w:rsidRPr="002C2DB2" w:rsidRDefault="002C2DB2" w:rsidP="002C2DB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2DB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F5753" id="_x0000_t202" coordsize="21600,21600" o:spt="202" path="m,l,21600r21600,l21600,xe">
              <v:stroke joinstyle="miter"/>
              <v:path gradientshapeok="t" o:connecttype="rect"/>
            </v:shapetype>
            <v:shape id="MSIPCM9f8847c6851325b3aa3809d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A02DB31" w14:textId="32119265" w:rsidR="002C2DB2" w:rsidRPr="002C2DB2" w:rsidRDefault="002C2DB2" w:rsidP="002C2DB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2DB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CFF7" w14:textId="32A0EE81" w:rsidR="00F93EFE" w:rsidRDefault="00F93E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2EA9C89" wp14:editId="37301E5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1d3d4dc4acce4334478f86c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F9AC1F" w14:textId="36A190BF" w:rsidR="00F93EFE" w:rsidRPr="00F93EFE" w:rsidRDefault="00F93EFE" w:rsidP="00F93EF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93E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A9C89" id="_x0000_t202" coordsize="21600,21600" o:spt="202" path="m,l,21600r21600,l21600,xe">
              <v:stroke joinstyle="miter"/>
              <v:path gradientshapeok="t" o:connecttype="rect"/>
            </v:shapetype>
            <v:shape id="MSIPCM1d3d4dc4acce4334478f86c1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DF9AC1F" w14:textId="36A190BF" w:rsidR="00F93EFE" w:rsidRPr="00F93EFE" w:rsidRDefault="00F93EFE" w:rsidP="00F93EF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93E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057615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7F28AC2" w14:textId="321F1B9B" w:rsidR="00373890" w:rsidRPr="00CD3700" w:rsidRDefault="00373890" w:rsidP="00F93EFE">
    <w:pPr>
      <w:pStyle w:val="Footer"/>
      <w:tabs>
        <w:tab w:val="left" w:pos="345"/>
        <w:tab w:val="right" w:pos="10204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68" w14:textId="77777777" w:rsidR="00EE5418" w:rsidRDefault="00EE5418" w:rsidP="002862F1">
      <w:pPr>
        <w:spacing w:before="120"/>
      </w:pPr>
      <w:r>
        <w:separator/>
      </w:r>
    </w:p>
  </w:footnote>
  <w:footnote w:type="continuationSeparator" w:id="0">
    <w:p w14:paraId="75A9D9CE" w14:textId="77777777" w:rsidR="00EE5418" w:rsidRDefault="00E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308A" w14:textId="77777777" w:rsidR="00182782" w:rsidRDefault="00182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B21A" w14:textId="77777777" w:rsidR="00182782" w:rsidRDefault="001827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2280" w14:textId="4CC3AD8E" w:rsidR="000C0404" w:rsidRDefault="00182782" w:rsidP="00F93EFE">
    <w:pPr>
      <w:pStyle w:val="Header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3EFE">
          <w:t xml:space="preserve">Mental Health Bulletin </w:t>
        </w:r>
        <w:r w:rsidR="00A1645F">
          <w:t>71</w:t>
        </w:r>
        <w:r w:rsidR="00F93EFE">
          <w:t xml:space="preserve"> – Lived Experience Workforce </w:t>
        </w:r>
      </w:sdtContent>
    </w:sdt>
  </w:p>
  <w:p w14:paraId="2C48B1C9" w14:textId="6DF38239" w:rsidR="00E261B3" w:rsidRPr="000C0404" w:rsidRDefault="00E261B3" w:rsidP="000C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0A51021"/>
    <w:multiLevelType w:val="hybridMultilevel"/>
    <w:tmpl w:val="E17AC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513EDC"/>
    <w:multiLevelType w:val="hybridMultilevel"/>
    <w:tmpl w:val="6F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7FF619D"/>
    <w:multiLevelType w:val="hybridMultilevel"/>
    <w:tmpl w:val="1916C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19F"/>
    <w:rsid w:val="00005347"/>
    <w:rsid w:val="000072B6"/>
    <w:rsid w:val="0001021B"/>
    <w:rsid w:val="00011D89"/>
    <w:rsid w:val="000154FD"/>
    <w:rsid w:val="00016FBF"/>
    <w:rsid w:val="00017232"/>
    <w:rsid w:val="00022271"/>
    <w:rsid w:val="000235E8"/>
    <w:rsid w:val="00024D89"/>
    <w:rsid w:val="000250B6"/>
    <w:rsid w:val="00026B79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2797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2782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7C7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6C03"/>
    <w:rsid w:val="00220C04"/>
    <w:rsid w:val="0022278D"/>
    <w:rsid w:val="0022701F"/>
    <w:rsid w:val="00227C68"/>
    <w:rsid w:val="002333F5"/>
    <w:rsid w:val="00233724"/>
    <w:rsid w:val="00235270"/>
    <w:rsid w:val="002365B4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DB2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716FD"/>
    <w:rsid w:val="0037204B"/>
    <w:rsid w:val="00373350"/>
    <w:rsid w:val="00373890"/>
    <w:rsid w:val="003744CF"/>
    <w:rsid w:val="00374717"/>
    <w:rsid w:val="0037676C"/>
    <w:rsid w:val="00381043"/>
    <w:rsid w:val="003829E5"/>
    <w:rsid w:val="003838CC"/>
    <w:rsid w:val="00386109"/>
    <w:rsid w:val="00386944"/>
    <w:rsid w:val="00387225"/>
    <w:rsid w:val="003956CC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C23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94B"/>
    <w:rsid w:val="004C5541"/>
    <w:rsid w:val="004C6EEE"/>
    <w:rsid w:val="004C702B"/>
    <w:rsid w:val="004D0033"/>
    <w:rsid w:val="004D016B"/>
    <w:rsid w:val="004D1B22"/>
    <w:rsid w:val="004D23CC"/>
    <w:rsid w:val="004D36F2"/>
    <w:rsid w:val="004D5A15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7F6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7FB5"/>
    <w:rsid w:val="00572031"/>
    <w:rsid w:val="00572282"/>
    <w:rsid w:val="00573CE3"/>
    <w:rsid w:val="00573F69"/>
    <w:rsid w:val="00576E84"/>
    <w:rsid w:val="00580394"/>
    <w:rsid w:val="005809CD"/>
    <w:rsid w:val="00581617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6FC6"/>
    <w:rsid w:val="00677574"/>
    <w:rsid w:val="0068454C"/>
    <w:rsid w:val="00691B62"/>
    <w:rsid w:val="006933B5"/>
    <w:rsid w:val="00693D14"/>
    <w:rsid w:val="0069456C"/>
    <w:rsid w:val="00696F27"/>
    <w:rsid w:val="006A18C2"/>
    <w:rsid w:val="006A3383"/>
    <w:rsid w:val="006B077C"/>
    <w:rsid w:val="006B4EEC"/>
    <w:rsid w:val="006B6803"/>
    <w:rsid w:val="006B6A18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674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9687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615A"/>
    <w:rsid w:val="00961400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45F"/>
    <w:rsid w:val="00A22229"/>
    <w:rsid w:val="00A24442"/>
    <w:rsid w:val="00A304EA"/>
    <w:rsid w:val="00A330BB"/>
    <w:rsid w:val="00A44882"/>
    <w:rsid w:val="00A45125"/>
    <w:rsid w:val="00A53C76"/>
    <w:rsid w:val="00A54715"/>
    <w:rsid w:val="00A54EB4"/>
    <w:rsid w:val="00A6061C"/>
    <w:rsid w:val="00A62D44"/>
    <w:rsid w:val="00A67263"/>
    <w:rsid w:val="00A7161C"/>
    <w:rsid w:val="00A744F0"/>
    <w:rsid w:val="00A77AA3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5141"/>
    <w:rsid w:val="00B46DE7"/>
    <w:rsid w:val="00B519CD"/>
    <w:rsid w:val="00B5273A"/>
    <w:rsid w:val="00B57329"/>
    <w:rsid w:val="00B60E61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40D8F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0DA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3700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3185C"/>
    <w:rsid w:val="00D3205F"/>
    <w:rsid w:val="00D3318E"/>
    <w:rsid w:val="00D33E72"/>
    <w:rsid w:val="00D35BD6"/>
    <w:rsid w:val="00D361B5"/>
    <w:rsid w:val="00D405AC"/>
    <w:rsid w:val="00D411A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0B8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731A"/>
    <w:rsid w:val="00E038B7"/>
    <w:rsid w:val="00E06B75"/>
    <w:rsid w:val="00E11332"/>
    <w:rsid w:val="00E11352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F1B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5AA9"/>
    <w:rsid w:val="00F6768F"/>
    <w:rsid w:val="00F712D8"/>
    <w:rsid w:val="00F7200F"/>
    <w:rsid w:val="00F72C2C"/>
    <w:rsid w:val="00F76CAB"/>
    <w:rsid w:val="00F772C6"/>
    <w:rsid w:val="00F815B5"/>
    <w:rsid w:val="00F81DBF"/>
    <w:rsid w:val="00F84FA0"/>
    <w:rsid w:val="00F85195"/>
    <w:rsid w:val="00F868E3"/>
    <w:rsid w:val="00F938BA"/>
    <w:rsid w:val="00F93EFE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3EFE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MHDReporting@health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health.vic.gov.au/research-and-reporting/bulletins-and-program-management-circulars-pmc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health.vic.gov.au/research-and-reporting/bulletins-and-program-management-circulars-pm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MHDReporting@dhhs.vic.gov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3160</Characters>
  <Application>Microsoft Office Word</Application>
  <DocSecurity>0</DocSecurity>
  <Lines>26</Lines>
  <Paragraphs>7</Paragraphs>
  <ScaleCrop>false</ScaleCrop>
  <Manager/>
  <Company/>
  <LinksUpToDate>false</LinksUpToDate>
  <CharactersWithSpaces>3592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2022-11-04T00:01:00Z</dcterms:created>
  <dcterms:modified xsi:type="dcterms:W3CDTF">2022-11-04T00:01:00Z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2022-11-04T00:01:48Z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9a31f217-def4-47eb-beb8-bcc48413c2c4</vt:lpwstr>
  </property>
  <property fmtid="{D5CDD505-2E9C-101B-9397-08002B2CF9AE}" pid="8" name="MSIP_Label_43e64453-338c-4f93-8a4d-0039a0a41f2a_ContentBits">
    <vt:lpwstr>2</vt:lpwstr>
  </property>
</Properties>
</file>