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F5F6" w14:textId="4D62DF10" w:rsidR="00A62D44" w:rsidRPr="005D1B48" w:rsidRDefault="00717ACB" w:rsidP="00EC40D5">
      <w:pPr>
        <w:pStyle w:val="Sectionbreakfirstpage"/>
        <w:sectPr w:rsidR="00A62D44" w:rsidRPr="005D1B48"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rsidRPr="005D1B48">
        <w:rPr>
          <w:lang w:eastAsia="en-AU"/>
        </w:rPr>
        <w:drawing>
          <wp:anchor distT="0" distB="0" distL="114300" distR="114300" simplePos="0" relativeHeight="251658241" behindDoc="1" locked="0" layoutInCell="1" allowOverlap="1" wp14:anchorId="288DCFB0" wp14:editId="1970FD1F">
            <wp:simplePos x="0" y="0"/>
            <wp:positionH relativeFrom="column">
              <wp:posOffset>-556895</wp:posOffset>
            </wp:positionH>
            <wp:positionV relativeFrom="paragraph">
              <wp:posOffset>-347345</wp:posOffset>
            </wp:positionV>
            <wp:extent cx="7587104" cy="1364400"/>
            <wp:effectExtent l="0" t="0" r="0" b="0"/>
            <wp:wrapNone/>
            <wp:docPr id="2" name="Picture 2" descr="image containing thre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containing three icons"/>
                    <pic:cNvPicPr/>
                  </pic:nvPicPr>
                  <pic:blipFill>
                    <a:blip r:embed="rId17"/>
                    <a:stretch>
                      <a:fillRect/>
                    </a:stretch>
                  </pic:blipFill>
                  <pic:spPr>
                    <a:xfrm>
                      <a:off x="0" y="0"/>
                      <a:ext cx="7587104" cy="13644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B9382C" w14:paraId="398D840D" w14:textId="77777777" w:rsidTr="5E891074">
        <w:trPr>
          <w:trHeight w:val="622"/>
        </w:trPr>
        <w:tc>
          <w:tcPr>
            <w:tcW w:w="10348" w:type="dxa"/>
            <w:tcMar>
              <w:top w:w="1531" w:type="dxa"/>
              <w:left w:w="0" w:type="dxa"/>
              <w:right w:w="0" w:type="dxa"/>
            </w:tcMar>
          </w:tcPr>
          <w:p w14:paraId="48D8A061" w14:textId="7D820460" w:rsidR="003B5733" w:rsidRPr="00B9382C" w:rsidRDefault="00A1405B" w:rsidP="001C3875">
            <w:pPr>
              <w:pStyle w:val="Documenttitle"/>
            </w:pPr>
            <w:r w:rsidRPr="00B9382C">
              <w:t>COVID-19 medications</w:t>
            </w:r>
            <w:r w:rsidR="00E0185E" w:rsidRPr="00B9382C">
              <w:t xml:space="preserve"> for</w:t>
            </w:r>
            <w:r w:rsidR="00E43BF0" w:rsidRPr="00B9382C">
              <w:t xml:space="preserve"> </w:t>
            </w:r>
            <w:r w:rsidR="00E0185E" w:rsidRPr="00B9382C">
              <w:t>at risk people</w:t>
            </w:r>
            <w:r w:rsidR="00E43BF0" w:rsidRPr="00B9382C">
              <w:t xml:space="preserve"> who </w:t>
            </w:r>
            <w:r w:rsidR="00116032" w:rsidRPr="00B9382C">
              <w:t>do not require oxygen</w:t>
            </w:r>
          </w:p>
        </w:tc>
      </w:tr>
      <w:tr w:rsidR="003B5733" w:rsidRPr="00B9382C" w14:paraId="49359C28" w14:textId="77777777" w:rsidTr="5E891074">
        <w:tc>
          <w:tcPr>
            <w:tcW w:w="10348" w:type="dxa"/>
          </w:tcPr>
          <w:p w14:paraId="050FC643" w14:textId="66B4596D" w:rsidR="003B5733" w:rsidRPr="00B9382C" w:rsidRDefault="00DD5095" w:rsidP="0057773E">
            <w:pPr>
              <w:pStyle w:val="Documentsubtitle"/>
              <w:rPr>
                <w:color w:val="auto"/>
              </w:rPr>
            </w:pPr>
            <w:r w:rsidRPr="5E891074">
              <w:rPr>
                <w:color w:val="auto"/>
                <w:highlight w:val="yellow"/>
              </w:rPr>
              <w:t xml:space="preserve">Updated </w:t>
            </w:r>
            <w:r w:rsidR="570F5AE2" w:rsidRPr="5E891074">
              <w:rPr>
                <w:color w:val="auto"/>
                <w:highlight w:val="yellow"/>
              </w:rPr>
              <w:t>1</w:t>
            </w:r>
            <w:r w:rsidR="5D2995B2" w:rsidRPr="5E891074">
              <w:rPr>
                <w:color w:val="auto"/>
                <w:highlight w:val="yellow"/>
              </w:rPr>
              <w:t>7</w:t>
            </w:r>
            <w:r w:rsidR="00661BD5" w:rsidRPr="5E891074">
              <w:rPr>
                <w:color w:val="auto"/>
                <w:highlight w:val="yellow"/>
              </w:rPr>
              <w:t xml:space="preserve"> November </w:t>
            </w:r>
            <w:r w:rsidR="00A1405B" w:rsidRPr="5E891074">
              <w:rPr>
                <w:color w:val="auto"/>
                <w:highlight w:val="yellow"/>
              </w:rPr>
              <w:t>2022</w:t>
            </w:r>
          </w:p>
        </w:tc>
      </w:tr>
      <w:tr w:rsidR="003B5733" w:rsidRPr="00B9382C" w14:paraId="2F444DD3" w14:textId="77777777" w:rsidTr="5E891074">
        <w:tc>
          <w:tcPr>
            <w:tcW w:w="10348" w:type="dxa"/>
          </w:tcPr>
          <w:p w14:paraId="28B47DA1" w14:textId="77777777" w:rsidR="003B5733" w:rsidRPr="00B9382C" w:rsidRDefault="00293D73" w:rsidP="001E5058">
            <w:pPr>
              <w:pStyle w:val="Bannermarking"/>
            </w:pPr>
            <w:r>
              <w:fldChar w:fldCharType="begin"/>
            </w:r>
            <w:r>
              <w:instrText>FILLIN  "Type the protective marking" \d OFFICIAL \o  \* MERGEFORMAT</w:instrText>
            </w:r>
            <w:r>
              <w:fldChar w:fldCharType="separate"/>
            </w:r>
            <w:r w:rsidR="00F53DDD" w:rsidRPr="00B9382C">
              <w:t>OFFICIAL</w:t>
            </w:r>
            <w:r>
              <w:fldChar w:fldCharType="end"/>
            </w:r>
          </w:p>
        </w:tc>
      </w:tr>
    </w:tbl>
    <w:p w14:paraId="31EAD9B6" w14:textId="3C9F408A" w:rsidR="00EE29AD" w:rsidRPr="00B9382C" w:rsidRDefault="004D51D6" w:rsidP="00E5246F">
      <w:pPr>
        <w:pStyle w:val="Heading1"/>
        <w:spacing w:after="240"/>
      </w:pPr>
      <w:r w:rsidRPr="00B9382C">
        <w:t>Background</w:t>
      </w:r>
    </w:p>
    <w:p w14:paraId="45E30CDA" w14:textId="77777777" w:rsidR="00AB5AAB" w:rsidRPr="00B9382C" w:rsidRDefault="00D90A1A" w:rsidP="00E5246F">
      <w:pPr>
        <w:pStyle w:val="Body"/>
        <w:spacing w:after="240"/>
      </w:pPr>
      <w:bookmarkStart w:id="0" w:name="_Hlk101524578"/>
      <w:bookmarkStart w:id="1" w:name="_Toc63347079"/>
      <w:r w:rsidRPr="00B9382C">
        <w:t xml:space="preserve">There are a range of Therapeutic Goods Administration </w:t>
      </w:r>
      <w:r w:rsidR="00A73CB9" w:rsidRPr="00B9382C">
        <w:t xml:space="preserve">(TGA) </w:t>
      </w:r>
      <w:r w:rsidRPr="00B9382C">
        <w:t xml:space="preserve">approved </w:t>
      </w:r>
      <w:r w:rsidR="00A339F3" w:rsidRPr="00B9382C">
        <w:t>COVID-19</w:t>
      </w:r>
      <w:r w:rsidRPr="00B9382C">
        <w:t xml:space="preserve"> medicatio</w:t>
      </w:r>
      <w:r w:rsidR="00A339F3" w:rsidRPr="00B9382C">
        <w:t xml:space="preserve">ns available in Victoria for at risk </w:t>
      </w:r>
      <w:r w:rsidR="00835A2A" w:rsidRPr="00B9382C">
        <w:t>people with COVID-19</w:t>
      </w:r>
      <w:r w:rsidRPr="00B9382C">
        <w:t xml:space="preserve">. </w:t>
      </w:r>
      <w:r w:rsidR="00B970AB" w:rsidRPr="00B9382C">
        <w:t>The purpose of this document is to</w:t>
      </w:r>
      <w:r w:rsidR="00AB5AAB" w:rsidRPr="00B9382C">
        <w:t>:</w:t>
      </w:r>
    </w:p>
    <w:p w14:paraId="502CFCCA" w14:textId="4F93B13A" w:rsidR="005D1275" w:rsidRPr="00B9382C" w:rsidRDefault="00B970AB" w:rsidP="00AB5AAB">
      <w:pPr>
        <w:pStyle w:val="Body"/>
        <w:numPr>
          <w:ilvl w:val="0"/>
          <w:numId w:val="15"/>
        </w:numPr>
      </w:pPr>
      <w:r w:rsidRPr="00B9382C">
        <w:t xml:space="preserve">support clinical decision making in the selection </w:t>
      </w:r>
      <w:r w:rsidR="00B75C24" w:rsidRPr="00B9382C">
        <w:t xml:space="preserve">of medications for </w:t>
      </w:r>
      <w:r w:rsidR="00D12EBD" w:rsidRPr="00B9382C">
        <w:t xml:space="preserve">eligible </w:t>
      </w:r>
      <w:r w:rsidR="00B75C24" w:rsidRPr="00B9382C">
        <w:t>adults with COVID-19</w:t>
      </w:r>
      <w:r w:rsidR="00D12EBD" w:rsidRPr="00B9382C">
        <w:t xml:space="preserve"> who do not require oxygen</w:t>
      </w:r>
      <w:r w:rsidR="00A4195D" w:rsidRPr="00B9382C">
        <w:t xml:space="preserve"> – see</w:t>
      </w:r>
      <w:hyperlink w:anchor="_COVID-19_medications_in_2" w:history="1">
        <w:r w:rsidR="00A4195D" w:rsidRPr="00F81A7F">
          <w:rPr>
            <w:rStyle w:val="Hyperlink"/>
          </w:rPr>
          <w:t xml:space="preserve"> COVID-19 medications in adults</w:t>
        </w:r>
      </w:hyperlink>
    </w:p>
    <w:p w14:paraId="71ABC60D" w14:textId="7C274970" w:rsidR="00A4195D" w:rsidRPr="00B9382C" w:rsidRDefault="00A4195D" w:rsidP="00AB5AAB">
      <w:pPr>
        <w:pStyle w:val="Body"/>
        <w:numPr>
          <w:ilvl w:val="0"/>
          <w:numId w:val="15"/>
        </w:numPr>
      </w:pPr>
      <w:r w:rsidRPr="00B9382C">
        <w:t xml:space="preserve">provide referral </w:t>
      </w:r>
      <w:r w:rsidR="00397690" w:rsidRPr="00B9382C">
        <w:t>details</w:t>
      </w:r>
      <w:r w:rsidRPr="00B9382C">
        <w:t xml:space="preserve"> for access to early therapies through the hospital system – see </w:t>
      </w:r>
      <w:hyperlink w:anchor="_Referral_information_for">
        <w:r w:rsidRPr="00B9382C">
          <w:rPr>
            <w:rStyle w:val="Hyperlink"/>
          </w:rPr>
          <w:t>Referral information for access to early therapies</w:t>
        </w:r>
      </w:hyperlink>
    </w:p>
    <w:p w14:paraId="380F45A5" w14:textId="413B6007" w:rsidR="00397690" w:rsidRPr="00B9382C" w:rsidRDefault="00780249" w:rsidP="00E5246F">
      <w:pPr>
        <w:pStyle w:val="Body"/>
        <w:numPr>
          <w:ilvl w:val="0"/>
          <w:numId w:val="15"/>
        </w:numPr>
        <w:spacing w:after="240"/>
      </w:pPr>
      <w:r w:rsidRPr="00B9382C">
        <w:t xml:space="preserve">outline eligibility for and prioritisation of early therapies through the hospital system – </w:t>
      </w:r>
      <w:r w:rsidRPr="00D33B1B">
        <w:t xml:space="preserve">see </w:t>
      </w:r>
      <w:hyperlink w:anchor="_Prioritisation_of_COVID-19_1" w:history="1">
        <w:r w:rsidR="001A4AA7" w:rsidRPr="00D33B1B">
          <w:rPr>
            <w:rStyle w:val="Hyperlink"/>
          </w:rPr>
          <w:t>Medication eligibility and prio</w:t>
        </w:r>
        <w:r w:rsidR="00DE66C7" w:rsidRPr="00D33B1B">
          <w:rPr>
            <w:rStyle w:val="Hyperlink"/>
          </w:rPr>
          <w:t>ritisation</w:t>
        </w:r>
      </w:hyperlink>
    </w:p>
    <w:p w14:paraId="0B56FDCD" w14:textId="54FD21ED" w:rsidR="00D90A1A" w:rsidRPr="00B9382C" w:rsidRDefault="00D90A1A" w:rsidP="00E5246F">
      <w:pPr>
        <w:pStyle w:val="Body"/>
        <w:spacing w:after="240"/>
      </w:pPr>
      <w:r w:rsidRPr="00B9382C">
        <w:t xml:space="preserve">This </w:t>
      </w:r>
      <w:r w:rsidR="004F7D6A" w:rsidRPr="00B9382C">
        <w:t>document</w:t>
      </w:r>
      <w:r w:rsidRPr="00B9382C">
        <w:t xml:space="preserve"> will be reviewed and updated as required based on: </w:t>
      </w:r>
    </w:p>
    <w:p w14:paraId="235354CD" w14:textId="6FAB706E" w:rsidR="00D90A1A" w:rsidRPr="00B9382C" w:rsidRDefault="00E95C0B" w:rsidP="007966F9">
      <w:pPr>
        <w:pStyle w:val="Bullet1"/>
        <w:numPr>
          <w:ilvl w:val="0"/>
          <w:numId w:val="7"/>
        </w:numPr>
      </w:pPr>
      <w:r w:rsidRPr="00B9382C">
        <w:t>emerging</w:t>
      </w:r>
      <w:r w:rsidR="00D90A1A" w:rsidRPr="00B9382C">
        <w:t xml:space="preserve"> evidence and efficacy of medications</w:t>
      </w:r>
    </w:p>
    <w:p w14:paraId="4EE90035" w14:textId="541703B4" w:rsidR="00D90A1A" w:rsidRPr="00B9382C" w:rsidRDefault="00D90A1A" w:rsidP="007966F9">
      <w:pPr>
        <w:pStyle w:val="Bullet1"/>
        <w:numPr>
          <w:ilvl w:val="0"/>
          <w:numId w:val="7"/>
        </w:numPr>
      </w:pPr>
      <w:r w:rsidRPr="00B9382C">
        <w:t xml:space="preserve">access and availability </w:t>
      </w:r>
      <w:r w:rsidR="00E95C0B" w:rsidRPr="00B9382C">
        <w:t>to new</w:t>
      </w:r>
      <w:r w:rsidRPr="00B9382C">
        <w:t xml:space="preserve"> medications</w:t>
      </w:r>
    </w:p>
    <w:p w14:paraId="11F60236" w14:textId="54FD21ED" w:rsidR="00343C63" w:rsidRPr="00B9382C" w:rsidRDefault="00343C63" w:rsidP="00E5246F">
      <w:pPr>
        <w:pStyle w:val="Bullet1"/>
        <w:numPr>
          <w:ilvl w:val="0"/>
          <w:numId w:val="7"/>
        </w:numPr>
        <w:spacing w:after="240"/>
      </w:pPr>
      <w:r w:rsidRPr="00B9382C">
        <w:t>changes to pathways of care.</w:t>
      </w:r>
    </w:p>
    <w:p w14:paraId="02DC1BF2" w14:textId="67E55098" w:rsidR="00D90A1A" w:rsidRPr="00B9382C" w:rsidRDefault="01777705" w:rsidP="00E5246F">
      <w:pPr>
        <w:pStyle w:val="Body"/>
        <w:spacing w:after="240"/>
      </w:pPr>
      <w:r w:rsidRPr="00B9382C">
        <w:t xml:space="preserve">This document has been developed by an expert working group of Victorian clinicians and includes consideration of recommendations from the </w:t>
      </w:r>
      <w:bookmarkStart w:id="2" w:name="_Hlk117244321"/>
      <w:r w:rsidRPr="00B9382C">
        <w:t xml:space="preserve">National </w:t>
      </w:r>
      <w:r w:rsidR="0073BFF9" w:rsidRPr="00B9382C">
        <w:t xml:space="preserve">COVID-19 </w:t>
      </w:r>
      <w:r w:rsidRPr="00B9382C">
        <w:t>Clinical Evidence Taskforce</w:t>
      </w:r>
      <w:bookmarkEnd w:id="2"/>
      <w:r w:rsidRPr="00B9382C">
        <w:t xml:space="preserve">. </w:t>
      </w:r>
    </w:p>
    <w:bookmarkEnd w:id="0"/>
    <w:p w14:paraId="52E72257" w14:textId="12A96F57" w:rsidR="002B222A" w:rsidRPr="00B9382C" w:rsidRDefault="002B222A" w:rsidP="00E5246F">
      <w:pPr>
        <w:pStyle w:val="Body"/>
        <w:spacing w:after="240"/>
      </w:pPr>
      <w:r w:rsidRPr="00B9382C">
        <w:t>For advice on the management of children with symptomatic COVID-19 refer to the</w:t>
      </w:r>
      <w:hyperlink r:id="rId18" w:history="1">
        <w:r w:rsidRPr="00B9382C">
          <w:rPr>
            <w:rStyle w:val="Hyperlink"/>
          </w:rPr>
          <w:t xml:space="preserve"> Royal Children’s Hospital guidelines</w:t>
        </w:r>
      </w:hyperlink>
      <w:r w:rsidR="00175C7B" w:rsidRPr="00B9382C">
        <w:t xml:space="preserve"> </w:t>
      </w:r>
      <w:r w:rsidR="00CA4399">
        <w:t>&lt;</w:t>
      </w:r>
      <w:r w:rsidR="00E5246F" w:rsidRPr="00CA4399">
        <w:t>https://www.rch.org.au/uploadedFiles/Main/Content/clinicalguide/guideline_index/RCH-COVID-clinical-management-guidelines-package.pdf</w:t>
      </w:r>
      <w:r w:rsidR="00CA4399">
        <w:t>&gt;</w:t>
      </w:r>
    </w:p>
    <w:p w14:paraId="7A498DAF" w14:textId="5148423D" w:rsidR="00E5246F" w:rsidRPr="00B9382C" w:rsidRDefault="00E5246F" w:rsidP="00E5246F">
      <w:pPr>
        <w:pStyle w:val="Body"/>
        <w:spacing w:after="0"/>
      </w:pPr>
      <w:r w:rsidRPr="00B9382C">
        <w:t xml:space="preserve">The Request to Access form </w:t>
      </w:r>
      <w:r w:rsidRPr="00DC3008">
        <w:rPr>
          <w:highlight w:val="yellow"/>
        </w:rPr>
        <w:t>for</w:t>
      </w:r>
      <w:r w:rsidR="00FF35EA" w:rsidRPr="00DC3008">
        <w:rPr>
          <w:highlight w:val="yellow"/>
        </w:rPr>
        <w:t xml:space="preserve"> remdesivir (Veklury</w:t>
      </w:r>
      <w:r w:rsidR="00FF35EA" w:rsidRPr="00DC3008">
        <w:rPr>
          <w:highlight w:val="yellow"/>
          <w:vertAlign w:val="superscript"/>
        </w:rPr>
        <w:t>TM</w:t>
      </w:r>
      <w:r w:rsidR="00FF35EA" w:rsidRPr="00DC3008">
        <w:rPr>
          <w:highlight w:val="yellow"/>
        </w:rPr>
        <w:t>)</w:t>
      </w:r>
      <w:r w:rsidRPr="00DC3008">
        <w:rPr>
          <w:highlight w:val="yellow"/>
        </w:rPr>
        <w:t xml:space="preserve"> can be found </w:t>
      </w:r>
      <w:hyperlink r:id="rId19">
        <w:r w:rsidRPr="00DC3008">
          <w:rPr>
            <w:rStyle w:val="Hyperlink"/>
            <w:highlight w:val="yellow"/>
          </w:rPr>
          <w:t>here</w:t>
        </w:r>
      </w:hyperlink>
    </w:p>
    <w:p w14:paraId="72CD5FE4" w14:textId="167D5C42" w:rsidR="00E5246F" w:rsidRPr="00B9382C" w:rsidRDefault="00F32ABA" w:rsidP="00E5246F">
      <w:pPr>
        <w:pStyle w:val="Body"/>
        <w:spacing w:after="240"/>
        <w:sectPr w:rsidR="00E5246F" w:rsidRPr="00B9382C" w:rsidSect="00E5246F">
          <w:headerReference w:type="default" r:id="rId20"/>
          <w:type w:val="continuous"/>
          <w:pgSz w:w="11906" w:h="16838" w:code="9"/>
          <w:pgMar w:top="1418" w:right="851" w:bottom="1418" w:left="851" w:header="680" w:footer="851" w:gutter="0"/>
          <w:cols w:space="340"/>
          <w:docGrid w:linePitch="360"/>
        </w:sectPr>
      </w:pPr>
      <w:r w:rsidRPr="00D33B1B">
        <w:rPr>
          <w:highlight w:val="yellow"/>
        </w:rPr>
        <w:t>&lt;https://www.health.vic.gov.au/request-to-access-covid-19-medications&gt;</w:t>
      </w:r>
    </w:p>
    <w:p w14:paraId="219BDF58" w14:textId="7FB279A5" w:rsidR="003F31AD" w:rsidRPr="00B9382C" w:rsidRDefault="005627A9" w:rsidP="00E5246F">
      <w:pPr>
        <w:pStyle w:val="Body"/>
        <w:spacing w:after="240"/>
        <w:rPr>
          <w:color w:val="F79646" w:themeColor="accent6"/>
        </w:rPr>
      </w:pPr>
      <w:r w:rsidRPr="00D33B1B">
        <w:t xml:space="preserve">PBS </w:t>
      </w:r>
      <w:r w:rsidR="00A35580" w:rsidRPr="00D33B1B">
        <w:t>prescribing information</w:t>
      </w:r>
      <w:r w:rsidRPr="00D33B1B">
        <w:t xml:space="preserve"> </w:t>
      </w:r>
      <w:r w:rsidR="00985B9A" w:rsidRPr="00D33B1B">
        <w:t>can be found at</w:t>
      </w:r>
      <w:r w:rsidR="0012430B" w:rsidRPr="00D33B1B">
        <w:rPr>
          <w:color w:val="F79646" w:themeColor="accent6"/>
        </w:rPr>
        <w:t xml:space="preserve"> </w:t>
      </w:r>
      <w:hyperlink r:id="rId21" w:history="1">
        <w:r w:rsidR="009711FF" w:rsidRPr="00D33B1B">
          <w:rPr>
            <w:rStyle w:val="Hyperlink"/>
          </w:rPr>
          <w:t>Paxlovid</w:t>
        </w:r>
        <w:r w:rsidR="006C6584" w:rsidRPr="00D33B1B">
          <w:rPr>
            <w:rStyle w:val="Hyperlink"/>
            <w:vertAlign w:val="superscript"/>
          </w:rPr>
          <w:t>TM</w:t>
        </w:r>
        <w:r w:rsidR="009711FF" w:rsidRPr="00D33B1B">
          <w:rPr>
            <w:rStyle w:val="Hyperlink"/>
          </w:rPr>
          <w:t xml:space="preserve"> eligibility criteria</w:t>
        </w:r>
      </w:hyperlink>
      <w:r w:rsidR="009711FF" w:rsidRPr="00D33B1B">
        <w:t xml:space="preserve"> &lt;</w:t>
      </w:r>
      <w:hyperlink r:id="rId22" w:history="1">
        <w:r w:rsidR="00784274" w:rsidRPr="00D33B1B">
          <w:rPr>
            <w:rStyle w:val="Hyperlink"/>
          </w:rPr>
          <w:t>https://www.pbs.gov.au/medicine/item/12996B</w:t>
        </w:r>
      </w:hyperlink>
      <w:r w:rsidR="009711FF" w:rsidRPr="00D33B1B">
        <w:t>&gt;</w:t>
      </w:r>
      <w:r w:rsidR="0033627E" w:rsidRPr="00D33B1B">
        <w:t xml:space="preserve"> </w:t>
      </w:r>
      <w:r w:rsidR="006A1687" w:rsidRPr="00D33B1B">
        <w:t>and</w:t>
      </w:r>
      <w:r w:rsidR="006A1687" w:rsidRPr="00D33B1B">
        <w:rPr>
          <w:color w:val="F79646" w:themeColor="accent6"/>
        </w:rPr>
        <w:t xml:space="preserve"> </w:t>
      </w:r>
      <w:hyperlink r:id="rId23" w:history="1">
        <w:r w:rsidR="006C6584" w:rsidRPr="00D33B1B">
          <w:rPr>
            <w:rStyle w:val="Hyperlink"/>
          </w:rPr>
          <w:t>Lagevrio</w:t>
        </w:r>
        <w:r w:rsidR="006C6584" w:rsidRPr="00D33B1B">
          <w:rPr>
            <w:rStyle w:val="Hyperlink"/>
            <w:vertAlign w:val="superscript"/>
          </w:rPr>
          <w:t>TM</w:t>
        </w:r>
        <w:r w:rsidR="006C6584" w:rsidRPr="00D33B1B">
          <w:rPr>
            <w:rStyle w:val="Hyperlink"/>
          </w:rPr>
          <w:t xml:space="preserve"> eligibility criteria</w:t>
        </w:r>
      </w:hyperlink>
      <w:r w:rsidR="006C6584" w:rsidRPr="00D33B1B">
        <w:t xml:space="preserve"> &lt;</w:t>
      </w:r>
      <w:hyperlink r:id="rId24" w:history="1">
        <w:r w:rsidR="0033627E" w:rsidRPr="00D33B1B">
          <w:rPr>
            <w:rStyle w:val="Hyperlink"/>
          </w:rPr>
          <w:t>https://www.pbs.gov.au/medicine/item/12910L</w:t>
        </w:r>
      </w:hyperlink>
      <w:r w:rsidR="006C6584" w:rsidRPr="00D33B1B">
        <w:t>&gt;.</w:t>
      </w:r>
      <w:r w:rsidR="00E9785C">
        <w:t xml:space="preserve"> </w:t>
      </w:r>
    </w:p>
    <w:p w14:paraId="77E4F098" w14:textId="3709D167" w:rsidR="005836B0" w:rsidRDefault="00F04FDB" w:rsidP="00C41C1F">
      <w:pPr>
        <w:pStyle w:val="Body"/>
        <w:spacing w:after="240"/>
      </w:pPr>
      <w:r w:rsidRPr="00B9382C">
        <w:t xml:space="preserve">For information on the clinical evidence supporting the use of each medication </w:t>
      </w:r>
      <w:r w:rsidR="00F94F86" w:rsidRPr="00B9382C">
        <w:t xml:space="preserve">refer to the </w:t>
      </w:r>
      <w:hyperlink r:id="rId25" w:history="1">
        <w:r w:rsidRPr="00B9382C">
          <w:rPr>
            <w:rStyle w:val="Hyperlink"/>
          </w:rPr>
          <w:t>National COVID-19 Clinical Evidence Taskforce</w:t>
        </w:r>
      </w:hyperlink>
      <w:r w:rsidRPr="00B9382C">
        <w:t xml:space="preserve"> </w:t>
      </w:r>
      <w:r w:rsidR="00BD1060">
        <w:t>&lt;</w:t>
      </w:r>
      <w:hyperlink r:id="rId26" w:history="1">
        <w:r w:rsidR="00BD1060" w:rsidRPr="00BD1060">
          <w:rPr>
            <w:rStyle w:val="Hyperlink"/>
          </w:rPr>
          <w:t>https://covid19evidence.net.au/</w:t>
        </w:r>
      </w:hyperlink>
      <w:r w:rsidR="00BD1060">
        <w:t>&gt;</w:t>
      </w:r>
      <w:r w:rsidR="00C56870" w:rsidRPr="00B9382C">
        <w:t xml:space="preserve"> and</w:t>
      </w:r>
      <w:r w:rsidR="002521E2" w:rsidRPr="00B9382C">
        <w:t xml:space="preserve"> </w:t>
      </w:r>
      <w:hyperlink r:id="rId27" w:history="1">
        <w:r w:rsidR="002521E2" w:rsidRPr="00EA279E">
          <w:rPr>
            <w:rStyle w:val="Hyperlink"/>
          </w:rPr>
          <w:t>Drug treatments for at risk adults with COVID-19 who do not require oxygen</w:t>
        </w:r>
      </w:hyperlink>
      <w:r w:rsidR="00C56870" w:rsidRPr="00B9382C">
        <w:t xml:space="preserve"> decision tool</w:t>
      </w:r>
      <w:r w:rsidR="002521E2" w:rsidRPr="00B9382C">
        <w:t xml:space="preserve"> </w:t>
      </w:r>
      <w:r w:rsidR="002521E2" w:rsidRPr="00EA279E">
        <w:rPr>
          <w:highlight w:val="yellow"/>
        </w:rPr>
        <w:t>&lt;https://covid19evidence.net.au/wp-content/uploads/DECISION-TOOL-DT-FOR-ADULTS.pdf</w:t>
      </w:r>
      <w:bookmarkStart w:id="3" w:name="_COVID-19_medications_in"/>
      <w:bookmarkStart w:id="4" w:name="_COVID-19_medications_in_1"/>
      <w:bookmarkEnd w:id="3"/>
      <w:bookmarkEnd w:id="4"/>
      <w:r w:rsidR="00EA279E" w:rsidRPr="00EA279E">
        <w:rPr>
          <w:highlight w:val="yellow"/>
        </w:rPr>
        <w:t>&gt;</w:t>
      </w:r>
    </w:p>
    <w:p w14:paraId="14A46E47" w14:textId="3C32B12A" w:rsidR="00EE2920" w:rsidRPr="00001253" w:rsidRDefault="00AB5AAB" w:rsidP="00001253">
      <w:pPr>
        <w:pStyle w:val="Heading1"/>
      </w:pPr>
      <w:bookmarkStart w:id="5" w:name="_COVID-19_medications_in_2"/>
      <w:bookmarkEnd w:id="5"/>
      <w:r w:rsidRPr="00B9382C">
        <w:lastRenderedPageBreak/>
        <w:t xml:space="preserve">COVID-19 medications in adults </w:t>
      </w:r>
    </w:p>
    <w:p w14:paraId="7D893D1E" w14:textId="26110C91" w:rsidR="00EE2920" w:rsidRPr="00B9382C" w:rsidRDefault="00B91197" w:rsidP="00EE2920">
      <w:pPr>
        <w:pStyle w:val="Tablecaption"/>
      </w:pPr>
      <w:r w:rsidRPr="00847C26">
        <w:rPr>
          <w:noProof/>
          <w:highlight w:val="yellow"/>
        </w:rPr>
        <w:drawing>
          <wp:anchor distT="0" distB="0" distL="114300" distR="114300" simplePos="0" relativeHeight="251658243" behindDoc="1" locked="0" layoutInCell="1" allowOverlap="1" wp14:anchorId="0A007852" wp14:editId="56159E15">
            <wp:simplePos x="0" y="0"/>
            <wp:positionH relativeFrom="column">
              <wp:posOffset>12065</wp:posOffset>
            </wp:positionH>
            <wp:positionV relativeFrom="paragraph">
              <wp:posOffset>557838</wp:posOffset>
            </wp:positionV>
            <wp:extent cx="6478905" cy="764351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8"/>
                    <a:stretch>
                      <a:fillRect/>
                    </a:stretch>
                  </pic:blipFill>
                  <pic:spPr>
                    <a:xfrm>
                      <a:off x="0" y="0"/>
                      <a:ext cx="6478905" cy="7643514"/>
                    </a:xfrm>
                    <a:prstGeom prst="rect">
                      <a:avLst/>
                    </a:prstGeom>
                  </pic:spPr>
                </pic:pic>
              </a:graphicData>
            </a:graphic>
            <wp14:sizeRelH relativeFrom="page">
              <wp14:pctWidth>0</wp14:pctWidth>
            </wp14:sizeRelH>
            <wp14:sizeRelV relativeFrom="page">
              <wp14:pctHeight>0</wp14:pctHeight>
            </wp14:sizeRelV>
          </wp:anchor>
        </w:drawing>
      </w:r>
      <w:r w:rsidR="00EE2920" w:rsidRPr="00847C26">
        <w:rPr>
          <w:highlight w:val="yellow"/>
        </w:rPr>
        <w:t xml:space="preserve">Figure 1. </w:t>
      </w:r>
      <w:r w:rsidR="004B3297" w:rsidRPr="00847C26">
        <w:rPr>
          <w:highlight w:val="yellow"/>
        </w:rPr>
        <w:t>Overview of m</w:t>
      </w:r>
      <w:r w:rsidR="00EE2920" w:rsidRPr="00847C26">
        <w:rPr>
          <w:highlight w:val="yellow"/>
        </w:rPr>
        <w:t>edication selection for adults with COVID-19 who do not require oxygen</w:t>
      </w:r>
    </w:p>
    <w:p w14:paraId="09423A57" w14:textId="4DBA1AD1" w:rsidR="003A0026" w:rsidRPr="00B9382C" w:rsidRDefault="00293D73" w:rsidP="003A0026">
      <w:pPr>
        <w:spacing w:after="0" w:line="240" w:lineRule="auto"/>
        <w:rPr>
          <w:rFonts w:ascii="Times New Roman" w:hAnsi="Times New Roman"/>
          <w:sz w:val="24"/>
          <w:szCs w:val="24"/>
          <w:lang w:eastAsia="en-AU"/>
        </w:rPr>
      </w:pPr>
      <w:r>
        <w:rPr>
          <w:noProof/>
        </w:rPr>
        <w:pict w14:anchorId="2DE60D89">
          <v:shapetype id="_x0000_t202" coordsize="21600,21600" o:spt="202" path="m,l,21600r21600,l21600,xe">
            <v:stroke joinstyle="miter"/>
            <v:path gradientshapeok="t" o:connecttype="rect"/>
          </v:shapetype>
          <v:shape id="_x0000_s2054" type="#_x0000_t202" style="position:absolute;margin-left:8392.5pt;margin-top:1.3pt;width:330.95pt;height:208.45pt;z-index:251658242;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" filled="f">
            <v:textbox style="mso-next-textbox:#_x0000_s2054">
              <w:txbxContent>
                <w:p w14:paraId="793FDADE" w14:textId="6278FC51" w:rsidR="005A328D" w:rsidRPr="00445666" w:rsidRDefault="005A328D" w:rsidP="005A328D">
                  <w:pPr>
                    <w:pStyle w:val="ListParagraph"/>
                    <w:numPr>
                      <w:ilvl w:val="0"/>
                      <w:numId w:val="22"/>
                    </w:numPr>
                    <w:spacing w:after="0"/>
                    <w:jc w:val="both"/>
                    <w:rPr>
                      <w:sz w:val="18"/>
                      <w:szCs w:val="18"/>
                    </w:rPr>
                  </w:pPr>
                  <w:r w:rsidRPr="00445666">
                    <w:rPr>
                      <w:sz w:val="18"/>
                      <w:szCs w:val="18"/>
                    </w:rPr>
                    <w:t xml:space="preserve">In </w:t>
                  </w:r>
                  <w:r w:rsidRPr="00445666">
                    <w:rPr>
                      <w:b/>
                      <w:bCs/>
                      <w:sz w:val="18"/>
                      <w:szCs w:val="18"/>
                    </w:rPr>
                    <w:t>exceptional circumstances</w:t>
                  </w:r>
                  <w:r w:rsidRPr="00445666">
                    <w:rPr>
                      <w:sz w:val="18"/>
                      <w:szCs w:val="18"/>
                    </w:rPr>
                    <w:t>, access to medications may be considered for patients who do not fit within the eligibility requirements if:</w:t>
                  </w:r>
                </w:p>
                <w:p w14:paraId="21BC7B59" w14:textId="77777777" w:rsidR="005A328D" w:rsidRPr="00445666" w:rsidRDefault="005A328D" w:rsidP="005A328D">
                  <w:pPr>
                    <w:pStyle w:val="ListParagraph"/>
                    <w:numPr>
                      <w:ilvl w:val="0"/>
                      <w:numId w:val="11"/>
                    </w:numPr>
                    <w:spacing w:after="0"/>
                    <w:jc w:val="both"/>
                    <w:rPr>
                      <w:sz w:val="18"/>
                      <w:szCs w:val="18"/>
                    </w:rPr>
                  </w:pPr>
                  <w:r w:rsidRPr="00445666">
                    <w:rPr>
                      <w:sz w:val="18"/>
                      <w:szCs w:val="18"/>
                    </w:rPr>
                    <w:t>the patient’s case has been discussed with two senior physicians experienced in the management of COVID-19 (at least one of which is an infectious disease physician where available) and</w:t>
                  </w:r>
                </w:p>
                <w:p w14:paraId="56D4D32E" w14:textId="77777777" w:rsidR="005A328D" w:rsidRPr="000D4B1B" w:rsidRDefault="005A328D" w:rsidP="0090297C">
                  <w:pPr>
                    <w:pStyle w:val="ListParagraph"/>
                    <w:numPr>
                      <w:ilvl w:val="0"/>
                      <w:numId w:val="11"/>
                    </w:numPr>
                    <w:spacing w:after="0"/>
                    <w:jc w:val="both"/>
                    <w:rPr>
                      <w:sz w:val="18"/>
                      <w:szCs w:val="18"/>
                    </w:rPr>
                  </w:pPr>
                  <w:r w:rsidRPr="000D4B1B">
                    <w:rPr>
                      <w:sz w:val="18"/>
                      <w:szCs w:val="18"/>
                    </w:rPr>
                    <w:t>there is consensus that the treatment is clinically indicated.</w:t>
                  </w:r>
                </w:p>
                <w:p w14:paraId="02E6B06A" w14:textId="77777777" w:rsidR="00445666" w:rsidRPr="000D4B1B" w:rsidRDefault="00445666" w:rsidP="00445666">
                  <w:pPr>
                    <w:pStyle w:val="ListParagraph"/>
                    <w:spacing w:after="0"/>
                    <w:jc w:val="both"/>
                    <w:rPr>
                      <w:sz w:val="18"/>
                      <w:szCs w:val="18"/>
                    </w:rPr>
                  </w:pPr>
                </w:p>
                <w:p w14:paraId="3DB68159" w14:textId="45A86894" w:rsidR="005A328D" w:rsidRPr="00B9382C" w:rsidRDefault="005A328D" w:rsidP="0090297C">
                  <w:pPr>
                    <w:pStyle w:val="ListParagraph"/>
                    <w:numPr>
                      <w:ilvl w:val="0"/>
                      <w:numId w:val="22"/>
                    </w:numPr>
                    <w:spacing w:after="0"/>
                    <w:jc w:val="both"/>
                    <w:rPr>
                      <w:sz w:val="18"/>
                      <w:szCs w:val="18"/>
                    </w:rPr>
                  </w:pPr>
                  <w:r w:rsidRPr="00B9382C">
                    <w:rPr>
                      <w:b/>
                      <w:sz w:val="18"/>
                      <w:szCs w:val="18"/>
                    </w:rPr>
                    <w:t>Remdesivir</w:t>
                  </w:r>
                  <w:r w:rsidR="004C264C" w:rsidRPr="00B9382C">
                    <w:rPr>
                      <w:b/>
                      <w:sz w:val="18"/>
                      <w:szCs w:val="18"/>
                    </w:rPr>
                    <w:t xml:space="preserve"> (Veklury</w:t>
                  </w:r>
                  <w:r w:rsidR="004C264C" w:rsidRPr="00B9382C">
                    <w:rPr>
                      <w:b/>
                      <w:sz w:val="18"/>
                      <w:szCs w:val="18"/>
                      <w:vertAlign w:val="superscript"/>
                    </w:rPr>
                    <w:t>TM</w:t>
                  </w:r>
                  <w:r w:rsidR="004C264C" w:rsidRPr="00B9382C">
                    <w:rPr>
                      <w:b/>
                      <w:sz w:val="18"/>
                      <w:szCs w:val="18"/>
                    </w:rPr>
                    <w:t>)</w:t>
                  </w:r>
                  <w:r w:rsidR="004C264C" w:rsidRPr="00B9382C">
                    <w:rPr>
                      <w:sz w:val="18"/>
                      <w:szCs w:val="18"/>
                    </w:rPr>
                    <w:t xml:space="preserve"> </w:t>
                  </w:r>
                  <w:r w:rsidRPr="00B9382C">
                    <w:rPr>
                      <w:sz w:val="18"/>
                      <w:szCs w:val="18"/>
                    </w:rPr>
                    <w:t xml:space="preserve">may be reserved as an option for outpatients who are in the highest priority </w:t>
                  </w:r>
                  <w:r w:rsidR="00D05D80" w:rsidRPr="00B9382C">
                    <w:rPr>
                      <w:sz w:val="18"/>
                      <w:szCs w:val="18"/>
                    </w:rPr>
                    <w:t>group</w:t>
                  </w:r>
                  <w:r w:rsidRPr="00B9382C">
                    <w:rPr>
                      <w:sz w:val="18"/>
                      <w:szCs w:val="18"/>
                    </w:rPr>
                    <w:t>(s)</w:t>
                  </w:r>
                  <w:r w:rsidR="00931A9C" w:rsidRPr="00B9382C">
                    <w:rPr>
                      <w:sz w:val="18"/>
                      <w:szCs w:val="18"/>
                    </w:rPr>
                    <w:t xml:space="preserve"> e.g. </w:t>
                  </w:r>
                  <w:r w:rsidR="003A7E9C" w:rsidRPr="00B9382C">
                    <w:rPr>
                      <w:sz w:val="18"/>
                      <w:szCs w:val="18"/>
                    </w:rPr>
                    <w:t>p</w:t>
                  </w:r>
                  <w:r w:rsidR="00790604" w:rsidRPr="00B9382C">
                    <w:rPr>
                      <w:sz w:val="18"/>
                      <w:szCs w:val="18"/>
                    </w:rPr>
                    <w:t>riority 1-2</w:t>
                  </w:r>
                  <w:r w:rsidRPr="00B9382C">
                    <w:rPr>
                      <w:sz w:val="18"/>
                      <w:szCs w:val="18"/>
                    </w:rPr>
                    <w:t xml:space="preserve"> and for inpatients of all priority </w:t>
                  </w:r>
                  <w:r w:rsidR="00DB23D3" w:rsidRPr="00B9382C">
                    <w:rPr>
                      <w:sz w:val="18"/>
                      <w:szCs w:val="18"/>
                    </w:rPr>
                    <w:t xml:space="preserve">groups </w:t>
                  </w:r>
                  <w:r w:rsidRPr="00B9382C">
                    <w:rPr>
                      <w:sz w:val="18"/>
                      <w:szCs w:val="18"/>
                    </w:rPr>
                    <w:t xml:space="preserve">of the </w:t>
                  </w:r>
                  <w:hyperlink w:anchor="_Prioritisation_of_COVID-19_1" w:history="1">
                    <w:r w:rsidRPr="00B9382C">
                      <w:rPr>
                        <w:rStyle w:val="Hyperlink"/>
                        <w:sz w:val="18"/>
                        <w:szCs w:val="18"/>
                      </w:rPr>
                      <w:t xml:space="preserve">Prioritisation </w:t>
                    </w:r>
                    <w:r w:rsidR="00472C6F" w:rsidRPr="00B9382C">
                      <w:rPr>
                        <w:rStyle w:val="Hyperlink"/>
                        <w:sz w:val="18"/>
                        <w:szCs w:val="18"/>
                      </w:rPr>
                      <w:t>Table</w:t>
                    </w:r>
                  </w:hyperlink>
                  <w:r w:rsidRPr="00B9382C">
                    <w:rPr>
                      <w:sz w:val="18"/>
                      <w:szCs w:val="18"/>
                    </w:rPr>
                    <w:t>.</w:t>
                  </w:r>
                </w:p>
                <w:p w14:paraId="1819905C" w14:textId="77777777" w:rsidR="00445666" w:rsidRPr="00B9382C" w:rsidRDefault="00445666" w:rsidP="00445666">
                  <w:pPr>
                    <w:pStyle w:val="ListParagraph"/>
                    <w:spacing w:after="0"/>
                    <w:ind w:left="360"/>
                    <w:jc w:val="both"/>
                    <w:rPr>
                      <w:sz w:val="18"/>
                      <w:szCs w:val="18"/>
                    </w:rPr>
                  </w:pPr>
                </w:p>
                <w:p w14:paraId="1D8D13EB" w14:textId="5988A783" w:rsidR="005A328D" w:rsidRPr="00B9382C" w:rsidRDefault="005A328D" w:rsidP="00CC1DD1">
                  <w:pPr>
                    <w:pStyle w:val="ListParagraph"/>
                    <w:numPr>
                      <w:ilvl w:val="0"/>
                      <w:numId w:val="22"/>
                    </w:numPr>
                    <w:rPr>
                      <w:sz w:val="18"/>
                      <w:szCs w:val="18"/>
                    </w:rPr>
                  </w:pPr>
                  <w:r w:rsidRPr="00B9382C">
                    <w:rPr>
                      <w:b/>
                      <w:sz w:val="18"/>
                      <w:szCs w:val="18"/>
                    </w:rPr>
                    <w:t>Inhaled corticosteroids</w:t>
                  </w:r>
                  <w:r w:rsidRPr="00B9382C">
                    <w:rPr>
                      <w:sz w:val="18"/>
                      <w:szCs w:val="18"/>
                    </w:rPr>
                    <w:t xml:space="preserve"> </w:t>
                  </w:r>
                  <w:r w:rsidR="00CC1DD1" w:rsidRPr="00B9382C">
                    <w:rPr>
                      <w:sz w:val="18"/>
                      <w:szCs w:val="18"/>
                    </w:rPr>
                    <w:t>budesonide (Pulmicort</w:t>
                  </w:r>
                  <w:r w:rsidR="00CC1DD1" w:rsidRPr="00B9382C">
                    <w:rPr>
                      <w:sz w:val="18"/>
                      <w:szCs w:val="18"/>
                      <w:vertAlign w:val="superscript"/>
                    </w:rPr>
                    <w:t>TM</w:t>
                  </w:r>
                  <w:r w:rsidR="00CC1DD1" w:rsidRPr="00B9382C">
                    <w:rPr>
                      <w:sz w:val="18"/>
                      <w:szCs w:val="18"/>
                    </w:rPr>
                    <w:t>) or ciclesonide (Alvesco</w:t>
                  </w:r>
                  <w:r w:rsidR="00CC1DD1" w:rsidRPr="00B9382C">
                    <w:rPr>
                      <w:sz w:val="18"/>
                      <w:szCs w:val="18"/>
                      <w:vertAlign w:val="superscript"/>
                    </w:rPr>
                    <w:t>TM</w:t>
                  </w:r>
                  <w:r w:rsidR="00CC1DD1" w:rsidRPr="00B9382C">
                    <w:rPr>
                      <w:sz w:val="18"/>
                      <w:szCs w:val="18"/>
                    </w:rPr>
                    <w:t xml:space="preserve">) </w:t>
                  </w:r>
                  <w:r w:rsidRPr="00B9382C">
                    <w:rPr>
                      <w:sz w:val="18"/>
                      <w:szCs w:val="18"/>
                    </w:rPr>
                    <w:t xml:space="preserve">can be considered as either a standalone therapy or as an additional therapy in patients already prescribed another early therapy. </w:t>
                  </w:r>
                </w:p>
                <w:p w14:paraId="66A4DFE7" w14:textId="30D47AD5" w:rsidR="005A328D" w:rsidRPr="00445666" w:rsidRDefault="005A328D">
                  <w:pPr>
                    <w:rPr>
                      <w:sz w:val="18"/>
                      <w:szCs w:val="18"/>
                    </w:rPr>
                  </w:pPr>
                </w:p>
              </w:txbxContent>
            </v:textbox>
            <w10:wrap type="square" anchorx="margin"/>
          </v:shape>
        </w:pict>
      </w:r>
      <w:bookmarkStart w:id="6" w:name="_Hlk101529207"/>
      <w:bookmarkEnd w:id="6"/>
      <w:r w:rsidR="003A0026" w:rsidRPr="00B9382C">
        <w:rPr>
          <w:rFonts w:eastAsia="Times"/>
        </w:rPr>
        <w:t xml:space="preserve"> </w:t>
      </w:r>
    </w:p>
    <w:p w14:paraId="43D486FD" w14:textId="346F64B4" w:rsidR="00E91B73" w:rsidRPr="00B9382C" w:rsidRDefault="00E91B73" w:rsidP="00E91B73">
      <w:pPr>
        <w:pStyle w:val="Body"/>
      </w:pPr>
    </w:p>
    <w:p w14:paraId="37E696F8" w14:textId="5599A202" w:rsidR="003A0026" w:rsidRPr="00B9382C" w:rsidRDefault="003A0026" w:rsidP="00E91B73">
      <w:pPr>
        <w:pStyle w:val="Body"/>
      </w:pPr>
    </w:p>
    <w:p w14:paraId="6010C2FB" w14:textId="01BAF6E3" w:rsidR="003A0026" w:rsidRPr="00B9382C" w:rsidRDefault="003A0026" w:rsidP="00E91B73">
      <w:pPr>
        <w:pStyle w:val="Body"/>
      </w:pPr>
    </w:p>
    <w:p w14:paraId="08BC3353" w14:textId="5EDBAB58" w:rsidR="003A0026" w:rsidRPr="00B9382C" w:rsidRDefault="003A0026" w:rsidP="00E91B73">
      <w:pPr>
        <w:pStyle w:val="Body"/>
      </w:pPr>
    </w:p>
    <w:p w14:paraId="08037E40" w14:textId="61664377" w:rsidR="003A0026" w:rsidRPr="00B9382C" w:rsidRDefault="003A0026" w:rsidP="00E91B73">
      <w:pPr>
        <w:pStyle w:val="Body"/>
      </w:pPr>
    </w:p>
    <w:p w14:paraId="241DE8EE" w14:textId="1D90D7A8" w:rsidR="003A0026" w:rsidRPr="00B9382C" w:rsidRDefault="003A0026" w:rsidP="00E91B73">
      <w:pPr>
        <w:pStyle w:val="Body"/>
      </w:pPr>
    </w:p>
    <w:p w14:paraId="35E2C55B" w14:textId="57B9F5EB" w:rsidR="003A0026" w:rsidRPr="00B9382C" w:rsidRDefault="003A0026" w:rsidP="00E91B73">
      <w:pPr>
        <w:pStyle w:val="Body"/>
      </w:pPr>
    </w:p>
    <w:p w14:paraId="141C2B9D" w14:textId="17C1E773" w:rsidR="003A0026" w:rsidRPr="00B9382C" w:rsidRDefault="003A0026" w:rsidP="00E91B73">
      <w:pPr>
        <w:pStyle w:val="Body"/>
      </w:pPr>
    </w:p>
    <w:p w14:paraId="04D8F036" w14:textId="1183FB65" w:rsidR="003A0026" w:rsidRPr="00B9382C" w:rsidRDefault="003A0026" w:rsidP="00E91B73">
      <w:pPr>
        <w:pStyle w:val="Body"/>
      </w:pPr>
    </w:p>
    <w:p w14:paraId="0F5018E0" w14:textId="7C7502E1" w:rsidR="003A0026" w:rsidRPr="00B9382C" w:rsidRDefault="003A0026" w:rsidP="00E91B73">
      <w:pPr>
        <w:pStyle w:val="Body"/>
      </w:pPr>
    </w:p>
    <w:p w14:paraId="6BE523E1" w14:textId="509E52C4" w:rsidR="003A0026" w:rsidRPr="00B9382C" w:rsidRDefault="003A0026" w:rsidP="00E91B73">
      <w:pPr>
        <w:pStyle w:val="Body"/>
      </w:pPr>
    </w:p>
    <w:p w14:paraId="64DA15EC" w14:textId="1D87EE15" w:rsidR="003A0026" w:rsidRPr="00B9382C" w:rsidRDefault="003A0026" w:rsidP="00E91B73">
      <w:pPr>
        <w:pStyle w:val="Body"/>
      </w:pPr>
    </w:p>
    <w:p w14:paraId="02C54BF6" w14:textId="65FFD5E9" w:rsidR="003A0026" w:rsidRPr="00B9382C" w:rsidRDefault="003A0026" w:rsidP="00E91B73">
      <w:pPr>
        <w:pStyle w:val="Body"/>
      </w:pPr>
    </w:p>
    <w:p w14:paraId="22BE38AB" w14:textId="7690CD9C" w:rsidR="003A0026" w:rsidRPr="00B9382C" w:rsidRDefault="003A0026" w:rsidP="00E91B73">
      <w:pPr>
        <w:pStyle w:val="Body"/>
      </w:pPr>
    </w:p>
    <w:p w14:paraId="2C2CE38B" w14:textId="5122075D" w:rsidR="003A0026" w:rsidRPr="00B9382C" w:rsidRDefault="003A0026" w:rsidP="00E91B73">
      <w:pPr>
        <w:pStyle w:val="Body"/>
      </w:pPr>
    </w:p>
    <w:p w14:paraId="218159A6" w14:textId="7A58E721" w:rsidR="003A0026" w:rsidRPr="00B9382C" w:rsidRDefault="003A0026" w:rsidP="00E91B73">
      <w:pPr>
        <w:pStyle w:val="Body"/>
      </w:pPr>
    </w:p>
    <w:p w14:paraId="3FA7D52C" w14:textId="24A9E050" w:rsidR="003A0026" w:rsidRPr="00B9382C" w:rsidRDefault="003A0026" w:rsidP="00E91B73">
      <w:pPr>
        <w:pStyle w:val="Body"/>
      </w:pPr>
    </w:p>
    <w:p w14:paraId="240F230C" w14:textId="73C04FDC" w:rsidR="003A0026" w:rsidRPr="00B9382C" w:rsidRDefault="003A0026" w:rsidP="00E91B73">
      <w:pPr>
        <w:pStyle w:val="Body"/>
      </w:pPr>
    </w:p>
    <w:p w14:paraId="33C49638" w14:textId="17C3C062" w:rsidR="003A0026" w:rsidRPr="00B9382C" w:rsidRDefault="003A0026" w:rsidP="00E91B73">
      <w:pPr>
        <w:pStyle w:val="Body"/>
      </w:pPr>
    </w:p>
    <w:p w14:paraId="4BB82181" w14:textId="71EA2AA7" w:rsidR="003A0026" w:rsidRPr="00B9382C" w:rsidRDefault="003A0026" w:rsidP="00E91B73">
      <w:pPr>
        <w:pStyle w:val="Body"/>
      </w:pPr>
    </w:p>
    <w:p w14:paraId="3F732BE0" w14:textId="4066F6BC" w:rsidR="003A0026" w:rsidRPr="00B9382C" w:rsidRDefault="003A0026" w:rsidP="00E91B73">
      <w:pPr>
        <w:pStyle w:val="Body"/>
      </w:pPr>
    </w:p>
    <w:p w14:paraId="49145347" w14:textId="2BCBA17D" w:rsidR="003A0026" w:rsidRPr="00B9382C" w:rsidRDefault="003A0026" w:rsidP="00E91B73">
      <w:pPr>
        <w:pStyle w:val="Body"/>
      </w:pPr>
    </w:p>
    <w:p w14:paraId="1541074A" w14:textId="7AC15A73" w:rsidR="003A0026" w:rsidRPr="00B9382C" w:rsidRDefault="003A0026" w:rsidP="00E91B73">
      <w:pPr>
        <w:pStyle w:val="Body"/>
      </w:pPr>
    </w:p>
    <w:p w14:paraId="28732897" w14:textId="06FB1373" w:rsidR="003A0026" w:rsidRPr="00B9382C" w:rsidRDefault="00F61603" w:rsidP="00F61603">
      <w:pPr>
        <w:spacing w:after="0" w:line="240" w:lineRule="auto"/>
        <w:rPr>
          <w:rFonts w:eastAsia="Times"/>
        </w:rPr>
      </w:pPr>
      <w:r w:rsidRPr="00B9382C">
        <w:br w:type="page"/>
      </w:r>
    </w:p>
    <w:bookmarkEnd w:id="1"/>
    <w:p w14:paraId="18B24D3F" w14:textId="7F5040F9" w:rsidR="00E61D1B" w:rsidRPr="00B9382C" w:rsidRDefault="005F4575" w:rsidP="008241F3">
      <w:pPr>
        <w:pStyle w:val="Tablecaption"/>
        <w:spacing w:before="140" w:after="0"/>
        <w:rPr>
          <w:i/>
          <w:iCs/>
        </w:rPr>
      </w:pPr>
      <w:r w:rsidRPr="00B9382C">
        <w:rPr>
          <w:rStyle w:val="Strong"/>
          <w:b/>
          <w:bCs w:val="0"/>
          <w:i/>
          <w:iCs/>
        </w:rPr>
        <w:lastRenderedPageBreak/>
        <w:t xml:space="preserve">FOR ELIGIBLE PATIENTS </w:t>
      </w:r>
      <w:r w:rsidR="00E61D1B" w:rsidRPr="00B9382C">
        <w:rPr>
          <w:rStyle w:val="Strong"/>
          <w:b/>
          <w:bCs w:val="0"/>
          <w:i/>
          <w:iCs/>
        </w:rPr>
        <w:t>FIRST CONSIDER</w:t>
      </w:r>
    </w:p>
    <w:p w14:paraId="1F8C2FB0" w14:textId="2CEC1FD7" w:rsidR="003A7F9B" w:rsidRPr="00B9382C" w:rsidRDefault="003A7F9B" w:rsidP="008241F3">
      <w:pPr>
        <w:pStyle w:val="Heading3"/>
        <w:numPr>
          <w:ilvl w:val="0"/>
          <w:numId w:val="8"/>
        </w:numPr>
        <w:spacing w:before="140" w:afterLines="20" w:after="48"/>
      </w:pPr>
      <w:r w:rsidRPr="00B9382C">
        <w:t>nirmatrelvir and ritonavir (Paxlovid</w:t>
      </w:r>
      <w:r w:rsidRPr="00B9382C">
        <w:rPr>
          <w:vertAlign w:val="superscript"/>
        </w:rPr>
        <w:t>TM</w:t>
      </w:r>
      <w:r w:rsidRPr="00B9382C">
        <w:t>)</w:t>
      </w:r>
    </w:p>
    <w:p w14:paraId="25D24571" w14:textId="2709F15F" w:rsidR="000A43D9" w:rsidRPr="00B9382C" w:rsidRDefault="000A43D9" w:rsidP="006E0C0A">
      <w:pPr>
        <w:pStyle w:val="Body"/>
        <w:spacing w:afterLines="20" w:after="48"/>
      </w:pPr>
      <w:r w:rsidRPr="00B9382C">
        <w:rPr>
          <w:b/>
          <w:bCs/>
        </w:rPr>
        <w:t>Timeframe</w:t>
      </w:r>
      <w:r w:rsidRPr="00B9382C">
        <w:t xml:space="preserve">: Within </w:t>
      </w:r>
      <w:r w:rsidR="005E21DE" w:rsidRPr="00B9382C">
        <w:t>five</w:t>
      </w:r>
      <w:r w:rsidRPr="00B9382C">
        <w:t xml:space="preserve"> days of symptom onset</w:t>
      </w:r>
    </w:p>
    <w:p w14:paraId="664985D4" w14:textId="747E2803" w:rsidR="006733CD" w:rsidRPr="00B9382C" w:rsidRDefault="00E77D2C" w:rsidP="000A43D9">
      <w:pPr>
        <w:pStyle w:val="Body"/>
        <w:rPr>
          <w:lang w:val="en-GB"/>
        </w:rPr>
      </w:pPr>
      <w:r w:rsidRPr="00B9382C">
        <w:rPr>
          <w:b/>
          <w:bCs/>
        </w:rPr>
        <w:t>Administration</w:t>
      </w:r>
      <w:r w:rsidRPr="00B9382C">
        <w:t xml:space="preserve">: </w:t>
      </w:r>
      <w:r w:rsidR="002C524A" w:rsidRPr="00B9382C">
        <w:rPr>
          <w:lang w:val="en-GB"/>
        </w:rPr>
        <w:t>300</w:t>
      </w:r>
      <w:r w:rsidR="00794301" w:rsidRPr="00B9382C">
        <w:rPr>
          <w:lang w:val="en-GB"/>
        </w:rPr>
        <w:t xml:space="preserve"> </w:t>
      </w:r>
      <w:r w:rsidR="002C524A" w:rsidRPr="00B9382C">
        <w:rPr>
          <w:lang w:val="en-GB"/>
        </w:rPr>
        <w:t>mg nirmatrelvir (two 150</w:t>
      </w:r>
      <w:r w:rsidR="00794301" w:rsidRPr="00B9382C">
        <w:rPr>
          <w:lang w:val="en-GB"/>
        </w:rPr>
        <w:t xml:space="preserve"> </w:t>
      </w:r>
      <w:r w:rsidR="002C524A" w:rsidRPr="00B9382C">
        <w:rPr>
          <w:lang w:val="en-GB"/>
        </w:rPr>
        <w:t>mg tablets) with 100</w:t>
      </w:r>
      <w:r w:rsidR="006733CD" w:rsidRPr="00B9382C">
        <w:rPr>
          <w:lang w:val="en-GB"/>
        </w:rPr>
        <w:t xml:space="preserve"> </w:t>
      </w:r>
      <w:r w:rsidR="002C524A" w:rsidRPr="00B9382C">
        <w:rPr>
          <w:lang w:val="en-GB"/>
        </w:rPr>
        <w:t xml:space="preserve">mg ritonavir (one 100 mg tablet), with all three tablets taken together twice daily for </w:t>
      </w:r>
      <w:r w:rsidR="005E21DE" w:rsidRPr="00B9382C">
        <w:rPr>
          <w:lang w:val="en-GB"/>
        </w:rPr>
        <w:t>five</w:t>
      </w:r>
      <w:r w:rsidR="002C524A" w:rsidRPr="00B9382C">
        <w:rPr>
          <w:lang w:val="en-GB"/>
        </w:rPr>
        <w:t xml:space="preserve"> days</w:t>
      </w:r>
      <w:r w:rsidR="00D32D16" w:rsidRPr="00B9382C">
        <w:rPr>
          <w:lang w:val="en-GB"/>
        </w:rPr>
        <w:t xml:space="preserve">. </w:t>
      </w:r>
    </w:p>
    <w:p w14:paraId="3E34815D" w14:textId="08B9B6AE" w:rsidR="002D4B09" w:rsidRPr="00BE1E3D" w:rsidRDefault="00D32D16" w:rsidP="002D4B09">
      <w:pPr>
        <w:rPr>
          <w:sz w:val="16"/>
          <w:szCs w:val="14"/>
        </w:rPr>
      </w:pPr>
      <w:r w:rsidRPr="00B9382C">
        <w:rPr>
          <w:lang w:val="en-GB"/>
        </w:rPr>
        <w:t>If eGFR 30-60</w:t>
      </w:r>
      <w:r w:rsidR="006733CD" w:rsidRPr="00B9382C">
        <w:rPr>
          <w:lang w:val="en-GB"/>
        </w:rPr>
        <w:t xml:space="preserve"> </w:t>
      </w:r>
      <w:r w:rsidRPr="00B9382C">
        <w:rPr>
          <w:lang w:val="en-GB"/>
        </w:rPr>
        <w:t>ml/min then reduce dose to 150</w:t>
      </w:r>
      <w:r w:rsidR="00794301" w:rsidRPr="00B9382C">
        <w:rPr>
          <w:lang w:val="en-GB"/>
        </w:rPr>
        <w:t xml:space="preserve"> </w:t>
      </w:r>
      <w:r w:rsidRPr="00B9382C">
        <w:rPr>
          <w:lang w:val="en-GB"/>
        </w:rPr>
        <w:t>mg nirmatrelvir (one 150</w:t>
      </w:r>
      <w:r w:rsidR="00794301" w:rsidRPr="00B9382C">
        <w:rPr>
          <w:lang w:val="en-GB"/>
        </w:rPr>
        <w:t xml:space="preserve"> </w:t>
      </w:r>
      <w:r w:rsidRPr="00B9382C">
        <w:rPr>
          <w:lang w:val="en-GB"/>
        </w:rPr>
        <w:t xml:space="preserve">mg tablet) with 100mg ritonavir (one 100 mg tablet), with </w:t>
      </w:r>
      <w:r w:rsidR="005C687E" w:rsidRPr="00B9382C">
        <w:rPr>
          <w:lang w:val="en-GB"/>
        </w:rPr>
        <w:t>both</w:t>
      </w:r>
      <w:r w:rsidRPr="00B9382C">
        <w:rPr>
          <w:lang w:val="en-GB"/>
        </w:rPr>
        <w:t xml:space="preserve"> tablets taken together twice daily for </w:t>
      </w:r>
      <w:r w:rsidR="005E21DE" w:rsidRPr="00B9382C">
        <w:rPr>
          <w:lang w:val="en-GB"/>
        </w:rPr>
        <w:t>five</w:t>
      </w:r>
      <w:r w:rsidRPr="00B9382C">
        <w:rPr>
          <w:lang w:val="en-GB"/>
        </w:rPr>
        <w:t xml:space="preserve"> days</w:t>
      </w:r>
      <w:r w:rsidRPr="00323B04">
        <w:rPr>
          <w:lang w:val="en-GB"/>
        </w:rPr>
        <w:t>.</w:t>
      </w:r>
      <w:r w:rsidR="002D4B09" w:rsidRPr="00D33B1B">
        <w:rPr>
          <w:sz w:val="16"/>
          <w:szCs w:val="16"/>
        </w:rPr>
        <w:t xml:space="preserve"> </w:t>
      </w:r>
      <w:r w:rsidR="002D4B09" w:rsidRPr="00D33B1B">
        <w:rPr>
          <w:szCs w:val="21"/>
        </w:rPr>
        <w:t>eGFR testing prior to prescription is not routine. Clinicians to determine need based on an individual’s risk of renal impairment.</w:t>
      </w:r>
    </w:p>
    <w:p w14:paraId="54CFBA7A" w14:textId="77777777" w:rsidR="00AB596F" w:rsidRPr="00B9382C" w:rsidRDefault="000A43D9" w:rsidP="000A43D9">
      <w:pPr>
        <w:pStyle w:val="Body"/>
        <w:rPr>
          <w:lang w:val="en-GB"/>
        </w:rPr>
      </w:pPr>
      <w:r w:rsidRPr="00B9382C">
        <w:rPr>
          <w:b/>
          <w:bCs/>
          <w:lang w:val="en-GB"/>
        </w:rPr>
        <w:t>Contr</w:t>
      </w:r>
      <w:r w:rsidR="00D02D7E" w:rsidRPr="00B9382C">
        <w:rPr>
          <w:b/>
          <w:bCs/>
          <w:lang w:val="en-GB"/>
        </w:rPr>
        <w:t>aindications</w:t>
      </w:r>
      <w:r w:rsidR="00D02D7E" w:rsidRPr="00B9382C">
        <w:rPr>
          <w:lang w:val="en-GB"/>
        </w:rPr>
        <w:t xml:space="preserve">: </w:t>
      </w:r>
    </w:p>
    <w:p w14:paraId="46CEAAF9" w14:textId="3F4E5126" w:rsidR="000A43D9" w:rsidRPr="00F66B79" w:rsidRDefault="00597647" w:rsidP="00F66B79">
      <w:pPr>
        <w:pStyle w:val="Body"/>
        <w:numPr>
          <w:ilvl w:val="0"/>
          <w:numId w:val="7"/>
        </w:numPr>
        <w:spacing w:after="80"/>
        <w:ind w:left="357" w:hanging="357"/>
        <w:rPr>
          <w:lang w:val="en-GB"/>
        </w:rPr>
      </w:pPr>
      <w:r w:rsidRPr="00B9382C">
        <w:rPr>
          <w:lang w:val="en-GB"/>
        </w:rPr>
        <w:t>Severe renal (eGFR &lt;</w:t>
      </w:r>
      <w:r w:rsidR="006733CD" w:rsidRPr="00B9382C">
        <w:rPr>
          <w:lang w:val="en-GB"/>
        </w:rPr>
        <w:t xml:space="preserve"> </w:t>
      </w:r>
      <w:r w:rsidRPr="00B9382C">
        <w:rPr>
          <w:lang w:val="en-GB"/>
        </w:rPr>
        <w:t>30</w:t>
      </w:r>
      <w:r w:rsidR="00AA7AFB" w:rsidRPr="00B9382C">
        <w:rPr>
          <w:lang w:val="en-GB"/>
        </w:rPr>
        <w:t xml:space="preserve"> </w:t>
      </w:r>
      <w:r w:rsidRPr="00B9382C">
        <w:rPr>
          <w:lang w:val="en-GB"/>
        </w:rPr>
        <w:t>ml/min)</w:t>
      </w:r>
      <w:r w:rsidR="00F66B79">
        <w:rPr>
          <w:lang w:val="en-GB"/>
        </w:rPr>
        <w:t xml:space="preserve"> or </w:t>
      </w:r>
      <w:r w:rsidRPr="00F66B79">
        <w:rPr>
          <w:lang w:val="en-GB"/>
        </w:rPr>
        <w:t>hepatic impairment</w:t>
      </w:r>
      <w:r w:rsidR="00AB596F" w:rsidRPr="00F66B79">
        <w:rPr>
          <w:lang w:val="en-GB"/>
        </w:rPr>
        <w:t xml:space="preserve"> (Child-Pugh Class C)</w:t>
      </w:r>
    </w:p>
    <w:p w14:paraId="1C5699E5" w14:textId="553260D5" w:rsidR="00556C8A" w:rsidRPr="00D60B94" w:rsidRDefault="00556C8A" w:rsidP="00D60B94">
      <w:pPr>
        <w:pStyle w:val="ListParagraph"/>
        <w:numPr>
          <w:ilvl w:val="0"/>
          <w:numId w:val="7"/>
        </w:numPr>
        <w:spacing w:after="80"/>
        <w:ind w:left="357" w:hanging="357"/>
        <w:rPr>
          <w:rFonts w:eastAsia="Times"/>
          <w:lang w:val="en-GB"/>
        </w:rPr>
      </w:pPr>
      <w:r w:rsidRPr="00B9382C">
        <w:rPr>
          <w:rFonts w:eastAsia="Times"/>
          <w:lang w:val="en-GB"/>
        </w:rPr>
        <w:t>Co-administration with drugs highly dependent on CYP3A4, 2D6, p</w:t>
      </w:r>
      <w:r w:rsidR="00342198" w:rsidRPr="00B9382C">
        <w:rPr>
          <w:rFonts w:eastAsia="Times"/>
          <w:lang w:val="en-GB"/>
        </w:rPr>
        <w:t>-</w:t>
      </w:r>
      <w:r w:rsidRPr="00B9382C">
        <w:rPr>
          <w:rFonts w:eastAsia="Times"/>
          <w:lang w:val="en-GB"/>
        </w:rPr>
        <w:t>glycoprotein and specific transporter proteins for which elevated concentrations are associated with serious and/or life threatening reactions</w:t>
      </w:r>
      <w:r w:rsidR="00342198" w:rsidRPr="00B9382C">
        <w:rPr>
          <w:rFonts w:eastAsia="Times"/>
          <w:lang w:val="en-GB"/>
        </w:rPr>
        <w:t xml:space="preserve"> (unless the medication can be stopped for 8 days after commencing </w:t>
      </w:r>
      <w:r w:rsidR="00FF2D03">
        <w:rPr>
          <w:rFonts w:eastAsia="Times"/>
          <w:lang w:val="en-GB"/>
        </w:rPr>
        <w:t>Paxl</w:t>
      </w:r>
      <w:r w:rsidR="00D60B94">
        <w:rPr>
          <w:rFonts w:eastAsia="Times"/>
          <w:lang w:val="en-GB"/>
        </w:rPr>
        <w:t>ovid</w:t>
      </w:r>
      <w:r w:rsidR="00D60B94" w:rsidRPr="00D60B94">
        <w:rPr>
          <w:rFonts w:eastAsia="Times"/>
          <w:vertAlign w:val="superscript"/>
          <w:lang w:val="en-GB"/>
        </w:rPr>
        <w:t>TM</w:t>
      </w:r>
      <w:r w:rsidR="00342198" w:rsidRPr="00B9382C">
        <w:rPr>
          <w:rFonts w:eastAsia="Times"/>
          <w:lang w:val="en-GB"/>
        </w:rPr>
        <w:t>)</w:t>
      </w:r>
      <w:r w:rsidR="00D60B94">
        <w:rPr>
          <w:rFonts w:eastAsia="Times"/>
          <w:lang w:val="en-GB"/>
        </w:rPr>
        <w:t xml:space="preserve">. </w:t>
      </w:r>
      <w:r w:rsidRPr="00D60B94">
        <w:rPr>
          <w:rFonts w:eastAsia="Times"/>
          <w:lang w:val="en-GB"/>
        </w:rPr>
        <w:t>Co-administration with potent CYP3A4 inducers where significantly reduced nirmatrelvir or ritonavir plasma concentrations may be associated with the potential for loss of virologic response and possible resistance</w:t>
      </w:r>
      <w:r w:rsidR="008304B9">
        <w:rPr>
          <w:rFonts w:eastAsia="Times"/>
          <w:lang w:val="en-GB"/>
        </w:rPr>
        <w:t>.</w:t>
      </w:r>
    </w:p>
    <w:p w14:paraId="5712689C" w14:textId="706F3CBE" w:rsidR="00082590" w:rsidRPr="00B9382C" w:rsidRDefault="00AA7AFB" w:rsidP="001F5C07">
      <w:pPr>
        <w:pStyle w:val="Body"/>
        <w:numPr>
          <w:ilvl w:val="0"/>
          <w:numId w:val="7"/>
        </w:numPr>
        <w:spacing w:after="80"/>
        <w:ind w:left="357" w:hanging="357"/>
        <w:rPr>
          <w:lang w:val="en-GB"/>
        </w:rPr>
      </w:pPr>
      <w:r w:rsidRPr="00B9382C">
        <w:rPr>
          <w:lang w:val="en-GB"/>
        </w:rPr>
        <w:t>Hypersensitivity to active ingredients or other</w:t>
      </w:r>
      <w:r w:rsidR="00F804F4" w:rsidRPr="00B9382C">
        <w:rPr>
          <w:lang w:val="en-GB"/>
        </w:rPr>
        <w:t xml:space="preserve"> </w:t>
      </w:r>
      <w:r w:rsidRPr="00B9382C">
        <w:rPr>
          <w:lang w:val="en-GB"/>
        </w:rPr>
        <w:t>components of the product</w:t>
      </w:r>
    </w:p>
    <w:p w14:paraId="451C6ABE" w14:textId="36596F32" w:rsidR="00794301" w:rsidRPr="00B9382C" w:rsidRDefault="00794301" w:rsidP="001F5C07">
      <w:pPr>
        <w:pStyle w:val="Body"/>
        <w:numPr>
          <w:ilvl w:val="0"/>
          <w:numId w:val="7"/>
        </w:numPr>
        <w:spacing w:after="80"/>
        <w:ind w:left="357" w:hanging="357"/>
        <w:rPr>
          <w:lang w:val="en-GB"/>
        </w:rPr>
      </w:pPr>
      <w:r w:rsidRPr="00B9382C">
        <w:rPr>
          <w:lang w:val="en-GB"/>
        </w:rPr>
        <w:t>Weight &lt;</w:t>
      </w:r>
      <w:r w:rsidR="00B76F97" w:rsidRPr="00B9382C">
        <w:rPr>
          <w:lang w:val="en-GB"/>
        </w:rPr>
        <w:t xml:space="preserve"> </w:t>
      </w:r>
      <w:r w:rsidRPr="00B9382C">
        <w:rPr>
          <w:lang w:val="en-GB"/>
        </w:rPr>
        <w:t>40</w:t>
      </w:r>
      <w:r w:rsidR="00AA7AFB" w:rsidRPr="00B9382C">
        <w:rPr>
          <w:lang w:val="en-GB"/>
        </w:rPr>
        <w:t xml:space="preserve"> </w:t>
      </w:r>
      <w:r w:rsidRPr="00B9382C">
        <w:rPr>
          <w:lang w:val="en-GB"/>
        </w:rPr>
        <w:t>kg</w:t>
      </w:r>
    </w:p>
    <w:p w14:paraId="73F8BB95" w14:textId="216698FE" w:rsidR="008D4A88" w:rsidRPr="00B9382C" w:rsidRDefault="008D4A88" w:rsidP="001F5C07">
      <w:pPr>
        <w:pStyle w:val="Body"/>
        <w:numPr>
          <w:ilvl w:val="0"/>
          <w:numId w:val="7"/>
        </w:numPr>
        <w:spacing w:after="80"/>
        <w:ind w:left="357" w:hanging="357"/>
      </w:pPr>
      <w:r w:rsidRPr="00B9382C">
        <w:t>Category B3 - do not use in pregnant women</w:t>
      </w:r>
      <w:r w:rsidR="00342198" w:rsidRPr="00B9382C">
        <w:t xml:space="preserve"> and in women of childbearing potential not using contraception.</w:t>
      </w:r>
      <w:r w:rsidRPr="00B9382C">
        <w:t xml:space="preserve"> Women should avoid becoming pregnant during treatment and until 7 days after treatment ceases.</w:t>
      </w:r>
    </w:p>
    <w:p w14:paraId="7DB3C0CF" w14:textId="3423EDD6" w:rsidR="008D4A88" w:rsidRPr="00B9382C" w:rsidRDefault="008D4A88" w:rsidP="001F5C07">
      <w:pPr>
        <w:pStyle w:val="Body"/>
        <w:numPr>
          <w:ilvl w:val="0"/>
          <w:numId w:val="7"/>
        </w:numPr>
        <w:spacing w:after="80"/>
        <w:ind w:left="357" w:hanging="357"/>
      </w:pPr>
      <w:r w:rsidRPr="00B9382C">
        <w:t>Do not use in breastfeeding women. Breastfeeding can commence 7 days after treatment ceases.</w:t>
      </w:r>
    </w:p>
    <w:p w14:paraId="3F06AAED" w14:textId="36BA3BF9" w:rsidR="00DF443E" w:rsidRPr="00B9382C" w:rsidRDefault="00DF443E" w:rsidP="000A43D9">
      <w:pPr>
        <w:pStyle w:val="Body"/>
        <w:rPr>
          <w:b/>
          <w:bCs/>
        </w:rPr>
      </w:pPr>
      <w:r w:rsidRPr="00B9382C">
        <w:rPr>
          <w:b/>
          <w:bCs/>
        </w:rPr>
        <w:t>Precautions:</w:t>
      </w:r>
    </w:p>
    <w:p w14:paraId="7DC29D9F" w14:textId="200B9D38" w:rsidR="006B077F" w:rsidRPr="00B9382C" w:rsidRDefault="006B077F" w:rsidP="001F5C07">
      <w:pPr>
        <w:pStyle w:val="Body"/>
        <w:numPr>
          <w:ilvl w:val="0"/>
          <w:numId w:val="7"/>
        </w:numPr>
        <w:spacing w:after="80"/>
        <w:ind w:left="357" w:hanging="357"/>
      </w:pPr>
      <w:r w:rsidRPr="00B9382C">
        <w:t>HIV viral load &gt;</w:t>
      </w:r>
      <w:r w:rsidR="00B76F97" w:rsidRPr="00B9382C">
        <w:t xml:space="preserve"> </w:t>
      </w:r>
      <w:r w:rsidRPr="00B9382C">
        <w:t>400 copies/ml</w:t>
      </w:r>
    </w:p>
    <w:p w14:paraId="0C43300E" w14:textId="1BC2D46C" w:rsidR="002C524A" w:rsidRPr="00B9382C" w:rsidRDefault="002C524A" w:rsidP="001F5C07">
      <w:pPr>
        <w:pStyle w:val="Body"/>
        <w:numPr>
          <w:ilvl w:val="0"/>
          <w:numId w:val="7"/>
        </w:numPr>
        <w:spacing w:after="80"/>
        <w:ind w:left="357" w:hanging="357"/>
      </w:pPr>
      <w:r>
        <w:t xml:space="preserve">Significant drug interactions are expected with the concomitant use of </w:t>
      </w:r>
      <w:r w:rsidR="008808BF">
        <w:t>nirmatrelvir and ritonavir (</w:t>
      </w:r>
      <w:r>
        <w:t>Paxlovid</w:t>
      </w:r>
      <w:r w:rsidRPr="66F7092B">
        <w:rPr>
          <w:vertAlign w:val="superscript"/>
        </w:rPr>
        <w:t>TM</w:t>
      </w:r>
      <w:r w:rsidR="008808BF">
        <w:t xml:space="preserve">) </w:t>
      </w:r>
      <w:r>
        <w:t>and many other drugs</w:t>
      </w:r>
      <w:r w:rsidR="00E37B50">
        <w:t xml:space="preserve">. </w:t>
      </w:r>
      <w:r>
        <w:t>An accurate medication history must be complied to ensure that drug-drug interactions can be managed appropriately and the plan communicated clearly to the patient. Potential drug interactions must be reviewed by both the clinician when considering prescribing the medication and also a pharmacist reviewing potential interacting medications</w:t>
      </w:r>
      <w:r w:rsidR="00E37B50">
        <w:t>.</w:t>
      </w:r>
    </w:p>
    <w:p w14:paraId="4FAC92FC" w14:textId="60A48296" w:rsidR="00873B77" w:rsidRPr="00873B77" w:rsidRDefault="00873B77" w:rsidP="00873B77">
      <w:pPr>
        <w:pStyle w:val="ListParagraph"/>
        <w:numPr>
          <w:ilvl w:val="0"/>
          <w:numId w:val="7"/>
        </w:numPr>
        <w:rPr>
          <w:rFonts w:eastAsia="Times"/>
          <w:highlight w:val="yellow"/>
        </w:rPr>
      </w:pPr>
      <w:r w:rsidRPr="00873B77">
        <w:rPr>
          <w:rFonts w:eastAsia="Times"/>
          <w:highlight w:val="yellow"/>
        </w:rPr>
        <w:t>Preference is to be able to swallow tablets whole. Tablets can be crushed where necessary where it is deemed appropriate.</w:t>
      </w:r>
    </w:p>
    <w:p w14:paraId="78CF13FE" w14:textId="21F85A4A" w:rsidR="001434FF" w:rsidRPr="00D33B1B" w:rsidRDefault="001434FF" w:rsidP="001F5C07">
      <w:pPr>
        <w:pStyle w:val="Body"/>
        <w:numPr>
          <w:ilvl w:val="0"/>
          <w:numId w:val="7"/>
        </w:numPr>
        <w:spacing w:after="80"/>
        <w:ind w:left="357" w:hanging="357"/>
      </w:pPr>
      <w:r w:rsidRPr="00D33B1B">
        <w:t xml:space="preserve">Patients </w:t>
      </w:r>
      <w:r w:rsidR="00AD4642" w:rsidRPr="00D33B1B">
        <w:t>should</w:t>
      </w:r>
      <w:r w:rsidRPr="00D33B1B">
        <w:t xml:space="preserve"> be informed of </w:t>
      </w:r>
      <w:r w:rsidR="005371B4" w:rsidRPr="00D33B1B">
        <w:t xml:space="preserve">the </w:t>
      </w:r>
      <w:r w:rsidRPr="00D33B1B">
        <w:t>risk of rebound, and to re-isolate</w:t>
      </w:r>
      <w:r w:rsidR="00111E92" w:rsidRPr="00D33B1B">
        <w:t xml:space="preserve"> </w:t>
      </w:r>
      <w:r w:rsidRPr="00D33B1B">
        <w:t>if symptoms</w:t>
      </w:r>
      <w:r w:rsidR="00F41718" w:rsidRPr="00D33B1B">
        <w:t xml:space="preserve"> </w:t>
      </w:r>
      <w:r w:rsidR="00111E92" w:rsidRPr="00D33B1B">
        <w:t>reoccur</w:t>
      </w:r>
      <w:r w:rsidR="00F41718" w:rsidRPr="00D33B1B">
        <w:t>.</w:t>
      </w:r>
    </w:p>
    <w:p w14:paraId="62BF202D" w14:textId="04514274" w:rsidR="00E37B50" w:rsidRPr="00B9382C" w:rsidRDefault="00055244" w:rsidP="00055244">
      <w:pPr>
        <w:pStyle w:val="Body"/>
        <w:rPr>
          <w:b/>
          <w:bCs/>
        </w:rPr>
      </w:pPr>
      <w:r w:rsidRPr="00B9382C">
        <w:rPr>
          <w:b/>
          <w:bCs/>
        </w:rPr>
        <w:t>Further information:</w:t>
      </w:r>
    </w:p>
    <w:p w14:paraId="5152EAFB" w14:textId="33664A73" w:rsidR="001E1680" w:rsidRPr="00B9382C" w:rsidRDefault="00293D73" w:rsidP="001E1680">
      <w:pPr>
        <w:pStyle w:val="Body"/>
      </w:pPr>
      <w:hyperlink r:id="rId29" w:history="1">
        <w:r w:rsidR="001E1680" w:rsidRPr="00B9382C">
          <w:rPr>
            <w:rStyle w:val="Hyperlink"/>
          </w:rPr>
          <w:t>University of Liverpool COVID-19 Drug Interactions resource</w:t>
        </w:r>
      </w:hyperlink>
      <w:r w:rsidR="001E1680" w:rsidRPr="00B9382C">
        <w:t xml:space="preserve"> </w:t>
      </w:r>
      <w:r w:rsidR="007D39D3" w:rsidRPr="00B9382C">
        <w:t>&lt;</w:t>
      </w:r>
      <w:r w:rsidR="00AB2BA0" w:rsidRPr="00B9382C">
        <w:t>https://www.covid19-druginteractions.org/</w:t>
      </w:r>
      <w:r w:rsidR="007D39D3" w:rsidRPr="00B9382C">
        <w:t>&gt;</w:t>
      </w:r>
      <w:r w:rsidR="00AB2BA0" w:rsidRPr="00B9382C">
        <w:t xml:space="preserve"> (also available as an app on mobile devices – search </w:t>
      </w:r>
      <w:r w:rsidR="00E6611E" w:rsidRPr="00B9382C">
        <w:t>for ‘</w:t>
      </w:r>
      <w:r w:rsidR="00AB2BA0" w:rsidRPr="00B9382C">
        <w:t>COVID-19 iChart</w:t>
      </w:r>
      <w:r w:rsidR="00E6611E" w:rsidRPr="00B9382C">
        <w:t>’</w:t>
      </w:r>
      <w:r w:rsidR="00AB2BA0" w:rsidRPr="00B9382C">
        <w:t xml:space="preserve"> on App Store or Goo</w:t>
      </w:r>
      <w:r w:rsidR="00E6611E" w:rsidRPr="00B9382C">
        <w:t>gle Play)</w:t>
      </w:r>
    </w:p>
    <w:p w14:paraId="13037AE8" w14:textId="137076EC" w:rsidR="00B70CB5" w:rsidRPr="00B9382C" w:rsidRDefault="00293D73" w:rsidP="001E1680">
      <w:pPr>
        <w:pStyle w:val="Body"/>
      </w:pPr>
      <w:hyperlink r:id="rId30" w:history="1">
        <w:r w:rsidR="00B70CB5" w:rsidRPr="004F2CCA">
          <w:rPr>
            <w:rStyle w:val="Hyperlink"/>
            <w:highlight w:val="yellow"/>
          </w:rPr>
          <w:t>Administering Paxlovid as Crushed Tablets</w:t>
        </w:r>
      </w:hyperlink>
      <w:r w:rsidR="00E649E5" w:rsidRPr="004F2CCA">
        <w:rPr>
          <w:highlight w:val="yellow"/>
        </w:rPr>
        <w:t xml:space="preserve"> &lt;https://www.covid19-druginteractions.org/prescribing_resources/paxlovid-crushing-tablets&gt;</w:t>
      </w:r>
    </w:p>
    <w:p w14:paraId="1F1E6808" w14:textId="46B8984E" w:rsidR="007C7EF1" w:rsidRPr="00B9382C" w:rsidRDefault="00293D73" w:rsidP="007C7EF1">
      <w:pPr>
        <w:pStyle w:val="Body"/>
        <w:spacing w:after="0"/>
      </w:pPr>
      <w:hyperlink r:id="rId31" w:anchor="/guideline/L4Q5An/section/LA6kkM">
        <w:r w:rsidR="00497B4E" w:rsidRPr="1123060A">
          <w:rPr>
            <w:rStyle w:val="Hyperlink"/>
          </w:rPr>
          <w:t>Australian guidelines for the clinical care of people with COVID-19</w:t>
        </w:r>
      </w:hyperlink>
      <w:r w:rsidR="00497B4E">
        <w:t xml:space="preserve"> </w:t>
      </w:r>
    </w:p>
    <w:p w14:paraId="78CE9759" w14:textId="69048C31" w:rsidR="00497B4E" w:rsidRPr="00B9382C" w:rsidRDefault="00497B4E" w:rsidP="007C7EF1">
      <w:pPr>
        <w:pStyle w:val="Body"/>
      </w:pPr>
      <w:r>
        <w:t>&lt;</w:t>
      </w:r>
      <w:hyperlink r:id="rId32" w:anchor="/guideline/L4Q5An/section/LA6kkM">
        <w:r w:rsidR="00952A96" w:rsidRPr="1123060A">
          <w:rPr>
            <w:rStyle w:val="Hyperlink"/>
          </w:rPr>
          <w:t>https://app.magicapp.org/#/guideline/L4Q5An/section/LA6kkM</w:t>
        </w:r>
      </w:hyperlink>
      <w:r w:rsidR="007C7EF1">
        <w:t>&gt;</w:t>
      </w:r>
    </w:p>
    <w:p w14:paraId="218DB393" w14:textId="53197CEC" w:rsidR="00952A96" w:rsidRPr="00B9382C" w:rsidRDefault="00293D73" w:rsidP="00952A96">
      <w:pPr>
        <w:pStyle w:val="Body"/>
      </w:pPr>
      <w:hyperlink r:id="rId33">
        <w:r w:rsidR="00952A96" w:rsidRPr="1123060A">
          <w:rPr>
            <w:rStyle w:val="Hyperlink"/>
          </w:rPr>
          <w:t>IDSA Management of Drug Interactions With Nirmatrelvir/Ritonavir (Paxlovid®): Resource for Clinicians</w:t>
        </w:r>
      </w:hyperlink>
      <w:r w:rsidR="00952A96">
        <w:t xml:space="preserve"> </w:t>
      </w:r>
      <w:r w:rsidR="007D39D3">
        <w:t>&lt;https://www.idsociety.org/globalassets/idsa/practice-guidelines/covid-19/treatment/idsa-paxlovid-drug-interactions-resource-5-6-22-v1.1.pdf&gt;</w:t>
      </w:r>
    </w:p>
    <w:p w14:paraId="24968D04" w14:textId="480EC012" w:rsidR="00241B79" w:rsidRPr="00B9382C" w:rsidRDefault="00293D73" w:rsidP="007C7EF1">
      <w:pPr>
        <w:pStyle w:val="Body"/>
      </w:pPr>
      <w:hyperlink r:id="rId34">
        <w:r w:rsidR="00497B4E" w:rsidRPr="56490CC6">
          <w:rPr>
            <w:rStyle w:val="Hyperlink"/>
          </w:rPr>
          <w:t>Product information</w:t>
        </w:r>
      </w:hyperlink>
      <w:r w:rsidR="00164BCA">
        <w:t xml:space="preserve"> &lt;https://www.tga.gov.au/sites/default/files/paxlovid-pi.pdf&gt;</w:t>
      </w:r>
    </w:p>
    <w:p w14:paraId="764FABBC" w14:textId="2916A810" w:rsidR="00647D0F" w:rsidRPr="00CC30C6" w:rsidRDefault="00293D73" w:rsidP="00CC30C6">
      <w:pPr>
        <w:spacing w:line="257" w:lineRule="auto"/>
        <w:rPr>
          <w:highlight w:val="yellow"/>
        </w:rPr>
      </w:pPr>
      <w:hyperlink r:id="rId35">
        <w:r w:rsidR="00647D0F" w:rsidRPr="00CC30C6">
          <w:rPr>
            <w:rStyle w:val="Hyperlink"/>
          </w:rPr>
          <w:t>Consumer information</w:t>
        </w:r>
      </w:hyperlink>
      <w:r w:rsidR="00164BCA" w:rsidRPr="00CC30C6">
        <w:t xml:space="preserve"> </w:t>
      </w:r>
      <w:r w:rsidR="00164BCA" w:rsidRPr="00D33B1B">
        <w:rPr>
          <w:rFonts w:cs="Arial"/>
          <w:szCs w:val="21"/>
          <w:highlight w:val="yellow"/>
        </w:rPr>
        <w:t>&lt;</w:t>
      </w:r>
      <w:r w:rsidR="70C31099" w:rsidRPr="00CC30C6">
        <w:rPr>
          <w:rFonts w:eastAsia="Calibri" w:cs="Arial"/>
          <w:szCs w:val="21"/>
          <w:highlight w:val="yellow"/>
        </w:rPr>
        <w:t>https://www.ebs.tga.gov.au/ebs/picmi/picmirepository.nsf/pdf?OpenAgent&amp;id=CP-2022-CMI-01050-1&amp;d=20221021172310101</w:t>
      </w:r>
      <w:r w:rsidR="00CC30C6">
        <w:rPr>
          <w:rFonts w:eastAsia="Calibri" w:cs="Arial"/>
          <w:szCs w:val="21"/>
          <w:highlight w:val="yellow"/>
        </w:rPr>
        <w:t>&gt;</w:t>
      </w:r>
    </w:p>
    <w:p w14:paraId="264814F8" w14:textId="0D5E4E9C" w:rsidR="00C22F89" w:rsidRPr="00B9382C" w:rsidRDefault="002C524A" w:rsidP="001E1680">
      <w:pPr>
        <w:pStyle w:val="Body"/>
        <w:sectPr w:rsidR="00C22F89" w:rsidRPr="00B9382C" w:rsidSect="00E62622">
          <w:footerReference w:type="default" r:id="rId36"/>
          <w:type w:val="continuous"/>
          <w:pgSz w:w="11906" w:h="16838" w:code="9"/>
          <w:pgMar w:top="1418" w:right="851" w:bottom="1418" w:left="851" w:header="680" w:footer="851" w:gutter="0"/>
          <w:cols w:space="340"/>
          <w:docGrid w:linePitch="360"/>
        </w:sectPr>
      </w:pPr>
      <w:r w:rsidRPr="00B9382C">
        <w:t>Lexicomp Interaction Checker or Australian Medicines Handbook Interaction Checkers (accessible via</w:t>
      </w:r>
      <w:r w:rsidR="00496300" w:rsidRPr="00B9382C">
        <w:t xml:space="preserve"> </w:t>
      </w:r>
      <w:hyperlink r:id="rId37" w:history="1">
        <w:r w:rsidRPr="00B9382C">
          <w:rPr>
            <w:rStyle w:val="Hyperlink"/>
          </w:rPr>
          <w:t>Clinicians Health Channel</w:t>
        </w:r>
      </w:hyperlink>
      <w:r w:rsidRPr="00B9382C">
        <w:t xml:space="preserve"> for list of CYP3A4 &amp; 2D6 substrates/inducers)</w:t>
      </w:r>
      <w:r w:rsidR="0056002E" w:rsidRPr="00B9382C">
        <w:t xml:space="preserve"> </w:t>
      </w:r>
      <w:r w:rsidR="001E1680" w:rsidRPr="00B9382C">
        <w:t>&lt;</w:t>
      </w:r>
      <w:r w:rsidR="000037EA" w:rsidRPr="00B9382C">
        <w:t>https://www.clinicians.vic.gov.au/</w:t>
      </w:r>
      <w:r w:rsidR="001E1680" w:rsidRPr="00B9382C">
        <w:t>&gt;</w:t>
      </w:r>
    </w:p>
    <w:p w14:paraId="3416DA33" w14:textId="5EFF01D9" w:rsidR="002A4359" w:rsidRDefault="00293D73" w:rsidP="002A4359">
      <w:pPr>
        <w:spacing w:after="0" w:line="240" w:lineRule="auto"/>
      </w:pPr>
      <w:r>
        <w:rPr>
          <w:noProof/>
        </w:rPr>
        <w:lastRenderedPageBreak/>
        <w:pict w14:anchorId="736A7376">
          <v:shape id="Text Box 2" o:spid="_x0000_s2069" type="#_x0000_t202" style="position:absolute;margin-left:-27.9pt;margin-top:447.65pt;width:766.85pt;height:51pt;z-index:25165824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" stroked="f">
            <v:textbox style="mso-next-textbox:#Text Box 2">
              <w:txbxContent>
                <w:p w14:paraId="5D769F34" w14:textId="5696E2F4" w:rsidR="005226C4" w:rsidRPr="00BE1E3D" w:rsidRDefault="005226C4">
                  <w:pPr>
                    <w:rPr>
                      <w:sz w:val="16"/>
                      <w:szCs w:val="14"/>
                    </w:rPr>
                  </w:pPr>
                  <w:r w:rsidRPr="004B14BD">
                    <w:rPr>
                      <w:sz w:val="16"/>
                      <w:szCs w:val="14"/>
                    </w:rPr>
                    <w:t>Flow</w:t>
                  </w:r>
                  <w:r w:rsidR="00AF4CC7" w:rsidRPr="004B14BD">
                    <w:rPr>
                      <w:sz w:val="16"/>
                      <w:szCs w:val="14"/>
                    </w:rPr>
                    <w:t xml:space="preserve"> </w:t>
                  </w:r>
                  <w:r w:rsidRPr="004B14BD">
                    <w:rPr>
                      <w:sz w:val="16"/>
                      <w:szCs w:val="14"/>
                    </w:rPr>
                    <w:t xml:space="preserve">chart based on </w:t>
                  </w:r>
                  <w:r w:rsidR="000C28A4" w:rsidRPr="004B14BD">
                    <w:rPr>
                      <w:sz w:val="16"/>
                      <w:szCs w:val="14"/>
                    </w:rPr>
                    <w:t xml:space="preserve">University of Liverpool </w:t>
                  </w:r>
                  <w:hyperlink r:id="rId38" w:history="1">
                    <w:r w:rsidR="000C28A4" w:rsidRPr="004B14BD">
                      <w:rPr>
                        <w:rStyle w:val="Hyperlink"/>
                        <w:sz w:val="16"/>
                        <w:szCs w:val="14"/>
                      </w:rPr>
                      <w:t>Assessing a patient for treatment with Paxlovid</w:t>
                    </w:r>
                  </w:hyperlink>
                  <w:r w:rsidR="005D0B3C" w:rsidRPr="004B14BD">
                    <w:rPr>
                      <w:sz w:val="16"/>
                      <w:szCs w:val="14"/>
                    </w:rPr>
                    <w:t xml:space="preserve"> &lt;https://www.covid19-druginteractions.org/prescribing_resources/paxlovid-patient-assessment</w:t>
                  </w:r>
                  <w:r w:rsidR="00BE1E3D" w:rsidRPr="004B14BD">
                    <w:rPr>
                      <w:sz w:val="16"/>
                      <w:szCs w:val="14"/>
                    </w:rPr>
                    <w:t>&gt;</w:t>
                  </w:r>
                  <w:r w:rsidR="00AF4CC7" w:rsidRPr="004B14BD">
                    <w:rPr>
                      <w:sz w:val="16"/>
                      <w:szCs w:val="14"/>
                    </w:rPr>
                    <w:t xml:space="preserve"> flow chart </w:t>
                  </w:r>
                  <w:r w:rsidR="009B1424" w:rsidRPr="004B14BD">
                    <w:rPr>
                      <w:sz w:val="16"/>
                      <w:szCs w:val="14"/>
                    </w:rPr>
                    <w:t xml:space="preserve">(March 2022) </w:t>
                  </w:r>
                  <w:r w:rsidR="000C28A4" w:rsidRPr="004B14BD">
                    <w:rPr>
                      <w:sz w:val="16"/>
                      <w:szCs w:val="14"/>
                    </w:rPr>
                    <w:t xml:space="preserve">and The Northern Hospital Treatment of </w:t>
                  </w:r>
                  <w:r w:rsidR="005D0B3C" w:rsidRPr="004B14BD">
                    <w:rPr>
                      <w:sz w:val="16"/>
                      <w:szCs w:val="14"/>
                    </w:rPr>
                    <w:t>p</w:t>
                  </w:r>
                  <w:r w:rsidR="000C28A4" w:rsidRPr="004B14BD">
                    <w:rPr>
                      <w:sz w:val="16"/>
                      <w:szCs w:val="14"/>
                    </w:rPr>
                    <w:t>atients with</w:t>
                  </w:r>
                  <w:r w:rsidR="005D0B3C" w:rsidRPr="004B14BD">
                    <w:rPr>
                      <w:sz w:val="16"/>
                      <w:szCs w:val="14"/>
                    </w:rPr>
                    <w:t xml:space="preserve"> mild/early COVID-19 </w:t>
                  </w:r>
                  <w:r w:rsidR="00AF4CC7" w:rsidRPr="004B14BD">
                    <w:rPr>
                      <w:sz w:val="16"/>
                      <w:szCs w:val="14"/>
                    </w:rPr>
                    <w:t>flow chart</w:t>
                  </w:r>
                  <w:r w:rsidR="00EB494F">
                    <w:rPr>
                      <w:sz w:val="16"/>
                      <w:szCs w:val="14"/>
                    </w:rPr>
                    <w:t xml:space="preserve">. </w:t>
                  </w:r>
                </w:p>
              </w:txbxContent>
            </v:textbox>
          </v:shape>
        </w:pict>
      </w:r>
    </w:p>
    <w:p w14:paraId="469D7F3B" w14:textId="4FE3316D" w:rsidR="00C22F89" w:rsidRDefault="56342B0C">
      <w:pPr>
        <w:spacing w:after="0" w:line="240" w:lineRule="auto"/>
        <w:rPr>
          <w:rFonts w:eastAsia="Times"/>
          <w:b/>
        </w:rPr>
      </w:pPr>
      <w:r w:rsidRPr="004D4760">
        <w:rPr>
          <w:b/>
          <w:bCs/>
          <w:highlight w:val="yellow"/>
        </w:rPr>
        <w:t>Figure 2. Nirmatrelvir and ritonavir (Paxlovid</w:t>
      </w:r>
      <w:r w:rsidRPr="004D4760">
        <w:rPr>
          <w:b/>
          <w:bCs/>
          <w:highlight w:val="yellow"/>
          <w:vertAlign w:val="superscript"/>
        </w:rPr>
        <w:t>TM</w:t>
      </w:r>
      <w:r w:rsidRPr="004D4760">
        <w:rPr>
          <w:b/>
          <w:bCs/>
          <w:highlight w:val="yellow"/>
        </w:rPr>
        <w:t>) prescribing considerations</w:t>
      </w:r>
    </w:p>
    <w:p w14:paraId="145B3C9B" w14:textId="7628B61F" w:rsidR="002A4359" w:rsidRPr="00B9382C" w:rsidRDefault="007C354C">
      <w:pPr>
        <w:spacing w:after="0" w:line="240" w:lineRule="auto"/>
        <w:rPr>
          <w:rFonts w:eastAsia="Times"/>
        </w:rPr>
      </w:pPr>
      <w:r>
        <w:rPr>
          <w:noProof/>
        </w:rPr>
        <w:drawing>
          <wp:anchor distT="0" distB="0" distL="114300" distR="114300" simplePos="0" relativeHeight="251658249" behindDoc="0" locked="0" layoutInCell="1" allowOverlap="1" wp14:anchorId="3CFCD6FE" wp14:editId="0768BE26">
            <wp:simplePos x="0" y="0"/>
            <wp:positionH relativeFrom="column">
              <wp:posOffset>1341</wp:posOffset>
            </wp:positionH>
            <wp:positionV relativeFrom="paragraph">
              <wp:posOffset>215900</wp:posOffset>
            </wp:positionV>
            <wp:extent cx="8891128" cy="50012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9"/>
                    <a:stretch>
                      <a:fillRect/>
                    </a:stretch>
                  </pic:blipFill>
                  <pic:spPr>
                    <a:xfrm>
                      <a:off x="0" y="0"/>
                      <a:ext cx="8891128" cy="5001260"/>
                    </a:xfrm>
                    <a:prstGeom prst="rect">
                      <a:avLst/>
                    </a:prstGeom>
                  </pic:spPr>
                </pic:pic>
              </a:graphicData>
            </a:graphic>
            <wp14:sizeRelH relativeFrom="page">
              <wp14:pctWidth>0</wp14:pctWidth>
            </wp14:sizeRelH>
            <wp14:sizeRelV relativeFrom="page">
              <wp14:pctHeight>0</wp14:pctHeight>
            </wp14:sizeRelV>
          </wp:anchor>
        </w:drawing>
      </w:r>
    </w:p>
    <w:p w14:paraId="19ED1037" w14:textId="7719723D" w:rsidR="00C22F89" w:rsidRPr="00B9382C" w:rsidRDefault="00AB6B87" w:rsidP="00496300">
      <w:pPr>
        <w:pStyle w:val="Body"/>
        <w:sectPr w:rsidR="00C22F89" w:rsidRPr="00B9382C" w:rsidSect="00C22F89">
          <w:pgSz w:w="16838" w:h="11906" w:orient="landscape" w:code="9"/>
          <w:pgMar w:top="851" w:right="1418" w:bottom="851" w:left="1418" w:header="680" w:footer="851" w:gutter="0"/>
          <w:cols w:space="340"/>
          <w:docGrid w:linePitch="360"/>
        </w:sectPr>
      </w:pPr>
      <w:r>
        <w:t>.</w:t>
      </w:r>
    </w:p>
    <w:p w14:paraId="22E1016B" w14:textId="1C617A6D" w:rsidR="005F4575" w:rsidRPr="00B9382C" w:rsidRDefault="005F4575" w:rsidP="008241F3">
      <w:pPr>
        <w:pStyle w:val="Tablecaption"/>
        <w:spacing w:beforeLines="80" w:before="192" w:after="0"/>
        <w:rPr>
          <w:i/>
          <w:iCs/>
        </w:rPr>
      </w:pPr>
      <w:r w:rsidRPr="00B9382C">
        <w:rPr>
          <w:rStyle w:val="Strong"/>
          <w:b/>
          <w:bCs w:val="0"/>
          <w:i/>
          <w:iCs/>
        </w:rPr>
        <w:lastRenderedPageBreak/>
        <w:t xml:space="preserve">IF </w:t>
      </w:r>
      <w:r w:rsidR="00C61427" w:rsidRPr="00B9382C">
        <w:rPr>
          <w:rStyle w:val="Strong"/>
          <w:b/>
          <w:bCs w:val="0"/>
          <w:i/>
          <w:iCs/>
          <w:caps/>
        </w:rPr>
        <w:t>nirmatrelvir and ritonavir</w:t>
      </w:r>
      <w:r w:rsidR="00C61427" w:rsidRPr="00B9382C">
        <w:rPr>
          <w:rStyle w:val="Strong"/>
          <w:b/>
          <w:bCs w:val="0"/>
          <w:i/>
          <w:iCs/>
        </w:rPr>
        <w:t xml:space="preserve"> (</w:t>
      </w:r>
      <w:r w:rsidRPr="00B9382C">
        <w:rPr>
          <w:rStyle w:val="Strong"/>
          <w:b/>
          <w:bCs w:val="0"/>
          <w:i/>
          <w:iCs/>
        </w:rPr>
        <w:t>PAXLOVID</w:t>
      </w:r>
      <w:r w:rsidRPr="00B9382C">
        <w:rPr>
          <w:rStyle w:val="Strong"/>
          <w:b/>
          <w:bCs w:val="0"/>
          <w:i/>
          <w:iCs/>
          <w:vertAlign w:val="superscript"/>
        </w:rPr>
        <w:t>TM</w:t>
      </w:r>
      <w:r w:rsidR="00C61427" w:rsidRPr="00B9382C">
        <w:rPr>
          <w:rStyle w:val="Strong"/>
          <w:b/>
          <w:bCs w:val="0"/>
          <w:i/>
          <w:iCs/>
        </w:rPr>
        <w:t>)</w:t>
      </w:r>
      <w:r w:rsidRPr="00B9382C">
        <w:rPr>
          <w:rStyle w:val="Strong"/>
          <w:b/>
          <w:bCs w:val="0"/>
          <w:i/>
          <w:iCs/>
        </w:rPr>
        <w:t xml:space="preserve"> </w:t>
      </w:r>
      <w:r w:rsidR="005E21DE" w:rsidRPr="00B9382C">
        <w:rPr>
          <w:rStyle w:val="Strong"/>
          <w:b/>
          <w:bCs w:val="0"/>
          <w:i/>
          <w:iCs/>
        </w:rPr>
        <w:t xml:space="preserve">IS </w:t>
      </w:r>
      <w:r w:rsidRPr="00B9382C">
        <w:rPr>
          <w:rStyle w:val="Strong"/>
          <w:b/>
          <w:bCs w:val="0"/>
          <w:i/>
          <w:iCs/>
        </w:rPr>
        <w:t>NOT AVAILABLE OR SUITABLE</w:t>
      </w:r>
      <w:r w:rsidR="005C2DA1" w:rsidRPr="00B9382C">
        <w:rPr>
          <w:rStyle w:val="Strong"/>
          <w:b/>
          <w:bCs w:val="0"/>
          <w:i/>
          <w:iCs/>
        </w:rPr>
        <w:t>,</w:t>
      </w:r>
      <w:r w:rsidRPr="00B9382C">
        <w:rPr>
          <w:rStyle w:val="Strong"/>
          <w:b/>
          <w:bCs w:val="0"/>
          <w:i/>
          <w:iCs/>
        </w:rPr>
        <w:t xml:space="preserve"> THEN CONSIDER</w:t>
      </w:r>
    </w:p>
    <w:p w14:paraId="72A008A4" w14:textId="1C0EC5F0" w:rsidR="00055244" w:rsidRPr="00B9382C" w:rsidRDefault="00E61D1B" w:rsidP="008241F3">
      <w:pPr>
        <w:pStyle w:val="Heading3"/>
        <w:numPr>
          <w:ilvl w:val="0"/>
          <w:numId w:val="8"/>
        </w:numPr>
        <w:spacing w:beforeLines="80" w:before="192" w:after="0"/>
      </w:pPr>
      <w:r w:rsidRPr="00B9382C">
        <w:t>remdesivir (</w:t>
      </w:r>
      <w:bookmarkStart w:id="7" w:name="_Hlk105406274"/>
      <w:r w:rsidRPr="00B9382C">
        <w:t>Veklury</w:t>
      </w:r>
      <w:r w:rsidR="00055244" w:rsidRPr="00B9382C">
        <w:rPr>
          <w:vertAlign w:val="superscript"/>
        </w:rPr>
        <w:t>TM</w:t>
      </w:r>
      <w:bookmarkEnd w:id="7"/>
      <w:r w:rsidR="00055244" w:rsidRPr="00B9382C">
        <w:t>)</w:t>
      </w:r>
    </w:p>
    <w:p w14:paraId="00785EDD" w14:textId="0FF72DEE" w:rsidR="00055244" w:rsidRPr="00B9382C" w:rsidRDefault="00055244" w:rsidP="00055244">
      <w:pPr>
        <w:pStyle w:val="Body"/>
      </w:pPr>
      <w:r w:rsidRPr="00B9382C">
        <w:rPr>
          <w:b/>
          <w:bCs/>
        </w:rPr>
        <w:t>Timeframe</w:t>
      </w:r>
      <w:r w:rsidRPr="00B9382C">
        <w:t xml:space="preserve">: Within </w:t>
      </w:r>
      <w:r w:rsidR="005E21DE" w:rsidRPr="00B9382C">
        <w:t>seven</w:t>
      </w:r>
      <w:r w:rsidRPr="00B9382C">
        <w:t xml:space="preserve"> days of symptom onset</w:t>
      </w:r>
    </w:p>
    <w:p w14:paraId="4C975BE3" w14:textId="2030C943" w:rsidR="0064008B" w:rsidRPr="00B9382C" w:rsidRDefault="00055244" w:rsidP="0064008B">
      <w:pPr>
        <w:pStyle w:val="Body"/>
      </w:pPr>
      <w:r w:rsidRPr="00B9382C">
        <w:rPr>
          <w:b/>
          <w:bCs/>
        </w:rPr>
        <w:t>Administration</w:t>
      </w:r>
      <w:r w:rsidRPr="00B9382C">
        <w:t xml:space="preserve">: </w:t>
      </w:r>
      <w:bookmarkStart w:id="8" w:name="_Hlk101449930"/>
      <w:r w:rsidR="0064008B" w:rsidRPr="00B9382C">
        <w:t>remdesivir (Veklury</w:t>
      </w:r>
      <w:r w:rsidR="0064008B" w:rsidRPr="00B9382C">
        <w:rPr>
          <w:vertAlign w:val="superscript"/>
        </w:rPr>
        <w:t>TM</w:t>
      </w:r>
      <w:r w:rsidR="0064008B" w:rsidRPr="00B9382C">
        <w:t xml:space="preserve">) </w:t>
      </w:r>
      <w:r w:rsidR="005E46FB" w:rsidRPr="00B9382C">
        <w:t xml:space="preserve">IV </w:t>
      </w:r>
      <w:r w:rsidR="0064008B" w:rsidRPr="00B9382C">
        <w:t xml:space="preserve">for </w:t>
      </w:r>
      <w:r w:rsidR="005E21DE" w:rsidRPr="00B9382C">
        <w:t>three</w:t>
      </w:r>
      <w:r w:rsidR="0064008B" w:rsidRPr="00B9382C">
        <w:t xml:space="preserve"> days (200</w:t>
      </w:r>
      <w:r w:rsidR="00512E7A" w:rsidRPr="00B9382C">
        <w:t xml:space="preserve"> </w:t>
      </w:r>
      <w:r w:rsidR="0064008B" w:rsidRPr="00B9382C">
        <w:t xml:space="preserve">mg dose on day </w:t>
      </w:r>
      <w:r w:rsidR="005E21DE" w:rsidRPr="00B9382C">
        <w:t>one,</w:t>
      </w:r>
      <w:r w:rsidR="0064008B" w:rsidRPr="00B9382C">
        <w:t xml:space="preserve"> then 100</w:t>
      </w:r>
      <w:r w:rsidR="00512E7A" w:rsidRPr="00B9382C">
        <w:t xml:space="preserve"> </w:t>
      </w:r>
      <w:r w:rsidR="0064008B" w:rsidRPr="00B9382C">
        <w:t>mg daily on day</w:t>
      </w:r>
      <w:r w:rsidR="00512E7A" w:rsidRPr="00B9382C">
        <w:t>s</w:t>
      </w:r>
      <w:r w:rsidR="0064008B" w:rsidRPr="00B9382C">
        <w:t xml:space="preserve"> </w:t>
      </w:r>
      <w:r w:rsidR="00512E7A" w:rsidRPr="00B9382C">
        <w:t>t</w:t>
      </w:r>
      <w:r w:rsidR="005E21DE" w:rsidRPr="00B9382C">
        <w:t>wo</w:t>
      </w:r>
      <w:r w:rsidR="0064008B" w:rsidRPr="00B9382C">
        <w:t xml:space="preserve"> and </w:t>
      </w:r>
      <w:r w:rsidR="005E21DE" w:rsidRPr="00B9382C">
        <w:t>three</w:t>
      </w:r>
      <w:r w:rsidR="0064008B" w:rsidRPr="00B9382C">
        <w:t>)</w:t>
      </w:r>
    </w:p>
    <w:bookmarkEnd w:id="8"/>
    <w:p w14:paraId="23DF9AFC" w14:textId="77777777" w:rsidR="00055244" w:rsidRPr="00B9382C" w:rsidRDefault="00055244" w:rsidP="00055244">
      <w:pPr>
        <w:pStyle w:val="Body"/>
        <w:rPr>
          <w:lang w:val="en-GB"/>
        </w:rPr>
      </w:pPr>
      <w:r w:rsidRPr="00B9382C">
        <w:rPr>
          <w:b/>
          <w:bCs/>
          <w:lang w:val="en-GB"/>
        </w:rPr>
        <w:t>Contraindications</w:t>
      </w:r>
      <w:r w:rsidRPr="00B9382C">
        <w:rPr>
          <w:lang w:val="en-GB"/>
        </w:rPr>
        <w:t xml:space="preserve">: </w:t>
      </w:r>
    </w:p>
    <w:p w14:paraId="54496DA1" w14:textId="6974263D" w:rsidR="00055244" w:rsidRPr="00B9382C" w:rsidRDefault="0068229E" w:rsidP="007966F9">
      <w:pPr>
        <w:pStyle w:val="Body"/>
        <w:numPr>
          <w:ilvl w:val="0"/>
          <w:numId w:val="7"/>
        </w:numPr>
        <w:rPr>
          <w:lang w:val="en-GB"/>
        </w:rPr>
      </w:pPr>
      <w:r w:rsidRPr="00B9382C">
        <w:rPr>
          <w:lang w:val="en-GB"/>
        </w:rPr>
        <w:t>Hepatic dysfunction (ALT &gt;</w:t>
      </w:r>
      <w:r w:rsidR="00512E7A" w:rsidRPr="00B9382C">
        <w:rPr>
          <w:lang w:val="en-GB"/>
        </w:rPr>
        <w:t xml:space="preserve"> </w:t>
      </w:r>
      <w:r w:rsidRPr="00B9382C">
        <w:rPr>
          <w:lang w:val="en-GB"/>
        </w:rPr>
        <w:t>5 x upper limit of normal, or ALT &gt;</w:t>
      </w:r>
      <w:r w:rsidR="00512E7A" w:rsidRPr="00B9382C">
        <w:rPr>
          <w:lang w:val="en-GB"/>
        </w:rPr>
        <w:t xml:space="preserve"> </w:t>
      </w:r>
      <w:r w:rsidRPr="00B9382C">
        <w:rPr>
          <w:lang w:val="en-GB"/>
        </w:rPr>
        <w:t xml:space="preserve">3 </w:t>
      </w:r>
      <w:r w:rsidR="00512E7A" w:rsidRPr="00B9382C">
        <w:rPr>
          <w:lang w:val="en-GB"/>
        </w:rPr>
        <w:t>x upper limit of normal</w:t>
      </w:r>
      <w:r w:rsidRPr="00B9382C">
        <w:rPr>
          <w:lang w:val="en-GB"/>
        </w:rPr>
        <w:t xml:space="preserve"> and bilirubin &gt;</w:t>
      </w:r>
      <w:r w:rsidR="00512E7A" w:rsidRPr="00B9382C">
        <w:rPr>
          <w:lang w:val="en-GB"/>
        </w:rPr>
        <w:t xml:space="preserve"> </w:t>
      </w:r>
      <w:r w:rsidRPr="00B9382C">
        <w:rPr>
          <w:lang w:val="en-GB"/>
        </w:rPr>
        <w:t xml:space="preserve">2 x </w:t>
      </w:r>
      <w:r w:rsidR="00512E7A" w:rsidRPr="00B9382C">
        <w:rPr>
          <w:lang w:val="en-GB"/>
        </w:rPr>
        <w:t>upper limit of normal</w:t>
      </w:r>
      <w:r w:rsidRPr="00B9382C">
        <w:rPr>
          <w:lang w:val="en-GB"/>
        </w:rPr>
        <w:t>)</w:t>
      </w:r>
    </w:p>
    <w:p w14:paraId="485777E8" w14:textId="6B4670E5" w:rsidR="00EA1439" w:rsidRPr="00B9382C" w:rsidRDefault="00BA1C63" w:rsidP="007966F9">
      <w:pPr>
        <w:pStyle w:val="Body"/>
        <w:numPr>
          <w:ilvl w:val="0"/>
          <w:numId w:val="7"/>
        </w:numPr>
        <w:rPr>
          <w:lang w:val="en-GB"/>
        </w:rPr>
      </w:pPr>
      <w:r w:rsidRPr="00B9382C">
        <w:rPr>
          <w:lang w:val="en-GB"/>
        </w:rPr>
        <w:t>Severe renal impairment (</w:t>
      </w:r>
      <w:r w:rsidR="00EA1439" w:rsidRPr="00B9382C">
        <w:rPr>
          <w:lang w:val="en-GB"/>
        </w:rPr>
        <w:t>eGFR &lt;</w:t>
      </w:r>
      <w:r w:rsidR="002261E9" w:rsidRPr="00B9382C">
        <w:rPr>
          <w:lang w:val="en-GB"/>
        </w:rPr>
        <w:t xml:space="preserve"> </w:t>
      </w:r>
      <w:r w:rsidR="00EA1439" w:rsidRPr="00B9382C">
        <w:rPr>
          <w:lang w:val="en-GB"/>
        </w:rPr>
        <w:t>30</w:t>
      </w:r>
      <w:r w:rsidR="002261E9" w:rsidRPr="00B9382C">
        <w:rPr>
          <w:lang w:val="en-GB"/>
        </w:rPr>
        <w:t xml:space="preserve"> </w:t>
      </w:r>
      <w:r w:rsidR="00EA1439" w:rsidRPr="00B9382C">
        <w:rPr>
          <w:lang w:val="en-GB"/>
        </w:rPr>
        <w:t>ml/min</w:t>
      </w:r>
      <w:r w:rsidRPr="00B9382C">
        <w:rPr>
          <w:lang w:val="en-GB"/>
        </w:rPr>
        <w:t>)</w:t>
      </w:r>
      <w:r w:rsidR="000B3A87" w:rsidRPr="00B9382C">
        <w:rPr>
          <w:lang w:val="en-GB"/>
        </w:rPr>
        <w:t xml:space="preserve"> – unless </w:t>
      </w:r>
      <w:r w:rsidR="00825985" w:rsidRPr="00B9382C">
        <w:rPr>
          <w:lang w:val="en-GB"/>
        </w:rPr>
        <w:t>receiving dialysis treatment</w:t>
      </w:r>
    </w:p>
    <w:p w14:paraId="59A79DC7" w14:textId="77777777" w:rsidR="004335D3" w:rsidRPr="00B9382C" w:rsidRDefault="004335D3" w:rsidP="007966F9">
      <w:pPr>
        <w:pStyle w:val="Body"/>
        <w:numPr>
          <w:ilvl w:val="0"/>
          <w:numId w:val="7"/>
        </w:numPr>
        <w:rPr>
          <w:lang w:val="en-GB"/>
        </w:rPr>
      </w:pPr>
      <w:r w:rsidRPr="00B9382C">
        <w:rPr>
          <w:lang w:val="en-GB"/>
        </w:rPr>
        <w:t>Hypersensitivity to active ingredients or other components of the product</w:t>
      </w:r>
    </w:p>
    <w:p w14:paraId="66E25251" w14:textId="32470138" w:rsidR="001E690D" w:rsidRPr="00B9382C" w:rsidRDefault="004335D3" w:rsidP="007966F9">
      <w:pPr>
        <w:pStyle w:val="Body"/>
        <w:numPr>
          <w:ilvl w:val="0"/>
          <w:numId w:val="7"/>
        </w:numPr>
        <w:rPr>
          <w:color w:val="004C97"/>
          <w:u w:val="dotted"/>
        </w:rPr>
      </w:pPr>
      <w:r w:rsidRPr="00B9382C">
        <w:rPr>
          <w:lang w:val="en-GB"/>
        </w:rPr>
        <w:t>Weight &lt;</w:t>
      </w:r>
      <w:r w:rsidR="002261E9" w:rsidRPr="00B9382C">
        <w:rPr>
          <w:lang w:val="en-GB"/>
        </w:rPr>
        <w:t xml:space="preserve"> </w:t>
      </w:r>
      <w:r w:rsidRPr="00B9382C">
        <w:rPr>
          <w:lang w:val="en-GB"/>
        </w:rPr>
        <w:t>40 kg</w:t>
      </w:r>
      <w:r w:rsidR="003773CD" w:rsidRPr="00B9382C">
        <w:rPr>
          <w:lang w:val="en-GB"/>
        </w:rPr>
        <w:t xml:space="preserve"> (Note</w:t>
      </w:r>
      <w:r w:rsidR="00A61268" w:rsidRPr="00B9382C">
        <w:rPr>
          <w:lang w:val="en-GB"/>
        </w:rPr>
        <w:t>.</w:t>
      </w:r>
      <w:r w:rsidR="003773CD" w:rsidRPr="00B9382C">
        <w:rPr>
          <w:lang w:val="en-GB"/>
        </w:rPr>
        <w:t xml:space="preserve"> dosed in mg/kg in </w:t>
      </w:r>
      <w:r w:rsidR="008F7C10" w:rsidRPr="00B9382C">
        <w:rPr>
          <w:lang w:val="en-GB"/>
        </w:rPr>
        <w:t xml:space="preserve">patients </w:t>
      </w:r>
      <w:r w:rsidR="003773CD" w:rsidRPr="00B9382C">
        <w:rPr>
          <w:lang w:val="en-GB"/>
        </w:rPr>
        <w:t>&lt;</w:t>
      </w:r>
      <w:r w:rsidR="008F7C10" w:rsidRPr="00B9382C">
        <w:rPr>
          <w:lang w:val="en-GB"/>
        </w:rPr>
        <w:t xml:space="preserve"> </w:t>
      </w:r>
      <w:r w:rsidR="003773CD" w:rsidRPr="00B9382C">
        <w:rPr>
          <w:lang w:val="en-GB"/>
        </w:rPr>
        <w:t>18</w:t>
      </w:r>
      <w:r w:rsidR="008F7C10" w:rsidRPr="00B9382C">
        <w:rPr>
          <w:lang w:val="en-GB"/>
        </w:rPr>
        <w:t xml:space="preserve"> </w:t>
      </w:r>
      <w:r w:rsidR="003773CD" w:rsidRPr="00B9382C">
        <w:rPr>
          <w:lang w:val="en-GB"/>
        </w:rPr>
        <w:t xml:space="preserve">years old </w:t>
      </w:r>
      <w:r w:rsidR="00A61268" w:rsidRPr="00B9382C">
        <w:rPr>
          <w:lang w:val="en-GB"/>
        </w:rPr>
        <w:t>see</w:t>
      </w:r>
      <w:r w:rsidR="003773CD" w:rsidRPr="00B9382C">
        <w:rPr>
          <w:lang w:val="en-GB"/>
        </w:rPr>
        <w:t xml:space="preserve"> </w:t>
      </w:r>
      <w:hyperlink r:id="rId40" w:history="1">
        <w:r w:rsidR="003773CD" w:rsidRPr="00B9382C">
          <w:rPr>
            <w:rStyle w:val="Hyperlink"/>
          </w:rPr>
          <w:t xml:space="preserve"> Royal Children’s Hospital guidelines</w:t>
        </w:r>
      </w:hyperlink>
      <w:r w:rsidR="001E690D" w:rsidRPr="00B9382C">
        <w:t xml:space="preserve">) </w:t>
      </w:r>
      <w:r w:rsidR="001E690D" w:rsidRPr="00B9382C">
        <w:rPr>
          <w:lang w:val="en-GB"/>
        </w:rPr>
        <w:t>&lt;https://www.rch.org.au/uploadedFiles/Main/Content/clinicalguide/guideline_index/RCH-COVID-clinical-management-guidelines-package.pdf&gt;</w:t>
      </w:r>
    </w:p>
    <w:p w14:paraId="3D0D7117" w14:textId="77777777" w:rsidR="004335D3" w:rsidRPr="00B9382C" w:rsidRDefault="004335D3" w:rsidP="004335D3">
      <w:pPr>
        <w:pStyle w:val="Body"/>
        <w:rPr>
          <w:b/>
          <w:bCs/>
        </w:rPr>
      </w:pPr>
      <w:r w:rsidRPr="00B9382C">
        <w:rPr>
          <w:b/>
          <w:bCs/>
        </w:rPr>
        <w:t>Precautions:</w:t>
      </w:r>
    </w:p>
    <w:p w14:paraId="22BBEE11" w14:textId="0F8F9C70" w:rsidR="005647C0" w:rsidRPr="00B9382C" w:rsidRDefault="004335D3" w:rsidP="007966F9">
      <w:pPr>
        <w:pStyle w:val="ListParagraph"/>
        <w:numPr>
          <w:ilvl w:val="0"/>
          <w:numId w:val="7"/>
        </w:numPr>
        <w:rPr>
          <w:rFonts w:eastAsia="Times"/>
        </w:rPr>
      </w:pPr>
      <w:r w:rsidRPr="00B9382C">
        <w:t>Category B2</w:t>
      </w:r>
      <w:r w:rsidR="005647C0" w:rsidRPr="00B9382C">
        <w:t xml:space="preserve"> - requires assessment of risks verus benefits and specialist advice</w:t>
      </w:r>
      <w:r w:rsidR="00530A1F" w:rsidRPr="00B9382C">
        <w:t xml:space="preserve"> for use in pregnant women</w:t>
      </w:r>
      <w:r w:rsidR="005647C0" w:rsidRPr="00B9382C">
        <w:t xml:space="preserve">. </w:t>
      </w:r>
      <w:r w:rsidR="005647C0" w:rsidRPr="00B9382C">
        <w:rPr>
          <w:rFonts w:eastAsia="Times"/>
        </w:rPr>
        <w:t>Women should avoid becoming pregnant during treatment.</w:t>
      </w:r>
    </w:p>
    <w:p w14:paraId="21D68221" w14:textId="473A2C19" w:rsidR="00467FA7" w:rsidRPr="00B9382C" w:rsidRDefault="00467FA7" w:rsidP="007966F9">
      <w:pPr>
        <w:pStyle w:val="Body"/>
        <w:numPr>
          <w:ilvl w:val="0"/>
          <w:numId w:val="7"/>
        </w:numPr>
      </w:pPr>
      <w:r>
        <w:t>Breastfeeding requires assessment of risks verus benefits and specialist advice</w:t>
      </w:r>
    </w:p>
    <w:p w14:paraId="7AAAFC0F" w14:textId="64872386" w:rsidR="00530A1F" w:rsidRPr="00B9382C" w:rsidRDefault="00530A1F" w:rsidP="007966F9">
      <w:pPr>
        <w:pStyle w:val="Body"/>
        <w:numPr>
          <w:ilvl w:val="0"/>
          <w:numId w:val="7"/>
        </w:numPr>
      </w:pPr>
      <w:r w:rsidRPr="00B9382C">
        <w:t xml:space="preserve">Consider logistics of patient accessing the healthcare setting for IV infusion for three </w:t>
      </w:r>
      <w:r w:rsidR="009B7CA0" w:rsidRPr="00B9382C">
        <w:t xml:space="preserve">consecutive </w:t>
      </w:r>
      <w:r w:rsidRPr="00B9382C">
        <w:t>days</w:t>
      </w:r>
    </w:p>
    <w:p w14:paraId="2F6AC0A5" w14:textId="6A0BCEA1" w:rsidR="00F02DAE" w:rsidRPr="00B9382C" w:rsidRDefault="00F02DAE" w:rsidP="007966F9">
      <w:pPr>
        <w:pStyle w:val="Body"/>
        <w:numPr>
          <w:ilvl w:val="0"/>
          <w:numId w:val="7"/>
        </w:numPr>
        <w:rPr>
          <w:lang w:val="en-GB"/>
        </w:rPr>
      </w:pPr>
      <w:r w:rsidRPr="00B9382C">
        <w:rPr>
          <w:lang w:val="en-GB"/>
        </w:rPr>
        <w:t>Co-administration with chloroquine phosphate or hydroxychloroquine sulphate may reduce metabolic activation and antiviral activity of remdesivir</w:t>
      </w:r>
      <w:r w:rsidR="002261E9" w:rsidRPr="00B9382C">
        <w:rPr>
          <w:lang w:val="en-GB"/>
        </w:rPr>
        <w:t xml:space="preserve"> (Veklury</w:t>
      </w:r>
      <w:r w:rsidR="002261E9" w:rsidRPr="00B9382C">
        <w:rPr>
          <w:vertAlign w:val="superscript"/>
          <w:lang w:val="en-GB"/>
        </w:rPr>
        <w:t>TM</w:t>
      </w:r>
      <w:r w:rsidR="002261E9" w:rsidRPr="00B9382C">
        <w:rPr>
          <w:lang w:val="en-GB"/>
        </w:rPr>
        <w:t>)</w:t>
      </w:r>
    </w:p>
    <w:p w14:paraId="0FEDE92C" w14:textId="77777777" w:rsidR="00055244" w:rsidRPr="00B9382C" w:rsidRDefault="00055244" w:rsidP="00055244">
      <w:pPr>
        <w:pStyle w:val="Body"/>
        <w:rPr>
          <w:b/>
          <w:bCs/>
        </w:rPr>
      </w:pPr>
      <w:r w:rsidRPr="00B9382C">
        <w:rPr>
          <w:b/>
          <w:bCs/>
        </w:rPr>
        <w:t>Further information:</w:t>
      </w:r>
    </w:p>
    <w:p w14:paraId="0EE24CFA" w14:textId="7573FE46" w:rsidR="007F1936" w:rsidRPr="00B9382C" w:rsidRDefault="00293D73" w:rsidP="007F1936">
      <w:pPr>
        <w:pStyle w:val="Body"/>
        <w:spacing w:after="0"/>
      </w:pPr>
      <w:hyperlink r:id="rId41" w:anchor="/guideline/L4Q5An/section/no6vGL" w:history="1">
        <w:r w:rsidR="007F1936" w:rsidRPr="00B9382C">
          <w:rPr>
            <w:rStyle w:val="Hyperlink"/>
          </w:rPr>
          <w:t>Australian guidelines for the clinical care of people with COVID-19</w:t>
        </w:r>
      </w:hyperlink>
      <w:r w:rsidR="007F1936" w:rsidRPr="00B9382C">
        <w:t xml:space="preserve"> </w:t>
      </w:r>
    </w:p>
    <w:p w14:paraId="671A4377" w14:textId="2256F0EC" w:rsidR="007F1936" w:rsidRPr="00B9382C" w:rsidRDefault="00385505" w:rsidP="00055244">
      <w:pPr>
        <w:pStyle w:val="Body"/>
      </w:pPr>
      <w:r w:rsidRPr="00B9382C">
        <w:t>&lt;</w:t>
      </w:r>
      <w:r w:rsidR="007F1936" w:rsidRPr="00B9382C">
        <w:t>https://app.magicapp.org/#/guideline/L4Q5An/section/no6vGL</w:t>
      </w:r>
      <w:r w:rsidRPr="00B9382C">
        <w:t>&gt;</w:t>
      </w:r>
    </w:p>
    <w:p w14:paraId="7F582E8E" w14:textId="7CC93946" w:rsidR="00055244" w:rsidRPr="00B9382C" w:rsidRDefault="00293D73" w:rsidP="00055244">
      <w:pPr>
        <w:pStyle w:val="Body"/>
      </w:pPr>
      <w:hyperlink r:id="rId42" w:history="1">
        <w:r w:rsidR="007F1936" w:rsidRPr="00B9382C">
          <w:rPr>
            <w:rStyle w:val="Hyperlink"/>
          </w:rPr>
          <w:t>Product information</w:t>
        </w:r>
      </w:hyperlink>
      <w:r w:rsidR="00164BCA" w:rsidRPr="00B9382C">
        <w:t xml:space="preserve"> &lt;https://www.tga.gov.au/sites/default/files/auspar-remdesivir-200720-pi.pdf&gt;</w:t>
      </w:r>
    </w:p>
    <w:p w14:paraId="44B1427C" w14:textId="75DD50AF" w:rsidR="00496300" w:rsidRPr="00B9382C" w:rsidRDefault="00293D73" w:rsidP="00537208">
      <w:pPr>
        <w:pStyle w:val="Body"/>
        <w:spacing w:after="0"/>
      </w:pPr>
      <w:hyperlink r:id="rId43" w:history="1">
        <w:r w:rsidR="00496300" w:rsidRPr="00B9382C">
          <w:rPr>
            <w:rStyle w:val="Hyperlink"/>
          </w:rPr>
          <w:t>Consumer information</w:t>
        </w:r>
      </w:hyperlink>
      <w:r w:rsidR="00164BCA" w:rsidRPr="00B9382C">
        <w:t xml:space="preserve"> &lt;https://www.ebs.tga.gov.au/ebs/picmi/picmirepository.nsf/pdf?OpenAgent&amp;id=CP-2020-CMI-01929-1&gt;</w:t>
      </w:r>
    </w:p>
    <w:p w14:paraId="3665D096" w14:textId="77777777" w:rsidR="00695E81" w:rsidRPr="00B9382C" w:rsidRDefault="00695E81" w:rsidP="00537208">
      <w:pPr>
        <w:pStyle w:val="Body"/>
        <w:spacing w:after="0"/>
        <w:rPr>
          <w:sz w:val="22"/>
        </w:rPr>
      </w:pPr>
    </w:p>
    <w:p w14:paraId="05E62559" w14:textId="77777777" w:rsidR="003D107A" w:rsidRPr="00B9382C" w:rsidRDefault="003D107A" w:rsidP="00537208">
      <w:pPr>
        <w:pStyle w:val="Body"/>
        <w:spacing w:after="0"/>
        <w:rPr>
          <w:sz w:val="22"/>
        </w:rPr>
      </w:pPr>
    </w:p>
    <w:p w14:paraId="47B2C721" w14:textId="1FCA2F9A" w:rsidR="009B7CA0" w:rsidRPr="00B9382C" w:rsidRDefault="009B7CA0" w:rsidP="00537208">
      <w:pPr>
        <w:pStyle w:val="Tablecaption"/>
        <w:spacing w:before="0" w:after="0"/>
        <w:rPr>
          <w:rStyle w:val="Strong"/>
          <w:b/>
          <w:bCs w:val="0"/>
          <w:i/>
          <w:iCs/>
        </w:rPr>
      </w:pPr>
      <w:r w:rsidRPr="00B9382C">
        <w:rPr>
          <w:rStyle w:val="Strong"/>
          <w:b/>
          <w:bCs w:val="0"/>
          <w:i/>
          <w:iCs/>
        </w:rPr>
        <w:t xml:space="preserve">IF </w:t>
      </w:r>
      <w:r w:rsidRPr="00B9382C">
        <w:rPr>
          <w:rStyle w:val="Strong"/>
          <w:b/>
          <w:bCs w:val="0"/>
          <w:i/>
          <w:iCs/>
          <w:caps/>
        </w:rPr>
        <w:t xml:space="preserve">REMDESIVIR </w:t>
      </w:r>
      <w:r w:rsidR="00C61427" w:rsidRPr="00B9382C">
        <w:rPr>
          <w:rStyle w:val="Strong"/>
          <w:b/>
          <w:bCs w:val="0"/>
          <w:i/>
          <w:iCs/>
          <w:caps/>
        </w:rPr>
        <w:t>(Veklury</w:t>
      </w:r>
      <w:r w:rsidR="00C61427" w:rsidRPr="00B9382C">
        <w:rPr>
          <w:rStyle w:val="Strong"/>
          <w:b/>
          <w:bCs w:val="0"/>
          <w:i/>
          <w:iCs/>
          <w:caps/>
          <w:vertAlign w:val="superscript"/>
        </w:rPr>
        <w:t>TM</w:t>
      </w:r>
      <w:r w:rsidR="00C61427" w:rsidRPr="00B9382C">
        <w:rPr>
          <w:rStyle w:val="Strong"/>
          <w:b/>
          <w:bCs w:val="0"/>
          <w:i/>
          <w:iCs/>
          <w:caps/>
        </w:rPr>
        <w:t>)</w:t>
      </w:r>
      <w:r w:rsidR="00C61427" w:rsidRPr="00B9382C">
        <w:rPr>
          <w:rStyle w:val="Strong"/>
          <w:b/>
          <w:bCs w:val="0"/>
          <w:i/>
          <w:iCs/>
        </w:rPr>
        <w:t xml:space="preserve"> </w:t>
      </w:r>
      <w:r w:rsidR="005C2DA1" w:rsidRPr="00B9382C">
        <w:rPr>
          <w:rStyle w:val="Strong"/>
          <w:b/>
          <w:bCs w:val="0"/>
          <w:i/>
          <w:iCs/>
        </w:rPr>
        <w:t xml:space="preserve">IS </w:t>
      </w:r>
      <w:r w:rsidRPr="00B9382C">
        <w:rPr>
          <w:rStyle w:val="Strong"/>
          <w:b/>
          <w:bCs w:val="0"/>
          <w:i/>
          <w:iCs/>
        </w:rPr>
        <w:t>NOT AVAILABLE OR SUITABLE</w:t>
      </w:r>
      <w:r w:rsidR="005C2DA1" w:rsidRPr="00B9382C">
        <w:rPr>
          <w:rStyle w:val="Strong"/>
          <w:b/>
          <w:bCs w:val="0"/>
          <w:i/>
          <w:iCs/>
        </w:rPr>
        <w:t>,</w:t>
      </w:r>
      <w:r w:rsidRPr="00B9382C">
        <w:rPr>
          <w:rStyle w:val="Strong"/>
          <w:b/>
          <w:bCs w:val="0"/>
          <w:i/>
          <w:iCs/>
        </w:rPr>
        <w:t xml:space="preserve"> THEN CONSIDER</w:t>
      </w:r>
    </w:p>
    <w:p w14:paraId="2A4CC7BC" w14:textId="24DA2B20" w:rsidR="009B7CA0" w:rsidRPr="00B9382C" w:rsidRDefault="009B7CA0" w:rsidP="007966F9">
      <w:pPr>
        <w:pStyle w:val="Heading3"/>
        <w:numPr>
          <w:ilvl w:val="0"/>
          <w:numId w:val="8"/>
        </w:numPr>
      </w:pPr>
      <w:r w:rsidRPr="00B9382C">
        <w:t>molnupiravir (Lagevrio</w:t>
      </w:r>
      <w:r w:rsidRPr="00B9382C">
        <w:rPr>
          <w:vertAlign w:val="superscript"/>
        </w:rPr>
        <w:t>TM</w:t>
      </w:r>
      <w:r w:rsidRPr="00B9382C">
        <w:t>)</w:t>
      </w:r>
    </w:p>
    <w:p w14:paraId="32D7B28A" w14:textId="24F15C95" w:rsidR="009B7CA0" w:rsidRPr="00B9382C" w:rsidRDefault="009B7CA0" w:rsidP="009B7CA0">
      <w:pPr>
        <w:pStyle w:val="Body"/>
      </w:pPr>
      <w:r w:rsidRPr="00B9382C">
        <w:rPr>
          <w:b/>
          <w:bCs/>
        </w:rPr>
        <w:t>Timeframe</w:t>
      </w:r>
      <w:r w:rsidRPr="00B9382C">
        <w:t xml:space="preserve">: Within </w:t>
      </w:r>
      <w:r w:rsidR="005C2DA1" w:rsidRPr="00B9382C">
        <w:t>five</w:t>
      </w:r>
      <w:r w:rsidRPr="00B9382C">
        <w:t xml:space="preserve"> days of symptom onset</w:t>
      </w:r>
    </w:p>
    <w:p w14:paraId="1AD47D37" w14:textId="388AEA76" w:rsidR="000030E8" w:rsidRPr="00B9382C" w:rsidRDefault="009B7CA0" w:rsidP="000030E8">
      <w:pPr>
        <w:pStyle w:val="Body"/>
      </w:pPr>
      <w:r w:rsidRPr="00B9382C">
        <w:rPr>
          <w:b/>
          <w:bCs/>
        </w:rPr>
        <w:t>Administration</w:t>
      </w:r>
      <w:r w:rsidRPr="00B9382C">
        <w:t xml:space="preserve">: </w:t>
      </w:r>
      <w:r w:rsidR="00491A6E" w:rsidRPr="00B9382C">
        <w:t>m</w:t>
      </w:r>
      <w:r w:rsidR="000030E8" w:rsidRPr="00B9382C">
        <w:t>olnupiravir (Lagervrio</w:t>
      </w:r>
      <w:r w:rsidR="000030E8" w:rsidRPr="00B9382C">
        <w:rPr>
          <w:vertAlign w:val="superscript"/>
        </w:rPr>
        <w:t>TM</w:t>
      </w:r>
      <w:r w:rsidR="000030E8" w:rsidRPr="00B9382C">
        <w:t xml:space="preserve">) </w:t>
      </w:r>
      <w:r w:rsidR="008B0659" w:rsidRPr="00B9382C">
        <w:t>800 mg (</w:t>
      </w:r>
      <w:r w:rsidR="00A648B8" w:rsidRPr="00B9382C">
        <w:t xml:space="preserve">four 200mg </w:t>
      </w:r>
      <w:r w:rsidR="008B0659" w:rsidRPr="00B9382C">
        <w:t>capsule</w:t>
      </w:r>
      <w:r w:rsidR="00A648B8" w:rsidRPr="00B9382C">
        <w:t>s</w:t>
      </w:r>
      <w:r w:rsidR="008B0659" w:rsidRPr="00B9382C">
        <w:t xml:space="preserve">), taken </w:t>
      </w:r>
      <w:r w:rsidR="000030E8" w:rsidRPr="00B9382C">
        <w:t>twice daily for 5 days</w:t>
      </w:r>
    </w:p>
    <w:p w14:paraId="561E66B6" w14:textId="136172AC" w:rsidR="00E91C51" w:rsidRPr="00B9382C" w:rsidRDefault="00E91C51" w:rsidP="000030E8">
      <w:pPr>
        <w:pStyle w:val="Body"/>
        <w:rPr>
          <w:b/>
          <w:bCs/>
        </w:rPr>
      </w:pPr>
      <w:r w:rsidRPr="00B9382C">
        <w:rPr>
          <w:b/>
          <w:bCs/>
        </w:rPr>
        <w:t>Contraindications:</w:t>
      </w:r>
    </w:p>
    <w:p w14:paraId="1AD78D79" w14:textId="77777777" w:rsidR="00E602CB" w:rsidRPr="008F7C10" w:rsidRDefault="00E602CB" w:rsidP="00E602CB">
      <w:pPr>
        <w:pStyle w:val="Body"/>
        <w:numPr>
          <w:ilvl w:val="0"/>
          <w:numId w:val="9"/>
        </w:numPr>
        <w:ind w:left="360"/>
        <w:rPr>
          <w:lang w:val="en-GB"/>
        </w:rPr>
      </w:pPr>
      <w:r w:rsidRPr="008F7C10">
        <w:rPr>
          <w:lang w:val="en-GB"/>
        </w:rPr>
        <w:t>Category D - do not use in pregnant women. Women should avoid becoming pregnant during treatment and until four days after treatment ceases. Men should use adequate contraception during and 3 months after treatment ceases.</w:t>
      </w:r>
    </w:p>
    <w:p w14:paraId="5A5B2655" w14:textId="77777777" w:rsidR="00E602CB" w:rsidRPr="008F7C10" w:rsidRDefault="00E602CB" w:rsidP="00E602CB">
      <w:pPr>
        <w:pStyle w:val="Body"/>
        <w:numPr>
          <w:ilvl w:val="0"/>
          <w:numId w:val="9"/>
        </w:numPr>
        <w:ind w:left="360"/>
        <w:rPr>
          <w:lang w:val="en-GB"/>
        </w:rPr>
      </w:pPr>
      <w:r w:rsidRPr="008F7C10">
        <w:rPr>
          <w:lang w:val="en-GB"/>
        </w:rPr>
        <w:t>Do not use in breastfeeding women. Breastfeeding can commence four days after treatment ceases.</w:t>
      </w:r>
    </w:p>
    <w:p w14:paraId="6108E9E9" w14:textId="220B7A50" w:rsidR="007C1EFF" w:rsidRPr="00E602CB" w:rsidRDefault="00E602CB" w:rsidP="009139B9">
      <w:pPr>
        <w:pStyle w:val="Body"/>
        <w:numPr>
          <w:ilvl w:val="0"/>
          <w:numId w:val="9"/>
        </w:numPr>
        <w:ind w:left="360"/>
        <w:rPr>
          <w:lang w:val="en-GB"/>
        </w:rPr>
      </w:pPr>
      <w:r w:rsidRPr="008F7C10">
        <w:rPr>
          <w:lang w:val="en-GB"/>
        </w:rPr>
        <w:t>Hypersensitivity to active ingredients or other components of the product</w:t>
      </w:r>
    </w:p>
    <w:p w14:paraId="4F256064" w14:textId="06C224C2" w:rsidR="009139B9" w:rsidRPr="00B9382C" w:rsidRDefault="009139B9" w:rsidP="009139B9">
      <w:pPr>
        <w:pStyle w:val="Body"/>
        <w:rPr>
          <w:b/>
          <w:bCs/>
        </w:rPr>
      </w:pPr>
      <w:r w:rsidRPr="00B9382C">
        <w:rPr>
          <w:b/>
          <w:bCs/>
        </w:rPr>
        <w:lastRenderedPageBreak/>
        <w:t>Precautions:</w:t>
      </w:r>
    </w:p>
    <w:p w14:paraId="3A15374C" w14:textId="0C53BE4A" w:rsidR="000030E8" w:rsidRPr="00B9382C" w:rsidRDefault="009139B9" w:rsidP="007966F9">
      <w:pPr>
        <w:pStyle w:val="ListParagraph"/>
        <w:numPr>
          <w:ilvl w:val="0"/>
          <w:numId w:val="7"/>
        </w:numPr>
        <w:rPr>
          <w:rFonts w:eastAsia="Times"/>
        </w:rPr>
      </w:pPr>
      <w:r>
        <w:t>T</w:t>
      </w:r>
      <w:r w:rsidR="000030E8">
        <w:t xml:space="preserve">here are some concerns about poorer efficacy of molnupiravir </w:t>
      </w:r>
      <w:r w:rsidR="00506CBD">
        <w:t>(Lagevrio</w:t>
      </w:r>
      <w:r w:rsidR="00506CBD" w:rsidRPr="56490CC6">
        <w:rPr>
          <w:vertAlign w:val="superscript"/>
        </w:rPr>
        <w:t>TM</w:t>
      </w:r>
      <w:r w:rsidR="00506CBD">
        <w:t xml:space="preserve">) </w:t>
      </w:r>
      <w:r w:rsidR="000030E8">
        <w:t xml:space="preserve">compared to </w:t>
      </w:r>
      <w:r w:rsidR="00506CBD">
        <w:t>nirmatrelvir and ritonavir (</w:t>
      </w:r>
      <w:r>
        <w:t>Paxlovid</w:t>
      </w:r>
      <w:r w:rsidRPr="56490CC6">
        <w:rPr>
          <w:vertAlign w:val="superscript"/>
        </w:rPr>
        <w:t>TM</w:t>
      </w:r>
      <w:r w:rsidR="00506CBD">
        <w:t xml:space="preserve">) </w:t>
      </w:r>
      <w:r w:rsidR="000030E8">
        <w:t xml:space="preserve">or </w:t>
      </w:r>
      <w:r w:rsidR="00506CBD" w:rsidRPr="56490CC6">
        <w:rPr>
          <w:rFonts w:eastAsia="Times"/>
        </w:rPr>
        <w:t>remdesivir (Veklury</w:t>
      </w:r>
      <w:r w:rsidR="00506CBD" w:rsidRPr="56490CC6">
        <w:rPr>
          <w:rFonts w:eastAsia="Times"/>
          <w:vertAlign w:val="superscript"/>
        </w:rPr>
        <w:t>TM</w:t>
      </w:r>
      <w:r w:rsidR="00506CBD" w:rsidRPr="56490CC6">
        <w:rPr>
          <w:rFonts w:eastAsia="Times"/>
        </w:rPr>
        <w:t>)</w:t>
      </w:r>
      <w:r w:rsidR="00537208" w:rsidRPr="56490CC6">
        <w:rPr>
          <w:rFonts w:eastAsia="Times"/>
        </w:rPr>
        <w:t>,</w:t>
      </w:r>
      <w:r w:rsidR="000030E8">
        <w:t xml:space="preserve"> but may </w:t>
      </w:r>
      <w:r w:rsidR="005C0DE3">
        <w:t xml:space="preserve">be </w:t>
      </w:r>
      <w:r w:rsidR="000030E8">
        <w:t>appropriate when other options are not suitable</w:t>
      </w:r>
      <w:r>
        <w:t xml:space="preserve"> or available</w:t>
      </w:r>
    </w:p>
    <w:p w14:paraId="2CAE55AD" w14:textId="47F42D29" w:rsidR="00044D8F" w:rsidRPr="006C129C" w:rsidRDefault="00C86096" w:rsidP="000B79AA">
      <w:pPr>
        <w:pStyle w:val="ListParagraph"/>
        <w:numPr>
          <w:ilvl w:val="0"/>
          <w:numId w:val="7"/>
        </w:numPr>
        <w:rPr>
          <w:highlight w:val="yellow"/>
        </w:rPr>
      </w:pPr>
      <w:r w:rsidRPr="006C129C">
        <w:rPr>
          <w:highlight w:val="yellow"/>
        </w:rPr>
        <w:t xml:space="preserve">Evidence </w:t>
      </w:r>
      <w:r w:rsidR="00AD58F2" w:rsidRPr="006C129C">
        <w:rPr>
          <w:highlight w:val="yellow"/>
        </w:rPr>
        <w:t xml:space="preserve">from </w:t>
      </w:r>
      <w:r w:rsidRPr="006C129C">
        <w:rPr>
          <w:highlight w:val="yellow"/>
        </w:rPr>
        <w:t xml:space="preserve">a </w:t>
      </w:r>
      <w:r w:rsidR="00AD58F2" w:rsidRPr="006C129C">
        <w:rPr>
          <w:highlight w:val="yellow"/>
        </w:rPr>
        <w:t xml:space="preserve">Victorian </w:t>
      </w:r>
      <w:r w:rsidRPr="006C129C">
        <w:rPr>
          <w:highlight w:val="yellow"/>
        </w:rPr>
        <w:t>study</w:t>
      </w:r>
      <w:r w:rsidR="00AD58F2" w:rsidRPr="006C129C">
        <w:rPr>
          <w:highlight w:val="yellow"/>
        </w:rPr>
        <w:t xml:space="preserve"> </w:t>
      </w:r>
      <w:r w:rsidR="006563FC" w:rsidRPr="006C129C">
        <w:rPr>
          <w:highlight w:val="yellow"/>
        </w:rPr>
        <w:t xml:space="preserve">in </w:t>
      </w:r>
      <w:r w:rsidR="00F342F8" w:rsidRPr="006C129C">
        <w:rPr>
          <w:highlight w:val="yellow"/>
        </w:rPr>
        <w:t>individuals</w:t>
      </w:r>
      <w:r w:rsidR="006563FC" w:rsidRPr="006C129C">
        <w:rPr>
          <w:highlight w:val="yellow"/>
        </w:rPr>
        <w:t xml:space="preserve"> aged 70 or older </w:t>
      </w:r>
      <w:r w:rsidR="00001150" w:rsidRPr="006C129C">
        <w:rPr>
          <w:highlight w:val="yellow"/>
        </w:rPr>
        <w:t>from July</w:t>
      </w:r>
      <w:r w:rsidR="009D4330" w:rsidRPr="006C129C">
        <w:rPr>
          <w:highlight w:val="yellow"/>
        </w:rPr>
        <w:t xml:space="preserve"> to </w:t>
      </w:r>
      <w:r w:rsidR="00001150" w:rsidRPr="006C129C">
        <w:rPr>
          <w:highlight w:val="yellow"/>
        </w:rPr>
        <w:t xml:space="preserve">October 2022 </w:t>
      </w:r>
      <w:r w:rsidR="006563FC" w:rsidRPr="006C129C">
        <w:rPr>
          <w:highlight w:val="yellow"/>
        </w:rPr>
        <w:t xml:space="preserve">has demonstrated </w:t>
      </w:r>
      <w:r w:rsidR="00AD102B" w:rsidRPr="006C129C">
        <w:rPr>
          <w:highlight w:val="yellow"/>
        </w:rPr>
        <w:t xml:space="preserve">real world evidence of benefit. The study found </w:t>
      </w:r>
      <w:r w:rsidR="00F342F8" w:rsidRPr="006C129C">
        <w:rPr>
          <w:highlight w:val="yellow"/>
        </w:rPr>
        <w:t>that individuals</w:t>
      </w:r>
      <w:r w:rsidR="00AD102B" w:rsidRPr="006C129C">
        <w:rPr>
          <w:highlight w:val="yellow"/>
        </w:rPr>
        <w:t xml:space="preserve"> who did not receive</w:t>
      </w:r>
      <w:r w:rsidR="006744F7" w:rsidRPr="006C129C">
        <w:rPr>
          <w:highlight w:val="yellow"/>
        </w:rPr>
        <w:t xml:space="preserve"> either</w:t>
      </w:r>
      <w:r w:rsidR="00AD102B" w:rsidRPr="006C129C">
        <w:rPr>
          <w:highlight w:val="yellow"/>
        </w:rPr>
        <w:t xml:space="preserve"> </w:t>
      </w:r>
      <w:r w:rsidR="00F342F8" w:rsidRPr="006C129C">
        <w:rPr>
          <w:highlight w:val="yellow"/>
        </w:rPr>
        <w:t>Paxlovid</w:t>
      </w:r>
      <w:r w:rsidR="00BA708D" w:rsidRPr="006C129C">
        <w:rPr>
          <w:highlight w:val="yellow"/>
          <w:vertAlign w:val="superscript"/>
        </w:rPr>
        <w:t>TM</w:t>
      </w:r>
      <w:r w:rsidR="00F342F8" w:rsidRPr="006C129C">
        <w:rPr>
          <w:highlight w:val="yellow"/>
        </w:rPr>
        <w:t xml:space="preserve"> or Lagevrio</w:t>
      </w:r>
      <w:r w:rsidR="00BA708D" w:rsidRPr="006C129C">
        <w:rPr>
          <w:highlight w:val="yellow"/>
          <w:vertAlign w:val="superscript"/>
        </w:rPr>
        <w:t>TM</w:t>
      </w:r>
      <w:r w:rsidR="00AD102B" w:rsidRPr="006C129C">
        <w:rPr>
          <w:highlight w:val="yellow"/>
        </w:rPr>
        <w:t xml:space="preserve"> were between 26% and 32% more likely to be hospitalised</w:t>
      </w:r>
      <w:r w:rsidR="00F342F8" w:rsidRPr="006C129C">
        <w:rPr>
          <w:highlight w:val="yellow"/>
        </w:rPr>
        <w:t xml:space="preserve"> than those who received either drug. The study also found that individuals who</w:t>
      </w:r>
      <w:r w:rsidR="000B79AA" w:rsidRPr="006C129C">
        <w:rPr>
          <w:highlight w:val="yellow"/>
        </w:rPr>
        <w:t xml:space="preserve"> received Paxlovid</w:t>
      </w:r>
      <w:r w:rsidR="000B79AA" w:rsidRPr="006C129C">
        <w:rPr>
          <w:highlight w:val="yellow"/>
          <w:vertAlign w:val="superscript"/>
        </w:rPr>
        <w:t>TM</w:t>
      </w:r>
      <w:r w:rsidR="000B79AA" w:rsidRPr="006C129C">
        <w:rPr>
          <w:highlight w:val="yellow"/>
        </w:rPr>
        <w:t xml:space="preserve"> or Lagevrio</w:t>
      </w:r>
      <w:r w:rsidR="000B79AA" w:rsidRPr="006C129C">
        <w:rPr>
          <w:highlight w:val="yellow"/>
          <w:vertAlign w:val="superscript"/>
        </w:rPr>
        <w:t>TM</w:t>
      </w:r>
      <w:r w:rsidR="000B79AA" w:rsidRPr="006C129C">
        <w:rPr>
          <w:highlight w:val="yellow"/>
        </w:rPr>
        <w:t xml:space="preserve"> were 72% and 54% less likely to die, respectively, compared to individuals who did not receive </w:t>
      </w:r>
      <w:r w:rsidR="002E58DE" w:rsidRPr="006C129C">
        <w:rPr>
          <w:highlight w:val="yellow"/>
        </w:rPr>
        <w:t>either</w:t>
      </w:r>
      <w:r w:rsidR="000B79AA" w:rsidRPr="006C129C">
        <w:rPr>
          <w:highlight w:val="yellow"/>
        </w:rPr>
        <w:t xml:space="preserve"> treatment.</w:t>
      </w:r>
    </w:p>
    <w:p w14:paraId="71E6793A" w14:textId="6DD0AD4C" w:rsidR="00500E64" w:rsidRPr="006C129C" w:rsidRDefault="00500E64" w:rsidP="00500E64">
      <w:pPr>
        <w:pStyle w:val="ListParagraph"/>
        <w:numPr>
          <w:ilvl w:val="0"/>
          <w:numId w:val="7"/>
        </w:numPr>
        <w:rPr>
          <w:rFonts w:eastAsia="Times"/>
          <w:highlight w:val="yellow"/>
        </w:rPr>
      </w:pPr>
      <w:r w:rsidRPr="006C129C">
        <w:rPr>
          <w:highlight w:val="yellow"/>
        </w:rPr>
        <w:t>Whilst the PANORAMIC trial showed no evidence of a difference between Lagevrio</w:t>
      </w:r>
      <w:r w:rsidRPr="006C129C">
        <w:rPr>
          <w:highlight w:val="yellow"/>
          <w:vertAlign w:val="superscript"/>
        </w:rPr>
        <w:t>TM</w:t>
      </w:r>
      <w:r w:rsidRPr="006C129C">
        <w:rPr>
          <w:highlight w:val="yellow"/>
        </w:rPr>
        <w:t xml:space="preserve"> compared to usual care alone in reducing deaths or hospitalisations, less than 15% of participants were aged 70 or older.</w:t>
      </w:r>
    </w:p>
    <w:p w14:paraId="31253AAC" w14:textId="23BDFFFE" w:rsidR="009B7CA0" w:rsidRPr="00B9382C" w:rsidRDefault="009B7CA0" w:rsidP="009B7CA0">
      <w:pPr>
        <w:pStyle w:val="Body"/>
        <w:rPr>
          <w:b/>
          <w:bCs/>
        </w:rPr>
      </w:pPr>
      <w:r w:rsidRPr="00B9382C">
        <w:rPr>
          <w:b/>
          <w:bCs/>
        </w:rPr>
        <w:t>Further information:</w:t>
      </w:r>
    </w:p>
    <w:p w14:paraId="50851B0E" w14:textId="602ABE4D" w:rsidR="00385505" w:rsidRPr="00B9382C" w:rsidRDefault="00293D73" w:rsidP="00385505">
      <w:pPr>
        <w:pStyle w:val="Body"/>
        <w:spacing w:after="0"/>
      </w:pPr>
      <w:hyperlink r:id="rId44" w:anchor="/guideline/L4Q5An/section/jboz6G" w:history="1">
        <w:r w:rsidR="00385505" w:rsidRPr="00B9382C">
          <w:rPr>
            <w:rStyle w:val="Hyperlink"/>
          </w:rPr>
          <w:t>Australian guidelines for the clinical care of people with COVID-19</w:t>
        </w:r>
      </w:hyperlink>
      <w:r w:rsidR="00385505" w:rsidRPr="00B9382C">
        <w:t xml:space="preserve"> </w:t>
      </w:r>
    </w:p>
    <w:p w14:paraId="67555AB1" w14:textId="5C941CBE" w:rsidR="00385505" w:rsidRPr="00B9382C" w:rsidRDefault="00385505" w:rsidP="009B7CA0">
      <w:pPr>
        <w:pStyle w:val="Body"/>
      </w:pPr>
      <w:r w:rsidRPr="00B9382C">
        <w:t>&lt;https://app.magicapp.org/#/guideline/L4Q5An/section/jboz6G&gt;</w:t>
      </w:r>
    </w:p>
    <w:p w14:paraId="7413724E" w14:textId="57941779" w:rsidR="00F53B6F" w:rsidRPr="00B9382C" w:rsidRDefault="00293D73" w:rsidP="009B7CA0">
      <w:pPr>
        <w:pStyle w:val="Body"/>
      </w:pPr>
      <w:hyperlink r:id="rId45" w:history="1">
        <w:r w:rsidR="00F53B6F" w:rsidRPr="00B9382C">
          <w:rPr>
            <w:rStyle w:val="Hyperlink"/>
          </w:rPr>
          <w:t>Product information</w:t>
        </w:r>
      </w:hyperlink>
      <w:r w:rsidR="00F53B6F" w:rsidRPr="00B9382C">
        <w:t xml:space="preserve"> &lt;https:\www.tga.gov.au\sites\default\files\lagevrio-pi.pdf&gt;</w:t>
      </w:r>
    </w:p>
    <w:p w14:paraId="21CF417F" w14:textId="23F8E3B0" w:rsidR="000A434E" w:rsidRPr="00B9382C" w:rsidRDefault="00293D73" w:rsidP="00F04FDB">
      <w:pPr>
        <w:pStyle w:val="Body"/>
        <w:spacing w:after="0"/>
      </w:pPr>
      <w:hyperlink r:id="rId46">
        <w:r w:rsidR="00F53B6F" w:rsidRPr="56490CC6">
          <w:rPr>
            <w:rStyle w:val="Hyperlink"/>
          </w:rPr>
          <w:t>Consumer information</w:t>
        </w:r>
      </w:hyperlink>
      <w:r w:rsidR="00F53B6F">
        <w:t xml:space="preserve"> &lt;</w:t>
      </w:r>
      <w:r w:rsidR="56490CC6">
        <w:t>https://www.ebs.tga.gov.au/ebs/picmi/picmirepository.nsf/pdf?OpenAgent&amp;id=CP-2022-CMI-01048-1</w:t>
      </w:r>
      <w:r w:rsidR="00F53B6F">
        <w:t>&gt;</w:t>
      </w:r>
    </w:p>
    <w:p w14:paraId="62442607" w14:textId="7AFFD651" w:rsidR="000A434E" w:rsidRPr="00B9382C" w:rsidRDefault="000A434E" w:rsidP="00F04FDB">
      <w:pPr>
        <w:pStyle w:val="Body"/>
        <w:spacing w:after="0"/>
        <w:rPr>
          <w:sz w:val="22"/>
          <w:szCs w:val="22"/>
        </w:rPr>
      </w:pPr>
    </w:p>
    <w:p w14:paraId="172B6758" w14:textId="77777777" w:rsidR="00732831" w:rsidRPr="00B9382C" w:rsidRDefault="00732831" w:rsidP="00F04FDB">
      <w:pPr>
        <w:pStyle w:val="Body"/>
        <w:spacing w:after="0"/>
        <w:rPr>
          <w:sz w:val="22"/>
          <w:szCs w:val="22"/>
        </w:rPr>
      </w:pPr>
    </w:p>
    <w:p w14:paraId="2449CD72" w14:textId="3B83E6B5" w:rsidR="00CC30C6" w:rsidRPr="00B9382C" w:rsidRDefault="00CC30C6" w:rsidP="00CC30C6">
      <w:pPr>
        <w:pStyle w:val="Tablecaption"/>
        <w:spacing w:before="0" w:after="0"/>
        <w:rPr>
          <w:rStyle w:val="Strong"/>
          <w:b/>
          <w:bCs w:val="0"/>
          <w:i/>
          <w:iCs/>
        </w:rPr>
      </w:pPr>
      <w:r w:rsidRPr="00FD759B">
        <w:rPr>
          <w:rStyle w:val="Strong"/>
          <w:b/>
          <w:bCs w:val="0"/>
          <w:i/>
          <w:iCs/>
          <w:highlight w:val="yellow"/>
        </w:rPr>
        <w:t xml:space="preserve">IF </w:t>
      </w:r>
      <w:r w:rsidRPr="00FD759B">
        <w:rPr>
          <w:rStyle w:val="Strong"/>
          <w:b/>
          <w:bCs w:val="0"/>
          <w:i/>
          <w:iCs/>
          <w:caps/>
          <w:highlight w:val="yellow"/>
        </w:rPr>
        <w:t>MOLNUPIR</w:t>
      </w:r>
      <w:r w:rsidR="00FD759B" w:rsidRPr="00FD759B">
        <w:rPr>
          <w:rStyle w:val="Strong"/>
          <w:b/>
          <w:bCs w:val="0"/>
          <w:i/>
          <w:iCs/>
          <w:caps/>
          <w:highlight w:val="yellow"/>
        </w:rPr>
        <w:t>A</w:t>
      </w:r>
      <w:r w:rsidRPr="00FD759B">
        <w:rPr>
          <w:rStyle w:val="Strong"/>
          <w:b/>
          <w:bCs w:val="0"/>
          <w:i/>
          <w:iCs/>
          <w:caps/>
          <w:highlight w:val="yellow"/>
        </w:rPr>
        <w:t>VIR (LAGEVRIO</w:t>
      </w:r>
      <w:r w:rsidRPr="00FD759B">
        <w:rPr>
          <w:rStyle w:val="Strong"/>
          <w:b/>
          <w:bCs w:val="0"/>
          <w:i/>
          <w:iCs/>
          <w:caps/>
          <w:highlight w:val="yellow"/>
          <w:vertAlign w:val="superscript"/>
        </w:rPr>
        <w:t>TM</w:t>
      </w:r>
      <w:r w:rsidRPr="00FD759B">
        <w:rPr>
          <w:rStyle w:val="Strong"/>
          <w:b/>
          <w:bCs w:val="0"/>
          <w:i/>
          <w:iCs/>
          <w:caps/>
          <w:highlight w:val="yellow"/>
        </w:rPr>
        <w:t>)</w:t>
      </w:r>
      <w:r w:rsidRPr="00FD759B">
        <w:rPr>
          <w:rStyle w:val="Strong"/>
          <w:b/>
          <w:bCs w:val="0"/>
          <w:i/>
          <w:iCs/>
          <w:highlight w:val="yellow"/>
        </w:rPr>
        <w:t xml:space="preserve"> IS NOT AVAILABLE OR SUITABLE, THEN CONSIDER</w:t>
      </w:r>
    </w:p>
    <w:p w14:paraId="72FB5E87" w14:textId="685011CD" w:rsidR="00235C5C" w:rsidRPr="00B9382C" w:rsidRDefault="00BD4F22" w:rsidP="007966F9">
      <w:pPr>
        <w:pStyle w:val="Heading3"/>
        <w:numPr>
          <w:ilvl w:val="0"/>
          <w:numId w:val="8"/>
        </w:numPr>
      </w:pPr>
      <w:r>
        <w:t>Inhaled corticosteroids</w:t>
      </w:r>
      <w:r w:rsidR="00010AFF">
        <w:t>:</w:t>
      </w:r>
      <w:r>
        <w:t xml:space="preserve"> </w:t>
      </w:r>
      <w:bookmarkStart w:id="9" w:name="_Hlk105404871"/>
      <w:bookmarkStart w:id="10" w:name="_Hlk105160010"/>
      <w:r>
        <w:t>budesonide</w:t>
      </w:r>
      <w:r w:rsidR="00960886">
        <w:t xml:space="preserve"> (Pulmicort</w:t>
      </w:r>
      <w:r w:rsidR="00960886" w:rsidRPr="66F7092B">
        <w:rPr>
          <w:vertAlign w:val="superscript"/>
        </w:rPr>
        <w:t>TM</w:t>
      </w:r>
      <w:r w:rsidR="00960886">
        <w:t xml:space="preserve">) </w:t>
      </w:r>
      <w:r>
        <w:t>or ciclesonide</w:t>
      </w:r>
      <w:r w:rsidR="00010AFF">
        <w:t xml:space="preserve"> (Alvesco</w:t>
      </w:r>
      <w:r w:rsidR="00010AFF" w:rsidRPr="66F7092B">
        <w:rPr>
          <w:vertAlign w:val="superscript"/>
        </w:rPr>
        <w:t>TM</w:t>
      </w:r>
      <w:r w:rsidR="00010AFF">
        <w:t>)</w:t>
      </w:r>
      <w:bookmarkEnd w:id="9"/>
    </w:p>
    <w:bookmarkEnd w:id="10"/>
    <w:p w14:paraId="30665256" w14:textId="5D0D0572" w:rsidR="00235C5C" w:rsidRPr="00B9382C" w:rsidRDefault="00235C5C" w:rsidP="00235C5C">
      <w:pPr>
        <w:pStyle w:val="Body"/>
      </w:pPr>
      <w:r w:rsidRPr="00B9382C">
        <w:rPr>
          <w:b/>
        </w:rPr>
        <w:t>Timeframe</w:t>
      </w:r>
      <w:r w:rsidRPr="00B9382C">
        <w:t xml:space="preserve">: Within </w:t>
      </w:r>
      <w:r w:rsidR="004B14BD" w:rsidRPr="00B9382C">
        <w:t>14</w:t>
      </w:r>
      <w:r w:rsidRPr="00B9382C">
        <w:t xml:space="preserve"> days of symptom onset</w:t>
      </w:r>
    </w:p>
    <w:p w14:paraId="04187355" w14:textId="77777777" w:rsidR="00033DCA" w:rsidRPr="00B9382C" w:rsidRDefault="00235C5C" w:rsidP="00235C5C">
      <w:pPr>
        <w:pStyle w:val="Body"/>
      </w:pPr>
      <w:r w:rsidRPr="00B9382C">
        <w:rPr>
          <w:b/>
        </w:rPr>
        <w:t>Administration</w:t>
      </w:r>
      <w:r w:rsidRPr="00B9382C">
        <w:t>:</w:t>
      </w:r>
      <w:r w:rsidR="005E46FB" w:rsidRPr="00B9382C">
        <w:t xml:space="preserve"> </w:t>
      </w:r>
    </w:p>
    <w:p w14:paraId="30432FAA" w14:textId="0AE91DD7" w:rsidR="00033DCA" w:rsidRPr="00B9382C" w:rsidRDefault="00A25BAB" w:rsidP="00235C5C">
      <w:pPr>
        <w:pStyle w:val="Body"/>
        <w:numPr>
          <w:ilvl w:val="0"/>
          <w:numId w:val="17"/>
        </w:numPr>
      </w:pPr>
      <w:r>
        <w:t>B</w:t>
      </w:r>
      <w:r w:rsidR="00960886">
        <w:t>udesonide (Pulmicort</w:t>
      </w:r>
      <w:r w:rsidR="00960886" w:rsidRPr="66F7092B">
        <w:rPr>
          <w:vertAlign w:val="superscript"/>
        </w:rPr>
        <w:t>TM</w:t>
      </w:r>
      <w:r w:rsidR="00960886">
        <w:t>)</w:t>
      </w:r>
      <w:r w:rsidR="00E0512C">
        <w:t xml:space="preserve"> 800 </w:t>
      </w:r>
      <w:r w:rsidR="00DD45B1">
        <w:t xml:space="preserve">μg </w:t>
      </w:r>
      <w:r w:rsidR="00E0512C">
        <w:t>inhaled twice daily</w:t>
      </w:r>
      <w:r w:rsidR="0052255C">
        <w:t xml:space="preserve"> for </w:t>
      </w:r>
      <w:r w:rsidR="00F74B85">
        <w:t xml:space="preserve">up to </w:t>
      </w:r>
      <w:r w:rsidR="0052255C">
        <w:t>14 days</w:t>
      </w:r>
      <w:r w:rsidR="00BF58EB">
        <w:t>. Ciclesonide (Alvesco</w:t>
      </w:r>
      <w:r w:rsidR="00BF58EB" w:rsidRPr="66F7092B">
        <w:rPr>
          <w:vertAlign w:val="superscript"/>
        </w:rPr>
        <w:t>TM</w:t>
      </w:r>
      <w:r w:rsidR="00BF58EB">
        <w:t>)</w:t>
      </w:r>
      <w:r w:rsidR="0052255C">
        <w:t xml:space="preserve"> 320 μg inhaled twice daily for </w:t>
      </w:r>
      <w:r w:rsidR="00F74B85">
        <w:t xml:space="preserve">up to </w:t>
      </w:r>
      <w:r w:rsidR="0052255C">
        <w:t>14 days.</w:t>
      </w:r>
      <w:r w:rsidR="00033DCA">
        <w:t xml:space="preserve"> </w:t>
      </w:r>
    </w:p>
    <w:p w14:paraId="0262CC6B" w14:textId="77777777" w:rsidR="00DD3A7A" w:rsidRPr="00B9382C" w:rsidRDefault="00033DCA" w:rsidP="0057773E">
      <w:pPr>
        <w:pStyle w:val="Body"/>
        <w:numPr>
          <w:ilvl w:val="0"/>
          <w:numId w:val="17"/>
        </w:numPr>
        <w:rPr>
          <w:b/>
        </w:rPr>
      </w:pPr>
      <w:r w:rsidRPr="00B9382C">
        <w:t xml:space="preserve">Inhaled corticosteroids can be considered as </w:t>
      </w:r>
      <w:r w:rsidR="002D17E9" w:rsidRPr="00B9382C">
        <w:t xml:space="preserve">either a standalone therapy </w:t>
      </w:r>
      <w:r w:rsidR="00DD3A7A" w:rsidRPr="00B9382C">
        <w:t xml:space="preserve">or as </w:t>
      </w:r>
      <w:r w:rsidRPr="00B9382C">
        <w:t xml:space="preserve">an additional therapy in patients already prescribed another early therapy. </w:t>
      </w:r>
    </w:p>
    <w:p w14:paraId="7C471A18" w14:textId="4833B2E5" w:rsidR="00235C5C" w:rsidRPr="00B9382C" w:rsidRDefault="00235C5C" w:rsidP="00DD3A7A">
      <w:pPr>
        <w:pStyle w:val="Body"/>
        <w:rPr>
          <w:b/>
        </w:rPr>
      </w:pPr>
      <w:r w:rsidRPr="00B9382C">
        <w:rPr>
          <w:b/>
        </w:rPr>
        <w:t>Contraindications:</w:t>
      </w:r>
    </w:p>
    <w:p w14:paraId="2BE51DD2" w14:textId="77777777" w:rsidR="00235C5C" w:rsidRPr="00B9382C" w:rsidRDefault="00235C5C" w:rsidP="007966F9">
      <w:pPr>
        <w:pStyle w:val="Body"/>
        <w:numPr>
          <w:ilvl w:val="0"/>
          <w:numId w:val="7"/>
        </w:numPr>
        <w:rPr>
          <w:lang w:val="en-GB"/>
        </w:rPr>
      </w:pPr>
      <w:r w:rsidRPr="00B9382C">
        <w:rPr>
          <w:lang w:val="en-GB"/>
        </w:rPr>
        <w:t>Hypersensitivity to active ingredients or other components of the product</w:t>
      </w:r>
    </w:p>
    <w:p w14:paraId="4AF57D14" w14:textId="77777777" w:rsidR="00235C5C" w:rsidRPr="00B9382C" w:rsidRDefault="00235C5C" w:rsidP="00680D73">
      <w:pPr>
        <w:pStyle w:val="Body"/>
        <w:rPr>
          <w:b/>
        </w:rPr>
      </w:pPr>
      <w:r w:rsidRPr="00B9382C">
        <w:rPr>
          <w:b/>
        </w:rPr>
        <w:t>Precautions:</w:t>
      </w:r>
    </w:p>
    <w:p w14:paraId="6C3CF4B0" w14:textId="77777777" w:rsidR="00411637" w:rsidRPr="00B9382C" w:rsidRDefault="00B46CF4" w:rsidP="00411637">
      <w:pPr>
        <w:pStyle w:val="Body"/>
        <w:numPr>
          <w:ilvl w:val="0"/>
          <w:numId w:val="13"/>
        </w:numPr>
        <w:rPr>
          <w:lang w:val="en-GB"/>
        </w:rPr>
      </w:pPr>
      <w:r w:rsidRPr="00B9382C">
        <w:rPr>
          <w:rFonts w:cs="Arial"/>
          <w:lang w:eastAsia="en-GB"/>
        </w:rPr>
        <w:t>Inhaled corticosteroids are considered to be safe for use during pregnancy and breastfeeding. In pregnancy, b</w:t>
      </w:r>
      <w:r w:rsidR="00A17449" w:rsidRPr="00B9382C">
        <w:rPr>
          <w:rFonts w:cs="Arial"/>
          <w:lang w:eastAsia="en-GB"/>
        </w:rPr>
        <w:t>udesonide (Pulmicort</w:t>
      </w:r>
      <w:r w:rsidR="00A17449" w:rsidRPr="00B9382C">
        <w:rPr>
          <w:rFonts w:cs="Arial"/>
          <w:vertAlign w:val="superscript"/>
          <w:lang w:eastAsia="en-GB"/>
        </w:rPr>
        <w:t>TM</w:t>
      </w:r>
      <w:r w:rsidR="00A17449" w:rsidRPr="00B9382C">
        <w:rPr>
          <w:rFonts w:cs="Arial"/>
          <w:lang w:eastAsia="en-GB"/>
        </w:rPr>
        <w:t xml:space="preserve">) </w:t>
      </w:r>
      <w:r w:rsidRPr="00B9382C">
        <w:rPr>
          <w:rFonts w:cs="Arial"/>
          <w:lang w:eastAsia="en-GB"/>
        </w:rPr>
        <w:t xml:space="preserve">which is </w:t>
      </w:r>
      <w:r w:rsidR="00073E3E" w:rsidRPr="00B9382C">
        <w:rPr>
          <w:rFonts w:cs="Arial"/>
          <w:lang w:eastAsia="en-GB"/>
        </w:rPr>
        <w:t>Category A</w:t>
      </w:r>
      <w:r w:rsidRPr="00B9382C">
        <w:rPr>
          <w:rFonts w:cs="Arial"/>
          <w:lang w:eastAsia="en-GB"/>
        </w:rPr>
        <w:t xml:space="preserve"> is the preferred option over </w:t>
      </w:r>
      <w:r w:rsidR="008E36EA" w:rsidRPr="00B9382C">
        <w:rPr>
          <w:rFonts w:cs="Arial"/>
          <w:lang w:eastAsia="en-GB"/>
        </w:rPr>
        <w:t>ciclesonide (Alvesco</w:t>
      </w:r>
      <w:r w:rsidR="008E36EA" w:rsidRPr="00B9382C">
        <w:rPr>
          <w:rFonts w:cs="Arial"/>
          <w:vertAlign w:val="superscript"/>
          <w:lang w:eastAsia="en-GB"/>
        </w:rPr>
        <w:t>TM</w:t>
      </w:r>
      <w:r w:rsidR="008E36EA" w:rsidRPr="00B9382C">
        <w:rPr>
          <w:rFonts w:cs="Arial"/>
          <w:lang w:eastAsia="en-GB"/>
        </w:rPr>
        <w:t xml:space="preserve">) </w:t>
      </w:r>
      <w:r w:rsidRPr="00B9382C">
        <w:rPr>
          <w:rFonts w:cs="Arial"/>
          <w:lang w:eastAsia="en-GB"/>
        </w:rPr>
        <w:t>which is</w:t>
      </w:r>
      <w:r w:rsidR="008E36EA" w:rsidRPr="00B9382C">
        <w:rPr>
          <w:rFonts w:cs="Arial"/>
          <w:lang w:eastAsia="en-GB"/>
        </w:rPr>
        <w:t xml:space="preserve"> Category B3</w:t>
      </w:r>
      <w:r w:rsidRPr="00B9382C">
        <w:rPr>
          <w:rFonts w:cs="Arial"/>
          <w:lang w:eastAsia="en-GB"/>
        </w:rPr>
        <w:t>.</w:t>
      </w:r>
    </w:p>
    <w:p w14:paraId="1C945B89" w14:textId="11226DF1" w:rsidR="00411637" w:rsidRPr="00B9382C" w:rsidRDefault="00BD4F22" w:rsidP="00411637">
      <w:pPr>
        <w:pStyle w:val="Body"/>
        <w:numPr>
          <w:ilvl w:val="0"/>
          <w:numId w:val="13"/>
        </w:numPr>
        <w:rPr>
          <w:lang w:val="en-GB"/>
        </w:rPr>
      </w:pPr>
      <w:r w:rsidRPr="00B9382C">
        <w:rPr>
          <w:rFonts w:cs="Arial"/>
          <w:lang w:eastAsia="en-GB"/>
        </w:rPr>
        <w:t>I</w:t>
      </w:r>
      <w:r w:rsidR="00CE014D" w:rsidRPr="00B9382C">
        <w:rPr>
          <w:rFonts w:cs="Arial"/>
          <w:lang w:eastAsia="en-GB"/>
        </w:rPr>
        <w:t>f</w:t>
      </w:r>
      <w:r w:rsidRPr="00B9382C">
        <w:rPr>
          <w:rFonts w:cs="Arial"/>
          <w:lang w:eastAsia="en-GB"/>
        </w:rPr>
        <w:t xml:space="preserve"> patients </w:t>
      </w:r>
      <w:r w:rsidR="00472A39" w:rsidRPr="00B9382C">
        <w:rPr>
          <w:rFonts w:cs="Arial"/>
          <w:lang w:eastAsia="en-GB"/>
        </w:rPr>
        <w:t xml:space="preserve">are </w:t>
      </w:r>
      <w:r w:rsidRPr="00B9382C">
        <w:rPr>
          <w:rFonts w:cs="Arial"/>
          <w:lang w:eastAsia="en-GB"/>
        </w:rPr>
        <w:t>already prescribed inhaled corticosteroids for other indications continue usual medication</w:t>
      </w:r>
      <w:r w:rsidR="00B10300" w:rsidRPr="00B9382C">
        <w:rPr>
          <w:rFonts w:cs="Arial"/>
          <w:lang w:eastAsia="en-GB"/>
        </w:rPr>
        <w:t>s</w:t>
      </w:r>
      <w:r w:rsidRPr="00B9382C">
        <w:rPr>
          <w:rFonts w:cs="Arial"/>
          <w:lang w:eastAsia="en-GB"/>
        </w:rPr>
        <w:t xml:space="preserve"> and do not add</w:t>
      </w:r>
      <w:r w:rsidR="00F74B85" w:rsidRPr="00B9382C">
        <w:rPr>
          <w:rFonts w:cs="Arial"/>
          <w:lang w:eastAsia="en-GB"/>
        </w:rPr>
        <w:t xml:space="preserve"> budesonide (Pulmicort</w:t>
      </w:r>
      <w:r w:rsidR="00F74B85" w:rsidRPr="00B9382C">
        <w:rPr>
          <w:rFonts w:cs="Arial"/>
          <w:vertAlign w:val="superscript"/>
          <w:lang w:eastAsia="en-GB"/>
        </w:rPr>
        <w:t>TM</w:t>
      </w:r>
      <w:r w:rsidR="00F74B85" w:rsidRPr="00B9382C">
        <w:rPr>
          <w:rFonts w:cs="Arial"/>
          <w:lang w:eastAsia="en-GB"/>
        </w:rPr>
        <w:t>) or ciclesonide (Alvesco</w:t>
      </w:r>
      <w:r w:rsidR="00F74B85" w:rsidRPr="00B9382C">
        <w:rPr>
          <w:rFonts w:cs="Arial"/>
          <w:vertAlign w:val="superscript"/>
          <w:lang w:eastAsia="en-GB"/>
        </w:rPr>
        <w:t>TM</w:t>
      </w:r>
      <w:r w:rsidR="00F74B85" w:rsidRPr="00B9382C">
        <w:rPr>
          <w:rFonts w:cs="Arial"/>
          <w:lang w:eastAsia="en-GB"/>
        </w:rPr>
        <w:t>)</w:t>
      </w:r>
      <w:r w:rsidR="00B10300" w:rsidRPr="00B9382C">
        <w:rPr>
          <w:rFonts w:cs="Arial"/>
          <w:lang w:eastAsia="en-GB"/>
        </w:rPr>
        <w:t>.</w:t>
      </w:r>
    </w:p>
    <w:p w14:paraId="5A960AEF" w14:textId="77777777" w:rsidR="00411637" w:rsidRPr="00B9382C" w:rsidRDefault="00A810EC" w:rsidP="00411637">
      <w:pPr>
        <w:pStyle w:val="Body"/>
        <w:numPr>
          <w:ilvl w:val="0"/>
          <w:numId w:val="13"/>
        </w:numPr>
        <w:rPr>
          <w:lang w:val="en-GB"/>
        </w:rPr>
      </w:pPr>
      <w:r w:rsidRPr="00B9382C">
        <w:rPr>
          <w:rFonts w:cs="Arial"/>
          <w:lang w:eastAsia="en-GB"/>
        </w:rPr>
        <w:t>Budesonide (Pulmicort</w:t>
      </w:r>
      <w:r w:rsidRPr="00B9382C">
        <w:rPr>
          <w:rFonts w:cs="Arial"/>
          <w:vertAlign w:val="superscript"/>
          <w:lang w:eastAsia="en-GB"/>
        </w:rPr>
        <w:t>TM</w:t>
      </w:r>
      <w:r w:rsidRPr="00B9382C">
        <w:rPr>
          <w:rFonts w:cs="Arial"/>
          <w:lang w:eastAsia="en-GB"/>
        </w:rPr>
        <w:t xml:space="preserve">) is only available in Australia as a </w:t>
      </w:r>
      <w:r w:rsidR="0031485E" w:rsidRPr="00B9382C">
        <w:rPr>
          <w:rFonts w:cs="Arial"/>
          <w:lang w:eastAsia="en-GB"/>
        </w:rPr>
        <w:t xml:space="preserve">Dry Powder Inhaler (DPI) which requires a patient to </w:t>
      </w:r>
      <w:r w:rsidR="009B68C5" w:rsidRPr="00B9382C">
        <w:rPr>
          <w:rFonts w:cs="Arial"/>
          <w:lang w:eastAsia="en-GB"/>
        </w:rPr>
        <w:t xml:space="preserve">inhale </w:t>
      </w:r>
      <w:r w:rsidR="00F660AF" w:rsidRPr="00B9382C">
        <w:rPr>
          <w:rFonts w:cs="Arial"/>
          <w:lang w:eastAsia="en-GB"/>
        </w:rPr>
        <w:t>deeply</w:t>
      </w:r>
      <w:r w:rsidR="00A106A3" w:rsidRPr="00B9382C">
        <w:rPr>
          <w:rFonts w:cs="Arial"/>
          <w:lang w:eastAsia="en-GB"/>
        </w:rPr>
        <w:t xml:space="preserve"> and quickly. If patients are unable to do this, use ciclesonide (Alvesco</w:t>
      </w:r>
      <w:r w:rsidR="00A106A3" w:rsidRPr="00B9382C">
        <w:rPr>
          <w:rFonts w:cs="Arial"/>
          <w:vertAlign w:val="superscript"/>
          <w:lang w:eastAsia="en-GB"/>
        </w:rPr>
        <w:t>TM</w:t>
      </w:r>
      <w:r w:rsidR="00A106A3" w:rsidRPr="00B9382C">
        <w:rPr>
          <w:rFonts w:cs="Arial"/>
          <w:lang w:eastAsia="en-GB"/>
        </w:rPr>
        <w:t>) which is available as a Metered Dose Inhaler (MDI</w:t>
      </w:r>
      <w:r w:rsidR="009B68C5" w:rsidRPr="00B9382C">
        <w:rPr>
          <w:rFonts w:cs="Arial"/>
          <w:lang w:eastAsia="en-GB"/>
        </w:rPr>
        <w:t>) and can be used with a spacer.</w:t>
      </w:r>
    </w:p>
    <w:p w14:paraId="4AFE1232" w14:textId="37C2AF04" w:rsidR="00411637" w:rsidRPr="00B9382C" w:rsidRDefault="00BD4F22" w:rsidP="00411637">
      <w:pPr>
        <w:pStyle w:val="Body"/>
        <w:numPr>
          <w:ilvl w:val="0"/>
          <w:numId w:val="13"/>
        </w:numPr>
        <w:rPr>
          <w:lang w:val="en-GB"/>
        </w:rPr>
      </w:pPr>
      <w:r w:rsidRPr="00B9382C">
        <w:rPr>
          <w:rFonts w:cs="Arial"/>
          <w:lang w:eastAsia="en-GB"/>
        </w:rPr>
        <w:t xml:space="preserve">Inhaled corticosteroids have a conditional recommendation by the </w:t>
      </w:r>
      <w:r w:rsidR="00B57890" w:rsidRPr="00B9382C">
        <w:rPr>
          <w:rFonts w:cs="Arial"/>
          <w:lang w:eastAsia="en-GB"/>
        </w:rPr>
        <w:t>National COVID-19 Clinical Evidence Taskforce</w:t>
      </w:r>
      <w:r w:rsidRPr="00B9382C">
        <w:rPr>
          <w:rFonts w:cs="Arial"/>
          <w:lang w:eastAsia="en-GB"/>
        </w:rPr>
        <w:t>. There is currently some uncertainty as to clinical benefit</w:t>
      </w:r>
      <w:r w:rsidR="00DD3A7A" w:rsidRPr="00B9382C">
        <w:rPr>
          <w:rFonts w:cs="Arial"/>
          <w:lang w:eastAsia="en-GB"/>
        </w:rPr>
        <w:t xml:space="preserve"> for both standalone inhaled corticosteroids or use as an additional therapy.</w:t>
      </w:r>
    </w:p>
    <w:p w14:paraId="2A6A7260" w14:textId="41B4AA82" w:rsidR="00AE62B8" w:rsidRPr="00B9382C" w:rsidRDefault="0026052A" w:rsidP="00411637">
      <w:pPr>
        <w:pStyle w:val="Body"/>
        <w:numPr>
          <w:ilvl w:val="0"/>
          <w:numId w:val="13"/>
        </w:numPr>
        <w:rPr>
          <w:lang w:val="en-GB"/>
        </w:rPr>
      </w:pPr>
      <w:r w:rsidRPr="00B9382C">
        <w:rPr>
          <w:rFonts w:cs="Arial"/>
          <w:lang w:eastAsia="en-GB"/>
        </w:rPr>
        <w:lastRenderedPageBreak/>
        <w:t>Budesonide (Pulmicort</w:t>
      </w:r>
      <w:r w:rsidRPr="00B9382C">
        <w:rPr>
          <w:rFonts w:cs="Arial"/>
          <w:vertAlign w:val="superscript"/>
          <w:lang w:eastAsia="en-GB"/>
        </w:rPr>
        <w:t>TM</w:t>
      </w:r>
      <w:r w:rsidRPr="00B9382C">
        <w:rPr>
          <w:rFonts w:cs="Arial"/>
          <w:lang w:eastAsia="en-GB"/>
        </w:rPr>
        <w:t>) and ciclesonide (Alvesco</w:t>
      </w:r>
      <w:r w:rsidRPr="00B9382C">
        <w:rPr>
          <w:rFonts w:cs="Arial"/>
          <w:vertAlign w:val="superscript"/>
          <w:lang w:eastAsia="en-GB"/>
        </w:rPr>
        <w:t>TM</w:t>
      </w:r>
      <w:r w:rsidRPr="00B9382C">
        <w:rPr>
          <w:rFonts w:cs="Arial"/>
          <w:lang w:eastAsia="en-GB"/>
        </w:rPr>
        <w:t xml:space="preserve">) </w:t>
      </w:r>
      <w:r w:rsidR="00431108" w:rsidRPr="00B9382C">
        <w:rPr>
          <w:rFonts w:cs="Arial"/>
          <w:lang w:eastAsia="en-GB"/>
        </w:rPr>
        <w:t xml:space="preserve">are not listed on the PBS for </w:t>
      </w:r>
      <w:r w:rsidR="00467BF5" w:rsidRPr="00B9382C">
        <w:rPr>
          <w:rFonts w:cs="Arial"/>
          <w:lang w:eastAsia="en-GB"/>
        </w:rPr>
        <w:t xml:space="preserve">a </w:t>
      </w:r>
      <w:r w:rsidR="00431108" w:rsidRPr="00B9382C">
        <w:rPr>
          <w:rFonts w:cs="Arial"/>
          <w:lang w:eastAsia="en-GB"/>
        </w:rPr>
        <w:t>COVID-19</w:t>
      </w:r>
      <w:r w:rsidR="00467BF5" w:rsidRPr="00B9382C">
        <w:rPr>
          <w:rFonts w:cs="Arial"/>
          <w:lang w:eastAsia="en-GB"/>
        </w:rPr>
        <w:t xml:space="preserve"> indication, however are not cost prohibitive on a private script</w:t>
      </w:r>
      <w:r w:rsidR="00431108" w:rsidRPr="00B9382C">
        <w:rPr>
          <w:rFonts w:cs="Arial"/>
          <w:lang w:eastAsia="en-GB"/>
        </w:rPr>
        <w:t>.</w:t>
      </w:r>
    </w:p>
    <w:p w14:paraId="32B477CA" w14:textId="77777777" w:rsidR="00D360A2" w:rsidRPr="00B9382C" w:rsidRDefault="00D360A2" w:rsidP="00D360A2">
      <w:pPr>
        <w:pStyle w:val="Body"/>
        <w:rPr>
          <w:b/>
        </w:rPr>
      </w:pPr>
      <w:r w:rsidRPr="00B9382C">
        <w:rPr>
          <w:b/>
        </w:rPr>
        <w:t>Further information:</w:t>
      </w:r>
    </w:p>
    <w:p w14:paraId="5064453E" w14:textId="00793527" w:rsidR="00D360A2" w:rsidRPr="00B9382C" w:rsidRDefault="00293D73" w:rsidP="00D360A2">
      <w:pPr>
        <w:pStyle w:val="Body"/>
        <w:spacing w:after="0"/>
      </w:pPr>
      <w:hyperlink r:id="rId47" w:anchor="/guideline/L4Q5An/section/EKeMKy">
        <w:r w:rsidR="00D360A2" w:rsidRPr="00B9382C">
          <w:rPr>
            <w:rStyle w:val="Hyperlink"/>
          </w:rPr>
          <w:t>Australian guidelines for the clinical care of people with COVID-19</w:t>
        </w:r>
      </w:hyperlink>
      <w:r w:rsidR="00D360A2" w:rsidRPr="00B9382C">
        <w:t xml:space="preserve"> </w:t>
      </w:r>
    </w:p>
    <w:p w14:paraId="186A29F9" w14:textId="4C99C760" w:rsidR="00D360A2" w:rsidRPr="00B9382C" w:rsidRDefault="00442661" w:rsidP="00D360A2">
      <w:pPr>
        <w:pStyle w:val="Body"/>
      </w:pPr>
      <w:r w:rsidRPr="00B9382C">
        <w:t>&lt;</w:t>
      </w:r>
      <w:r w:rsidR="00AE62B8" w:rsidRPr="00B9382C">
        <w:t>https://app.magicapp.org/#/guideline/L4Q5An/section/EKeMKy</w:t>
      </w:r>
      <w:r w:rsidRPr="00B9382C">
        <w:t>&gt;</w:t>
      </w:r>
    </w:p>
    <w:p w14:paraId="5BBEA73E" w14:textId="1C8443C8" w:rsidR="00D360A2" w:rsidRPr="00B9382C" w:rsidRDefault="00293D73" w:rsidP="003D107A">
      <w:pPr>
        <w:pStyle w:val="Body"/>
        <w:spacing w:after="0"/>
        <w:rPr>
          <w:rStyle w:val="Hyperlink"/>
        </w:rPr>
      </w:pPr>
      <w:hyperlink r:id="rId48">
        <w:r w:rsidR="00AE62B8" w:rsidRPr="00B9382C">
          <w:rPr>
            <w:rStyle w:val="Hyperlink"/>
          </w:rPr>
          <w:t>Budesonide (Pulmicort</w:t>
        </w:r>
        <w:r w:rsidR="00AE62B8" w:rsidRPr="00B9382C">
          <w:rPr>
            <w:rStyle w:val="Hyperlink"/>
            <w:vertAlign w:val="superscript"/>
          </w:rPr>
          <w:t>TM</w:t>
        </w:r>
        <w:r w:rsidR="00AE62B8" w:rsidRPr="00B9382C">
          <w:rPr>
            <w:rStyle w:val="Hyperlink"/>
          </w:rPr>
          <w:t xml:space="preserve">) </w:t>
        </w:r>
        <w:r w:rsidR="0026052A" w:rsidRPr="00B9382C">
          <w:rPr>
            <w:rStyle w:val="Hyperlink"/>
          </w:rPr>
          <w:t>p</w:t>
        </w:r>
        <w:r w:rsidR="00AE62B8" w:rsidRPr="00B9382C">
          <w:rPr>
            <w:rStyle w:val="Hyperlink"/>
          </w:rPr>
          <w:t>roduct information</w:t>
        </w:r>
      </w:hyperlink>
    </w:p>
    <w:p w14:paraId="25722C87" w14:textId="05CB45A8" w:rsidR="0002407F" w:rsidRPr="00B9382C" w:rsidRDefault="0002407F" w:rsidP="003D107A">
      <w:pPr>
        <w:pStyle w:val="Body"/>
      </w:pPr>
      <w:r w:rsidRPr="00B9382C">
        <w:t>&lt;https://www.ebs.tga.gov.au/ebs/picmi/picmirepository.nsf/pdf?OpenAgent&amp;id=CP-2010-PI-04678-3&gt;</w:t>
      </w:r>
    </w:p>
    <w:bookmarkStart w:id="11" w:name="_Hlk105399691"/>
    <w:p w14:paraId="1F993359" w14:textId="0BE1FC31" w:rsidR="00C35D5A" w:rsidRPr="00B9382C" w:rsidRDefault="00C35D5A" w:rsidP="003D107A">
      <w:pPr>
        <w:pStyle w:val="Body"/>
        <w:spacing w:after="0"/>
        <w:rPr>
          <w:rStyle w:val="Hyperlink"/>
        </w:rPr>
      </w:pPr>
      <w:r w:rsidRPr="00B9382C">
        <w:fldChar w:fldCharType="begin"/>
      </w:r>
      <w:r w:rsidRPr="00B9382C">
        <w:instrText>HYPERLINK "https://www.ebs.tga.gov.au/ebs/picmi/picmirepository.nsf/pdf?OpenAgent&amp;id=CP-2010-CMI-04677-3&amp;d=20220605172310101"</w:instrText>
      </w:r>
      <w:r w:rsidRPr="00B9382C">
        <w:fldChar w:fldCharType="separate"/>
      </w:r>
      <w:r w:rsidRPr="00B9382C">
        <w:rPr>
          <w:rStyle w:val="Hyperlink"/>
        </w:rPr>
        <w:t>Budesonide (Pulmicort</w:t>
      </w:r>
      <w:r w:rsidRPr="00B9382C">
        <w:rPr>
          <w:rStyle w:val="Hyperlink"/>
          <w:vertAlign w:val="superscript"/>
        </w:rPr>
        <w:t>TM</w:t>
      </w:r>
      <w:r w:rsidRPr="00B9382C">
        <w:rPr>
          <w:rStyle w:val="Hyperlink"/>
        </w:rPr>
        <w:t>) consumer information</w:t>
      </w:r>
      <w:r w:rsidRPr="00B9382C">
        <w:rPr>
          <w:rStyle w:val="Hyperlink"/>
        </w:rPr>
        <w:fldChar w:fldCharType="end"/>
      </w:r>
      <w:bookmarkEnd w:id="11"/>
    </w:p>
    <w:p w14:paraId="535398D3" w14:textId="77777777" w:rsidR="00C35D5A" w:rsidRPr="00B9382C" w:rsidRDefault="00C35D5A" w:rsidP="003D107A">
      <w:pPr>
        <w:pStyle w:val="Body"/>
      </w:pPr>
      <w:r w:rsidRPr="00B9382C">
        <w:t>&lt;https://www.ebs.tga.gov.au/ebs/picmi/picmirepository.nsf/pdf?OpenAgent&amp;id=CP-2010-CMI-04677-3&amp;d=20220605172310101&gt;</w:t>
      </w:r>
    </w:p>
    <w:bookmarkStart w:id="12" w:name="_Hlk105399683"/>
    <w:p w14:paraId="5F1FC6BD" w14:textId="610AE401" w:rsidR="00AE62B8" w:rsidRPr="00B9382C" w:rsidRDefault="00AE62B8" w:rsidP="003D107A">
      <w:pPr>
        <w:pStyle w:val="Body"/>
        <w:spacing w:after="0"/>
        <w:rPr>
          <w:rStyle w:val="Hyperlink"/>
        </w:rPr>
      </w:pPr>
      <w:r w:rsidRPr="00B9382C">
        <w:fldChar w:fldCharType="begin"/>
      </w:r>
      <w:r w:rsidRPr="00B9382C">
        <w:instrText>HYPERLINK "https://www.ebs.tga.gov.au/ebs/picmi/picmirepository.nsf/pdf?OpenAgent&amp;id=CP-2021-PI-01896-1&amp;d=20220605172310101"</w:instrText>
      </w:r>
      <w:r w:rsidRPr="00B9382C">
        <w:fldChar w:fldCharType="separate"/>
      </w:r>
      <w:r w:rsidRPr="00B9382C">
        <w:rPr>
          <w:rStyle w:val="Hyperlink"/>
        </w:rPr>
        <w:t>Cic</w:t>
      </w:r>
      <w:r w:rsidR="00472A39" w:rsidRPr="00B9382C">
        <w:rPr>
          <w:rStyle w:val="Hyperlink"/>
        </w:rPr>
        <w:t>le</w:t>
      </w:r>
      <w:r w:rsidRPr="00B9382C">
        <w:rPr>
          <w:rStyle w:val="Hyperlink"/>
        </w:rPr>
        <w:t>sonide (Alvesco</w:t>
      </w:r>
      <w:r w:rsidRPr="00B9382C">
        <w:rPr>
          <w:rStyle w:val="Hyperlink"/>
          <w:vertAlign w:val="superscript"/>
        </w:rPr>
        <w:t>TM</w:t>
      </w:r>
      <w:r w:rsidRPr="00B9382C">
        <w:rPr>
          <w:rStyle w:val="Hyperlink"/>
        </w:rPr>
        <w:t xml:space="preserve">) </w:t>
      </w:r>
      <w:r w:rsidR="0026052A" w:rsidRPr="00B9382C">
        <w:rPr>
          <w:rStyle w:val="Hyperlink"/>
        </w:rPr>
        <w:t>p</w:t>
      </w:r>
      <w:r w:rsidRPr="00B9382C">
        <w:rPr>
          <w:rStyle w:val="Hyperlink"/>
        </w:rPr>
        <w:t>roduct information</w:t>
      </w:r>
      <w:r w:rsidRPr="00B9382C">
        <w:rPr>
          <w:rStyle w:val="Hyperlink"/>
        </w:rPr>
        <w:fldChar w:fldCharType="end"/>
      </w:r>
      <w:bookmarkEnd w:id="12"/>
    </w:p>
    <w:p w14:paraId="7DE22D60" w14:textId="532A10B3" w:rsidR="0002407F" w:rsidRPr="00B9382C" w:rsidRDefault="0002407F" w:rsidP="003D107A">
      <w:pPr>
        <w:pStyle w:val="Body"/>
      </w:pPr>
      <w:r w:rsidRPr="00B9382C">
        <w:t>&lt;https://www.ebs.tga.gov.au/ebs/picmi/picmirepository.nsf/pdf?OpenAgent&amp;id=CP-2021-PI-01896-1&amp;d=20220605172310101&gt;</w:t>
      </w:r>
    </w:p>
    <w:p w14:paraId="333F0B9E" w14:textId="1C88E8E1" w:rsidR="0026052A" w:rsidRPr="00B9382C" w:rsidRDefault="00293D73" w:rsidP="003D107A">
      <w:pPr>
        <w:pStyle w:val="Body"/>
        <w:spacing w:after="0"/>
      </w:pPr>
      <w:hyperlink r:id="rId49">
        <w:r w:rsidR="0026052A" w:rsidRPr="00B9382C">
          <w:rPr>
            <w:rStyle w:val="Hyperlink"/>
          </w:rPr>
          <w:t>Cic</w:t>
        </w:r>
        <w:r w:rsidR="00472A39" w:rsidRPr="00B9382C">
          <w:rPr>
            <w:rStyle w:val="Hyperlink"/>
          </w:rPr>
          <w:t>le</w:t>
        </w:r>
        <w:r w:rsidR="0026052A" w:rsidRPr="00B9382C">
          <w:rPr>
            <w:rStyle w:val="Hyperlink"/>
          </w:rPr>
          <w:t>sonide (Alvesco</w:t>
        </w:r>
        <w:r w:rsidR="0026052A" w:rsidRPr="00B9382C">
          <w:rPr>
            <w:rStyle w:val="Hyperlink"/>
            <w:vertAlign w:val="superscript"/>
          </w:rPr>
          <w:t>TM</w:t>
        </w:r>
        <w:r w:rsidR="0026052A" w:rsidRPr="00B9382C">
          <w:rPr>
            <w:rStyle w:val="Hyperlink"/>
          </w:rPr>
          <w:t>) consumer information</w:t>
        </w:r>
      </w:hyperlink>
    </w:p>
    <w:p w14:paraId="282DCBD9" w14:textId="407E41C7" w:rsidR="00BD4F22" w:rsidRPr="00B9382C" w:rsidRDefault="0002407F" w:rsidP="003D107A">
      <w:pPr>
        <w:spacing w:after="0" w:line="240" w:lineRule="auto"/>
        <w:rPr>
          <w:rFonts w:cs="Arial"/>
          <w:lang w:eastAsia="en-GB"/>
        </w:rPr>
      </w:pPr>
      <w:r w:rsidRPr="00B9382C">
        <w:rPr>
          <w:rFonts w:cs="Arial"/>
          <w:lang w:eastAsia="en-GB"/>
        </w:rPr>
        <w:t>&lt;https://www.ebs.tga.gov.au/ebs/picmi/picmirepository.nsf/pdf?OpenAgent&amp;id=CP-2021-CMI-01897-1&gt;</w:t>
      </w:r>
    </w:p>
    <w:p w14:paraId="10FF2F0D" w14:textId="77777777" w:rsidR="00216856" w:rsidRDefault="00216856" w:rsidP="00F04FDB">
      <w:pPr>
        <w:pStyle w:val="Body"/>
        <w:spacing w:after="0"/>
        <w:rPr>
          <w:i/>
        </w:rPr>
      </w:pPr>
    </w:p>
    <w:p w14:paraId="2A01DD5F" w14:textId="77777777" w:rsidR="00AE186F" w:rsidRPr="00B9382C" w:rsidRDefault="00AE186F" w:rsidP="00F04FDB">
      <w:pPr>
        <w:pStyle w:val="Body"/>
        <w:spacing w:after="0"/>
        <w:rPr>
          <w:i/>
        </w:rPr>
      </w:pPr>
    </w:p>
    <w:p w14:paraId="0F503479" w14:textId="3D429A26" w:rsidR="00695E81" w:rsidRDefault="00566422" w:rsidP="00F04FDB">
      <w:pPr>
        <w:pStyle w:val="Body"/>
        <w:spacing w:after="0"/>
        <w:rPr>
          <w:b/>
          <w:i/>
        </w:rPr>
      </w:pPr>
      <w:r w:rsidRPr="00D33B1B">
        <w:rPr>
          <w:b/>
          <w:i/>
        </w:rPr>
        <w:t>SOTROVIMAB (XEVUDY</w:t>
      </w:r>
      <w:r w:rsidRPr="00D33B1B">
        <w:rPr>
          <w:b/>
          <w:i/>
          <w:vertAlign w:val="superscript"/>
        </w:rPr>
        <w:t>TM</w:t>
      </w:r>
      <w:r w:rsidRPr="00D33B1B">
        <w:rPr>
          <w:b/>
          <w:i/>
        </w:rPr>
        <w:t xml:space="preserve">) </w:t>
      </w:r>
      <w:r w:rsidR="00D35230" w:rsidRPr="00D33B1B">
        <w:rPr>
          <w:b/>
          <w:i/>
        </w:rPr>
        <w:t>AND</w:t>
      </w:r>
      <w:r w:rsidR="00D35230" w:rsidRPr="00D33B1B">
        <w:rPr>
          <w:i/>
        </w:rPr>
        <w:t xml:space="preserve"> </w:t>
      </w:r>
      <w:r w:rsidR="00D35230" w:rsidRPr="00D33B1B">
        <w:rPr>
          <w:rStyle w:val="Strong"/>
          <w:i/>
        </w:rPr>
        <w:t>CASIRIVIMAB PLUS IMDEVIMAB (RONAPREVE</w:t>
      </w:r>
      <w:r w:rsidR="00D35230" w:rsidRPr="00D33B1B">
        <w:rPr>
          <w:rStyle w:val="Strong"/>
          <w:i/>
          <w:vertAlign w:val="superscript"/>
        </w:rPr>
        <w:t>TM</w:t>
      </w:r>
      <w:r w:rsidR="00D35230" w:rsidRPr="00D33B1B">
        <w:rPr>
          <w:rStyle w:val="Strong"/>
          <w:i/>
        </w:rPr>
        <w:t>)</w:t>
      </w:r>
      <w:r w:rsidR="00D35230" w:rsidRPr="00D33B1B">
        <w:rPr>
          <w:b/>
          <w:i/>
        </w:rPr>
        <w:t xml:space="preserve"> </w:t>
      </w:r>
      <w:r w:rsidR="006E4E1C" w:rsidRPr="00D33B1B">
        <w:rPr>
          <w:b/>
          <w:i/>
        </w:rPr>
        <w:t>ARE</w:t>
      </w:r>
      <w:r w:rsidRPr="00D33B1B">
        <w:rPr>
          <w:b/>
          <w:i/>
        </w:rPr>
        <w:t xml:space="preserve"> NOT RECOMMENDED IN THE CONTEXT OF THE </w:t>
      </w:r>
      <w:r w:rsidR="00CC4E7B" w:rsidRPr="00D33B1B">
        <w:rPr>
          <w:b/>
          <w:i/>
        </w:rPr>
        <w:t>CURRENT</w:t>
      </w:r>
      <w:r w:rsidR="006E4E1C" w:rsidRPr="00D33B1B">
        <w:rPr>
          <w:b/>
          <w:i/>
        </w:rPr>
        <w:t xml:space="preserve"> </w:t>
      </w:r>
      <w:r w:rsidRPr="00D33B1B">
        <w:rPr>
          <w:b/>
          <w:i/>
        </w:rPr>
        <w:t>VARIANT</w:t>
      </w:r>
      <w:r w:rsidR="00CC4E7B" w:rsidRPr="00D33B1B">
        <w:rPr>
          <w:b/>
          <w:i/>
        </w:rPr>
        <w:t>S</w:t>
      </w:r>
      <w:r w:rsidRPr="00D33B1B">
        <w:rPr>
          <w:b/>
          <w:i/>
        </w:rPr>
        <w:t xml:space="preserve"> </w:t>
      </w:r>
      <w:r w:rsidR="00A43673" w:rsidRPr="00D33B1B">
        <w:rPr>
          <w:b/>
          <w:i/>
        </w:rPr>
        <w:t>CIRCULATING IN VICTORIA</w:t>
      </w:r>
      <w:r w:rsidR="006E4E1C" w:rsidRPr="00D33B1B">
        <w:rPr>
          <w:b/>
          <w:i/>
        </w:rPr>
        <w:t xml:space="preserve"> </w:t>
      </w:r>
      <w:r w:rsidRPr="00D33B1B">
        <w:rPr>
          <w:b/>
          <w:i/>
        </w:rPr>
        <w:t>DUE TO SIGNIFICANTLY DECREASED EFFICACY</w:t>
      </w:r>
      <w:r w:rsidR="00CC4E7B" w:rsidRPr="00D33B1B">
        <w:rPr>
          <w:b/>
          <w:i/>
        </w:rPr>
        <w:t>.</w:t>
      </w:r>
    </w:p>
    <w:p w14:paraId="0B74D4D1" w14:textId="77777777" w:rsidR="00ED338C" w:rsidRPr="00B9382C" w:rsidRDefault="00ED338C" w:rsidP="00F04FDB">
      <w:pPr>
        <w:pStyle w:val="Body"/>
        <w:spacing w:after="0"/>
        <w:rPr>
          <w:b/>
          <w:i/>
        </w:rPr>
      </w:pPr>
    </w:p>
    <w:p w14:paraId="0968E264" w14:textId="64F3E05B" w:rsidR="005445AC" w:rsidRPr="00B9382C" w:rsidRDefault="005445AC" w:rsidP="005445AC">
      <w:pPr>
        <w:pStyle w:val="Heading1"/>
      </w:pPr>
      <w:bookmarkStart w:id="13" w:name="_Referral_information_for"/>
      <w:bookmarkEnd w:id="13"/>
      <w:r w:rsidRPr="00B9382C">
        <w:t>Referral information for access to early therapies</w:t>
      </w:r>
    </w:p>
    <w:p w14:paraId="468874D0" w14:textId="0301861E" w:rsidR="004706CE" w:rsidRPr="00A044CF" w:rsidRDefault="004706CE" w:rsidP="004706CE">
      <w:pPr>
        <w:pStyle w:val="Body"/>
      </w:pPr>
      <w:r w:rsidRPr="00B9382C">
        <w:t xml:space="preserve">Contact details for access to </w:t>
      </w:r>
      <w:r w:rsidR="002A1B1B" w:rsidRPr="00B9382C">
        <w:t xml:space="preserve">NMS </w:t>
      </w:r>
      <w:r w:rsidRPr="00B9382C">
        <w:t>therapies through the hospital system in Victoria are provided below</w:t>
      </w:r>
      <w:r w:rsidR="005D6F72">
        <w:t xml:space="preserve"> in </w:t>
      </w:r>
      <w:r w:rsidR="005D6F72" w:rsidRPr="00D33B1B">
        <w:rPr>
          <w:b/>
        </w:rPr>
        <w:t>Table 1</w:t>
      </w:r>
      <w:r w:rsidRPr="00A044CF">
        <w:t>.</w:t>
      </w:r>
    </w:p>
    <w:p w14:paraId="3F38C8E2" w14:textId="77777777" w:rsidR="0030318A" w:rsidRPr="00F56D27" w:rsidRDefault="004706CE" w:rsidP="0030318A">
      <w:pPr>
        <w:pStyle w:val="Body"/>
      </w:pPr>
      <w:r w:rsidRPr="00A044CF">
        <w:t>Prior to making a referral, clinicians should:</w:t>
      </w:r>
    </w:p>
    <w:p w14:paraId="0E79B719" w14:textId="2EF9F2A5" w:rsidR="002215A9" w:rsidRPr="00A044CF" w:rsidRDefault="00AA7E89" w:rsidP="00F75C8B">
      <w:pPr>
        <w:pStyle w:val="Body"/>
        <w:numPr>
          <w:ilvl w:val="0"/>
          <w:numId w:val="14"/>
        </w:numPr>
      </w:pPr>
      <w:r w:rsidRPr="00F56D27">
        <w:t>Consider whether they can prescribe patients medications directly via the PBS (Paxlovid</w:t>
      </w:r>
      <w:r w:rsidRPr="00F56D27">
        <w:rPr>
          <w:vertAlign w:val="superscript"/>
        </w:rPr>
        <w:t>TM</w:t>
      </w:r>
      <w:r w:rsidRPr="00F56D27">
        <w:t xml:space="preserve"> and Lagevrio</w:t>
      </w:r>
      <w:r w:rsidRPr="00F56D27">
        <w:rPr>
          <w:vertAlign w:val="superscript"/>
        </w:rPr>
        <w:t>TM</w:t>
      </w:r>
      <w:r w:rsidRPr="00F56D27">
        <w:t xml:space="preserve">) or privately (inhaled corticosteroids) which are considered to be a suitable therapy option. </w:t>
      </w:r>
      <w:r w:rsidR="0092640D" w:rsidRPr="00D33B1B">
        <w:t>PBS prescribing information can be found at</w:t>
      </w:r>
      <w:r w:rsidR="0092640D" w:rsidRPr="00D33B1B">
        <w:rPr>
          <w:color w:val="F79646" w:themeColor="accent6"/>
        </w:rPr>
        <w:t xml:space="preserve"> </w:t>
      </w:r>
      <w:hyperlink r:id="rId50" w:history="1">
        <w:r w:rsidR="0092640D" w:rsidRPr="00D33B1B">
          <w:rPr>
            <w:rStyle w:val="Hyperlink"/>
          </w:rPr>
          <w:t>Paxlovid</w:t>
        </w:r>
        <w:r w:rsidR="0092640D" w:rsidRPr="00D33B1B">
          <w:rPr>
            <w:rStyle w:val="Hyperlink"/>
            <w:vertAlign w:val="superscript"/>
          </w:rPr>
          <w:t>TM</w:t>
        </w:r>
        <w:r w:rsidR="0092640D" w:rsidRPr="00D33B1B">
          <w:rPr>
            <w:rStyle w:val="Hyperlink"/>
          </w:rPr>
          <w:t xml:space="preserve"> eligibility criteria</w:t>
        </w:r>
      </w:hyperlink>
      <w:r w:rsidR="0092640D" w:rsidRPr="00D33B1B">
        <w:t xml:space="preserve"> &lt;https://www.pbs.gov.au/medicine/item/12996B&gt; and</w:t>
      </w:r>
      <w:r w:rsidR="0092640D" w:rsidRPr="00D33B1B">
        <w:rPr>
          <w:color w:val="F79646" w:themeColor="accent6"/>
        </w:rPr>
        <w:t xml:space="preserve"> </w:t>
      </w:r>
      <w:hyperlink r:id="rId51" w:history="1">
        <w:r w:rsidR="0092640D" w:rsidRPr="00D33B1B">
          <w:rPr>
            <w:rStyle w:val="Hyperlink"/>
          </w:rPr>
          <w:t>Lagevrio</w:t>
        </w:r>
        <w:r w:rsidR="0092640D" w:rsidRPr="00D33B1B">
          <w:rPr>
            <w:rStyle w:val="Hyperlink"/>
            <w:vertAlign w:val="superscript"/>
          </w:rPr>
          <w:t>TM</w:t>
        </w:r>
        <w:r w:rsidR="0092640D" w:rsidRPr="00D33B1B">
          <w:rPr>
            <w:rStyle w:val="Hyperlink"/>
          </w:rPr>
          <w:t xml:space="preserve"> eligibility criteria</w:t>
        </w:r>
      </w:hyperlink>
      <w:r w:rsidR="0092640D" w:rsidRPr="00D33B1B">
        <w:t xml:space="preserve"> &lt;https://www.pbs.gov.au/medicine/item/12910L&gt;.</w:t>
      </w:r>
      <w:r w:rsidR="0092640D" w:rsidRPr="00A044CF">
        <w:t xml:space="preserve"> </w:t>
      </w:r>
    </w:p>
    <w:p w14:paraId="0EE8CA9E" w14:textId="68BDBD37" w:rsidR="00AE04A5" w:rsidRPr="00B9382C" w:rsidRDefault="00254A40" w:rsidP="004706CE">
      <w:pPr>
        <w:pStyle w:val="Body"/>
        <w:numPr>
          <w:ilvl w:val="0"/>
          <w:numId w:val="14"/>
        </w:numPr>
      </w:pPr>
      <w:r w:rsidRPr="00B9382C">
        <w:t>Consider contacting</w:t>
      </w:r>
      <w:r w:rsidR="004B7F7B" w:rsidRPr="00B9382C">
        <w:t xml:space="preserve"> the</w:t>
      </w:r>
      <w:r w:rsidR="00F02342" w:rsidRPr="00B9382C">
        <w:t xml:space="preserve"> </w:t>
      </w:r>
      <w:r w:rsidR="004B7F7B" w:rsidRPr="00B9382C">
        <w:t xml:space="preserve">Victorian COVID-19 therapies PBS prescriber helpline </w:t>
      </w:r>
      <w:r w:rsidR="00F02342" w:rsidRPr="00B9382C">
        <w:t>7 days a week between 8 to 5pm on 03 8290 3801</w:t>
      </w:r>
      <w:r w:rsidR="004B7F7B" w:rsidRPr="00B9382C">
        <w:t xml:space="preserve"> for support in prescribing these</w:t>
      </w:r>
      <w:r w:rsidRPr="00B9382C">
        <w:t xml:space="preserve"> medications.</w:t>
      </w:r>
    </w:p>
    <w:p w14:paraId="698C844C" w14:textId="04E04B0E" w:rsidR="00921DF2" w:rsidRDefault="004706CE" w:rsidP="00921DF2">
      <w:pPr>
        <w:pStyle w:val="ListParagraph"/>
        <w:numPr>
          <w:ilvl w:val="0"/>
          <w:numId w:val="14"/>
        </w:numPr>
        <w:spacing w:after="0"/>
        <w:rPr>
          <w:rFonts w:eastAsia="Times"/>
        </w:rPr>
      </w:pPr>
      <w:r w:rsidRPr="00B9382C">
        <w:t xml:space="preserve">Note that health services may not be providing an early therapies service for all levels of priority as described </w:t>
      </w:r>
      <w:r w:rsidR="00114647" w:rsidRPr="00B9382C">
        <w:t xml:space="preserve">below </w:t>
      </w:r>
      <w:r w:rsidR="00114647" w:rsidRPr="00885574">
        <w:t>in</w:t>
      </w:r>
      <w:r w:rsidRPr="00885574">
        <w:t xml:space="preserve"> </w:t>
      </w:r>
      <w:hyperlink w:anchor="_Prioritisation_of_COVID-19_1" w:history="1">
        <w:r w:rsidR="00125454">
          <w:rPr>
            <w:rStyle w:val="Hyperlink"/>
            <w:iCs/>
          </w:rPr>
          <w:t>Medication eligibility and prioritisation</w:t>
        </w:r>
      </w:hyperlink>
      <w:r w:rsidRPr="00885574">
        <w:t xml:space="preserve"> b</w:t>
      </w:r>
      <w:r w:rsidRPr="00B9382C">
        <w:t xml:space="preserve">ased on </w:t>
      </w:r>
      <w:r w:rsidRPr="00B9382C">
        <w:rPr>
          <w:rFonts w:eastAsia="Times"/>
        </w:rPr>
        <w:t>local case numbers, Victorian stock availability and workforce capacity to support prescription and administration of therapies.</w:t>
      </w:r>
      <w:r w:rsidR="00921DF2" w:rsidRPr="00B9382C">
        <w:rPr>
          <w:rFonts w:eastAsia="Times"/>
        </w:rPr>
        <w:t xml:space="preserve"> Remdesivir (Veklury</w:t>
      </w:r>
      <w:r w:rsidR="00921DF2" w:rsidRPr="00B9382C">
        <w:rPr>
          <w:rFonts w:eastAsia="Times"/>
          <w:vertAlign w:val="superscript"/>
        </w:rPr>
        <w:t>TM</w:t>
      </w:r>
      <w:r w:rsidR="00921DF2" w:rsidRPr="00B9382C">
        <w:rPr>
          <w:rFonts w:eastAsia="Times"/>
        </w:rPr>
        <w:t>) may be reserved as an option for outpatients who are in the highest priority group(s) e.g. priority 1-2.</w:t>
      </w:r>
    </w:p>
    <w:p w14:paraId="141095F9" w14:textId="77777777" w:rsidR="00C44F04" w:rsidRDefault="00C44F04" w:rsidP="00C44F04">
      <w:pPr>
        <w:pStyle w:val="ListParagraph"/>
        <w:spacing w:after="0"/>
        <w:ind w:left="360"/>
        <w:rPr>
          <w:rFonts w:eastAsia="Times"/>
        </w:rPr>
      </w:pPr>
    </w:p>
    <w:p w14:paraId="14CB195E" w14:textId="77777777" w:rsidR="00471575" w:rsidRDefault="00471575" w:rsidP="00C44F04">
      <w:pPr>
        <w:pStyle w:val="ListParagraph"/>
        <w:spacing w:after="0"/>
        <w:ind w:left="360"/>
        <w:rPr>
          <w:rFonts w:eastAsia="Times"/>
        </w:rPr>
      </w:pPr>
    </w:p>
    <w:p w14:paraId="59CF6FBA" w14:textId="77777777" w:rsidR="00471575" w:rsidRDefault="00471575" w:rsidP="00C44F04">
      <w:pPr>
        <w:pStyle w:val="ListParagraph"/>
        <w:spacing w:after="0"/>
        <w:ind w:left="360"/>
        <w:rPr>
          <w:rFonts w:eastAsia="Times"/>
        </w:rPr>
      </w:pPr>
    </w:p>
    <w:p w14:paraId="7FBB97F7" w14:textId="77777777" w:rsidR="00471575" w:rsidRDefault="00471575" w:rsidP="00C44F04">
      <w:pPr>
        <w:pStyle w:val="ListParagraph"/>
        <w:spacing w:after="0"/>
        <w:ind w:left="360"/>
        <w:rPr>
          <w:rFonts w:eastAsia="Times"/>
        </w:rPr>
      </w:pPr>
    </w:p>
    <w:p w14:paraId="5B83BDB5" w14:textId="77777777" w:rsidR="00471575" w:rsidRDefault="00471575" w:rsidP="00C44F04">
      <w:pPr>
        <w:pStyle w:val="ListParagraph"/>
        <w:spacing w:after="0"/>
        <w:ind w:left="360"/>
        <w:rPr>
          <w:rFonts w:eastAsia="Times"/>
        </w:rPr>
      </w:pPr>
    </w:p>
    <w:p w14:paraId="086F0932" w14:textId="77777777" w:rsidR="00471575" w:rsidRDefault="00471575" w:rsidP="00C44F04">
      <w:pPr>
        <w:pStyle w:val="ListParagraph"/>
        <w:spacing w:after="0"/>
        <w:ind w:left="360"/>
        <w:rPr>
          <w:rFonts w:eastAsia="Times"/>
        </w:rPr>
      </w:pPr>
    </w:p>
    <w:p w14:paraId="208C064A" w14:textId="2E04BF97" w:rsidR="00ED338C" w:rsidRDefault="00293D73" w:rsidP="00ED338C">
      <w:pPr>
        <w:pStyle w:val="ListParagraph"/>
        <w:spacing w:after="0"/>
        <w:ind w:left="360"/>
        <w:rPr>
          <w:rFonts w:eastAsia="Times"/>
        </w:rPr>
      </w:pPr>
      <w:r>
        <w:rPr>
          <w:rFonts w:eastAsia="Times"/>
          <w:noProof/>
        </w:rPr>
        <w:lastRenderedPageBreak/>
        <w:pict w14:anchorId="23DB50E1">
          <v:shape id="_x0000_s2075" type="#_x0000_t202" style="position:absolute;left:0;text-align:left;margin-left:-11.15pt;margin-top:7.05pt;width:586.05pt;height:22.15pt;z-index:251658248;visibility:visible;mso-wrap-distance-top:3.6pt;mso-wrap-distance-bottom:3.6pt;mso-width-relative:margin;mso-height-relative:margin" filled="f" strokecolor="white">
            <v:textbox style="mso-next-textbox:#_x0000_s2075">
              <w:txbxContent>
                <w:p w14:paraId="441F2168" w14:textId="389649B5" w:rsidR="000A194C" w:rsidRPr="005D1B48" w:rsidRDefault="000A194C" w:rsidP="000A194C">
                  <w:pPr>
                    <w:spacing w:after="0" w:line="240" w:lineRule="auto"/>
                    <w:rPr>
                      <w:rFonts w:cs="Arial"/>
                      <w:b/>
                      <w:bCs/>
                    </w:rPr>
                  </w:pPr>
                  <w:r w:rsidRPr="00B06690">
                    <w:rPr>
                      <w:rFonts w:cs="Arial"/>
                      <w:b/>
                      <w:highlight w:val="yellow"/>
                    </w:rPr>
                    <w:t xml:space="preserve">Table 1. </w:t>
                  </w:r>
                  <w:r w:rsidR="005D6F72" w:rsidRPr="00B06690">
                    <w:rPr>
                      <w:rFonts w:cs="Arial"/>
                      <w:b/>
                      <w:highlight w:val="yellow"/>
                    </w:rPr>
                    <w:t xml:space="preserve">Key </w:t>
                  </w:r>
                  <w:r w:rsidR="00203F97" w:rsidRPr="00B06690">
                    <w:rPr>
                      <w:rFonts w:cs="Arial"/>
                      <w:b/>
                      <w:highlight w:val="yellow"/>
                    </w:rPr>
                    <w:t xml:space="preserve">hospital </w:t>
                  </w:r>
                  <w:r w:rsidR="005D6F72" w:rsidRPr="00B06690">
                    <w:rPr>
                      <w:rFonts w:cs="Arial"/>
                      <w:b/>
                      <w:highlight w:val="yellow"/>
                    </w:rPr>
                    <w:t xml:space="preserve">contacts </w:t>
                  </w:r>
                  <w:r w:rsidR="0095111A" w:rsidRPr="00B06690">
                    <w:rPr>
                      <w:rFonts w:cs="Arial"/>
                      <w:b/>
                      <w:highlight w:val="yellow"/>
                    </w:rPr>
                    <w:t>for NMS therapies across the state</w:t>
                  </w:r>
                </w:p>
              </w:txbxContent>
            </v:textbox>
          </v:shape>
        </w:pict>
      </w:r>
    </w:p>
    <w:p w14:paraId="227B60D8" w14:textId="77777777" w:rsidR="00001253" w:rsidRPr="00001253" w:rsidRDefault="00001253" w:rsidP="00001253">
      <w:pPr>
        <w:spacing w:after="0"/>
        <w:rPr>
          <w:rFonts w:eastAsia="Times"/>
        </w:rPr>
      </w:pPr>
    </w:p>
    <w:tbl>
      <w:tblPr>
        <w:tblStyle w:val="GridTable2"/>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2520"/>
        <w:gridCol w:w="2740"/>
      </w:tblGrid>
      <w:tr w:rsidR="0083625C" w:rsidRPr="00B9382C" w14:paraId="55AED3F4" w14:textId="77777777" w:rsidTr="688D467F">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5160" w:type="dxa"/>
            <w:shd w:val="clear" w:color="auto" w:fill="002060"/>
          </w:tcPr>
          <w:p w14:paraId="6BC13A41" w14:textId="7A0589A4" w:rsidR="0083625C" w:rsidRPr="00B9382C" w:rsidRDefault="001D6B3A" w:rsidP="00697E6F">
            <w:pPr>
              <w:pStyle w:val="Tabletext"/>
              <w:spacing w:after="80"/>
              <w:rPr>
                <w:color w:val="FFFFFF" w:themeColor="background1"/>
              </w:rPr>
            </w:pPr>
            <w:r>
              <w:rPr>
                <w:color w:val="FFFFFF" w:themeColor="background1"/>
              </w:rPr>
              <w:t>North</w:t>
            </w:r>
            <w:r w:rsidR="0083625C" w:rsidRPr="00B9382C">
              <w:rPr>
                <w:color w:val="FFFFFF" w:themeColor="background1"/>
              </w:rPr>
              <w:t xml:space="preserve"> East Metro </w:t>
            </w:r>
          </w:p>
        </w:tc>
        <w:tc>
          <w:tcPr>
            <w:tcW w:w="2520" w:type="dxa"/>
            <w:shd w:val="clear" w:color="auto" w:fill="002060"/>
          </w:tcPr>
          <w:p w14:paraId="6EE4C40D" w14:textId="09685172" w:rsidR="0083625C" w:rsidRPr="001D6B3A" w:rsidRDefault="0083625C" w:rsidP="00697E6F">
            <w:pPr>
              <w:pStyle w:val="Tabletext"/>
              <w:spacing w:after="8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1D6B3A">
              <w:rPr>
                <w:rFonts w:eastAsia="Times"/>
                <w:sz w:val="18"/>
                <w:szCs w:val="16"/>
              </w:rPr>
              <w:t>Remdesivir a</w:t>
            </w:r>
            <w:r w:rsidR="001D6B3A" w:rsidRPr="001D6B3A">
              <w:rPr>
                <w:rFonts w:eastAsia="Times"/>
                <w:sz w:val="18"/>
                <w:szCs w:val="16"/>
              </w:rPr>
              <w:t>vailable for community patients</w:t>
            </w:r>
          </w:p>
        </w:tc>
        <w:tc>
          <w:tcPr>
            <w:tcW w:w="2740" w:type="dxa"/>
            <w:shd w:val="clear" w:color="auto" w:fill="002060"/>
          </w:tcPr>
          <w:p w14:paraId="59420B0D" w14:textId="3B04AE00" w:rsidR="0083625C" w:rsidRPr="001D6B3A" w:rsidRDefault="001D6B3A" w:rsidP="00697E6F">
            <w:pPr>
              <w:pStyle w:val="Tabletext"/>
              <w:spacing w:after="8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1D6B3A">
              <w:rPr>
                <w:rFonts w:eastAsia="Times"/>
                <w:sz w:val="18"/>
                <w:szCs w:val="16"/>
              </w:rPr>
              <w:t>NMS oral antivirals for non-Medicare card holders</w:t>
            </w:r>
          </w:p>
        </w:tc>
      </w:tr>
      <w:tr w:rsidR="005F3693" w:rsidRPr="00B9382C" w14:paraId="46869EA2" w14:textId="4068386D" w:rsidTr="688D467F">
        <w:trPr>
          <w:cnfStyle w:val="000000100000" w:firstRow="0" w:lastRow="0" w:firstColumn="0" w:lastColumn="0" w:oddVBand="0" w:evenVBand="0" w:oddHBand="1" w:evenHBand="0" w:firstRowFirstColumn="0" w:firstRowLastColumn="0" w:lastRowFirstColumn="0" w:lastRowLastColumn="0"/>
          <w:trHeight w:val="1044"/>
        </w:trPr>
        <w:tc>
          <w:tcPr>
            <w:cnfStyle w:val="001000000000" w:firstRow="0" w:lastRow="0" w:firstColumn="1" w:lastColumn="0" w:oddVBand="0" w:evenVBand="0" w:oddHBand="0" w:evenHBand="0" w:firstRowFirstColumn="0" w:firstRowLastColumn="0" w:lastRowFirstColumn="0" w:lastRowLastColumn="0"/>
            <w:tcW w:w="5160" w:type="dxa"/>
            <w:shd w:val="clear" w:color="auto" w:fill="FFFFFF" w:themeFill="background1"/>
            <w:hideMark/>
          </w:tcPr>
          <w:p w14:paraId="45888F7B" w14:textId="77777777" w:rsidR="005F3693" w:rsidRPr="00B9382C" w:rsidRDefault="005F3693" w:rsidP="006C0E49">
            <w:pPr>
              <w:pStyle w:val="Tabletext"/>
              <w:spacing w:after="80"/>
            </w:pPr>
            <w:r w:rsidRPr="00B9382C">
              <w:t>Northern Health</w:t>
            </w:r>
          </w:p>
          <w:p w14:paraId="22F53FF2" w14:textId="2AA5E1CF" w:rsidR="005F3693" w:rsidRPr="00B9382C" w:rsidRDefault="005F3693" w:rsidP="006C0E49">
            <w:pPr>
              <w:pStyle w:val="Tabletext"/>
              <w:spacing w:after="80"/>
              <w:rPr>
                <w:b w:val="0"/>
                <w:bCs w:val="0"/>
              </w:rPr>
            </w:pPr>
            <w:r>
              <w:rPr>
                <w:b w:val="0"/>
                <w:bCs w:val="0"/>
              </w:rPr>
              <w:t>Email:</w:t>
            </w:r>
            <w:r w:rsidR="56806926">
              <w:rPr>
                <w:b w:val="0"/>
                <w:bCs w:val="0"/>
              </w:rPr>
              <w:t xml:space="preserve"> </w:t>
            </w:r>
            <w:r>
              <w:rPr>
                <w:b w:val="0"/>
                <w:bCs w:val="0"/>
              </w:rPr>
              <w:t>ED.VirtualET@nh.org.au</w:t>
            </w:r>
          </w:p>
          <w:p w14:paraId="35A2EDB9" w14:textId="1F913D91" w:rsidR="005F3693" w:rsidRPr="00B9382C" w:rsidRDefault="005F3693" w:rsidP="006C0E49">
            <w:pPr>
              <w:pStyle w:val="Tabletext"/>
              <w:spacing w:after="80"/>
              <w:rPr>
                <w:b w:val="0"/>
                <w:bCs w:val="0"/>
              </w:rPr>
            </w:pPr>
            <w:r w:rsidRPr="00B9382C">
              <w:rPr>
                <w:b w:val="0"/>
                <w:bCs w:val="0"/>
              </w:rPr>
              <w:t>9am-5pm</w:t>
            </w:r>
            <w:r>
              <w:t>,</w:t>
            </w:r>
            <w:r w:rsidRPr="00B9382C">
              <w:rPr>
                <w:b w:val="0"/>
                <w:bCs w:val="0"/>
              </w:rPr>
              <w:t xml:space="preserve"> 7 days </w:t>
            </w:r>
            <w:r>
              <w:rPr>
                <w:b w:val="0"/>
                <w:bCs w:val="0"/>
              </w:rPr>
              <w:t>per</w:t>
            </w:r>
            <w:r w:rsidRPr="00B9382C">
              <w:rPr>
                <w:b w:val="0"/>
                <w:bCs w:val="0"/>
              </w:rPr>
              <w:t xml:space="preserve"> week</w:t>
            </w:r>
          </w:p>
        </w:tc>
        <w:tc>
          <w:tcPr>
            <w:tcW w:w="2520" w:type="dxa"/>
            <w:shd w:val="clear" w:color="auto" w:fill="FFFFFF" w:themeFill="background1"/>
          </w:tcPr>
          <w:p w14:paraId="4F32F244" w14:textId="737E0648" w:rsidR="005F3693" w:rsidRPr="00B9382C" w:rsidRDefault="00867E81" w:rsidP="00D33B1B">
            <w:pPr>
              <w:pStyle w:val="Tabletext"/>
              <w:spacing w:after="80"/>
              <w:jc w:val="center"/>
              <w:cnfStyle w:val="000000100000" w:firstRow="0" w:lastRow="0" w:firstColumn="0" w:lastColumn="0" w:oddVBand="0" w:evenVBand="0" w:oddHBand="1" w:evenHBand="0" w:firstRowFirstColumn="0" w:firstRowLastColumn="0" w:lastRowFirstColumn="0" w:lastRowLastColumn="0"/>
            </w:pPr>
            <w:r>
              <w:t>Y</w:t>
            </w:r>
          </w:p>
        </w:tc>
        <w:tc>
          <w:tcPr>
            <w:tcW w:w="2740" w:type="dxa"/>
            <w:shd w:val="clear" w:color="auto" w:fill="FFFFFF" w:themeFill="background1"/>
          </w:tcPr>
          <w:p w14:paraId="79498A95" w14:textId="29523800" w:rsidR="005F3693" w:rsidRPr="00B9382C" w:rsidRDefault="0003594A" w:rsidP="00D33B1B">
            <w:pPr>
              <w:pStyle w:val="Tabletext"/>
              <w:spacing w:after="80"/>
              <w:jc w:val="center"/>
              <w:cnfStyle w:val="000000100000" w:firstRow="0" w:lastRow="0" w:firstColumn="0" w:lastColumn="0" w:oddVBand="0" w:evenVBand="0" w:oddHBand="1" w:evenHBand="0" w:firstRowFirstColumn="0" w:firstRowLastColumn="0" w:lastRowFirstColumn="0" w:lastRowLastColumn="0"/>
            </w:pPr>
            <w:r>
              <w:t>Y</w:t>
            </w:r>
          </w:p>
        </w:tc>
      </w:tr>
      <w:tr w:rsidR="005F3693" w:rsidRPr="00B9382C" w14:paraId="6B0943DC" w14:textId="1241894F" w:rsidTr="688D467F">
        <w:trPr>
          <w:trHeight w:val="274"/>
        </w:trPr>
        <w:tc>
          <w:tcPr>
            <w:cnfStyle w:val="001000000000" w:firstRow="0" w:lastRow="0" w:firstColumn="1" w:lastColumn="0" w:oddVBand="0" w:evenVBand="0" w:oddHBand="0" w:evenHBand="0" w:firstRowFirstColumn="0" w:firstRowLastColumn="0" w:lastRowFirstColumn="0" w:lastRowLastColumn="0"/>
            <w:tcW w:w="5160" w:type="dxa"/>
            <w:shd w:val="clear" w:color="auto" w:fill="auto"/>
          </w:tcPr>
          <w:p w14:paraId="3580912E" w14:textId="77777777" w:rsidR="005F3693" w:rsidRPr="00B9382C" w:rsidRDefault="005F3693" w:rsidP="006C0E49">
            <w:pPr>
              <w:pStyle w:val="Tabletext"/>
              <w:spacing w:after="80"/>
            </w:pPr>
            <w:r w:rsidRPr="00B9382C">
              <w:t>St Vincent’s Hospital</w:t>
            </w:r>
          </w:p>
          <w:p w14:paraId="204E73DF" w14:textId="6FF440A8" w:rsidR="005F3693" w:rsidRPr="00B9382C" w:rsidRDefault="00781716" w:rsidP="006C0E49">
            <w:pPr>
              <w:pStyle w:val="Tabletext"/>
              <w:spacing w:after="80"/>
              <w:rPr>
                <w:b w:val="0"/>
                <w:bCs w:val="0"/>
              </w:rPr>
            </w:pPr>
            <w:r>
              <w:rPr>
                <w:b w:val="0"/>
                <w:bCs w:val="0"/>
              </w:rPr>
              <w:t>Phone</w:t>
            </w:r>
            <w:r w:rsidR="005F3693" w:rsidRPr="00B9382C">
              <w:rPr>
                <w:b w:val="0"/>
                <w:bCs w:val="0"/>
              </w:rPr>
              <w:t>: (03) 9231 3817</w:t>
            </w:r>
          </w:p>
          <w:p w14:paraId="7CBFE389" w14:textId="5A7B9B18" w:rsidR="005F3693" w:rsidRPr="00B9382C" w:rsidRDefault="005F3693" w:rsidP="006C0E49">
            <w:pPr>
              <w:pStyle w:val="Tabletext"/>
              <w:spacing w:after="80"/>
              <w:rPr>
                <w:b w:val="0"/>
                <w:bCs w:val="0"/>
              </w:rPr>
            </w:pPr>
            <w:r w:rsidRPr="00B9382C">
              <w:rPr>
                <w:b w:val="0"/>
                <w:bCs w:val="0"/>
              </w:rPr>
              <w:t xml:space="preserve">Email: </w:t>
            </w:r>
            <w:hyperlink r:id="rId52" w:history="1">
              <w:r w:rsidRPr="00B9382C">
                <w:rPr>
                  <w:rStyle w:val="Hyperlink"/>
                  <w:b w:val="0"/>
                  <w:bCs w:val="0"/>
                </w:rPr>
                <w:t>HITHCOVIDTherapies.svhm@svha.org.au</w:t>
              </w:r>
            </w:hyperlink>
            <w:r w:rsidRPr="00B9382C">
              <w:rPr>
                <w:b w:val="0"/>
                <w:bCs w:val="0"/>
              </w:rPr>
              <w:t xml:space="preserve"> </w:t>
            </w:r>
          </w:p>
          <w:p w14:paraId="68890171" w14:textId="21F3B2E1" w:rsidR="005F3693" w:rsidRPr="00B9382C" w:rsidRDefault="005F3693" w:rsidP="006C0E49">
            <w:pPr>
              <w:pStyle w:val="Tabletext"/>
              <w:spacing w:after="80"/>
            </w:pPr>
            <w:r w:rsidRPr="00B9382C">
              <w:rPr>
                <w:b w:val="0"/>
                <w:bCs w:val="0"/>
              </w:rPr>
              <w:t xml:space="preserve">9am-6pm, 7 days per week </w:t>
            </w:r>
          </w:p>
        </w:tc>
        <w:tc>
          <w:tcPr>
            <w:tcW w:w="2520" w:type="dxa"/>
          </w:tcPr>
          <w:p w14:paraId="1CA4EBE7" w14:textId="52A70283" w:rsidR="005F3693" w:rsidRPr="00B9382C" w:rsidRDefault="00CD09C1" w:rsidP="00D33B1B">
            <w:pPr>
              <w:pStyle w:val="Tabletext"/>
              <w:spacing w:after="80"/>
              <w:jc w:val="center"/>
              <w:cnfStyle w:val="000000000000" w:firstRow="0" w:lastRow="0" w:firstColumn="0" w:lastColumn="0" w:oddVBand="0" w:evenVBand="0" w:oddHBand="0" w:evenHBand="0" w:firstRowFirstColumn="0" w:firstRowLastColumn="0" w:lastRowFirstColumn="0" w:lastRowLastColumn="0"/>
            </w:pPr>
            <w:r>
              <w:t>Y</w:t>
            </w:r>
          </w:p>
        </w:tc>
        <w:tc>
          <w:tcPr>
            <w:tcW w:w="2740" w:type="dxa"/>
          </w:tcPr>
          <w:p w14:paraId="773D46A1" w14:textId="3B68FE9B" w:rsidR="005F3693" w:rsidRPr="00B9382C" w:rsidRDefault="00637967" w:rsidP="00D33B1B">
            <w:pPr>
              <w:pStyle w:val="Tabletext"/>
              <w:spacing w:after="80"/>
              <w:jc w:val="center"/>
              <w:cnfStyle w:val="000000000000" w:firstRow="0" w:lastRow="0" w:firstColumn="0" w:lastColumn="0" w:oddVBand="0" w:evenVBand="0" w:oddHBand="0" w:evenHBand="0" w:firstRowFirstColumn="0" w:firstRowLastColumn="0" w:lastRowFirstColumn="0" w:lastRowLastColumn="0"/>
            </w:pPr>
            <w:r>
              <w:t>Y</w:t>
            </w:r>
          </w:p>
        </w:tc>
      </w:tr>
      <w:tr w:rsidR="001D6B3A" w:rsidRPr="00B9382C" w14:paraId="256C659A" w14:textId="0EF8D5D8" w:rsidTr="688D467F">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5160" w:type="dxa"/>
            <w:shd w:val="clear" w:color="auto" w:fill="002060"/>
          </w:tcPr>
          <w:p w14:paraId="48A963F4" w14:textId="59EC0042" w:rsidR="001D6B3A" w:rsidRPr="00B9382C" w:rsidRDefault="001D6B3A" w:rsidP="001D6B3A">
            <w:pPr>
              <w:pStyle w:val="Tabletext"/>
              <w:spacing w:after="80"/>
              <w:rPr>
                <w:color w:val="FFFFFF" w:themeColor="background1"/>
              </w:rPr>
            </w:pPr>
            <w:r w:rsidRPr="00B9382C">
              <w:rPr>
                <w:color w:val="FFFFFF" w:themeColor="background1"/>
              </w:rPr>
              <w:t xml:space="preserve">South East Metro </w:t>
            </w:r>
          </w:p>
        </w:tc>
        <w:tc>
          <w:tcPr>
            <w:tcW w:w="2520" w:type="dxa"/>
            <w:shd w:val="clear" w:color="auto" w:fill="002060"/>
          </w:tcPr>
          <w:p w14:paraId="6BCF3C85" w14:textId="033D333E" w:rsidR="001D6B3A" w:rsidRPr="001D6B3A" w:rsidRDefault="001D6B3A" w:rsidP="001D6B3A">
            <w:pPr>
              <w:pStyle w:val="Tabletext"/>
              <w:spacing w:after="8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1D6B3A">
              <w:rPr>
                <w:rFonts w:eastAsia="Times"/>
                <w:b/>
                <w:bCs/>
                <w:sz w:val="18"/>
                <w:szCs w:val="16"/>
              </w:rPr>
              <w:t>Remdesivir available for community patients</w:t>
            </w:r>
          </w:p>
        </w:tc>
        <w:tc>
          <w:tcPr>
            <w:tcW w:w="2740" w:type="dxa"/>
            <w:shd w:val="clear" w:color="auto" w:fill="002060"/>
          </w:tcPr>
          <w:p w14:paraId="7B3078EF" w14:textId="158224A2" w:rsidR="001D6B3A" w:rsidRPr="001D6B3A" w:rsidRDefault="001D6B3A" w:rsidP="001D6B3A">
            <w:pPr>
              <w:pStyle w:val="Tabletext"/>
              <w:spacing w:after="8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1D6B3A">
              <w:rPr>
                <w:rFonts w:eastAsia="Times"/>
                <w:b/>
                <w:bCs/>
                <w:sz w:val="18"/>
                <w:szCs w:val="16"/>
              </w:rPr>
              <w:t>NMS oral antivirals for non-Medicare card holders</w:t>
            </w:r>
          </w:p>
        </w:tc>
      </w:tr>
      <w:tr w:rsidR="00166471" w:rsidRPr="00B9382C" w14:paraId="7CF8C5C0" w14:textId="35415A4A" w:rsidTr="688D467F">
        <w:trPr>
          <w:trHeight w:val="705"/>
        </w:trPr>
        <w:tc>
          <w:tcPr>
            <w:cnfStyle w:val="001000000000" w:firstRow="0" w:lastRow="0" w:firstColumn="1" w:lastColumn="0" w:oddVBand="0" w:evenVBand="0" w:oddHBand="0" w:evenHBand="0" w:firstRowFirstColumn="0" w:firstRowLastColumn="0" w:lastRowFirstColumn="0" w:lastRowLastColumn="0"/>
            <w:tcW w:w="5160" w:type="dxa"/>
            <w:shd w:val="clear" w:color="auto" w:fill="auto"/>
          </w:tcPr>
          <w:p w14:paraId="7FF9B4CF" w14:textId="38C92E42" w:rsidR="000F1F4F" w:rsidRDefault="00166471" w:rsidP="00166471">
            <w:pPr>
              <w:pStyle w:val="Tabletext"/>
              <w:spacing w:after="80"/>
              <w:rPr>
                <w:b w:val="0"/>
                <w:bCs w:val="0"/>
              </w:rPr>
            </w:pPr>
            <w:r w:rsidRPr="00B9382C">
              <w:t>Monash Health</w:t>
            </w:r>
            <w:r w:rsidR="00830F2E">
              <w:t xml:space="preserve"> - </w:t>
            </w:r>
            <w:r w:rsidR="00830F2E" w:rsidRPr="00B9382C">
              <w:t>external referrals via COVID-19 therapies PBS prescriber helpline</w:t>
            </w:r>
            <w:r w:rsidR="007761AF" w:rsidRPr="007761AF">
              <w:t xml:space="preserve"> (03) 8290 3801</w:t>
            </w:r>
          </w:p>
          <w:p w14:paraId="24DAE7BB" w14:textId="31948125" w:rsidR="00166471" w:rsidRPr="00B9382C" w:rsidRDefault="00166471" w:rsidP="00166471">
            <w:pPr>
              <w:pStyle w:val="Tabletext"/>
              <w:spacing w:after="80"/>
              <w:rPr>
                <w:b w:val="0"/>
              </w:rPr>
            </w:pPr>
            <w:r w:rsidRPr="00B9382C">
              <w:rPr>
                <w:b w:val="0"/>
                <w:bCs w:val="0"/>
              </w:rPr>
              <w:t xml:space="preserve">Website: </w:t>
            </w:r>
            <w:hyperlink r:id="rId53">
              <w:r w:rsidRPr="00B9382C">
                <w:rPr>
                  <w:rStyle w:val="Hyperlink"/>
                  <w:b w:val="0"/>
                  <w:bCs w:val="0"/>
                </w:rPr>
                <w:t>https://monashhealth.org/patients-visitors/coronavirus/satellite-clinic/</w:t>
              </w:r>
            </w:hyperlink>
            <w:r w:rsidRPr="00B9382C">
              <w:rPr>
                <w:b w:val="0"/>
                <w:bCs w:val="0"/>
              </w:rPr>
              <w:t xml:space="preserve"> </w:t>
            </w:r>
          </w:p>
        </w:tc>
        <w:tc>
          <w:tcPr>
            <w:tcW w:w="2520" w:type="dxa"/>
          </w:tcPr>
          <w:p w14:paraId="5080FB02" w14:textId="77321767" w:rsidR="00166471" w:rsidRPr="00B9382C" w:rsidRDefault="00166471" w:rsidP="00D33B1B">
            <w:pPr>
              <w:pStyle w:val="Tabletext"/>
              <w:spacing w:after="80"/>
              <w:jc w:val="center"/>
              <w:cnfStyle w:val="000000000000" w:firstRow="0" w:lastRow="0" w:firstColumn="0" w:lastColumn="0" w:oddVBand="0" w:evenVBand="0" w:oddHBand="0" w:evenHBand="0" w:firstRowFirstColumn="0" w:firstRowLastColumn="0" w:lastRowFirstColumn="0" w:lastRowLastColumn="0"/>
            </w:pPr>
            <w:r>
              <w:t>Y</w:t>
            </w:r>
          </w:p>
        </w:tc>
        <w:tc>
          <w:tcPr>
            <w:tcW w:w="2740" w:type="dxa"/>
          </w:tcPr>
          <w:p w14:paraId="2731A592" w14:textId="053411D2" w:rsidR="00166471" w:rsidRPr="00B9382C" w:rsidRDefault="00166471" w:rsidP="00D33B1B">
            <w:pPr>
              <w:pStyle w:val="Tabletext"/>
              <w:spacing w:after="80"/>
              <w:jc w:val="center"/>
              <w:cnfStyle w:val="000000000000" w:firstRow="0" w:lastRow="0" w:firstColumn="0" w:lastColumn="0" w:oddVBand="0" w:evenVBand="0" w:oddHBand="0" w:evenHBand="0" w:firstRowFirstColumn="0" w:firstRowLastColumn="0" w:lastRowFirstColumn="0" w:lastRowLastColumn="0"/>
            </w:pPr>
            <w:r>
              <w:t>Y</w:t>
            </w:r>
          </w:p>
        </w:tc>
      </w:tr>
      <w:tr w:rsidR="00563F37" w:rsidRPr="00B9382C" w14:paraId="4FBA36B4" w14:textId="77777777" w:rsidTr="688D467F">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5160" w:type="dxa"/>
            <w:shd w:val="clear" w:color="auto" w:fill="auto"/>
          </w:tcPr>
          <w:p w14:paraId="0C8E4FEE" w14:textId="6812557A" w:rsidR="00563F37" w:rsidRPr="006F523E" w:rsidRDefault="00563F37" w:rsidP="00563F37">
            <w:pPr>
              <w:pStyle w:val="Tabletext"/>
              <w:spacing w:after="80"/>
            </w:pPr>
            <w:r w:rsidRPr="003E3A75">
              <w:t>Alfred Health</w:t>
            </w:r>
          </w:p>
          <w:p w14:paraId="0CB9BE22" w14:textId="4A9D23BE" w:rsidR="00563F37" w:rsidRPr="00B9382C" w:rsidRDefault="00563F37" w:rsidP="00563F37">
            <w:pPr>
              <w:pStyle w:val="Tabletext"/>
              <w:spacing w:after="80"/>
            </w:pPr>
            <w:r w:rsidRPr="003E3A75">
              <w:rPr>
                <w:b w:val="0"/>
                <w:bCs w:val="0"/>
              </w:rPr>
              <w:t xml:space="preserve">Email: </w:t>
            </w:r>
            <w:hyperlink r:id="rId54">
              <w:r w:rsidRPr="003E3A75">
                <w:rPr>
                  <w:rStyle w:val="Hyperlink"/>
                  <w:b w:val="0"/>
                  <w:bCs w:val="0"/>
                </w:rPr>
                <w:t>CCPclinical@alfred.org.au</w:t>
              </w:r>
            </w:hyperlink>
          </w:p>
        </w:tc>
        <w:tc>
          <w:tcPr>
            <w:tcW w:w="2520" w:type="dxa"/>
            <w:shd w:val="clear" w:color="auto" w:fill="auto"/>
          </w:tcPr>
          <w:p w14:paraId="4CBFD86C" w14:textId="130ACB4E" w:rsidR="00563F37" w:rsidRDefault="45911FD7" w:rsidP="00D33B1B">
            <w:pPr>
              <w:pStyle w:val="Tabletext"/>
              <w:spacing w:after="80"/>
              <w:jc w:val="center"/>
              <w:cnfStyle w:val="000000100000" w:firstRow="0" w:lastRow="0" w:firstColumn="0" w:lastColumn="0" w:oddVBand="0" w:evenVBand="0" w:oddHBand="1" w:evenHBand="0" w:firstRowFirstColumn="0" w:firstRowLastColumn="0" w:lastRowFirstColumn="0" w:lastRowLastColumn="0"/>
            </w:pPr>
            <w:r>
              <w:t>Y</w:t>
            </w:r>
          </w:p>
        </w:tc>
        <w:tc>
          <w:tcPr>
            <w:tcW w:w="2740" w:type="dxa"/>
            <w:shd w:val="clear" w:color="auto" w:fill="auto"/>
          </w:tcPr>
          <w:p w14:paraId="76DE784E" w14:textId="5C384471" w:rsidR="00563F37" w:rsidRDefault="750D4CDF" w:rsidP="00D33B1B">
            <w:pPr>
              <w:pStyle w:val="Tabletext"/>
              <w:spacing w:after="80"/>
              <w:jc w:val="center"/>
              <w:cnfStyle w:val="000000100000" w:firstRow="0" w:lastRow="0" w:firstColumn="0" w:lastColumn="0" w:oddVBand="0" w:evenVBand="0" w:oddHBand="1" w:evenHBand="0" w:firstRowFirstColumn="0" w:firstRowLastColumn="0" w:lastRowFirstColumn="0" w:lastRowLastColumn="0"/>
            </w:pPr>
            <w:r>
              <w:t>Y</w:t>
            </w:r>
          </w:p>
        </w:tc>
      </w:tr>
      <w:tr w:rsidR="00563F37" w:rsidRPr="00B9382C" w14:paraId="2840CDA7" w14:textId="77777777" w:rsidTr="688D467F">
        <w:trPr>
          <w:trHeight w:val="705"/>
        </w:trPr>
        <w:tc>
          <w:tcPr>
            <w:cnfStyle w:val="001000000000" w:firstRow="0" w:lastRow="0" w:firstColumn="1" w:lastColumn="0" w:oddVBand="0" w:evenVBand="0" w:oddHBand="0" w:evenHBand="0" w:firstRowFirstColumn="0" w:firstRowLastColumn="0" w:lastRowFirstColumn="0" w:lastRowLastColumn="0"/>
            <w:tcW w:w="5160" w:type="dxa"/>
            <w:shd w:val="clear" w:color="auto" w:fill="auto"/>
          </w:tcPr>
          <w:p w14:paraId="5FB248F8" w14:textId="2C9083F9" w:rsidR="00563F37" w:rsidRPr="003E3A75" w:rsidRDefault="00563F37" w:rsidP="00563F37">
            <w:pPr>
              <w:pStyle w:val="Tabletext"/>
              <w:spacing w:after="80"/>
            </w:pPr>
            <w:r w:rsidRPr="003E3A75">
              <w:t>Peninsula Health – via Monash Health Satellite Clinic (referral details above)</w:t>
            </w:r>
          </w:p>
        </w:tc>
        <w:tc>
          <w:tcPr>
            <w:tcW w:w="2520" w:type="dxa"/>
          </w:tcPr>
          <w:p w14:paraId="55A62C88" w14:textId="758D6B12" w:rsidR="00563F37" w:rsidRDefault="7E6BCC69" w:rsidP="00D33B1B">
            <w:pPr>
              <w:pStyle w:val="Tabletext"/>
              <w:spacing w:after="80"/>
              <w:jc w:val="center"/>
              <w:cnfStyle w:val="000000000000" w:firstRow="0" w:lastRow="0" w:firstColumn="0" w:lastColumn="0" w:oddVBand="0" w:evenVBand="0" w:oddHBand="0" w:evenHBand="0" w:firstRowFirstColumn="0" w:firstRowLastColumn="0" w:lastRowFirstColumn="0" w:lastRowLastColumn="0"/>
            </w:pPr>
            <w:r>
              <w:t>Y</w:t>
            </w:r>
          </w:p>
        </w:tc>
        <w:tc>
          <w:tcPr>
            <w:tcW w:w="2740" w:type="dxa"/>
          </w:tcPr>
          <w:p w14:paraId="63074076" w14:textId="0178844B" w:rsidR="00563F37" w:rsidRDefault="1895A82B" w:rsidP="00D33B1B">
            <w:pPr>
              <w:pStyle w:val="Tabletext"/>
              <w:spacing w:after="80"/>
              <w:jc w:val="center"/>
              <w:cnfStyle w:val="000000000000" w:firstRow="0" w:lastRow="0" w:firstColumn="0" w:lastColumn="0" w:oddVBand="0" w:evenVBand="0" w:oddHBand="0" w:evenHBand="0" w:firstRowFirstColumn="0" w:firstRowLastColumn="0" w:lastRowFirstColumn="0" w:lastRowLastColumn="0"/>
            </w:pPr>
            <w:r>
              <w:t>Y</w:t>
            </w:r>
          </w:p>
        </w:tc>
      </w:tr>
      <w:tr w:rsidR="001D6B3A" w:rsidRPr="00B9382C" w14:paraId="6563223B" w14:textId="68B5EC83" w:rsidTr="688D467F">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160" w:type="dxa"/>
            <w:shd w:val="clear" w:color="auto" w:fill="002060"/>
          </w:tcPr>
          <w:p w14:paraId="71A86CCE" w14:textId="4DD2BFC3" w:rsidR="001D6B3A" w:rsidRPr="00B9382C" w:rsidRDefault="001D6B3A" w:rsidP="001D6B3A">
            <w:pPr>
              <w:pStyle w:val="Tabletext"/>
              <w:spacing w:after="80"/>
              <w:rPr>
                <w:color w:val="FFFFFF" w:themeColor="background1"/>
              </w:rPr>
            </w:pPr>
            <w:r w:rsidRPr="00B9382C">
              <w:rPr>
                <w:color w:val="FFFFFF" w:themeColor="background1"/>
              </w:rPr>
              <w:t xml:space="preserve">West Metro </w:t>
            </w:r>
          </w:p>
        </w:tc>
        <w:tc>
          <w:tcPr>
            <w:tcW w:w="2520" w:type="dxa"/>
            <w:shd w:val="clear" w:color="auto" w:fill="002060"/>
          </w:tcPr>
          <w:p w14:paraId="18B9DCBD" w14:textId="7E090A31" w:rsidR="001D6B3A" w:rsidRPr="00B9382C" w:rsidRDefault="001D6B3A" w:rsidP="001D6B3A">
            <w:pPr>
              <w:pStyle w:val="Tabletext"/>
              <w:spacing w:after="80"/>
              <w:jc w:val="center"/>
              <w:cnfStyle w:val="000000100000" w:firstRow="0" w:lastRow="0" w:firstColumn="0" w:lastColumn="0" w:oddVBand="0" w:evenVBand="0" w:oddHBand="1" w:evenHBand="0" w:firstRowFirstColumn="0" w:firstRowLastColumn="0" w:lastRowFirstColumn="0" w:lastRowLastColumn="0"/>
              <w:rPr>
                <w:color w:val="FFFFFF" w:themeColor="background1"/>
              </w:rPr>
            </w:pPr>
            <w:r w:rsidRPr="001D6B3A">
              <w:rPr>
                <w:rFonts w:eastAsia="Times"/>
                <w:b/>
                <w:bCs/>
                <w:sz w:val="18"/>
                <w:szCs w:val="16"/>
              </w:rPr>
              <w:t>Remdesivir available for community patients</w:t>
            </w:r>
          </w:p>
        </w:tc>
        <w:tc>
          <w:tcPr>
            <w:tcW w:w="2740" w:type="dxa"/>
            <w:shd w:val="clear" w:color="auto" w:fill="002060"/>
          </w:tcPr>
          <w:p w14:paraId="263F4F55" w14:textId="0F8B1525" w:rsidR="001D6B3A" w:rsidRPr="001D6B3A" w:rsidRDefault="001D6B3A" w:rsidP="001D6B3A">
            <w:pPr>
              <w:pStyle w:val="Tabletext"/>
              <w:spacing w:after="80"/>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1D6B3A">
              <w:rPr>
                <w:rFonts w:eastAsia="Times"/>
                <w:b/>
                <w:bCs/>
                <w:sz w:val="18"/>
                <w:szCs w:val="16"/>
              </w:rPr>
              <w:t>NMS oral antivirals for non-Medicare card holders</w:t>
            </w:r>
          </w:p>
        </w:tc>
      </w:tr>
      <w:tr w:rsidR="00563F37" w:rsidRPr="00B9382C" w14:paraId="19BD43A7" w14:textId="6C79316E" w:rsidTr="688D467F">
        <w:trPr>
          <w:trHeight w:val="1121"/>
        </w:trPr>
        <w:tc>
          <w:tcPr>
            <w:cnfStyle w:val="001000000000" w:firstRow="0" w:lastRow="0" w:firstColumn="1" w:lastColumn="0" w:oddVBand="0" w:evenVBand="0" w:oddHBand="0" w:evenHBand="0" w:firstRowFirstColumn="0" w:firstRowLastColumn="0" w:lastRowFirstColumn="0" w:lastRowLastColumn="0"/>
            <w:tcW w:w="5160" w:type="dxa"/>
            <w:shd w:val="clear" w:color="auto" w:fill="auto"/>
          </w:tcPr>
          <w:p w14:paraId="272513F7" w14:textId="53C070CD" w:rsidR="00166471" w:rsidRPr="00B9382C" w:rsidRDefault="00166471" w:rsidP="00166471">
            <w:pPr>
              <w:pStyle w:val="Tabletext"/>
              <w:spacing w:after="80"/>
            </w:pPr>
            <w:r w:rsidRPr="00B9382C">
              <w:t>Royal Melbourne Hospital</w:t>
            </w:r>
          </w:p>
          <w:p w14:paraId="547BBF19" w14:textId="010006A3" w:rsidR="00166471" w:rsidRPr="00B9382C" w:rsidRDefault="001510CE" w:rsidP="00166471">
            <w:pPr>
              <w:pStyle w:val="Tabletext"/>
              <w:spacing w:after="80"/>
            </w:pPr>
            <w:r>
              <w:rPr>
                <w:b w:val="0"/>
                <w:bCs w:val="0"/>
              </w:rPr>
              <w:t>Phone</w:t>
            </w:r>
            <w:r w:rsidR="00166471" w:rsidRPr="00B9382C">
              <w:rPr>
                <w:b w:val="0"/>
                <w:bCs w:val="0"/>
              </w:rPr>
              <w:t>: (03) 8387 2856</w:t>
            </w:r>
          </w:p>
          <w:p w14:paraId="2A5F1027" w14:textId="246E7426" w:rsidR="00166471" w:rsidRPr="00B9382C" w:rsidRDefault="00166471" w:rsidP="00166471">
            <w:pPr>
              <w:pStyle w:val="Tabletext"/>
              <w:spacing w:after="80"/>
            </w:pPr>
            <w:r w:rsidRPr="00B9382C">
              <w:rPr>
                <w:b w:val="0"/>
                <w:bCs w:val="0"/>
              </w:rPr>
              <w:t xml:space="preserve">Email: </w:t>
            </w:r>
            <w:hyperlink r:id="rId55" w:history="1">
              <w:r w:rsidRPr="00B9382C">
                <w:rPr>
                  <w:rStyle w:val="Hyperlink"/>
                  <w:b w:val="0"/>
                  <w:bCs w:val="0"/>
                </w:rPr>
                <w:t>RMH-COVIDInfusionReferral@mh.org.au</w:t>
              </w:r>
            </w:hyperlink>
            <w:r w:rsidRPr="00B9382C">
              <w:rPr>
                <w:b w:val="0"/>
                <w:bCs w:val="0"/>
              </w:rPr>
              <w:t xml:space="preserve"> </w:t>
            </w:r>
          </w:p>
          <w:p w14:paraId="1BFB7B7E" w14:textId="1D2214FE" w:rsidR="00166471" w:rsidRPr="00B9382C" w:rsidRDefault="00166471" w:rsidP="00166471">
            <w:pPr>
              <w:pStyle w:val="Tabletext"/>
              <w:spacing w:after="80"/>
              <w:rPr>
                <w:b w:val="0"/>
                <w:bCs w:val="0"/>
              </w:rPr>
            </w:pPr>
            <w:r w:rsidRPr="00B9382C">
              <w:rPr>
                <w:b w:val="0"/>
                <w:bCs w:val="0"/>
              </w:rPr>
              <w:t xml:space="preserve">8am-6pm, 7 days per week </w:t>
            </w:r>
          </w:p>
        </w:tc>
        <w:tc>
          <w:tcPr>
            <w:tcW w:w="2520" w:type="dxa"/>
          </w:tcPr>
          <w:p w14:paraId="0ACF2504" w14:textId="125E78A0" w:rsidR="00166471" w:rsidRPr="00B9382C" w:rsidRDefault="003E4EF3" w:rsidP="00D33B1B">
            <w:pPr>
              <w:pStyle w:val="Tabletext"/>
              <w:spacing w:after="80"/>
              <w:jc w:val="center"/>
              <w:cnfStyle w:val="000000000000" w:firstRow="0" w:lastRow="0" w:firstColumn="0" w:lastColumn="0" w:oddVBand="0" w:evenVBand="0" w:oddHBand="0" w:evenHBand="0" w:firstRowFirstColumn="0" w:firstRowLastColumn="0" w:lastRowFirstColumn="0" w:lastRowLastColumn="0"/>
            </w:pPr>
            <w:r>
              <w:t>Y</w:t>
            </w:r>
          </w:p>
        </w:tc>
        <w:tc>
          <w:tcPr>
            <w:tcW w:w="2740" w:type="dxa"/>
          </w:tcPr>
          <w:p w14:paraId="006A304B" w14:textId="454850A4" w:rsidR="00166471" w:rsidRPr="00B9382C" w:rsidRDefault="00166471" w:rsidP="3D00E04C">
            <w:pPr>
              <w:pStyle w:val="Tabletext"/>
              <w:spacing w:after="80"/>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563F37" w:rsidRPr="00B9382C" w14:paraId="10011B65" w14:textId="4E55EB7D" w:rsidTr="688D467F">
        <w:trPr>
          <w:cnfStyle w:val="000000100000" w:firstRow="0" w:lastRow="0" w:firstColumn="0" w:lastColumn="0" w:oddVBand="0" w:evenVBand="0" w:oddHBand="1"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5160" w:type="dxa"/>
            <w:shd w:val="clear" w:color="auto" w:fill="auto"/>
          </w:tcPr>
          <w:p w14:paraId="0CD91DF6" w14:textId="77777777" w:rsidR="00166471" w:rsidRPr="008C3180" w:rsidRDefault="00166471" w:rsidP="00166471">
            <w:pPr>
              <w:pStyle w:val="Tabletext"/>
              <w:spacing w:after="80"/>
            </w:pPr>
            <w:r w:rsidRPr="008C3180">
              <w:t xml:space="preserve">Western Health </w:t>
            </w:r>
          </w:p>
          <w:p w14:paraId="005F1401" w14:textId="29BA8BBE" w:rsidR="00166471" w:rsidRPr="008C3180" w:rsidRDefault="009404B3" w:rsidP="00166471">
            <w:pPr>
              <w:pStyle w:val="Tabletext"/>
              <w:spacing w:after="80"/>
              <w:rPr>
                <w:b w:val="0"/>
                <w:bCs w:val="0"/>
              </w:rPr>
            </w:pPr>
            <w:r>
              <w:rPr>
                <w:b w:val="0"/>
                <w:bCs w:val="0"/>
              </w:rPr>
              <w:t>Phone</w:t>
            </w:r>
            <w:r w:rsidR="007823B5">
              <w:rPr>
                <w:b w:val="0"/>
                <w:bCs w:val="0"/>
              </w:rPr>
              <w:t xml:space="preserve">: </w:t>
            </w:r>
            <w:r w:rsidR="0085108D">
              <w:rPr>
                <w:b w:val="0"/>
                <w:bCs w:val="0"/>
              </w:rPr>
              <w:t xml:space="preserve">(03) </w:t>
            </w:r>
            <w:r w:rsidR="00166471" w:rsidRPr="008C3180">
              <w:rPr>
                <w:b w:val="0"/>
                <w:bCs w:val="0"/>
              </w:rPr>
              <w:t>8345 6164</w:t>
            </w:r>
          </w:p>
          <w:p w14:paraId="3D480BFF" w14:textId="3F8C110A" w:rsidR="00166471" w:rsidRPr="008C3180" w:rsidRDefault="00166471" w:rsidP="00166471">
            <w:pPr>
              <w:pStyle w:val="Tabletext"/>
              <w:spacing w:after="80"/>
              <w:rPr>
                <w:b w:val="0"/>
                <w:bCs w:val="0"/>
              </w:rPr>
            </w:pPr>
            <w:r w:rsidRPr="008C3180">
              <w:rPr>
                <w:b w:val="0"/>
                <w:bCs w:val="0"/>
              </w:rPr>
              <w:t xml:space="preserve">8am-5pm, Monday </w:t>
            </w:r>
            <w:r w:rsidR="00560833" w:rsidRPr="008C3180">
              <w:rPr>
                <w:b w:val="0"/>
                <w:bCs w:val="0"/>
              </w:rPr>
              <w:t>–</w:t>
            </w:r>
            <w:r w:rsidRPr="008C3180">
              <w:rPr>
                <w:b w:val="0"/>
                <w:bCs w:val="0"/>
              </w:rPr>
              <w:t xml:space="preserve"> Friday</w:t>
            </w:r>
          </w:p>
        </w:tc>
        <w:tc>
          <w:tcPr>
            <w:tcW w:w="2520" w:type="dxa"/>
            <w:shd w:val="clear" w:color="auto" w:fill="auto"/>
          </w:tcPr>
          <w:p w14:paraId="48342BDE" w14:textId="18FDB063" w:rsidR="00166471" w:rsidRPr="00B9382C" w:rsidRDefault="00602535" w:rsidP="00D33B1B">
            <w:pPr>
              <w:pStyle w:val="Tabletext"/>
              <w:spacing w:after="80"/>
              <w:jc w:val="center"/>
              <w:cnfStyle w:val="000000100000" w:firstRow="0" w:lastRow="0" w:firstColumn="0" w:lastColumn="0" w:oddVBand="0" w:evenVBand="0" w:oddHBand="1" w:evenHBand="0" w:firstRowFirstColumn="0" w:firstRowLastColumn="0" w:lastRowFirstColumn="0" w:lastRowLastColumn="0"/>
            </w:pPr>
            <w:r>
              <w:t>Y</w:t>
            </w:r>
          </w:p>
        </w:tc>
        <w:tc>
          <w:tcPr>
            <w:tcW w:w="2740" w:type="dxa"/>
            <w:shd w:val="clear" w:color="auto" w:fill="auto"/>
          </w:tcPr>
          <w:p w14:paraId="5137FFD7" w14:textId="6DE2C0AA" w:rsidR="00166471" w:rsidRPr="00B9382C" w:rsidRDefault="00166471" w:rsidP="3D00E04C">
            <w:pPr>
              <w:pStyle w:val="Tabletext"/>
              <w:spacing w:after="80"/>
              <w:jc w:val="center"/>
              <w:cnfStyle w:val="000000100000" w:firstRow="0" w:lastRow="0" w:firstColumn="0" w:lastColumn="0" w:oddVBand="0" w:evenVBand="0" w:oddHBand="1" w:evenHBand="0" w:firstRowFirstColumn="0" w:firstRowLastColumn="0" w:lastRowFirstColumn="0" w:lastRowLastColumn="0"/>
            </w:pPr>
          </w:p>
        </w:tc>
      </w:tr>
      <w:tr w:rsidR="00563F37" w:rsidRPr="00B9382C" w14:paraId="6C246F13" w14:textId="70E81DE8" w:rsidTr="688D467F">
        <w:trPr>
          <w:trHeight w:val="1121"/>
        </w:trPr>
        <w:tc>
          <w:tcPr>
            <w:cnfStyle w:val="001000000000" w:firstRow="0" w:lastRow="0" w:firstColumn="1" w:lastColumn="0" w:oddVBand="0" w:evenVBand="0" w:oddHBand="0" w:evenHBand="0" w:firstRowFirstColumn="0" w:firstRowLastColumn="0" w:lastRowFirstColumn="0" w:lastRowLastColumn="0"/>
            <w:tcW w:w="5160" w:type="dxa"/>
            <w:shd w:val="clear" w:color="auto" w:fill="auto"/>
          </w:tcPr>
          <w:p w14:paraId="1584986F" w14:textId="18B4447D" w:rsidR="00166471" w:rsidRPr="007823B5" w:rsidRDefault="00166471" w:rsidP="00166471">
            <w:pPr>
              <w:pStyle w:val="Tabletext"/>
              <w:spacing w:after="80"/>
            </w:pPr>
            <w:r w:rsidRPr="007823B5">
              <w:t>Werribee Mercy Hospital </w:t>
            </w:r>
          </w:p>
          <w:p w14:paraId="1AD88A48" w14:textId="55975E01" w:rsidR="00166471" w:rsidRPr="007823B5" w:rsidRDefault="009404B3" w:rsidP="00166471">
            <w:pPr>
              <w:pStyle w:val="Tabletext"/>
              <w:spacing w:after="80"/>
              <w:rPr>
                <w:b w:val="0"/>
                <w:bCs w:val="0"/>
              </w:rPr>
            </w:pPr>
            <w:r>
              <w:rPr>
                <w:b w:val="0"/>
                <w:bCs w:val="0"/>
              </w:rPr>
              <w:t>Phone</w:t>
            </w:r>
            <w:r w:rsidR="00166471" w:rsidRPr="007823B5">
              <w:rPr>
                <w:b w:val="0"/>
                <w:bCs w:val="0"/>
              </w:rPr>
              <w:t>: 0419 389 127</w:t>
            </w:r>
          </w:p>
          <w:p w14:paraId="003DA93A" w14:textId="634025DB" w:rsidR="00166471" w:rsidRPr="007823B5" w:rsidRDefault="00166471" w:rsidP="00166471">
            <w:pPr>
              <w:pStyle w:val="Tabletext"/>
              <w:spacing w:after="80"/>
              <w:rPr>
                <w:b w:val="0"/>
                <w:bCs w:val="0"/>
              </w:rPr>
            </w:pPr>
            <w:r w:rsidRPr="007823B5">
              <w:rPr>
                <w:b w:val="0"/>
                <w:bCs w:val="0"/>
              </w:rPr>
              <w:t xml:space="preserve">Email: </w:t>
            </w:r>
            <w:hyperlink r:id="rId56" w:history="1">
              <w:r w:rsidRPr="007823B5">
                <w:rPr>
                  <w:rStyle w:val="Hyperlink"/>
                  <w:b w:val="0"/>
                  <w:bCs w:val="0"/>
                </w:rPr>
                <w:t>covidnotification@mercy.com.au</w:t>
              </w:r>
            </w:hyperlink>
            <w:r w:rsidRPr="007823B5">
              <w:rPr>
                <w:b w:val="0"/>
                <w:bCs w:val="0"/>
              </w:rPr>
              <w:t xml:space="preserve"> </w:t>
            </w:r>
          </w:p>
          <w:p w14:paraId="5891CAF8" w14:textId="7B769262" w:rsidR="00166471" w:rsidRPr="007823B5" w:rsidRDefault="00166471" w:rsidP="00166471">
            <w:pPr>
              <w:pStyle w:val="Tabletext"/>
              <w:spacing w:after="80"/>
              <w:rPr>
                <w:b w:val="0"/>
                <w:bCs w:val="0"/>
              </w:rPr>
            </w:pPr>
            <w:r w:rsidRPr="007823B5">
              <w:rPr>
                <w:b w:val="0"/>
                <w:bCs w:val="0"/>
              </w:rPr>
              <w:t>8am–8pm, 7 days per week</w:t>
            </w:r>
          </w:p>
        </w:tc>
        <w:tc>
          <w:tcPr>
            <w:tcW w:w="2520" w:type="dxa"/>
            <w:shd w:val="clear" w:color="auto" w:fill="auto"/>
          </w:tcPr>
          <w:p w14:paraId="78132B4C" w14:textId="658BB18D" w:rsidR="00166471" w:rsidRPr="00B9382C" w:rsidRDefault="149E0703" w:rsidP="00D33B1B">
            <w:pPr>
              <w:pStyle w:val="Tabletext"/>
              <w:spacing w:after="80"/>
              <w:jc w:val="center"/>
              <w:cnfStyle w:val="000000000000" w:firstRow="0" w:lastRow="0" w:firstColumn="0" w:lastColumn="0" w:oddVBand="0" w:evenVBand="0" w:oddHBand="0" w:evenHBand="0" w:firstRowFirstColumn="0" w:firstRowLastColumn="0" w:lastRowFirstColumn="0" w:lastRowLastColumn="0"/>
            </w:pPr>
            <w:r>
              <w:t>Y</w:t>
            </w:r>
          </w:p>
        </w:tc>
        <w:tc>
          <w:tcPr>
            <w:tcW w:w="2740" w:type="dxa"/>
            <w:shd w:val="clear" w:color="auto" w:fill="auto"/>
          </w:tcPr>
          <w:p w14:paraId="13D03EBA" w14:textId="5B6D9812" w:rsidR="00166471" w:rsidRPr="00B9382C" w:rsidRDefault="00166471" w:rsidP="3D00E04C">
            <w:pPr>
              <w:pStyle w:val="Tabletext"/>
              <w:spacing w:after="80"/>
              <w:jc w:val="center"/>
              <w:cnfStyle w:val="000000000000" w:firstRow="0" w:lastRow="0" w:firstColumn="0" w:lastColumn="0" w:oddVBand="0" w:evenVBand="0" w:oddHBand="0" w:evenHBand="0" w:firstRowFirstColumn="0" w:firstRowLastColumn="0" w:lastRowFirstColumn="0" w:lastRowLastColumn="0"/>
            </w:pPr>
          </w:p>
        </w:tc>
      </w:tr>
      <w:tr w:rsidR="00563F37" w:rsidRPr="00B9382C" w14:paraId="61B09503" w14:textId="75CEBADB" w:rsidTr="688D467F">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5160" w:type="dxa"/>
            <w:shd w:val="clear" w:color="auto" w:fill="auto"/>
            <w:hideMark/>
          </w:tcPr>
          <w:p w14:paraId="4CC6121B" w14:textId="3ADF8CD8" w:rsidR="00166471" w:rsidRPr="00B9382C" w:rsidRDefault="00166471" w:rsidP="00166471">
            <w:pPr>
              <w:pStyle w:val="Tabletext"/>
              <w:spacing w:after="80"/>
            </w:pPr>
            <w:r w:rsidRPr="00B9382C">
              <w:t>Royal Children’s Hospital</w:t>
            </w:r>
          </w:p>
          <w:p w14:paraId="65B1665B" w14:textId="1060C212" w:rsidR="00166471" w:rsidRPr="00B9382C" w:rsidRDefault="00166471" w:rsidP="00166471">
            <w:pPr>
              <w:pStyle w:val="Tabletext"/>
              <w:spacing w:after="80"/>
            </w:pPr>
            <w:r w:rsidRPr="00B9382C">
              <w:rPr>
                <w:b w:val="0"/>
                <w:bCs w:val="0"/>
              </w:rPr>
              <w:t>Intake number: 03 9345 5522 (ask for Infectious Diseases Fellow)</w:t>
            </w:r>
          </w:p>
        </w:tc>
        <w:tc>
          <w:tcPr>
            <w:tcW w:w="2520" w:type="dxa"/>
            <w:shd w:val="clear" w:color="auto" w:fill="auto"/>
          </w:tcPr>
          <w:p w14:paraId="1C017B0C" w14:textId="5F5C8B73" w:rsidR="00166471" w:rsidRPr="00B9382C" w:rsidRDefault="790F3908" w:rsidP="00D33B1B">
            <w:pPr>
              <w:pStyle w:val="Tabletext"/>
              <w:spacing w:after="80"/>
              <w:jc w:val="center"/>
              <w:cnfStyle w:val="000000100000" w:firstRow="0" w:lastRow="0" w:firstColumn="0" w:lastColumn="0" w:oddVBand="0" w:evenVBand="0" w:oddHBand="1" w:evenHBand="0" w:firstRowFirstColumn="0" w:firstRowLastColumn="0" w:lastRowFirstColumn="0" w:lastRowLastColumn="0"/>
            </w:pPr>
            <w:r>
              <w:t>Y</w:t>
            </w:r>
          </w:p>
        </w:tc>
        <w:tc>
          <w:tcPr>
            <w:tcW w:w="2740" w:type="dxa"/>
            <w:shd w:val="clear" w:color="auto" w:fill="auto"/>
          </w:tcPr>
          <w:p w14:paraId="16E359A6" w14:textId="34E8E3CC" w:rsidR="00166471" w:rsidRPr="00B9382C" w:rsidRDefault="00166471" w:rsidP="00D33B1B">
            <w:pPr>
              <w:pStyle w:val="Tabletext"/>
              <w:spacing w:after="80"/>
              <w:jc w:val="center"/>
              <w:cnfStyle w:val="000000100000" w:firstRow="0" w:lastRow="0" w:firstColumn="0" w:lastColumn="0" w:oddVBand="0" w:evenVBand="0" w:oddHBand="1" w:evenHBand="0" w:firstRowFirstColumn="0" w:firstRowLastColumn="0" w:lastRowFirstColumn="0" w:lastRowLastColumn="0"/>
            </w:pPr>
          </w:p>
        </w:tc>
      </w:tr>
      <w:tr w:rsidR="001D6B3A" w:rsidRPr="00B9382C" w14:paraId="212D9BB9" w14:textId="0F093B0A" w:rsidTr="688D467F">
        <w:trPr>
          <w:trHeight w:val="452"/>
        </w:trPr>
        <w:tc>
          <w:tcPr>
            <w:cnfStyle w:val="001000000000" w:firstRow="0" w:lastRow="0" w:firstColumn="1" w:lastColumn="0" w:oddVBand="0" w:evenVBand="0" w:oddHBand="0" w:evenHBand="0" w:firstRowFirstColumn="0" w:firstRowLastColumn="0" w:lastRowFirstColumn="0" w:lastRowLastColumn="0"/>
            <w:tcW w:w="5160" w:type="dxa"/>
            <w:shd w:val="clear" w:color="auto" w:fill="002060"/>
          </w:tcPr>
          <w:p w14:paraId="7852F27D" w14:textId="14995DF5" w:rsidR="001D6B3A" w:rsidRPr="00B9382C" w:rsidRDefault="001D6B3A" w:rsidP="001D6B3A">
            <w:pPr>
              <w:pStyle w:val="Tabletext"/>
              <w:spacing w:after="80"/>
              <w:rPr>
                <w:color w:val="FFFFFF" w:themeColor="background1"/>
              </w:rPr>
            </w:pPr>
            <w:r w:rsidRPr="00B9382C">
              <w:rPr>
                <w:color w:val="FFFFFF" w:themeColor="background1"/>
              </w:rPr>
              <w:t>Gippsland</w:t>
            </w:r>
          </w:p>
        </w:tc>
        <w:tc>
          <w:tcPr>
            <w:tcW w:w="2520" w:type="dxa"/>
            <w:shd w:val="clear" w:color="auto" w:fill="002060"/>
          </w:tcPr>
          <w:p w14:paraId="2ED77907" w14:textId="757DB7CB" w:rsidR="001D6B3A" w:rsidRPr="00B9382C" w:rsidRDefault="001D6B3A" w:rsidP="001D6B3A">
            <w:pPr>
              <w:pStyle w:val="Tabletext"/>
              <w:spacing w:after="80"/>
              <w:jc w:val="center"/>
              <w:cnfStyle w:val="000000000000" w:firstRow="0" w:lastRow="0" w:firstColumn="0" w:lastColumn="0" w:oddVBand="0" w:evenVBand="0" w:oddHBand="0" w:evenHBand="0" w:firstRowFirstColumn="0" w:firstRowLastColumn="0" w:lastRowFirstColumn="0" w:lastRowLastColumn="0"/>
              <w:rPr>
                <w:color w:val="FFFFFF" w:themeColor="background1"/>
              </w:rPr>
            </w:pPr>
            <w:r w:rsidRPr="001D6B3A">
              <w:rPr>
                <w:rFonts w:eastAsia="Times"/>
                <w:b/>
                <w:bCs/>
                <w:sz w:val="18"/>
                <w:szCs w:val="16"/>
              </w:rPr>
              <w:t>Remdesivir available for community patients</w:t>
            </w:r>
          </w:p>
        </w:tc>
        <w:tc>
          <w:tcPr>
            <w:tcW w:w="2740" w:type="dxa"/>
            <w:shd w:val="clear" w:color="auto" w:fill="002060"/>
          </w:tcPr>
          <w:p w14:paraId="702AA314" w14:textId="20B63B3F" w:rsidR="001D6B3A" w:rsidRPr="001D6B3A" w:rsidRDefault="001D6B3A" w:rsidP="001D6B3A">
            <w:pPr>
              <w:pStyle w:val="Tabletext"/>
              <w:spacing w:after="80"/>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1D6B3A">
              <w:rPr>
                <w:rFonts w:eastAsia="Times"/>
                <w:b/>
                <w:bCs/>
                <w:sz w:val="18"/>
                <w:szCs w:val="16"/>
              </w:rPr>
              <w:t>NMS oral antivirals for non-Medicare card holders</w:t>
            </w:r>
          </w:p>
        </w:tc>
      </w:tr>
      <w:tr w:rsidR="00563F37" w:rsidRPr="00B9382C" w14:paraId="1666BEDB" w14:textId="6D9F38A7" w:rsidTr="002E60CE">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160" w:type="dxa"/>
            <w:shd w:val="clear" w:color="auto" w:fill="auto"/>
          </w:tcPr>
          <w:p w14:paraId="6DBBDADA" w14:textId="7C314BBD" w:rsidR="00166471" w:rsidRPr="00B9382C" w:rsidRDefault="00166471" w:rsidP="00166471">
            <w:pPr>
              <w:pStyle w:val="Tabletext"/>
              <w:spacing w:after="80"/>
            </w:pPr>
            <w:r w:rsidRPr="00B9382C">
              <w:t>Latrobe Regional Hospital </w:t>
            </w:r>
          </w:p>
          <w:p w14:paraId="2B96E826" w14:textId="6E6EC14C" w:rsidR="00166471" w:rsidRDefault="009404B3" w:rsidP="00166471">
            <w:pPr>
              <w:pStyle w:val="Tabletext"/>
              <w:spacing w:after="80"/>
              <w:rPr>
                <w:highlight w:val="yellow"/>
              </w:rPr>
            </w:pPr>
            <w:r>
              <w:rPr>
                <w:b w:val="0"/>
                <w:bCs w:val="0"/>
              </w:rPr>
              <w:t>Phone</w:t>
            </w:r>
            <w:r w:rsidR="00166471" w:rsidRPr="00B9382C">
              <w:rPr>
                <w:b w:val="0"/>
                <w:bCs w:val="0"/>
              </w:rPr>
              <w:t>: (03) 5173 5479</w:t>
            </w:r>
          </w:p>
          <w:p w14:paraId="3CC82EF1" w14:textId="2EF91C8D" w:rsidR="00166471" w:rsidRPr="00B9382C" w:rsidRDefault="00166471" w:rsidP="00166471">
            <w:pPr>
              <w:pStyle w:val="Tabletext"/>
              <w:spacing w:after="80"/>
              <w:rPr>
                <w:b w:val="0"/>
                <w:bCs w:val="0"/>
              </w:rPr>
            </w:pPr>
            <w:r w:rsidRPr="00B9382C">
              <w:rPr>
                <w:b w:val="0"/>
                <w:bCs w:val="0"/>
              </w:rPr>
              <w:t xml:space="preserve">Email: </w:t>
            </w:r>
            <w:hyperlink r:id="rId57" w:history="1">
              <w:r w:rsidRPr="00B9382C">
                <w:rPr>
                  <w:rStyle w:val="Hyperlink"/>
                  <w:b w:val="0"/>
                  <w:bCs w:val="0"/>
                </w:rPr>
                <w:t>C19casemonitoring@lrh.com.au</w:t>
              </w:r>
            </w:hyperlink>
            <w:r w:rsidRPr="00B9382C">
              <w:rPr>
                <w:b w:val="0"/>
                <w:bCs w:val="0"/>
              </w:rPr>
              <w:t xml:space="preserve">  </w:t>
            </w:r>
          </w:p>
          <w:p w14:paraId="66BDB21C" w14:textId="2AFE1D5D" w:rsidR="00166471" w:rsidRPr="00B9382C" w:rsidRDefault="00166471" w:rsidP="00166471">
            <w:pPr>
              <w:pStyle w:val="Tabletext"/>
              <w:spacing w:after="80"/>
            </w:pPr>
            <w:r w:rsidRPr="00B9382C">
              <w:rPr>
                <w:b w:val="0"/>
                <w:bCs w:val="0"/>
              </w:rPr>
              <w:lastRenderedPageBreak/>
              <w:t>8</w:t>
            </w:r>
            <w:r w:rsidR="00547DFF">
              <w:rPr>
                <w:b w:val="0"/>
                <w:bCs w:val="0"/>
              </w:rPr>
              <w:t>.30</w:t>
            </w:r>
            <w:r w:rsidRPr="00B9382C">
              <w:rPr>
                <w:b w:val="0"/>
                <w:bCs w:val="0"/>
              </w:rPr>
              <w:t>am–</w:t>
            </w:r>
            <w:r w:rsidRPr="0070667B">
              <w:rPr>
                <w:b w:val="0"/>
                <w:bCs w:val="0"/>
              </w:rPr>
              <w:t>5pm</w:t>
            </w:r>
            <w:r w:rsidRPr="0070667B">
              <w:t>,</w:t>
            </w:r>
            <w:r w:rsidRPr="0070667B">
              <w:rPr>
                <w:b w:val="0"/>
                <w:bCs w:val="0"/>
              </w:rPr>
              <w:t xml:space="preserve"> 7 days</w:t>
            </w:r>
            <w:r w:rsidRPr="00B9382C">
              <w:rPr>
                <w:b w:val="0"/>
                <w:bCs w:val="0"/>
              </w:rPr>
              <w:t xml:space="preserve"> per week </w:t>
            </w:r>
          </w:p>
        </w:tc>
        <w:tc>
          <w:tcPr>
            <w:tcW w:w="2520" w:type="dxa"/>
            <w:shd w:val="clear" w:color="auto" w:fill="auto"/>
          </w:tcPr>
          <w:p w14:paraId="59CF0EC8" w14:textId="4B6DC378" w:rsidR="00166471" w:rsidRPr="00B9382C" w:rsidRDefault="003E71CA" w:rsidP="00D33B1B">
            <w:pPr>
              <w:pStyle w:val="Tabletext"/>
              <w:spacing w:after="80"/>
              <w:jc w:val="center"/>
              <w:cnfStyle w:val="000000100000" w:firstRow="0" w:lastRow="0" w:firstColumn="0" w:lastColumn="0" w:oddVBand="0" w:evenVBand="0" w:oddHBand="1" w:evenHBand="0" w:firstRowFirstColumn="0" w:firstRowLastColumn="0" w:lastRowFirstColumn="0" w:lastRowLastColumn="0"/>
            </w:pPr>
            <w:r>
              <w:lastRenderedPageBreak/>
              <w:t>Y</w:t>
            </w:r>
          </w:p>
        </w:tc>
        <w:tc>
          <w:tcPr>
            <w:tcW w:w="2740" w:type="dxa"/>
            <w:shd w:val="clear" w:color="auto" w:fill="auto"/>
          </w:tcPr>
          <w:p w14:paraId="104D4566" w14:textId="2D96FB21" w:rsidR="00166471" w:rsidRPr="00B9382C" w:rsidRDefault="0F80742B" w:rsidP="3D00E04C">
            <w:pPr>
              <w:pStyle w:val="Tabletext"/>
              <w:spacing w:after="80"/>
              <w:jc w:val="center"/>
              <w:cnfStyle w:val="000000100000" w:firstRow="0" w:lastRow="0" w:firstColumn="0" w:lastColumn="0" w:oddVBand="0" w:evenVBand="0" w:oddHBand="1" w:evenHBand="0" w:firstRowFirstColumn="0" w:firstRowLastColumn="0" w:lastRowFirstColumn="0" w:lastRowLastColumn="0"/>
            </w:pPr>
            <w:r>
              <w:t xml:space="preserve">Y </w:t>
            </w:r>
          </w:p>
        </w:tc>
      </w:tr>
      <w:tr w:rsidR="00563F37" w:rsidRPr="00B9382C" w14:paraId="557041A2" w14:textId="4C87330E" w:rsidTr="688D467F">
        <w:trPr>
          <w:trHeight w:val="410"/>
        </w:trPr>
        <w:tc>
          <w:tcPr>
            <w:cnfStyle w:val="001000000000" w:firstRow="0" w:lastRow="0" w:firstColumn="1" w:lastColumn="0" w:oddVBand="0" w:evenVBand="0" w:oddHBand="0" w:evenHBand="0" w:firstRowFirstColumn="0" w:firstRowLastColumn="0" w:lastRowFirstColumn="0" w:lastRowLastColumn="0"/>
            <w:tcW w:w="5160" w:type="dxa"/>
            <w:shd w:val="clear" w:color="auto" w:fill="auto"/>
          </w:tcPr>
          <w:p w14:paraId="7EB4937F" w14:textId="142CDD9C" w:rsidR="00166471" w:rsidRPr="00B9382C" w:rsidRDefault="00166471" w:rsidP="00166471">
            <w:pPr>
              <w:pStyle w:val="Tabletext"/>
              <w:spacing w:after="80"/>
              <w:rPr>
                <w:b w:val="0"/>
                <w:bCs w:val="0"/>
              </w:rPr>
            </w:pPr>
            <w:r w:rsidRPr="00B9382C">
              <w:t xml:space="preserve">Bass Coast Health (Bass Coast and South Gippsland LGA) </w:t>
            </w:r>
          </w:p>
          <w:p w14:paraId="708B7B53" w14:textId="77777777" w:rsidR="00166471" w:rsidRPr="00B9382C" w:rsidRDefault="00166471" w:rsidP="00166471">
            <w:pPr>
              <w:pStyle w:val="Tabletext"/>
              <w:spacing w:after="80"/>
              <w:rPr>
                <w:b w:val="0"/>
                <w:bCs w:val="0"/>
              </w:rPr>
            </w:pPr>
            <w:r w:rsidRPr="00B9382C">
              <w:rPr>
                <w:b w:val="0"/>
                <w:bCs w:val="0"/>
              </w:rPr>
              <w:t>Phone: (03) 5671 3439</w:t>
            </w:r>
          </w:p>
          <w:p w14:paraId="1E654044" w14:textId="3F4ED2EC" w:rsidR="00166471" w:rsidRPr="005839AA" w:rsidRDefault="00166471" w:rsidP="00166471">
            <w:pPr>
              <w:pStyle w:val="Tabletext"/>
              <w:spacing w:after="80"/>
              <w:rPr>
                <w:b w:val="0"/>
                <w:bCs w:val="0"/>
              </w:rPr>
            </w:pPr>
            <w:r w:rsidRPr="005839AA">
              <w:rPr>
                <w:b w:val="0"/>
                <w:bCs w:val="0"/>
              </w:rPr>
              <w:t xml:space="preserve">Email: </w:t>
            </w:r>
            <w:hyperlink r:id="rId58">
              <w:r w:rsidRPr="005839AA">
                <w:rPr>
                  <w:rStyle w:val="Hyperlink"/>
                  <w:b w:val="0"/>
                  <w:bCs w:val="0"/>
                </w:rPr>
                <w:t>hith@basscoasthealth.org.au</w:t>
              </w:r>
            </w:hyperlink>
            <w:r w:rsidRPr="005839AA">
              <w:t xml:space="preserve"> </w:t>
            </w:r>
          </w:p>
          <w:p w14:paraId="320719A9" w14:textId="29FA7E1E" w:rsidR="00166471" w:rsidRPr="005839AA" w:rsidRDefault="00166471" w:rsidP="00166471">
            <w:pPr>
              <w:pStyle w:val="Tabletext"/>
              <w:spacing w:after="80"/>
              <w:rPr>
                <w:b w:val="0"/>
                <w:bCs w:val="0"/>
                <w:highlight w:val="yellow"/>
              </w:rPr>
            </w:pPr>
            <w:r w:rsidRPr="005839AA">
              <w:rPr>
                <w:b w:val="0"/>
                <w:bCs w:val="0"/>
              </w:rPr>
              <w:t>8.30am-5pm; 7 days per week</w:t>
            </w:r>
          </w:p>
        </w:tc>
        <w:tc>
          <w:tcPr>
            <w:tcW w:w="2520" w:type="dxa"/>
          </w:tcPr>
          <w:p w14:paraId="63DF79C4" w14:textId="4CF0AFCE" w:rsidR="00166471" w:rsidRPr="00B9382C" w:rsidRDefault="003E71CA" w:rsidP="00D33B1B">
            <w:pPr>
              <w:pStyle w:val="Tabletext"/>
              <w:spacing w:after="80"/>
              <w:jc w:val="center"/>
              <w:cnfStyle w:val="000000000000" w:firstRow="0" w:lastRow="0" w:firstColumn="0" w:lastColumn="0" w:oddVBand="0" w:evenVBand="0" w:oddHBand="0" w:evenHBand="0" w:firstRowFirstColumn="0" w:firstRowLastColumn="0" w:lastRowFirstColumn="0" w:lastRowLastColumn="0"/>
            </w:pPr>
            <w:r>
              <w:t>Y</w:t>
            </w:r>
          </w:p>
        </w:tc>
        <w:tc>
          <w:tcPr>
            <w:tcW w:w="2740" w:type="dxa"/>
          </w:tcPr>
          <w:p w14:paraId="79BE8250" w14:textId="175644BC" w:rsidR="00166471" w:rsidRPr="00B9382C" w:rsidRDefault="00166471" w:rsidP="00D33B1B">
            <w:pPr>
              <w:pStyle w:val="Tabletext"/>
              <w:spacing w:after="80"/>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563F37" w:rsidRPr="00B9382C" w14:paraId="5C19CABB" w14:textId="11E69BAF" w:rsidTr="688D467F">
        <w:trPr>
          <w:cnfStyle w:val="000000100000" w:firstRow="0" w:lastRow="0" w:firstColumn="0" w:lastColumn="0" w:oddVBand="0" w:evenVBand="0" w:oddHBand="1"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5160" w:type="dxa"/>
            <w:shd w:val="clear" w:color="auto" w:fill="auto"/>
          </w:tcPr>
          <w:p w14:paraId="4E92CA81" w14:textId="183E5B21" w:rsidR="00166471" w:rsidRPr="00B9382C" w:rsidRDefault="4E1F10C9" w:rsidP="00166471">
            <w:pPr>
              <w:pStyle w:val="Tabletext"/>
              <w:spacing w:after="80"/>
              <w:rPr>
                <w:b w:val="0"/>
                <w:bCs w:val="0"/>
              </w:rPr>
            </w:pPr>
            <w:r>
              <w:t xml:space="preserve">Central Gippsland Health Service </w:t>
            </w:r>
          </w:p>
          <w:p w14:paraId="706F8ADB" w14:textId="3DA9FA90" w:rsidR="00166471" w:rsidRPr="00B9382C" w:rsidRDefault="00166471" w:rsidP="00166471">
            <w:pPr>
              <w:pStyle w:val="Tabletext"/>
              <w:spacing w:after="80"/>
            </w:pPr>
            <w:r w:rsidRPr="00B9382C">
              <w:rPr>
                <w:b w:val="0"/>
                <w:bCs w:val="0"/>
              </w:rPr>
              <w:t>Phone: (03) 5143 8720</w:t>
            </w:r>
          </w:p>
          <w:p w14:paraId="4EEB4F2D" w14:textId="3D7047DE" w:rsidR="00166471" w:rsidRPr="005839AA" w:rsidRDefault="00166471" w:rsidP="00166471">
            <w:pPr>
              <w:pStyle w:val="Tabletext"/>
              <w:spacing w:after="80"/>
              <w:rPr>
                <w:b w:val="0"/>
                <w:bCs w:val="0"/>
              </w:rPr>
            </w:pPr>
            <w:r w:rsidRPr="005839AA">
              <w:rPr>
                <w:b w:val="0"/>
                <w:bCs w:val="0"/>
              </w:rPr>
              <w:t>Email:</w:t>
            </w:r>
            <w:r w:rsidRPr="005839AA">
              <w:t xml:space="preserve"> </w:t>
            </w:r>
            <w:hyperlink r:id="rId59">
              <w:r w:rsidRPr="005839AA">
                <w:rPr>
                  <w:rStyle w:val="Hyperlink"/>
                  <w:b w:val="0"/>
                  <w:bCs w:val="0"/>
                </w:rPr>
                <w:t>surgical.unit@cghs.com.au</w:t>
              </w:r>
            </w:hyperlink>
            <w:r w:rsidRPr="005839AA">
              <w:rPr>
                <w:b w:val="0"/>
                <w:bCs w:val="0"/>
              </w:rPr>
              <w:t xml:space="preserve"> </w:t>
            </w:r>
          </w:p>
          <w:p w14:paraId="022EE527" w14:textId="09C501F8" w:rsidR="00166471" w:rsidRPr="005839AA" w:rsidRDefault="00166471" w:rsidP="00166471">
            <w:pPr>
              <w:pStyle w:val="Tabletext"/>
              <w:spacing w:after="80"/>
              <w:rPr>
                <w:b w:val="0"/>
                <w:bCs w:val="0"/>
                <w:highlight w:val="yellow"/>
              </w:rPr>
            </w:pPr>
            <w:r w:rsidRPr="005839AA">
              <w:rPr>
                <w:b w:val="0"/>
                <w:bCs w:val="0"/>
              </w:rPr>
              <w:t>8.30am-5pm; 7 days per week</w:t>
            </w:r>
          </w:p>
        </w:tc>
        <w:tc>
          <w:tcPr>
            <w:tcW w:w="2520" w:type="dxa"/>
            <w:shd w:val="clear" w:color="auto" w:fill="auto"/>
          </w:tcPr>
          <w:p w14:paraId="22837440" w14:textId="48954A2D" w:rsidR="00166471" w:rsidRPr="00B9382C" w:rsidRDefault="003E71CA" w:rsidP="00D33B1B">
            <w:pPr>
              <w:pStyle w:val="Tabletext"/>
              <w:spacing w:after="80"/>
              <w:jc w:val="center"/>
              <w:cnfStyle w:val="000000100000" w:firstRow="0" w:lastRow="0" w:firstColumn="0" w:lastColumn="0" w:oddVBand="0" w:evenVBand="0" w:oddHBand="1" w:evenHBand="0" w:firstRowFirstColumn="0" w:firstRowLastColumn="0" w:lastRowFirstColumn="0" w:lastRowLastColumn="0"/>
            </w:pPr>
            <w:r>
              <w:t>Y</w:t>
            </w:r>
          </w:p>
        </w:tc>
        <w:tc>
          <w:tcPr>
            <w:tcW w:w="2740" w:type="dxa"/>
            <w:shd w:val="clear" w:color="auto" w:fill="auto"/>
          </w:tcPr>
          <w:p w14:paraId="56EF414B" w14:textId="32F44FFD" w:rsidR="00166471" w:rsidRPr="00B9382C" w:rsidRDefault="00166471" w:rsidP="00D33B1B">
            <w:pPr>
              <w:pStyle w:val="Tabletext"/>
              <w:spacing w:after="80"/>
              <w:jc w:val="center"/>
              <w:cnfStyle w:val="000000100000" w:firstRow="0" w:lastRow="0" w:firstColumn="0" w:lastColumn="0" w:oddVBand="0" w:evenVBand="0" w:oddHBand="1" w:evenHBand="0" w:firstRowFirstColumn="0" w:firstRowLastColumn="0" w:lastRowFirstColumn="0" w:lastRowLastColumn="0"/>
            </w:pPr>
          </w:p>
        </w:tc>
      </w:tr>
      <w:tr w:rsidR="00563F37" w:rsidRPr="00B9382C" w14:paraId="36715C78" w14:textId="71587E0C" w:rsidTr="688D467F">
        <w:trPr>
          <w:trHeight w:val="783"/>
        </w:trPr>
        <w:tc>
          <w:tcPr>
            <w:cnfStyle w:val="001000000000" w:firstRow="0" w:lastRow="0" w:firstColumn="1" w:lastColumn="0" w:oddVBand="0" w:evenVBand="0" w:oddHBand="0" w:evenHBand="0" w:firstRowFirstColumn="0" w:firstRowLastColumn="0" w:lastRowFirstColumn="0" w:lastRowLastColumn="0"/>
            <w:tcW w:w="5160" w:type="dxa"/>
            <w:shd w:val="clear" w:color="auto" w:fill="auto"/>
          </w:tcPr>
          <w:p w14:paraId="021CC9ED" w14:textId="1781EDC3" w:rsidR="00166471" w:rsidRPr="00B9382C" w:rsidRDefault="4E1F10C9" w:rsidP="00166471">
            <w:pPr>
              <w:pStyle w:val="Tabletext"/>
              <w:spacing w:after="80"/>
            </w:pPr>
            <w:r>
              <w:t xml:space="preserve">Bairnsdale Regional Health Service </w:t>
            </w:r>
          </w:p>
          <w:p w14:paraId="257B2FD6" w14:textId="6E8B0AB5" w:rsidR="00166471" w:rsidRPr="005839AA" w:rsidRDefault="00166471" w:rsidP="00166471">
            <w:pPr>
              <w:pStyle w:val="Tabletext"/>
              <w:spacing w:after="80"/>
              <w:rPr>
                <w:b w:val="0"/>
                <w:bCs w:val="0"/>
              </w:rPr>
            </w:pPr>
            <w:r w:rsidRPr="005839AA">
              <w:rPr>
                <w:b w:val="0"/>
                <w:bCs w:val="0"/>
              </w:rPr>
              <w:t>Phone: 0439 803 198</w:t>
            </w:r>
            <w:r w:rsidR="6458EB17" w:rsidRPr="005839AA">
              <w:rPr>
                <w:b w:val="0"/>
                <w:bCs w:val="0"/>
              </w:rPr>
              <w:t xml:space="preserve"> </w:t>
            </w:r>
            <w:r w:rsidR="4609C141" w:rsidRPr="005839AA">
              <w:rPr>
                <w:b w:val="0"/>
                <w:bCs w:val="0"/>
              </w:rPr>
              <w:t xml:space="preserve">/ </w:t>
            </w:r>
            <w:r w:rsidR="6458EB17" w:rsidRPr="005839AA">
              <w:rPr>
                <w:b w:val="0"/>
                <w:bCs w:val="0"/>
              </w:rPr>
              <w:t>5150 3285</w:t>
            </w:r>
            <w:r w:rsidR="683A4665" w:rsidRPr="005839AA">
              <w:rPr>
                <w:b w:val="0"/>
                <w:bCs w:val="0"/>
              </w:rPr>
              <w:t xml:space="preserve"> </w:t>
            </w:r>
          </w:p>
          <w:p w14:paraId="7EA150FB" w14:textId="29D5E145" w:rsidR="00166471" w:rsidRPr="005839AA" w:rsidRDefault="00166471" w:rsidP="00166471">
            <w:pPr>
              <w:pStyle w:val="Tabletext"/>
              <w:spacing w:after="80"/>
            </w:pPr>
            <w:r w:rsidRPr="005839AA">
              <w:rPr>
                <w:b w:val="0"/>
                <w:bCs w:val="0"/>
              </w:rPr>
              <w:t xml:space="preserve">Email: </w:t>
            </w:r>
            <w:hyperlink r:id="rId60">
              <w:r w:rsidRPr="005839AA">
                <w:rPr>
                  <w:rStyle w:val="Hyperlink"/>
                  <w:b w:val="0"/>
                  <w:bCs w:val="0"/>
                </w:rPr>
                <w:t>covid.home@brhs.com.au</w:t>
              </w:r>
            </w:hyperlink>
            <w:r w:rsidRPr="005839AA">
              <w:rPr>
                <w:b w:val="0"/>
                <w:bCs w:val="0"/>
              </w:rPr>
              <w:t xml:space="preserve"> </w:t>
            </w:r>
          </w:p>
          <w:p w14:paraId="2FD26B76" w14:textId="65E93BFE" w:rsidR="00166471" w:rsidRPr="005839AA" w:rsidRDefault="00166471" w:rsidP="00166471">
            <w:pPr>
              <w:pStyle w:val="Tabletext"/>
              <w:spacing w:after="80"/>
              <w:rPr>
                <w:b w:val="0"/>
                <w:bCs w:val="0"/>
                <w:highlight w:val="yellow"/>
              </w:rPr>
            </w:pPr>
            <w:r w:rsidRPr="005839AA">
              <w:rPr>
                <w:b w:val="0"/>
                <w:bCs w:val="0"/>
              </w:rPr>
              <w:t>8.30am-</w:t>
            </w:r>
            <w:r w:rsidR="59FBB0E3" w:rsidRPr="005839AA">
              <w:rPr>
                <w:b w:val="0"/>
                <w:bCs w:val="0"/>
              </w:rPr>
              <w:t>4</w:t>
            </w:r>
            <w:r w:rsidR="4E1F10C9" w:rsidRPr="005839AA">
              <w:rPr>
                <w:b w:val="0"/>
                <w:bCs w:val="0"/>
              </w:rPr>
              <w:t>pm</w:t>
            </w:r>
            <w:r w:rsidRPr="005839AA">
              <w:rPr>
                <w:b w:val="0"/>
                <w:bCs w:val="0"/>
              </w:rPr>
              <w:t>; 7 days per week</w:t>
            </w:r>
          </w:p>
        </w:tc>
        <w:tc>
          <w:tcPr>
            <w:tcW w:w="2520" w:type="dxa"/>
            <w:shd w:val="clear" w:color="auto" w:fill="auto"/>
          </w:tcPr>
          <w:p w14:paraId="77BB00AD" w14:textId="224B801C" w:rsidR="00166471" w:rsidRPr="00B9382C" w:rsidRDefault="003E71CA" w:rsidP="00D33B1B">
            <w:pPr>
              <w:pStyle w:val="Tabletext"/>
              <w:spacing w:after="80"/>
              <w:jc w:val="center"/>
              <w:cnfStyle w:val="000000000000" w:firstRow="0" w:lastRow="0" w:firstColumn="0" w:lastColumn="0" w:oddVBand="0" w:evenVBand="0" w:oddHBand="0" w:evenHBand="0" w:firstRowFirstColumn="0" w:firstRowLastColumn="0" w:lastRowFirstColumn="0" w:lastRowLastColumn="0"/>
            </w:pPr>
            <w:r>
              <w:t>Y</w:t>
            </w:r>
          </w:p>
        </w:tc>
        <w:tc>
          <w:tcPr>
            <w:tcW w:w="2740" w:type="dxa"/>
            <w:shd w:val="clear" w:color="auto" w:fill="auto"/>
          </w:tcPr>
          <w:p w14:paraId="6AE8744A" w14:textId="2BECA10B" w:rsidR="00166471" w:rsidRPr="00B9382C" w:rsidRDefault="6E1EDD55" w:rsidP="00D33B1B">
            <w:pPr>
              <w:pStyle w:val="Tabletext"/>
              <w:spacing w:after="80"/>
              <w:jc w:val="center"/>
              <w:cnfStyle w:val="000000000000" w:firstRow="0" w:lastRow="0" w:firstColumn="0" w:lastColumn="0" w:oddVBand="0" w:evenVBand="0" w:oddHBand="0" w:evenHBand="0" w:firstRowFirstColumn="0" w:firstRowLastColumn="0" w:lastRowFirstColumn="0" w:lastRowLastColumn="0"/>
            </w:pPr>
            <w:r>
              <w:t>Y</w:t>
            </w:r>
          </w:p>
        </w:tc>
      </w:tr>
      <w:tr w:rsidR="001D6B3A" w:rsidRPr="00B9382C" w14:paraId="1A2055E0" w14:textId="119D98B8" w:rsidTr="688D467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160" w:type="dxa"/>
            <w:shd w:val="clear" w:color="auto" w:fill="002060"/>
          </w:tcPr>
          <w:p w14:paraId="64833F4D" w14:textId="1C51B6CE" w:rsidR="001D6B3A" w:rsidRPr="00B9382C" w:rsidRDefault="001D6B3A" w:rsidP="001D6B3A">
            <w:pPr>
              <w:pStyle w:val="Tabletext"/>
              <w:spacing w:after="80"/>
            </w:pPr>
            <w:r w:rsidRPr="00B9382C">
              <w:t>Loddon Mallee</w:t>
            </w:r>
          </w:p>
        </w:tc>
        <w:tc>
          <w:tcPr>
            <w:tcW w:w="2520" w:type="dxa"/>
            <w:shd w:val="clear" w:color="auto" w:fill="002060"/>
          </w:tcPr>
          <w:p w14:paraId="21D684A2" w14:textId="46A8AA18" w:rsidR="001D6B3A" w:rsidRPr="00B9382C" w:rsidRDefault="001D6B3A" w:rsidP="001D6B3A">
            <w:pPr>
              <w:pStyle w:val="Tabletext"/>
              <w:spacing w:after="80"/>
              <w:jc w:val="center"/>
              <w:cnfStyle w:val="000000100000" w:firstRow="0" w:lastRow="0" w:firstColumn="0" w:lastColumn="0" w:oddVBand="0" w:evenVBand="0" w:oddHBand="1" w:evenHBand="0" w:firstRowFirstColumn="0" w:firstRowLastColumn="0" w:lastRowFirstColumn="0" w:lastRowLastColumn="0"/>
            </w:pPr>
            <w:r w:rsidRPr="001D6B3A">
              <w:rPr>
                <w:rFonts w:eastAsia="Times"/>
                <w:b/>
                <w:bCs/>
                <w:sz w:val="18"/>
                <w:szCs w:val="16"/>
              </w:rPr>
              <w:t>Remdesivir available for community patients</w:t>
            </w:r>
          </w:p>
        </w:tc>
        <w:tc>
          <w:tcPr>
            <w:tcW w:w="2740" w:type="dxa"/>
            <w:shd w:val="clear" w:color="auto" w:fill="002060"/>
          </w:tcPr>
          <w:p w14:paraId="65F87AA5" w14:textId="3F42731D" w:rsidR="001D6B3A" w:rsidRPr="001D6B3A" w:rsidRDefault="001D6B3A" w:rsidP="001D6B3A">
            <w:pPr>
              <w:pStyle w:val="Tabletext"/>
              <w:spacing w:after="80"/>
              <w:jc w:val="center"/>
              <w:cnfStyle w:val="000000100000" w:firstRow="0" w:lastRow="0" w:firstColumn="0" w:lastColumn="0" w:oddVBand="0" w:evenVBand="0" w:oddHBand="1" w:evenHBand="0" w:firstRowFirstColumn="0" w:firstRowLastColumn="0" w:lastRowFirstColumn="0" w:lastRowLastColumn="0"/>
              <w:rPr>
                <w:b/>
                <w:bCs/>
              </w:rPr>
            </w:pPr>
            <w:r w:rsidRPr="001D6B3A">
              <w:rPr>
                <w:rFonts w:eastAsia="Times"/>
                <w:b/>
                <w:bCs/>
                <w:sz w:val="18"/>
                <w:szCs w:val="16"/>
              </w:rPr>
              <w:t>NMS oral antivirals for non-Medicare card holders</w:t>
            </w:r>
          </w:p>
        </w:tc>
      </w:tr>
      <w:tr w:rsidR="688D467F" w14:paraId="5BE435D2" w14:textId="77777777" w:rsidTr="688D467F">
        <w:trPr>
          <w:trHeight w:val="783"/>
        </w:trPr>
        <w:tc>
          <w:tcPr>
            <w:cnfStyle w:val="001000000000" w:firstRow="0" w:lastRow="0" w:firstColumn="1" w:lastColumn="0" w:oddVBand="0" w:evenVBand="0" w:oddHBand="0" w:evenHBand="0" w:firstRowFirstColumn="0" w:firstRowLastColumn="0" w:lastRowFirstColumn="0" w:lastRowLastColumn="0"/>
            <w:tcW w:w="5160" w:type="dxa"/>
            <w:shd w:val="clear" w:color="auto" w:fill="auto"/>
          </w:tcPr>
          <w:p w14:paraId="61607687" w14:textId="4EE14CB4" w:rsidR="77C2C422" w:rsidRDefault="77C2C422" w:rsidP="688D467F">
            <w:pPr>
              <w:pStyle w:val="Tabletext"/>
            </w:pPr>
            <w:r>
              <w:t>Bendigo Health</w:t>
            </w:r>
          </w:p>
          <w:p w14:paraId="5C56CD15" w14:textId="4A8174DF" w:rsidR="77C2C422" w:rsidRDefault="00090A7D" w:rsidP="688D467F">
            <w:pPr>
              <w:pStyle w:val="Tabletext"/>
            </w:pPr>
            <w:r>
              <w:rPr>
                <w:b w:val="0"/>
                <w:bCs w:val="0"/>
              </w:rPr>
              <w:t>Phone</w:t>
            </w:r>
            <w:r w:rsidR="77C2C422">
              <w:rPr>
                <w:b w:val="0"/>
                <w:bCs w:val="0"/>
              </w:rPr>
              <w:t xml:space="preserve">: </w:t>
            </w:r>
            <w:r w:rsidR="008121AF">
              <w:rPr>
                <w:b w:val="0"/>
                <w:bCs w:val="0"/>
              </w:rPr>
              <w:t xml:space="preserve">(03) </w:t>
            </w:r>
            <w:r w:rsidR="77C2C422">
              <w:rPr>
                <w:b w:val="0"/>
                <w:bCs w:val="0"/>
              </w:rPr>
              <w:t>5454 7270</w:t>
            </w:r>
          </w:p>
          <w:p w14:paraId="2C520666" w14:textId="7D7BCECE" w:rsidR="77C2C422" w:rsidRDefault="77C2C422" w:rsidP="688D467F">
            <w:pPr>
              <w:pStyle w:val="Tabletext"/>
              <w:rPr>
                <w:b w:val="0"/>
                <w:bCs w:val="0"/>
              </w:rPr>
            </w:pPr>
            <w:r>
              <w:rPr>
                <w:b w:val="0"/>
                <w:bCs w:val="0"/>
              </w:rPr>
              <w:t>Email:</w:t>
            </w:r>
            <w:r w:rsidR="00EB5FBA">
              <w:rPr>
                <w:b w:val="0"/>
                <w:bCs w:val="0"/>
              </w:rPr>
              <w:t xml:space="preserve"> </w:t>
            </w:r>
            <w:hyperlink r:id="rId61" w:history="1">
              <w:r w:rsidR="00EB5FBA" w:rsidRPr="00EB5FBA">
                <w:rPr>
                  <w:rStyle w:val="Hyperlink"/>
                  <w:b w:val="0"/>
                  <w:bCs w:val="0"/>
                </w:rPr>
                <w:t>covidpositivepathway@bendigohealth.org.au</w:t>
              </w:r>
            </w:hyperlink>
          </w:p>
          <w:p w14:paraId="123CC25C" w14:textId="636D652D" w:rsidR="77C2C422" w:rsidRDefault="77C2C422" w:rsidP="688D467F">
            <w:pPr>
              <w:pStyle w:val="Tabletext"/>
              <w:rPr>
                <w:b w:val="0"/>
                <w:bCs w:val="0"/>
              </w:rPr>
            </w:pPr>
            <w:r>
              <w:rPr>
                <w:b w:val="0"/>
                <w:bCs w:val="0"/>
              </w:rPr>
              <w:t>8am-5pm, 7 days per week</w:t>
            </w:r>
          </w:p>
        </w:tc>
        <w:tc>
          <w:tcPr>
            <w:tcW w:w="2520" w:type="dxa"/>
            <w:shd w:val="clear" w:color="auto" w:fill="auto"/>
          </w:tcPr>
          <w:p w14:paraId="6603A4C5" w14:textId="1A4B661E" w:rsidR="77C2C422" w:rsidRDefault="77C2C422" w:rsidP="688D467F">
            <w:pPr>
              <w:pStyle w:val="Tabletext"/>
              <w:jc w:val="center"/>
              <w:cnfStyle w:val="000000000000" w:firstRow="0" w:lastRow="0" w:firstColumn="0" w:lastColumn="0" w:oddVBand="0" w:evenVBand="0" w:oddHBand="0" w:evenHBand="0" w:firstRowFirstColumn="0" w:firstRowLastColumn="0" w:lastRowFirstColumn="0" w:lastRowLastColumn="0"/>
            </w:pPr>
            <w:r>
              <w:t>Y</w:t>
            </w:r>
          </w:p>
        </w:tc>
        <w:tc>
          <w:tcPr>
            <w:tcW w:w="2740" w:type="dxa"/>
            <w:shd w:val="clear" w:color="auto" w:fill="auto"/>
          </w:tcPr>
          <w:p w14:paraId="0ABAA7E2" w14:textId="32D2E704" w:rsidR="77C2C422" w:rsidRDefault="77C2C422" w:rsidP="688D467F">
            <w:pPr>
              <w:pStyle w:val="Tabletext"/>
              <w:jc w:val="center"/>
              <w:cnfStyle w:val="000000000000" w:firstRow="0" w:lastRow="0" w:firstColumn="0" w:lastColumn="0" w:oddVBand="0" w:evenVBand="0" w:oddHBand="0" w:evenHBand="0" w:firstRowFirstColumn="0" w:firstRowLastColumn="0" w:lastRowFirstColumn="0" w:lastRowLastColumn="0"/>
            </w:pPr>
            <w:r>
              <w:t>Y</w:t>
            </w:r>
          </w:p>
        </w:tc>
      </w:tr>
      <w:tr w:rsidR="001D6B3A" w:rsidRPr="00B9382C" w14:paraId="1BBEF204" w14:textId="534DBEE6" w:rsidTr="688D467F">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160" w:type="dxa"/>
            <w:shd w:val="clear" w:color="auto" w:fill="002060"/>
          </w:tcPr>
          <w:p w14:paraId="1FDDD19B" w14:textId="5E808651" w:rsidR="001D6B3A" w:rsidRPr="00B9382C" w:rsidRDefault="001D6B3A" w:rsidP="001D6B3A">
            <w:pPr>
              <w:pStyle w:val="Tabletext"/>
              <w:spacing w:after="80"/>
            </w:pPr>
            <w:r w:rsidRPr="00B9382C">
              <w:t>Barwon South West</w:t>
            </w:r>
          </w:p>
        </w:tc>
        <w:tc>
          <w:tcPr>
            <w:tcW w:w="2520" w:type="dxa"/>
            <w:shd w:val="clear" w:color="auto" w:fill="002060"/>
          </w:tcPr>
          <w:p w14:paraId="391CBC0B" w14:textId="510E4F45" w:rsidR="001D6B3A" w:rsidRPr="001D6B3A" w:rsidRDefault="001D6B3A" w:rsidP="001D6B3A">
            <w:pPr>
              <w:pStyle w:val="Tabletext"/>
              <w:spacing w:after="80"/>
              <w:jc w:val="center"/>
              <w:cnfStyle w:val="000000100000" w:firstRow="0" w:lastRow="0" w:firstColumn="0" w:lastColumn="0" w:oddVBand="0" w:evenVBand="0" w:oddHBand="1" w:evenHBand="0" w:firstRowFirstColumn="0" w:firstRowLastColumn="0" w:lastRowFirstColumn="0" w:lastRowLastColumn="0"/>
            </w:pPr>
            <w:r w:rsidRPr="001D6B3A">
              <w:rPr>
                <w:rFonts w:eastAsia="Times"/>
                <w:b/>
                <w:bCs/>
                <w:sz w:val="18"/>
                <w:szCs w:val="16"/>
              </w:rPr>
              <w:t>Remdesivir available for community patients</w:t>
            </w:r>
          </w:p>
        </w:tc>
        <w:tc>
          <w:tcPr>
            <w:tcW w:w="2740" w:type="dxa"/>
            <w:shd w:val="clear" w:color="auto" w:fill="002060"/>
          </w:tcPr>
          <w:p w14:paraId="68A169F9" w14:textId="4F0D82A8" w:rsidR="001D6B3A" w:rsidRPr="001D6B3A" w:rsidRDefault="001D6B3A" w:rsidP="001D6B3A">
            <w:pPr>
              <w:pStyle w:val="Tabletext"/>
              <w:spacing w:after="80"/>
              <w:jc w:val="center"/>
              <w:cnfStyle w:val="000000100000" w:firstRow="0" w:lastRow="0" w:firstColumn="0" w:lastColumn="0" w:oddVBand="0" w:evenVBand="0" w:oddHBand="1" w:evenHBand="0" w:firstRowFirstColumn="0" w:firstRowLastColumn="0" w:lastRowFirstColumn="0" w:lastRowLastColumn="0"/>
              <w:rPr>
                <w:b/>
                <w:bCs/>
              </w:rPr>
            </w:pPr>
            <w:r w:rsidRPr="001D6B3A">
              <w:rPr>
                <w:rFonts w:eastAsia="Times"/>
                <w:b/>
                <w:bCs/>
                <w:sz w:val="18"/>
                <w:szCs w:val="16"/>
              </w:rPr>
              <w:t>NMS oral antivirals for non-Medicare card holders</w:t>
            </w:r>
          </w:p>
        </w:tc>
      </w:tr>
      <w:tr w:rsidR="00563F37" w:rsidRPr="00B9382C" w14:paraId="1F2B2216" w14:textId="63C78ADB" w:rsidTr="688D467F">
        <w:trPr>
          <w:trHeight w:val="783"/>
        </w:trPr>
        <w:tc>
          <w:tcPr>
            <w:cnfStyle w:val="001000000000" w:firstRow="0" w:lastRow="0" w:firstColumn="1" w:lastColumn="0" w:oddVBand="0" w:evenVBand="0" w:oddHBand="0" w:evenHBand="0" w:firstRowFirstColumn="0" w:firstRowLastColumn="0" w:lastRowFirstColumn="0" w:lastRowLastColumn="0"/>
            <w:tcW w:w="5160" w:type="dxa"/>
            <w:shd w:val="clear" w:color="auto" w:fill="auto"/>
          </w:tcPr>
          <w:p w14:paraId="07573A9B" w14:textId="0E33116F" w:rsidR="00166471" w:rsidRPr="00E511F8" w:rsidRDefault="00166471" w:rsidP="00EB5FBA">
            <w:pPr>
              <w:pStyle w:val="Tabletext"/>
              <w:spacing w:after="80"/>
            </w:pPr>
            <w:r>
              <w:t>Barwon Health </w:t>
            </w:r>
          </w:p>
          <w:p w14:paraId="386FF3CC" w14:textId="3F18D6CE" w:rsidR="00166471" w:rsidRPr="00E511F8" w:rsidRDefault="00090A7D" w:rsidP="00EB5FBA">
            <w:pPr>
              <w:pStyle w:val="Tabletext"/>
              <w:spacing w:before="0" w:after="80"/>
              <w:rPr>
                <w:b w:val="0"/>
              </w:rPr>
            </w:pPr>
            <w:r>
              <w:rPr>
                <w:b w:val="0"/>
              </w:rPr>
              <w:t>Phone</w:t>
            </w:r>
            <w:r w:rsidR="00166471">
              <w:rPr>
                <w:b w:val="0"/>
              </w:rPr>
              <w:t>: 0481 456 965</w:t>
            </w:r>
          </w:p>
          <w:p w14:paraId="39E8A862" w14:textId="2C09FABE" w:rsidR="00166471" w:rsidRPr="00E511F8" w:rsidRDefault="00166471" w:rsidP="00EB5FBA">
            <w:pPr>
              <w:pStyle w:val="Tabletext"/>
              <w:spacing w:before="0" w:after="80"/>
              <w:rPr>
                <w:b w:val="0"/>
              </w:rPr>
            </w:pPr>
            <w:r>
              <w:rPr>
                <w:b w:val="0"/>
                <w:bCs w:val="0"/>
              </w:rPr>
              <w:t xml:space="preserve">Email: </w:t>
            </w:r>
            <w:hyperlink r:id="rId62">
              <w:r w:rsidRPr="2EC607E0">
                <w:rPr>
                  <w:rStyle w:val="Hyperlink"/>
                  <w:b w:val="0"/>
                  <w:bCs w:val="0"/>
                </w:rPr>
                <w:t>covid.daystay@barwonhealth.org.au</w:t>
              </w:r>
            </w:hyperlink>
            <w:r w:rsidRPr="2EC607E0">
              <w:rPr>
                <w:rStyle w:val="Hyperlink"/>
                <w:b w:val="0"/>
                <w:bCs w:val="0"/>
              </w:rPr>
              <w:t xml:space="preserve"> </w:t>
            </w:r>
            <w:r>
              <w:rPr>
                <w:b w:val="0"/>
                <w:bCs w:val="0"/>
              </w:rPr>
              <w:t xml:space="preserve"> </w:t>
            </w:r>
          </w:p>
          <w:p w14:paraId="2D909830" w14:textId="40554344" w:rsidR="00166471" w:rsidRPr="00B9382C" w:rsidRDefault="00166471" w:rsidP="00EB5FBA">
            <w:pPr>
              <w:pStyle w:val="Tabletext"/>
              <w:spacing w:before="0" w:after="80"/>
              <w:rPr>
                <w:b w:val="0"/>
                <w:bCs w:val="0"/>
              </w:rPr>
            </w:pPr>
            <w:r>
              <w:rPr>
                <w:b w:val="0"/>
              </w:rPr>
              <w:t>8am–4.30pm</w:t>
            </w:r>
            <w:r>
              <w:t>,</w:t>
            </w:r>
            <w:r>
              <w:rPr>
                <w:b w:val="0"/>
              </w:rPr>
              <w:t xml:space="preserve"> 7 days per week</w:t>
            </w:r>
            <w:r w:rsidRPr="00B9382C">
              <w:rPr>
                <w:b w:val="0"/>
                <w:bCs w:val="0"/>
              </w:rPr>
              <w:t> </w:t>
            </w:r>
          </w:p>
        </w:tc>
        <w:tc>
          <w:tcPr>
            <w:tcW w:w="2520" w:type="dxa"/>
            <w:shd w:val="clear" w:color="auto" w:fill="auto"/>
          </w:tcPr>
          <w:p w14:paraId="4D69072F" w14:textId="617C0765" w:rsidR="00166471" w:rsidRPr="00B9382C" w:rsidRDefault="00384218" w:rsidP="00D33B1B">
            <w:pPr>
              <w:pStyle w:val="Tabletext"/>
              <w:spacing w:after="80"/>
              <w:jc w:val="center"/>
              <w:cnfStyle w:val="000000000000" w:firstRow="0" w:lastRow="0" w:firstColumn="0" w:lastColumn="0" w:oddVBand="0" w:evenVBand="0" w:oddHBand="0" w:evenHBand="0" w:firstRowFirstColumn="0" w:firstRowLastColumn="0" w:lastRowFirstColumn="0" w:lastRowLastColumn="0"/>
            </w:pPr>
            <w:r>
              <w:t>Y</w:t>
            </w:r>
          </w:p>
        </w:tc>
        <w:tc>
          <w:tcPr>
            <w:tcW w:w="2740" w:type="dxa"/>
            <w:shd w:val="clear" w:color="auto" w:fill="auto"/>
          </w:tcPr>
          <w:p w14:paraId="7926EEAA" w14:textId="6E349C6F" w:rsidR="00166471" w:rsidRPr="00B9382C" w:rsidRDefault="00384218" w:rsidP="00D33B1B">
            <w:pPr>
              <w:pStyle w:val="Tabletext"/>
              <w:spacing w:after="80"/>
              <w:jc w:val="center"/>
              <w:cnfStyle w:val="000000000000" w:firstRow="0" w:lastRow="0" w:firstColumn="0" w:lastColumn="0" w:oddVBand="0" w:evenVBand="0" w:oddHBand="0" w:evenHBand="0" w:firstRowFirstColumn="0" w:firstRowLastColumn="0" w:lastRowFirstColumn="0" w:lastRowLastColumn="0"/>
            </w:pPr>
            <w:r>
              <w:t>Y</w:t>
            </w:r>
          </w:p>
        </w:tc>
      </w:tr>
      <w:tr w:rsidR="001D6B3A" w:rsidRPr="00B9382C" w14:paraId="00978D0F" w14:textId="4FD9C85C" w:rsidTr="688D467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60" w:type="dxa"/>
            <w:shd w:val="clear" w:color="auto" w:fill="002060"/>
          </w:tcPr>
          <w:p w14:paraId="54C765C1" w14:textId="77777777" w:rsidR="001D6B3A" w:rsidRPr="00B9382C" w:rsidRDefault="001D6B3A" w:rsidP="001D6B3A">
            <w:pPr>
              <w:pStyle w:val="Tabletext"/>
              <w:spacing w:after="80"/>
            </w:pPr>
            <w:r w:rsidRPr="00B9382C">
              <w:t>Hume</w:t>
            </w:r>
          </w:p>
        </w:tc>
        <w:tc>
          <w:tcPr>
            <w:tcW w:w="2520" w:type="dxa"/>
            <w:shd w:val="clear" w:color="auto" w:fill="002060"/>
          </w:tcPr>
          <w:p w14:paraId="586549E1" w14:textId="0B7E739C" w:rsidR="001D6B3A" w:rsidRPr="00B9382C" w:rsidRDefault="001D6B3A" w:rsidP="001D6B3A">
            <w:pPr>
              <w:pStyle w:val="Tabletext"/>
              <w:spacing w:after="80"/>
              <w:jc w:val="center"/>
              <w:cnfStyle w:val="000000100000" w:firstRow="0" w:lastRow="0" w:firstColumn="0" w:lastColumn="0" w:oddVBand="0" w:evenVBand="0" w:oddHBand="1" w:evenHBand="0" w:firstRowFirstColumn="0" w:firstRowLastColumn="0" w:lastRowFirstColumn="0" w:lastRowLastColumn="0"/>
            </w:pPr>
            <w:r w:rsidRPr="001D6B3A">
              <w:rPr>
                <w:rFonts w:eastAsia="Times"/>
                <w:b/>
                <w:bCs/>
                <w:sz w:val="18"/>
                <w:szCs w:val="16"/>
              </w:rPr>
              <w:t>Remdesivir available for community patients</w:t>
            </w:r>
          </w:p>
        </w:tc>
        <w:tc>
          <w:tcPr>
            <w:tcW w:w="2740" w:type="dxa"/>
            <w:shd w:val="clear" w:color="auto" w:fill="002060"/>
          </w:tcPr>
          <w:p w14:paraId="70E86496" w14:textId="3F8F760C" w:rsidR="001D6B3A" w:rsidRPr="001D6B3A" w:rsidRDefault="001D6B3A" w:rsidP="001D6B3A">
            <w:pPr>
              <w:pStyle w:val="Tabletext"/>
              <w:spacing w:after="80"/>
              <w:jc w:val="center"/>
              <w:cnfStyle w:val="000000100000" w:firstRow="0" w:lastRow="0" w:firstColumn="0" w:lastColumn="0" w:oddVBand="0" w:evenVBand="0" w:oddHBand="1" w:evenHBand="0" w:firstRowFirstColumn="0" w:firstRowLastColumn="0" w:lastRowFirstColumn="0" w:lastRowLastColumn="0"/>
              <w:rPr>
                <w:b/>
                <w:bCs/>
              </w:rPr>
            </w:pPr>
            <w:r w:rsidRPr="001D6B3A">
              <w:rPr>
                <w:rFonts w:eastAsia="Times"/>
                <w:b/>
                <w:bCs/>
                <w:sz w:val="18"/>
                <w:szCs w:val="16"/>
              </w:rPr>
              <w:t>NMS oral antivirals for non-Medicare card holders</w:t>
            </w:r>
          </w:p>
        </w:tc>
      </w:tr>
      <w:tr w:rsidR="00563F37" w:rsidRPr="00B9382C" w14:paraId="48B4A7A4" w14:textId="0C7DF072" w:rsidTr="688D467F">
        <w:trPr>
          <w:trHeight w:val="558"/>
        </w:trPr>
        <w:tc>
          <w:tcPr>
            <w:cnfStyle w:val="001000000000" w:firstRow="0" w:lastRow="0" w:firstColumn="1" w:lastColumn="0" w:oddVBand="0" w:evenVBand="0" w:oddHBand="0" w:evenHBand="0" w:firstRowFirstColumn="0" w:firstRowLastColumn="0" w:lastRowFirstColumn="0" w:lastRowLastColumn="0"/>
            <w:tcW w:w="5160" w:type="dxa"/>
            <w:shd w:val="clear" w:color="auto" w:fill="auto"/>
            <w:hideMark/>
          </w:tcPr>
          <w:p w14:paraId="510B3A29" w14:textId="0E33116F" w:rsidR="00166471" w:rsidRPr="00B9382C" w:rsidRDefault="00166471" w:rsidP="00166471">
            <w:pPr>
              <w:pStyle w:val="Tabletext"/>
              <w:spacing w:after="80"/>
            </w:pPr>
            <w:r w:rsidRPr="00B9382C">
              <w:t>Goulburn Valley Health </w:t>
            </w:r>
          </w:p>
          <w:p w14:paraId="36C31C33" w14:textId="544CBB88" w:rsidR="00166471" w:rsidRPr="00B9382C" w:rsidRDefault="00090A7D" w:rsidP="00EB5FBA">
            <w:pPr>
              <w:pStyle w:val="Tabletext"/>
              <w:spacing w:after="0"/>
              <w:rPr>
                <w:b w:val="0"/>
                <w:bCs w:val="0"/>
              </w:rPr>
            </w:pPr>
            <w:r>
              <w:rPr>
                <w:b w:val="0"/>
                <w:bCs w:val="0"/>
              </w:rPr>
              <w:t>Phone</w:t>
            </w:r>
            <w:r w:rsidR="00166471" w:rsidRPr="00B9382C">
              <w:rPr>
                <w:b w:val="0"/>
                <w:bCs w:val="0"/>
              </w:rPr>
              <w:t xml:space="preserve">: 1800 490 590 </w:t>
            </w:r>
          </w:p>
          <w:p w14:paraId="761DA5A5" w14:textId="15E51A00" w:rsidR="00166471" w:rsidRPr="00B9382C" w:rsidRDefault="00166471" w:rsidP="00EB5FBA">
            <w:pPr>
              <w:spacing w:after="0"/>
              <w:rPr>
                <w:rFonts w:ascii="Calibri" w:hAnsi="Calibri"/>
                <w:b w:val="0"/>
                <w:color w:val="1F497D"/>
                <w:sz w:val="22"/>
              </w:rPr>
            </w:pPr>
            <w:r w:rsidRPr="00B9382C">
              <w:rPr>
                <w:b w:val="0"/>
                <w:bCs w:val="0"/>
              </w:rPr>
              <w:t xml:space="preserve">Email: </w:t>
            </w:r>
            <w:hyperlink r:id="rId63" w:history="1">
              <w:r w:rsidRPr="00B9382C">
                <w:rPr>
                  <w:rStyle w:val="Hyperlink"/>
                  <w:b w:val="0"/>
                  <w:bCs w:val="0"/>
                </w:rPr>
                <w:t>COVIDMonitoring@gvhealth.org.au</w:t>
              </w:r>
            </w:hyperlink>
          </w:p>
          <w:p w14:paraId="6A6891F7" w14:textId="1EC32AFF" w:rsidR="00166471" w:rsidRPr="00B9382C" w:rsidRDefault="00166471" w:rsidP="00EB5FBA">
            <w:pPr>
              <w:pStyle w:val="Tabletext"/>
              <w:spacing w:after="0"/>
              <w:rPr>
                <w:b w:val="0"/>
                <w:bCs w:val="0"/>
              </w:rPr>
            </w:pPr>
            <w:r w:rsidRPr="00B9382C">
              <w:rPr>
                <w:b w:val="0"/>
                <w:bCs w:val="0"/>
              </w:rPr>
              <w:t>8am-4.30pm, 7 days per week  </w:t>
            </w:r>
          </w:p>
        </w:tc>
        <w:tc>
          <w:tcPr>
            <w:tcW w:w="2520" w:type="dxa"/>
            <w:shd w:val="clear" w:color="auto" w:fill="auto"/>
          </w:tcPr>
          <w:p w14:paraId="57E1C548" w14:textId="736239FE" w:rsidR="00166471" w:rsidRPr="00B9382C" w:rsidRDefault="00384218" w:rsidP="00D33B1B">
            <w:pPr>
              <w:pStyle w:val="Tabletext"/>
              <w:spacing w:after="80"/>
              <w:jc w:val="center"/>
              <w:cnfStyle w:val="000000000000" w:firstRow="0" w:lastRow="0" w:firstColumn="0" w:lastColumn="0" w:oddVBand="0" w:evenVBand="0" w:oddHBand="0" w:evenHBand="0" w:firstRowFirstColumn="0" w:firstRowLastColumn="0" w:lastRowFirstColumn="0" w:lastRowLastColumn="0"/>
            </w:pPr>
            <w:r>
              <w:t>Y</w:t>
            </w:r>
          </w:p>
        </w:tc>
        <w:tc>
          <w:tcPr>
            <w:tcW w:w="2740" w:type="dxa"/>
            <w:shd w:val="clear" w:color="auto" w:fill="auto"/>
          </w:tcPr>
          <w:p w14:paraId="567E101E" w14:textId="1A57C63A" w:rsidR="00166471" w:rsidRPr="00B9382C" w:rsidRDefault="00384218" w:rsidP="00D33B1B">
            <w:pPr>
              <w:pStyle w:val="Tabletext"/>
              <w:spacing w:after="80"/>
              <w:jc w:val="center"/>
              <w:cnfStyle w:val="000000000000" w:firstRow="0" w:lastRow="0" w:firstColumn="0" w:lastColumn="0" w:oddVBand="0" w:evenVBand="0" w:oddHBand="0" w:evenHBand="0" w:firstRowFirstColumn="0" w:firstRowLastColumn="0" w:lastRowFirstColumn="0" w:lastRowLastColumn="0"/>
            </w:pPr>
            <w:r>
              <w:t>Y</w:t>
            </w:r>
          </w:p>
        </w:tc>
      </w:tr>
      <w:tr w:rsidR="00166471" w:rsidRPr="00B9382C" w14:paraId="3E7CDDDE" w14:textId="436A56E9" w:rsidTr="688D467F">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160" w:type="dxa"/>
            <w:shd w:val="clear" w:color="auto" w:fill="FFFFFF" w:themeFill="background1"/>
          </w:tcPr>
          <w:p w14:paraId="55902288" w14:textId="0E33116F" w:rsidR="00166471" w:rsidRPr="00B9382C" w:rsidRDefault="00166471" w:rsidP="00166471">
            <w:pPr>
              <w:pStyle w:val="Tabletext"/>
              <w:spacing w:after="80"/>
            </w:pPr>
            <w:r w:rsidRPr="00B9382C">
              <w:t>Albury-Wodonga Health</w:t>
            </w:r>
          </w:p>
          <w:p w14:paraId="1589A116" w14:textId="2F4A7130" w:rsidR="00166471" w:rsidRPr="00B9382C" w:rsidRDefault="00090A7D" w:rsidP="00166471">
            <w:pPr>
              <w:pStyle w:val="Tabletext"/>
              <w:spacing w:after="80"/>
              <w:rPr>
                <w:b w:val="0"/>
                <w:bCs w:val="0"/>
              </w:rPr>
            </w:pPr>
            <w:r>
              <w:rPr>
                <w:b w:val="0"/>
                <w:bCs w:val="0"/>
              </w:rPr>
              <w:t>Phone</w:t>
            </w:r>
            <w:r w:rsidR="00166471" w:rsidRPr="00B9382C">
              <w:rPr>
                <w:b w:val="0"/>
                <w:bCs w:val="0"/>
              </w:rPr>
              <w:t>: 0456 809 574</w:t>
            </w:r>
          </w:p>
          <w:p w14:paraId="5BF58F20" w14:textId="112336B6" w:rsidR="00166471" w:rsidRPr="00B9382C" w:rsidRDefault="00166471" w:rsidP="00166471">
            <w:pPr>
              <w:pStyle w:val="Tabletext"/>
              <w:spacing w:after="80"/>
            </w:pPr>
            <w:r w:rsidRPr="00B9382C">
              <w:rPr>
                <w:b w:val="0"/>
                <w:bCs w:val="0"/>
              </w:rPr>
              <w:t xml:space="preserve">Email: </w:t>
            </w:r>
            <w:hyperlink r:id="rId64" w:history="1">
              <w:r w:rsidRPr="00B9382C">
                <w:rPr>
                  <w:rStyle w:val="Hyperlink"/>
                  <w:b w:val="0"/>
                  <w:bCs w:val="0"/>
                </w:rPr>
                <w:t>covid19consult@awh.org.au</w:t>
              </w:r>
            </w:hyperlink>
            <w:r w:rsidRPr="00B9382C">
              <w:rPr>
                <w:b w:val="0"/>
                <w:bCs w:val="0"/>
              </w:rPr>
              <w:t> </w:t>
            </w:r>
          </w:p>
          <w:p w14:paraId="7680990F" w14:textId="55E50ADD" w:rsidR="00166471" w:rsidRPr="00B9382C" w:rsidRDefault="00166471" w:rsidP="00166471">
            <w:pPr>
              <w:pStyle w:val="Tabletext"/>
              <w:spacing w:after="80"/>
              <w:rPr>
                <w:b w:val="0"/>
                <w:bCs w:val="0"/>
              </w:rPr>
            </w:pPr>
            <w:r w:rsidRPr="006F7125">
              <w:rPr>
                <w:b w:val="0"/>
                <w:bCs w:val="0"/>
              </w:rPr>
              <w:t>8.30am–5:00pm,</w:t>
            </w:r>
            <w:r w:rsidRPr="00B9382C">
              <w:rPr>
                <w:b w:val="0"/>
                <w:bCs w:val="0"/>
              </w:rPr>
              <w:t xml:space="preserve"> 7 days per week </w:t>
            </w:r>
          </w:p>
        </w:tc>
        <w:tc>
          <w:tcPr>
            <w:tcW w:w="2520" w:type="dxa"/>
            <w:shd w:val="clear" w:color="auto" w:fill="FFFFFF" w:themeFill="background1"/>
          </w:tcPr>
          <w:p w14:paraId="22F532F1" w14:textId="3A7DC591" w:rsidR="00166471" w:rsidRPr="00B9382C" w:rsidRDefault="00741136" w:rsidP="00D33B1B">
            <w:pPr>
              <w:pStyle w:val="Tabletext"/>
              <w:spacing w:after="80"/>
              <w:jc w:val="center"/>
              <w:cnfStyle w:val="000000100000" w:firstRow="0" w:lastRow="0" w:firstColumn="0" w:lastColumn="0" w:oddVBand="0" w:evenVBand="0" w:oddHBand="1" w:evenHBand="0" w:firstRowFirstColumn="0" w:firstRowLastColumn="0" w:lastRowFirstColumn="0" w:lastRowLastColumn="0"/>
            </w:pPr>
            <w:r>
              <w:t>Y</w:t>
            </w:r>
          </w:p>
        </w:tc>
        <w:tc>
          <w:tcPr>
            <w:tcW w:w="2740" w:type="dxa"/>
            <w:shd w:val="clear" w:color="auto" w:fill="FFFFFF" w:themeFill="background1"/>
          </w:tcPr>
          <w:p w14:paraId="61950960" w14:textId="5B36D316" w:rsidR="00166471" w:rsidRPr="00B9382C" w:rsidRDefault="00741136" w:rsidP="00D33B1B">
            <w:pPr>
              <w:pStyle w:val="Tabletext"/>
              <w:spacing w:after="80"/>
              <w:jc w:val="center"/>
              <w:cnfStyle w:val="000000100000" w:firstRow="0" w:lastRow="0" w:firstColumn="0" w:lastColumn="0" w:oddVBand="0" w:evenVBand="0" w:oddHBand="1" w:evenHBand="0" w:firstRowFirstColumn="0" w:firstRowLastColumn="0" w:lastRowFirstColumn="0" w:lastRowLastColumn="0"/>
            </w:pPr>
            <w:r>
              <w:t>Y</w:t>
            </w:r>
          </w:p>
        </w:tc>
      </w:tr>
      <w:tr w:rsidR="001D6B3A" w:rsidRPr="00B9382C" w14:paraId="764A6F49" w14:textId="33A7FAAD" w:rsidTr="688D467F">
        <w:trPr>
          <w:trHeight w:val="400"/>
        </w:trPr>
        <w:tc>
          <w:tcPr>
            <w:cnfStyle w:val="001000000000" w:firstRow="0" w:lastRow="0" w:firstColumn="1" w:lastColumn="0" w:oddVBand="0" w:evenVBand="0" w:oddHBand="0" w:evenHBand="0" w:firstRowFirstColumn="0" w:firstRowLastColumn="0" w:lastRowFirstColumn="0" w:lastRowLastColumn="0"/>
            <w:tcW w:w="5160" w:type="dxa"/>
            <w:shd w:val="clear" w:color="auto" w:fill="002060"/>
          </w:tcPr>
          <w:p w14:paraId="57586C95" w14:textId="3C892966" w:rsidR="001D6B3A" w:rsidRPr="00B9382C" w:rsidRDefault="001D6B3A" w:rsidP="001D6B3A">
            <w:pPr>
              <w:pStyle w:val="Tabletext"/>
              <w:spacing w:after="80"/>
            </w:pPr>
            <w:r w:rsidRPr="00B9382C">
              <w:t xml:space="preserve">Grampians </w:t>
            </w:r>
          </w:p>
        </w:tc>
        <w:tc>
          <w:tcPr>
            <w:tcW w:w="2520" w:type="dxa"/>
            <w:shd w:val="clear" w:color="auto" w:fill="002060"/>
          </w:tcPr>
          <w:p w14:paraId="33709BA4" w14:textId="7FF356DF" w:rsidR="001D6B3A" w:rsidRPr="00B9382C" w:rsidRDefault="001D6B3A" w:rsidP="001D6B3A">
            <w:pPr>
              <w:pStyle w:val="Tabletext"/>
              <w:spacing w:after="80"/>
              <w:jc w:val="center"/>
              <w:cnfStyle w:val="000000000000" w:firstRow="0" w:lastRow="0" w:firstColumn="0" w:lastColumn="0" w:oddVBand="0" w:evenVBand="0" w:oddHBand="0" w:evenHBand="0" w:firstRowFirstColumn="0" w:firstRowLastColumn="0" w:lastRowFirstColumn="0" w:lastRowLastColumn="0"/>
            </w:pPr>
            <w:r w:rsidRPr="001D6B3A">
              <w:rPr>
                <w:rFonts w:eastAsia="Times"/>
                <w:b/>
                <w:bCs/>
                <w:sz w:val="18"/>
                <w:szCs w:val="16"/>
              </w:rPr>
              <w:t>Remdesivir available for community patients</w:t>
            </w:r>
          </w:p>
        </w:tc>
        <w:tc>
          <w:tcPr>
            <w:tcW w:w="2740" w:type="dxa"/>
            <w:shd w:val="clear" w:color="auto" w:fill="002060"/>
          </w:tcPr>
          <w:p w14:paraId="4E489FE1" w14:textId="481C82EC" w:rsidR="001D6B3A" w:rsidRPr="001D6B3A" w:rsidRDefault="001D6B3A" w:rsidP="001D6B3A">
            <w:pPr>
              <w:pStyle w:val="Tabletext"/>
              <w:spacing w:after="80"/>
              <w:jc w:val="center"/>
              <w:cnfStyle w:val="000000000000" w:firstRow="0" w:lastRow="0" w:firstColumn="0" w:lastColumn="0" w:oddVBand="0" w:evenVBand="0" w:oddHBand="0" w:evenHBand="0" w:firstRowFirstColumn="0" w:firstRowLastColumn="0" w:lastRowFirstColumn="0" w:lastRowLastColumn="0"/>
              <w:rPr>
                <w:b/>
                <w:bCs/>
              </w:rPr>
            </w:pPr>
            <w:r w:rsidRPr="001D6B3A">
              <w:rPr>
                <w:rFonts w:eastAsia="Times"/>
                <w:b/>
                <w:bCs/>
                <w:sz w:val="18"/>
                <w:szCs w:val="16"/>
              </w:rPr>
              <w:t>NMS oral antivirals for non-Medicare card holders</w:t>
            </w:r>
          </w:p>
        </w:tc>
      </w:tr>
      <w:tr w:rsidR="00166471" w:rsidRPr="00B9382C" w14:paraId="1C4B0E29" w14:textId="6A8FCA80" w:rsidTr="688D467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160" w:type="dxa"/>
            <w:shd w:val="clear" w:color="auto" w:fill="FFFFFF" w:themeFill="background1"/>
            <w:hideMark/>
          </w:tcPr>
          <w:p w14:paraId="1E54BDB6" w14:textId="6FF73018" w:rsidR="00166471" w:rsidRPr="00B9382C" w:rsidRDefault="00166471" w:rsidP="00166471">
            <w:pPr>
              <w:pStyle w:val="Tabletext"/>
              <w:spacing w:after="80"/>
            </w:pPr>
            <w:r w:rsidRPr="00B9382C">
              <w:t>Grampians Health</w:t>
            </w:r>
          </w:p>
          <w:p w14:paraId="33FEB22E" w14:textId="5BF3EAED" w:rsidR="00166471" w:rsidRPr="00B9382C" w:rsidRDefault="00090A7D" w:rsidP="00166471">
            <w:pPr>
              <w:pStyle w:val="Tabletext"/>
              <w:spacing w:after="80"/>
              <w:rPr>
                <w:b w:val="0"/>
                <w:bCs w:val="0"/>
              </w:rPr>
            </w:pPr>
            <w:r>
              <w:rPr>
                <w:b w:val="0"/>
                <w:bCs w:val="0"/>
              </w:rPr>
              <w:t>Phone</w:t>
            </w:r>
            <w:r w:rsidR="00166471" w:rsidRPr="00B9382C">
              <w:rPr>
                <w:b w:val="0"/>
                <w:bCs w:val="0"/>
              </w:rPr>
              <w:t>: 0477 988 870</w:t>
            </w:r>
          </w:p>
          <w:p w14:paraId="4D0657FE" w14:textId="77777777" w:rsidR="00166471" w:rsidRPr="00B9382C" w:rsidRDefault="00166471" w:rsidP="00166471">
            <w:pPr>
              <w:pStyle w:val="Tabletext"/>
              <w:spacing w:after="80"/>
              <w:rPr>
                <w:b w:val="0"/>
                <w:bCs w:val="0"/>
              </w:rPr>
            </w:pPr>
            <w:r w:rsidRPr="00B9382C">
              <w:rPr>
                <w:b w:val="0"/>
                <w:bCs w:val="0"/>
              </w:rPr>
              <w:t>Fax: 03 5330 5111</w:t>
            </w:r>
          </w:p>
          <w:p w14:paraId="6399BF41" w14:textId="37886508" w:rsidR="00166471" w:rsidRPr="00B9382C" w:rsidRDefault="00166471" w:rsidP="00166471">
            <w:pPr>
              <w:pStyle w:val="Tabletext"/>
              <w:spacing w:after="80"/>
              <w:rPr>
                <w:b w:val="0"/>
                <w:bCs w:val="0"/>
              </w:rPr>
            </w:pPr>
            <w:r w:rsidRPr="00A97BB2">
              <w:rPr>
                <w:b w:val="0"/>
                <w:bCs w:val="0"/>
              </w:rPr>
              <w:t>8.30am-4pm, 7 days per week</w:t>
            </w:r>
          </w:p>
        </w:tc>
        <w:tc>
          <w:tcPr>
            <w:tcW w:w="2520" w:type="dxa"/>
            <w:shd w:val="clear" w:color="auto" w:fill="FFFFFF" w:themeFill="background1"/>
          </w:tcPr>
          <w:p w14:paraId="05C5894E" w14:textId="27B188FD" w:rsidR="00166471" w:rsidRPr="00B9382C" w:rsidRDefault="00963C8A" w:rsidP="00D33B1B">
            <w:pPr>
              <w:pStyle w:val="Tabletext"/>
              <w:spacing w:after="80"/>
              <w:jc w:val="center"/>
              <w:cnfStyle w:val="000000100000" w:firstRow="0" w:lastRow="0" w:firstColumn="0" w:lastColumn="0" w:oddVBand="0" w:evenVBand="0" w:oddHBand="1" w:evenHBand="0" w:firstRowFirstColumn="0" w:firstRowLastColumn="0" w:lastRowFirstColumn="0" w:lastRowLastColumn="0"/>
            </w:pPr>
            <w:r>
              <w:t>Y</w:t>
            </w:r>
          </w:p>
        </w:tc>
        <w:tc>
          <w:tcPr>
            <w:tcW w:w="2740" w:type="dxa"/>
            <w:shd w:val="clear" w:color="auto" w:fill="FFFFFF" w:themeFill="background1"/>
          </w:tcPr>
          <w:p w14:paraId="295889D0" w14:textId="09864E1B" w:rsidR="00166471" w:rsidRPr="00B9382C" w:rsidRDefault="7B97929D" w:rsidP="00D33B1B">
            <w:pPr>
              <w:pStyle w:val="Tabletext"/>
              <w:spacing w:after="80"/>
              <w:jc w:val="center"/>
              <w:cnfStyle w:val="000000100000" w:firstRow="0" w:lastRow="0" w:firstColumn="0" w:lastColumn="0" w:oddVBand="0" w:evenVBand="0" w:oddHBand="1" w:evenHBand="0" w:firstRowFirstColumn="0" w:firstRowLastColumn="0" w:lastRowFirstColumn="0" w:lastRowLastColumn="0"/>
            </w:pPr>
            <w:r>
              <w:t>Y</w:t>
            </w:r>
          </w:p>
        </w:tc>
      </w:tr>
      <w:tr w:rsidR="00166471" w:rsidRPr="00B9382C" w14:paraId="203EBEDB" w14:textId="5AE3DC76" w:rsidTr="688D467F">
        <w:trPr>
          <w:trHeight w:val="1250"/>
        </w:trPr>
        <w:tc>
          <w:tcPr>
            <w:cnfStyle w:val="001000000000" w:firstRow="0" w:lastRow="0" w:firstColumn="1" w:lastColumn="0" w:oddVBand="0" w:evenVBand="0" w:oddHBand="0" w:evenHBand="0" w:firstRowFirstColumn="0" w:firstRowLastColumn="0" w:lastRowFirstColumn="0" w:lastRowLastColumn="0"/>
            <w:tcW w:w="5160" w:type="dxa"/>
            <w:shd w:val="clear" w:color="auto" w:fill="FFFFFF" w:themeFill="background1"/>
          </w:tcPr>
          <w:p w14:paraId="40BE77DC" w14:textId="1D634209" w:rsidR="00166471" w:rsidRPr="00B9382C" w:rsidRDefault="00166471" w:rsidP="00166471">
            <w:pPr>
              <w:pStyle w:val="Tabletext"/>
              <w:spacing w:after="80"/>
            </w:pPr>
            <w:r w:rsidRPr="00B9382C">
              <w:lastRenderedPageBreak/>
              <w:t>East Grampians Health Lead</w:t>
            </w:r>
          </w:p>
          <w:p w14:paraId="6609069D" w14:textId="0D86EDB0" w:rsidR="00166471" w:rsidRPr="00B9382C" w:rsidRDefault="00090A7D" w:rsidP="00166471">
            <w:pPr>
              <w:pStyle w:val="Tabletext"/>
              <w:spacing w:after="80"/>
              <w:rPr>
                <w:b w:val="0"/>
                <w:bCs w:val="0"/>
              </w:rPr>
            </w:pPr>
            <w:r>
              <w:rPr>
                <w:b w:val="0"/>
                <w:bCs w:val="0"/>
              </w:rPr>
              <w:t>Phone</w:t>
            </w:r>
            <w:r w:rsidR="00166471" w:rsidRPr="00B9382C">
              <w:rPr>
                <w:b w:val="0"/>
                <w:bCs w:val="0"/>
              </w:rPr>
              <w:t xml:space="preserve">: </w:t>
            </w:r>
            <w:r>
              <w:rPr>
                <w:b w:val="0"/>
                <w:bCs w:val="0"/>
              </w:rPr>
              <w:t>(</w:t>
            </w:r>
            <w:r w:rsidR="00166471" w:rsidRPr="00B9382C">
              <w:rPr>
                <w:b w:val="0"/>
                <w:bCs w:val="0"/>
              </w:rPr>
              <w:t>03</w:t>
            </w:r>
            <w:r>
              <w:rPr>
                <w:b w:val="0"/>
                <w:bCs w:val="0"/>
              </w:rPr>
              <w:t>)</w:t>
            </w:r>
            <w:r w:rsidR="00166471" w:rsidRPr="00B9382C">
              <w:rPr>
                <w:b w:val="0"/>
                <w:bCs w:val="0"/>
              </w:rPr>
              <w:t xml:space="preserve"> 5352 9475</w:t>
            </w:r>
          </w:p>
          <w:p w14:paraId="034FB11F" w14:textId="77777777" w:rsidR="00166471" w:rsidRPr="00A97BB2" w:rsidRDefault="00166471" w:rsidP="00166471">
            <w:pPr>
              <w:pStyle w:val="Tabletext"/>
              <w:spacing w:after="80"/>
              <w:rPr>
                <w:b w:val="0"/>
                <w:bCs w:val="0"/>
              </w:rPr>
            </w:pPr>
            <w:r w:rsidRPr="00B9382C">
              <w:rPr>
                <w:b w:val="0"/>
                <w:bCs w:val="0"/>
              </w:rPr>
              <w:t xml:space="preserve">Email: </w:t>
            </w:r>
            <w:r w:rsidRPr="00A97BB2">
              <w:rPr>
                <w:b w:val="0"/>
                <w:bCs w:val="0"/>
              </w:rPr>
              <w:t xml:space="preserve">covidmonitor@eghs.net.au </w:t>
            </w:r>
          </w:p>
          <w:p w14:paraId="4E9E0BFD" w14:textId="0C5941EC" w:rsidR="00166471" w:rsidRPr="00B9382C" w:rsidRDefault="00166471" w:rsidP="00166471">
            <w:pPr>
              <w:pStyle w:val="Tabletext"/>
              <w:spacing w:after="80"/>
            </w:pPr>
            <w:r w:rsidRPr="00A97BB2">
              <w:rPr>
                <w:b w:val="0"/>
                <w:bCs w:val="0"/>
              </w:rPr>
              <w:t>9am-3pm, 7 days per week</w:t>
            </w:r>
          </w:p>
        </w:tc>
        <w:tc>
          <w:tcPr>
            <w:tcW w:w="2520" w:type="dxa"/>
            <w:shd w:val="clear" w:color="auto" w:fill="FFFFFF" w:themeFill="background1"/>
          </w:tcPr>
          <w:p w14:paraId="0CF0F43D" w14:textId="60E12C6C" w:rsidR="00166471" w:rsidRPr="00B9382C" w:rsidRDefault="00963C8A" w:rsidP="00D33B1B">
            <w:pPr>
              <w:pStyle w:val="Tabletext"/>
              <w:spacing w:after="80"/>
              <w:jc w:val="center"/>
              <w:cnfStyle w:val="000000000000" w:firstRow="0" w:lastRow="0" w:firstColumn="0" w:lastColumn="0" w:oddVBand="0" w:evenVBand="0" w:oddHBand="0" w:evenHBand="0" w:firstRowFirstColumn="0" w:firstRowLastColumn="0" w:lastRowFirstColumn="0" w:lastRowLastColumn="0"/>
            </w:pPr>
            <w:r>
              <w:t>Y</w:t>
            </w:r>
          </w:p>
        </w:tc>
        <w:tc>
          <w:tcPr>
            <w:tcW w:w="2740" w:type="dxa"/>
            <w:shd w:val="clear" w:color="auto" w:fill="FFFFFF" w:themeFill="background1"/>
          </w:tcPr>
          <w:p w14:paraId="728D77B3" w14:textId="2ACA1397" w:rsidR="00166471" w:rsidRPr="00B9382C" w:rsidRDefault="00166471" w:rsidP="00D33B1B">
            <w:pPr>
              <w:pStyle w:val="Tabletext"/>
              <w:spacing w:after="80"/>
              <w:jc w:val="center"/>
              <w:cnfStyle w:val="000000000000" w:firstRow="0" w:lastRow="0" w:firstColumn="0" w:lastColumn="0" w:oddVBand="0" w:evenVBand="0" w:oddHBand="0" w:evenHBand="0" w:firstRowFirstColumn="0" w:firstRowLastColumn="0" w:lastRowFirstColumn="0" w:lastRowLastColumn="0"/>
            </w:pPr>
          </w:p>
        </w:tc>
      </w:tr>
      <w:tr w:rsidR="00166471" w:rsidRPr="00B9382C" w14:paraId="584CBECE" w14:textId="473F32FD" w:rsidTr="688D467F">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5160" w:type="dxa"/>
            <w:shd w:val="clear" w:color="auto" w:fill="FFFFFF" w:themeFill="background1"/>
          </w:tcPr>
          <w:p w14:paraId="1E27FCDF" w14:textId="46FDDB10" w:rsidR="00166471" w:rsidRPr="00A97BB2" w:rsidRDefault="00166471" w:rsidP="00166471">
            <w:pPr>
              <w:pStyle w:val="Tabletext"/>
              <w:spacing w:after="80"/>
            </w:pPr>
            <w:r>
              <w:t xml:space="preserve">West Wimmera </w:t>
            </w:r>
            <w:r w:rsidRPr="00A97BB2">
              <w:t xml:space="preserve">Health Service Lead </w:t>
            </w:r>
          </w:p>
          <w:p w14:paraId="7F1CB8B8" w14:textId="394A3293" w:rsidR="00166471" w:rsidRPr="00A97BB2" w:rsidRDefault="00090A7D" w:rsidP="00166471">
            <w:pPr>
              <w:pStyle w:val="Tabletext"/>
              <w:spacing w:after="80"/>
              <w:rPr>
                <w:b w:val="0"/>
                <w:bCs w:val="0"/>
              </w:rPr>
            </w:pPr>
            <w:r>
              <w:rPr>
                <w:b w:val="0"/>
                <w:bCs w:val="0"/>
              </w:rPr>
              <w:t>Phone</w:t>
            </w:r>
            <w:r w:rsidR="00166471" w:rsidRPr="00A97BB2">
              <w:rPr>
                <w:b w:val="0"/>
                <w:bCs w:val="0"/>
              </w:rPr>
              <w:t xml:space="preserve">: </w:t>
            </w:r>
            <w:r>
              <w:rPr>
                <w:b w:val="0"/>
                <w:bCs w:val="0"/>
              </w:rPr>
              <w:t>(</w:t>
            </w:r>
            <w:r w:rsidR="00166471" w:rsidRPr="00A97BB2">
              <w:rPr>
                <w:b w:val="0"/>
                <w:bCs w:val="0"/>
              </w:rPr>
              <w:t>03</w:t>
            </w:r>
            <w:r>
              <w:rPr>
                <w:b w:val="0"/>
                <w:bCs w:val="0"/>
              </w:rPr>
              <w:t>)</w:t>
            </w:r>
            <w:r w:rsidR="00166471" w:rsidRPr="00A97BB2">
              <w:rPr>
                <w:b w:val="0"/>
                <w:bCs w:val="0"/>
              </w:rPr>
              <w:t xml:space="preserve"> 5391 4292</w:t>
            </w:r>
          </w:p>
          <w:p w14:paraId="0BE77683" w14:textId="77777777" w:rsidR="00166471" w:rsidRPr="00A97BB2" w:rsidRDefault="00166471" w:rsidP="00166471">
            <w:pPr>
              <w:pStyle w:val="Tabletext"/>
              <w:spacing w:after="80"/>
              <w:rPr>
                <w:b w:val="0"/>
                <w:bCs w:val="0"/>
              </w:rPr>
            </w:pPr>
            <w:r w:rsidRPr="00A97BB2">
              <w:rPr>
                <w:b w:val="0"/>
                <w:bCs w:val="0"/>
              </w:rPr>
              <w:t xml:space="preserve">Email: covidcareteam@wwhs.net.au  </w:t>
            </w:r>
          </w:p>
          <w:p w14:paraId="23D5B350" w14:textId="22CB7485" w:rsidR="00166471" w:rsidRPr="00B9382C" w:rsidRDefault="00166471" w:rsidP="00166471">
            <w:pPr>
              <w:pStyle w:val="Tabletext"/>
              <w:spacing w:after="80"/>
            </w:pPr>
            <w:r w:rsidRPr="00A97BB2">
              <w:rPr>
                <w:b w:val="0"/>
                <w:bCs w:val="0"/>
              </w:rPr>
              <w:t>8am-5pm, Mon-Fri; 8am-4.30pm, Sat-Sun (closed between 10.30am-2.30pm)</w:t>
            </w:r>
          </w:p>
        </w:tc>
        <w:tc>
          <w:tcPr>
            <w:tcW w:w="2520" w:type="dxa"/>
            <w:shd w:val="clear" w:color="auto" w:fill="FFFFFF" w:themeFill="background1"/>
          </w:tcPr>
          <w:p w14:paraId="6D5C97B3" w14:textId="1DFE9D03" w:rsidR="00166471" w:rsidRDefault="00BA5233" w:rsidP="00D33B1B">
            <w:pPr>
              <w:pStyle w:val="Tabletext"/>
              <w:spacing w:after="80"/>
              <w:jc w:val="center"/>
              <w:cnfStyle w:val="000000100000" w:firstRow="0" w:lastRow="0" w:firstColumn="0" w:lastColumn="0" w:oddVBand="0" w:evenVBand="0" w:oddHBand="1" w:evenHBand="0" w:firstRowFirstColumn="0" w:firstRowLastColumn="0" w:lastRowFirstColumn="0" w:lastRowLastColumn="0"/>
            </w:pPr>
            <w:r>
              <w:t>Y</w:t>
            </w:r>
          </w:p>
        </w:tc>
        <w:tc>
          <w:tcPr>
            <w:tcW w:w="2740" w:type="dxa"/>
            <w:shd w:val="clear" w:color="auto" w:fill="FFFFFF" w:themeFill="background1"/>
          </w:tcPr>
          <w:p w14:paraId="44E2AF15" w14:textId="0ACE8047" w:rsidR="00166471" w:rsidRDefault="00166471" w:rsidP="3D4AED02">
            <w:pPr>
              <w:pStyle w:val="Tabletext"/>
              <w:spacing w:after="80"/>
              <w:jc w:val="center"/>
              <w:cnfStyle w:val="000000100000" w:firstRow="0" w:lastRow="0" w:firstColumn="0" w:lastColumn="0" w:oddVBand="0" w:evenVBand="0" w:oddHBand="1" w:evenHBand="0" w:firstRowFirstColumn="0" w:firstRowLastColumn="0" w:lastRowFirstColumn="0" w:lastRowLastColumn="0"/>
            </w:pPr>
          </w:p>
          <w:p w14:paraId="5E93E402" w14:textId="7325CF7E" w:rsidR="00166471" w:rsidRDefault="00166471" w:rsidP="3D4AED02">
            <w:pPr>
              <w:pStyle w:val="Tabletext"/>
              <w:spacing w:after="80"/>
              <w:jc w:val="center"/>
              <w:cnfStyle w:val="000000100000" w:firstRow="0" w:lastRow="0" w:firstColumn="0" w:lastColumn="0" w:oddVBand="0" w:evenVBand="0" w:oddHBand="1" w:evenHBand="0" w:firstRowFirstColumn="0" w:firstRowLastColumn="0" w:lastRowFirstColumn="0" w:lastRowLastColumn="0"/>
            </w:pPr>
          </w:p>
        </w:tc>
      </w:tr>
    </w:tbl>
    <w:p w14:paraId="2435361B" w14:textId="6E601D5A" w:rsidR="00146377" w:rsidRPr="00C913C3" w:rsidRDefault="00146377" w:rsidP="00146377">
      <w:pPr>
        <w:pStyle w:val="Body"/>
      </w:pPr>
    </w:p>
    <w:p w14:paraId="61EA6073" w14:textId="2C216162" w:rsidR="00E8045E" w:rsidRPr="00D33B1B" w:rsidRDefault="00E8045E" w:rsidP="00E8045E">
      <w:pPr>
        <w:pStyle w:val="Heading1"/>
      </w:pPr>
      <w:bookmarkStart w:id="14" w:name="_Prioritisation_of_COVID-19_1"/>
      <w:bookmarkStart w:id="15" w:name="_Medication_eligibility_and"/>
      <w:bookmarkEnd w:id="14"/>
      <w:bookmarkEnd w:id="15"/>
      <w:r w:rsidRPr="00D33B1B">
        <w:t>Medication eligibility</w:t>
      </w:r>
      <w:r w:rsidR="00F21283" w:rsidRPr="00D33B1B">
        <w:t xml:space="preserve"> and prioritisation</w:t>
      </w:r>
      <w:r w:rsidRPr="00D33B1B">
        <w:t xml:space="preserve"> </w:t>
      </w:r>
    </w:p>
    <w:p w14:paraId="10883748" w14:textId="476BED7F" w:rsidR="00274FCD" w:rsidRPr="00D33B1B" w:rsidRDefault="00274FCD" w:rsidP="00274FCD">
      <w:pPr>
        <w:pStyle w:val="Body"/>
        <w:numPr>
          <w:ilvl w:val="0"/>
          <w:numId w:val="20"/>
        </w:numPr>
      </w:pPr>
      <w:r w:rsidRPr="00D33B1B">
        <w:t>The PBS criteria are used for people being prescribed oral antivirals in the community e</w:t>
      </w:r>
      <w:r w:rsidR="00C7282A" w:rsidRPr="00D33B1B">
        <w:t>.</w:t>
      </w:r>
      <w:r w:rsidRPr="00D33B1B">
        <w:t>g</w:t>
      </w:r>
      <w:r w:rsidR="00C7282A" w:rsidRPr="00D33B1B">
        <w:t>.</w:t>
      </w:r>
      <w:r w:rsidRPr="00D33B1B">
        <w:t xml:space="preserve"> general practice and respiratory clinics. </w:t>
      </w:r>
    </w:p>
    <w:p w14:paraId="54BD7017" w14:textId="25A9D746" w:rsidR="00274FCD" w:rsidRPr="00D33B1B" w:rsidRDefault="00274FCD" w:rsidP="00274FCD">
      <w:pPr>
        <w:pStyle w:val="Body"/>
        <w:numPr>
          <w:ilvl w:val="0"/>
          <w:numId w:val="20"/>
        </w:numPr>
      </w:pPr>
      <w:r w:rsidRPr="00D33B1B">
        <w:t xml:space="preserve">The NMS criteria are used for people who are being managed </w:t>
      </w:r>
      <w:r w:rsidR="00914D37" w:rsidRPr="00D33B1B">
        <w:t>by</w:t>
      </w:r>
      <w:r w:rsidRPr="00D33B1B">
        <w:t xml:space="preserve"> a hospital (for COVID or non</w:t>
      </w:r>
      <w:r w:rsidR="009A06D1" w:rsidRPr="00D33B1B">
        <w:t>-</w:t>
      </w:r>
      <w:r w:rsidRPr="00D33B1B">
        <w:t xml:space="preserve">COVID related conditions) and can be used for IV or oral antivirals intended as early therapy for people not yet requiring oxygen. </w:t>
      </w:r>
    </w:p>
    <w:p w14:paraId="0281FF45" w14:textId="5F104517" w:rsidR="00274FCD" w:rsidRPr="00D33B1B" w:rsidRDefault="00274FCD" w:rsidP="00274FCD">
      <w:pPr>
        <w:pStyle w:val="Body"/>
        <w:numPr>
          <w:ilvl w:val="0"/>
          <w:numId w:val="20"/>
        </w:numPr>
      </w:pPr>
      <w:r w:rsidRPr="00D33B1B">
        <w:t xml:space="preserve">The NMS criteria are broader </w:t>
      </w:r>
      <w:r w:rsidR="009A06D1" w:rsidRPr="00D33B1B">
        <w:t>and</w:t>
      </w:r>
      <w:r w:rsidRPr="00D33B1B">
        <w:t xml:space="preserve"> more inclusive than the PBS criteria. This enables more people to be </w:t>
      </w:r>
      <w:r w:rsidRPr="00D33B1B">
        <w:rPr>
          <w:b/>
          <w:i/>
        </w:rPr>
        <w:t>considered for</w:t>
      </w:r>
      <w:r w:rsidRPr="00D33B1B">
        <w:t xml:space="preserve"> therapy if deemed appropriate by their treating clinicians in consultation with the affected person. </w:t>
      </w:r>
    </w:p>
    <w:p w14:paraId="618ADC09" w14:textId="3F24798B" w:rsidR="00274FCD" w:rsidRPr="00D33B1B" w:rsidRDefault="00274FCD" w:rsidP="00274FCD">
      <w:pPr>
        <w:pStyle w:val="Body"/>
        <w:numPr>
          <w:ilvl w:val="0"/>
          <w:numId w:val="20"/>
        </w:numPr>
      </w:pPr>
      <w:r w:rsidRPr="00D33B1B">
        <w:rPr>
          <w:b/>
        </w:rPr>
        <w:t xml:space="preserve">Table </w:t>
      </w:r>
      <w:r w:rsidR="000A194C" w:rsidRPr="00D33B1B">
        <w:rPr>
          <w:b/>
        </w:rPr>
        <w:t>2</w:t>
      </w:r>
      <w:r w:rsidRPr="00D33B1B">
        <w:t xml:space="preserve"> </w:t>
      </w:r>
      <w:r w:rsidR="00665C28" w:rsidRPr="00D33B1B">
        <w:t xml:space="preserve">outlines the </w:t>
      </w:r>
      <w:r w:rsidRPr="00D33B1B">
        <w:t>differences</w:t>
      </w:r>
      <w:r w:rsidR="00F93F93" w:rsidRPr="00D33B1B">
        <w:t xml:space="preserve"> between</w:t>
      </w:r>
      <w:r w:rsidR="00665C28" w:rsidRPr="00D33B1B">
        <w:t xml:space="preserve"> the NMS and PBS </w:t>
      </w:r>
      <w:r w:rsidR="00AE5DEB" w:rsidRPr="00D33B1B">
        <w:t xml:space="preserve">eligibility </w:t>
      </w:r>
      <w:r w:rsidR="00665C28" w:rsidRPr="00D33B1B">
        <w:t>criteria.</w:t>
      </w:r>
    </w:p>
    <w:p w14:paraId="59D4DB6C" w14:textId="3EB48552" w:rsidR="00252EE1" w:rsidRPr="00D33B1B" w:rsidRDefault="002B2592" w:rsidP="00F21283">
      <w:pPr>
        <w:pStyle w:val="Body"/>
        <w:numPr>
          <w:ilvl w:val="0"/>
          <w:numId w:val="20"/>
        </w:numPr>
      </w:pPr>
      <w:r w:rsidRPr="00D33B1B">
        <w:t>In times of high demand, hospitals may need to prioritise the highest risk people for access to early therapies. In these circumstances</w:t>
      </w:r>
      <w:r w:rsidR="008C665F" w:rsidRPr="00D33B1B">
        <w:t>,</w:t>
      </w:r>
      <w:r w:rsidRPr="00D33B1B">
        <w:t xml:space="preserve"> </w:t>
      </w:r>
      <w:r w:rsidRPr="00D33B1B">
        <w:rPr>
          <w:b/>
        </w:rPr>
        <w:t xml:space="preserve">Table </w:t>
      </w:r>
      <w:r w:rsidR="000A194C" w:rsidRPr="00D33B1B">
        <w:rPr>
          <w:b/>
        </w:rPr>
        <w:t>3</w:t>
      </w:r>
      <w:r w:rsidRPr="00D33B1B">
        <w:t xml:space="preserve"> can be used to help guide prioritisation.</w:t>
      </w:r>
    </w:p>
    <w:p w14:paraId="0C28A017" w14:textId="6C7CCB6C" w:rsidR="00CD507C" w:rsidRPr="00F21283" w:rsidRDefault="000C7404" w:rsidP="00CD507C">
      <w:pPr>
        <w:pStyle w:val="Body"/>
        <w:numPr>
          <w:ilvl w:val="0"/>
          <w:numId w:val="20"/>
        </w:numPr>
      </w:pPr>
      <w:r w:rsidRPr="00D33B1B">
        <w:t>Early therapies are</w:t>
      </w:r>
      <w:r w:rsidRPr="00C913C3">
        <w:t xml:space="preserve"> s</w:t>
      </w:r>
      <w:r w:rsidR="00CD507C" w:rsidRPr="006745A1">
        <w:t>ingle agent use, with the exception of inhaled corticosteroids which may be used as an additional therapy</w:t>
      </w:r>
      <w:r w:rsidR="00CD507C" w:rsidRPr="00F21283">
        <w:t>.</w:t>
      </w:r>
    </w:p>
    <w:p w14:paraId="0D924EFA" w14:textId="77777777" w:rsidR="00CD507C" w:rsidRPr="00B9382C" w:rsidRDefault="00CD507C" w:rsidP="00CD507C">
      <w:pPr>
        <w:pStyle w:val="Body"/>
        <w:numPr>
          <w:ilvl w:val="0"/>
          <w:numId w:val="20"/>
        </w:numPr>
      </w:pPr>
      <w:r w:rsidRPr="00B9382C">
        <w:t>Current clinical advice does not support withholding the prescription of early therapies to eligible patients who are reinfected with COVID-19.</w:t>
      </w:r>
    </w:p>
    <w:p w14:paraId="0B0A4214" w14:textId="10D8669B" w:rsidR="00CD507C" w:rsidRDefault="00CD507C" w:rsidP="00ED0788">
      <w:pPr>
        <w:pStyle w:val="Body"/>
        <w:numPr>
          <w:ilvl w:val="0"/>
          <w:numId w:val="20"/>
        </w:numPr>
        <w:spacing w:after="0" w:line="276" w:lineRule="auto"/>
      </w:pPr>
      <w:r w:rsidRPr="00B9382C">
        <w:t xml:space="preserve">For up-to-date advice on the management of children with symptomatic COVID-19 refer to the </w:t>
      </w:r>
      <w:hyperlink r:id="rId65" w:history="1">
        <w:r w:rsidRPr="00B9382C">
          <w:rPr>
            <w:rStyle w:val="Hyperlink"/>
          </w:rPr>
          <w:t>Royal Children’s Hospital guidelines</w:t>
        </w:r>
      </w:hyperlink>
      <w:r w:rsidRPr="00B9382C">
        <w:t xml:space="preserve"> </w:t>
      </w:r>
      <w:r w:rsidR="00560833">
        <w:t>&lt;</w:t>
      </w:r>
      <w:r w:rsidR="008C665F" w:rsidRPr="00560833">
        <w:t>https://www.rch.org.au/uploadedFiles/Main/Content/clinicalguide/guideline_index/RCH-COVID-clinical-management-guidelines-package.pdf</w:t>
      </w:r>
      <w:r w:rsidR="00560833">
        <w:t>&gt;</w:t>
      </w:r>
    </w:p>
    <w:p w14:paraId="7B657300" w14:textId="5A19AB30" w:rsidR="008C665F" w:rsidRDefault="008C665F" w:rsidP="00FD2629">
      <w:pPr>
        <w:pStyle w:val="Body"/>
        <w:spacing w:after="0" w:line="276" w:lineRule="auto"/>
        <w:ind w:left="360"/>
      </w:pPr>
    </w:p>
    <w:p w14:paraId="3F1C71B0" w14:textId="25C92A81" w:rsidR="00CB6C96" w:rsidRDefault="00293D73" w:rsidP="00ED338C">
      <w:pPr>
        <w:pStyle w:val="Body"/>
        <w:spacing w:after="0" w:line="276" w:lineRule="auto"/>
        <w:ind w:left="360"/>
      </w:pPr>
      <w:r>
        <w:rPr>
          <w:rFonts w:eastAsia="Times New Roman"/>
          <w:noProof/>
        </w:rPr>
        <w:pict w14:anchorId="3EAFA88A">
          <v:shape id="Text Box 4" o:spid="_x0000_s2076" type="#_x0000_t202" style="position:absolute;left:0;text-align:left;margin-left:-14.7pt;margin-top:7.55pt;width:586.05pt;height:22.15pt;z-index:251658246;visibility:visible;mso-wrap-distance-top:3.6pt;mso-wrap-distance-bottom:3.6pt;mso-width-relative:margin;mso-height-relative:margin" filled="f" strokecolor="white">
            <v:textbox style="mso-next-textbox:#Text Box 4">
              <w:txbxContent>
                <w:p w14:paraId="2FBA9F7B" w14:textId="7F3C21D4" w:rsidR="008C665F" w:rsidRPr="005D1B48" w:rsidRDefault="008C665F" w:rsidP="008C665F">
                  <w:pPr>
                    <w:spacing w:after="0" w:line="240" w:lineRule="auto"/>
                    <w:rPr>
                      <w:rFonts w:cs="Arial"/>
                      <w:b/>
                      <w:bCs/>
                    </w:rPr>
                  </w:pPr>
                  <w:r w:rsidRPr="00D33B1B">
                    <w:rPr>
                      <w:rFonts w:cs="Arial"/>
                      <w:b/>
                    </w:rPr>
                    <w:t xml:space="preserve">Table </w:t>
                  </w:r>
                  <w:r w:rsidR="000A194C" w:rsidRPr="00D33B1B">
                    <w:rPr>
                      <w:rFonts w:cs="Arial"/>
                      <w:b/>
                    </w:rPr>
                    <w:t>2</w:t>
                  </w:r>
                  <w:r w:rsidRPr="00D33B1B">
                    <w:rPr>
                      <w:rFonts w:cs="Arial"/>
                      <w:b/>
                    </w:rPr>
                    <w:t xml:space="preserve">. </w:t>
                  </w:r>
                  <w:r w:rsidR="00CA2ACC" w:rsidRPr="00D33B1B">
                    <w:rPr>
                      <w:rFonts w:cs="Arial"/>
                      <w:b/>
                    </w:rPr>
                    <w:t>Comparison between NMS and PBS eligibility criteria</w:t>
                  </w:r>
                </w:p>
              </w:txbxContent>
            </v:textbox>
          </v:shape>
        </w:pict>
      </w:r>
    </w:p>
    <w:p w14:paraId="389B99C4" w14:textId="77777777" w:rsidR="00CC3907" w:rsidRDefault="00CC3907" w:rsidP="00CB6C96">
      <w:pPr>
        <w:pStyle w:val="Body"/>
        <w:spacing w:after="0" w:line="276" w:lineRule="auto"/>
      </w:pPr>
    </w:p>
    <w:tbl>
      <w:tblPr>
        <w:tblStyle w:val="TableGrid"/>
        <w:tblW w:w="10456" w:type="dxa"/>
        <w:tblLook w:val="04A0" w:firstRow="1" w:lastRow="0" w:firstColumn="1" w:lastColumn="0" w:noHBand="0" w:noVBand="1"/>
      </w:tblPr>
      <w:tblGrid>
        <w:gridCol w:w="1526"/>
        <w:gridCol w:w="6379"/>
        <w:gridCol w:w="2551"/>
      </w:tblGrid>
      <w:tr w:rsidR="00467ADD" w14:paraId="025F922B" w14:textId="77777777" w:rsidTr="00C15FB9">
        <w:trPr>
          <w:cantSplit/>
          <w:trHeight w:val="422"/>
          <w:tblHeader/>
        </w:trPr>
        <w:tc>
          <w:tcPr>
            <w:tcW w:w="1526" w:type="dxa"/>
            <w:shd w:val="clear" w:color="auto" w:fill="002060"/>
          </w:tcPr>
          <w:p w14:paraId="3F0417E9" w14:textId="77777777" w:rsidR="00467ADD" w:rsidRPr="00EB2D26" w:rsidRDefault="00467ADD" w:rsidP="00ED0788">
            <w:pPr>
              <w:jc w:val="center"/>
              <w:textAlignment w:val="baseline"/>
              <w:rPr>
                <w:rFonts w:eastAsia="MS Gothic" w:cs="Arial"/>
                <w:b/>
                <w:bCs/>
                <w:color w:val="FFFFFF"/>
                <w:sz w:val="18"/>
                <w:szCs w:val="18"/>
              </w:rPr>
            </w:pPr>
            <w:r w:rsidRPr="00EB2D26">
              <w:rPr>
                <w:rFonts w:eastAsia="MS Gothic" w:cs="Arial"/>
                <w:b/>
                <w:bCs/>
                <w:color w:val="FFFFFF"/>
                <w:sz w:val="18"/>
                <w:szCs w:val="18"/>
              </w:rPr>
              <w:t xml:space="preserve">Category: </w:t>
            </w:r>
          </w:p>
          <w:p w14:paraId="1B1628C7" w14:textId="77777777" w:rsidR="00467ADD" w:rsidRPr="00EB2D26" w:rsidRDefault="00467ADD" w:rsidP="00ED0788">
            <w:pPr>
              <w:jc w:val="center"/>
              <w:textAlignment w:val="baseline"/>
              <w:rPr>
                <w:rFonts w:cs="Arial"/>
                <w:b/>
                <w:bCs/>
                <w:color w:val="FFFFFF"/>
                <w:sz w:val="18"/>
                <w:szCs w:val="18"/>
              </w:rPr>
            </w:pPr>
            <w:r w:rsidRPr="00EB2D26">
              <w:rPr>
                <w:rFonts w:eastAsia="MS Gothic" w:cs="Arial"/>
                <w:b/>
                <w:bCs/>
                <w:color w:val="FFFFFF"/>
                <w:sz w:val="18"/>
                <w:szCs w:val="18"/>
              </w:rPr>
              <w:t>Age (years)</w:t>
            </w:r>
          </w:p>
        </w:tc>
        <w:tc>
          <w:tcPr>
            <w:tcW w:w="6379" w:type="dxa"/>
            <w:shd w:val="clear" w:color="auto" w:fill="002060"/>
          </w:tcPr>
          <w:p w14:paraId="3C2719AF" w14:textId="77777777" w:rsidR="00467ADD" w:rsidRPr="00EB2D26" w:rsidRDefault="00467ADD" w:rsidP="00ED0788">
            <w:pPr>
              <w:jc w:val="center"/>
              <w:rPr>
                <w:rFonts w:cs="Arial"/>
                <w:b/>
                <w:bCs/>
                <w:color w:val="FFFFFF"/>
                <w:sz w:val="18"/>
                <w:szCs w:val="18"/>
              </w:rPr>
            </w:pPr>
            <w:r>
              <w:rPr>
                <w:rFonts w:cs="Arial"/>
                <w:b/>
                <w:bCs/>
                <w:color w:val="FFFFFF"/>
                <w:sz w:val="18"/>
                <w:szCs w:val="18"/>
              </w:rPr>
              <w:t>Eligibility criteria – NMS (all early therapies)</w:t>
            </w:r>
          </w:p>
        </w:tc>
        <w:tc>
          <w:tcPr>
            <w:tcW w:w="2551" w:type="dxa"/>
            <w:shd w:val="clear" w:color="auto" w:fill="002060"/>
          </w:tcPr>
          <w:p w14:paraId="43111BAD" w14:textId="77777777" w:rsidR="00467ADD" w:rsidRDefault="00467ADD" w:rsidP="00ED0788">
            <w:pPr>
              <w:jc w:val="center"/>
              <w:rPr>
                <w:rFonts w:cs="Arial"/>
                <w:b/>
                <w:bCs/>
                <w:color w:val="FFFFFF"/>
                <w:sz w:val="18"/>
                <w:szCs w:val="18"/>
              </w:rPr>
            </w:pPr>
            <w:r>
              <w:rPr>
                <w:rFonts w:cs="Arial"/>
                <w:b/>
                <w:bCs/>
                <w:color w:val="FFFFFF"/>
                <w:sz w:val="18"/>
                <w:szCs w:val="18"/>
              </w:rPr>
              <w:t>Eligibility criteria – PBS (oral antivirals only)</w:t>
            </w:r>
          </w:p>
        </w:tc>
      </w:tr>
      <w:tr w:rsidR="00467ADD" w:rsidRPr="00EB2D26" w14:paraId="5F824156" w14:textId="77777777" w:rsidTr="00C15FB9">
        <w:trPr>
          <w:cantSplit/>
          <w:trHeight w:val="305"/>
          <w:tblHeader/>
        </w:trPr>
        <w:tc>
          <w:tcPr>
            <w:tcW w:w="1526" w:type="dxa"/>
          </w:tcPr>
          <w:p w14:paraId="277738B1" w14:textId="77777777" w:rsidR="00467ADD" w:rsidRPr="00F06520" w:rsidRDefault="00467ADD" w:rsidP="00ED0788">
            <w:pPr>
              <w:rPr>
                <w:rFonts w:cs="Arial"/>
                <w:b/>
                <w:bCs/>
                <w:sz w:val="18"/>
                <w:szCs w:val="18"/>
              </w:rPr>
            </w:pPr>
            <w:r w:rsidRPr="00F06520">
              <w:rPr>
                <w:rFonts w:cs="Arial"/>
                <w:b/>
                <w:bCs/>
                <w:sz w:val="18"/>
                <w:szCs w:val="18"/>
              </w:rPr>
              <w:t>≥ 70</w:t>
            </w:r>
          </w:p>
        </w:tc>
        <w:tc>
          <w:tcPr>
            <w:tcW w:w="6379" w:type="dxa"/>
          </w:tcPr>
          <w:p w14:paraId="23C69334" w14:textId="7D2F31C0" w:rsidR="00467ADD" w:rsidRPr="00EB2D26" w:rsidRDefault="00467ADD" w:rsidP="00ED0788">
            <w:pPr>
              <w:rPr>
                <w:rFonts w:cs="Arial"/>
                <w:sz w:val="18"/>
                <w:szCs w:val="18"/>
              </w:rPr>
            </w:pPr>
            <w:r w:rsidRPr="00EB2D26">
              <w:rPr>
                <w:rFonts w:cs="Arial"/>
                <w:sz w:val="18"/>
                <w:szCs w:val="18"/>
              </w:rPr>
              <w:t>All eligible including if asymptomatic</w:t>
            </w:r>
            <w:r w:rsidR="005343EB">
              <w:rPr>
                <w:rFonts w:cs="Arial"/>
                <w:sz w:val="18"/>
                <w:szCs w:val="18"/>
              </w:rPr>
              <w:t xml:space="preserve"> (irrespective of vaccination status)</w:t>
            </w:r>
          </w:p>
        </w:tc>
        <w:tc>
          <w:tcPr>
            <w:tcW w:w="2551" w:type="dxa"/>
          </w:tcPr>
          <w:p w14:paraId="140A0583" w14:textId="77777777" w:rsidR="00467ADD" w:rsidRPr="00EB2D26" w:rsidRDefault="00467ADD" w:rsidP="00ED0788">
            <w:pPr>
              <w:rPr>
                <w:rFonts w:cs="Arial"/>
                <w:sz w:val="18"/>
                <w:szCs w:val="18"/>
              </w:rPr>
            </w:pPr>
            <w:r>
              <w:rPr>
                <w:rFonts w:cs="Arial"/>
                <w:sz w:val="18"/>
                <w:szCs w:val="18"/>
              </w:rPr>
              <w:t>As per NMS</w:t>
            </w:r>
          </w:p>
        </w:tc>
      </w:tr>
      <w:tr w:rsidR="00467ADD" w14:paraId="463873E4" w14:textId="77777777" w:rsidTr="00C15FB9">
        <w:trPr>
          <w:cantSplit/>
          <w:trHeight w:val="305"/>
          <w:tblHeader/>
        </w:trPr>
        <w:tc>
          <w:tcPr>
            <w:tcW w:w="1526" w:type="dxa"/>
          </w:tcPr>
          <w:p w14:paraId="23117CC6" w14:textId="77777777" w:rsidR="00467ADD" w:rsidRPr="00E87A0F" w:rsidRDefault="00467ADD" w:rsidP="00ED0788">
            <w:pPr>
              <w:rPr>
                <w:rFonts w:cs="Arial"/>
                <w:b/>
                <w:bCs/>
                <w:sz w:val="18"/>
                <w:szCs w:val="18"/>
              </w:rPr>
            </w:pPr>
            <w:r w:rsidRPr="00E87A0F">
              <w:rPr>
                <w:rFonts w:cs="Arial"/>
                <w:b/>
                <w:bCs/>
                <w:sz w:val="18"/>
                <w:szCs w:val="18"/>
              </w:rPr>
              <w:t xml:space="preserve">≥ 50 </w:t>
            </w:r>
          </w:p>
        </w:tc>
        <w:tc>
          <w:tcPr>
            <w:tcW w:w="6379" w:type="dxa"/>
          </w:tcPr>
          <w:p w14:paraId="70EC8D6C" w14:textId="74811A76" w:rsidR="00467ADD" w:rsidRPr="00E87A0F" w:rsidRDefault="00467ADD" w:rsidP="00ED0788">
            <w:pPr>
              <w:rPr>
                <w:rFonts w:cs="Arial"/>
                <w:sz w:val="18"/>
                <w:szCs w:val="18"/>
              </w:rPr>
            </w:pPr>
            <w:r w:rsidRPr="00E87A0F">
              <w:rPr>
                <w:rFonts w:cs="Arial"/>
                <w:sz w:val="18"/>
                <w:szCs w:val="18"/>
              </w:rPr>
              <w:t>If not up-to-date with vaccinations</w:t>
            </w:r>
            <w:r w:rsidR="001307AC" w:rsidRPr="001307AC">
              <w:rPr>
                <w:rFonts w:cs="Arial"/>
                <w:sz w:val="18"/>
                <w:szCs w:val="18"/>
                <w:vertAlign w:val="superscript"/>
              </w:rPr>
              <w:t>1</w:t>
            </w:r>
          </w:p>
        </w:tc>
        <w:tc>
          <w:tcPr>
            <w:tcW w:w="2551" w:type="dxa"/>
          </w:tcPr>
          <w:p w14:paraId="3DFA4BBD" w14:textId="77777777" w:rsidR="00467ADD" w:rsidRDefault="00467ADD" w:rsidP="00ED0788">
            <w:pPr>
              <w:rPr>
                <w:rFonts w:cs="Arial"/>
                <w:sz w:val="18"/>
                <w:szCs w:val="18"/>
              </w:rPr>
            </w:pPr>
            <w:r>
              <w:rPr>
                <w:rFonts w:cs="Arial"/>
                <w:sz w:val="18"/>
                <w:szCs w:val="18"/>
              </w:rPr>
              <w:t>N/A</w:t>
            </w:r>
          </w:p>
        </w:tc>
      </w:tr>
      <w:tr w:rsidR="00467ADD" w14:paraId="3E05AB65" w14:textId="77777777" w:rsidTr="00C15FB9">
        <w:trPr>
          <w:cantSplit/>
          <w:trHeight w:val="305"/>
          <w:tblHeader/>
        </w:trPr>
        <w:tc>
          <w:tcPr>
            <w:tcW w:w="1526" w:type="dxa"/>
          </w:tcPr>
          <w:p w14:paraId="7EC2D0AF" w14:textId="77777777" w:rsidR="00467ADD" w:rsidRPr="00E87A0F" w:rsidRDefault="00467ADD" w:rsidP="00ED0788">
            <w:pPr>
              <w:rPr>
                <w:rFonts w:cs="Arial"/>
                <w:b/>
                <w:bCs/>
                <w:sz w:val="18"/>
                <w:szCs w:val="18"/>
              </w:rPr>
            </w:pPr>
            <w:r w:rsidRPr="00E87A0F">
              <w:rPr>
                <w:rFonts w:cs="Arial"/>
                <w:b/>
                <w:bCs/>
                <w:sz w:val="18"/>
                <w:szCs w:val="18"/>
              </w:rPr>
              <w:t>&gt; 13 weeks pregnant</w:t>
            </w:r>
          </w:p>
        </w:tc>
        <w:tc>
          <w:tcPr>
            <w:tcW w:w="6379" w:type="dxa"/>
          </w:tcPr>
          <w:p w14:paraId="12CCC822" w14:textId="33EC53A2" w:rsidR="00467ADD" w:rsidRPr="00E87A0F" w:rsidRDefault="00467ADD" w:rsidP="00ED0788">
            <w:pPr>
              <w:rPr>
                <w:rFonts w:cs="Arial"/>
                <w:sz w:val="18"/>
                <w:szCs w:val="18"/>
              </w:rPr>
            </w:pPr>
            <w:r w:rsidRPr="00E87A0F">
              <w:rPr>
                <w:rFonts w:cs="Arial"/>
                <w:sz w:val="18"/>
                <w:szCs w:val="18"/>
              </w:rPr>
              <w:t>If not up-to-date with vaccinations</w:t>
            </w:r>
            <w:r w:rsidR="001307AC" w:rsidRPr="001307AC">
              <w:rPr>
                <w:rFonts w:cs="Arial"/>
                <w:sz w:val="18"/>
                <w:szCs w:val="18"/>
                <w:vertAlign w:val="superscript"/>
              </w:rPr>
              <w:t>1</w:t>
            </w:r>
          </w:p>
        </w:tc>
        <w:tc>
          <w:tcPr>
            <w:tcW w:w="2551" w:type="dxa"/>
          </w:tcPr>
          <w:p w14:paraId="55266BE2" w14:textId="77777777" w:rsidR="00467ADD" w:rsidRDefault="00467ADD" w:rsidP="00ED0788">
            <w:pPr>
              <w:rPr>
                <w:rFonts w:cs="Arial"/>
                <w:sz w:val="18"/>
                <w:szCs w:val="18"/>
              </w:rPr>
            </w:pPr>
            <w:r>
              <w:rPr>
                <w:rFonts w:cs="Arial"/>
                <w:sz w:val="18"/>
                <w:szCs w:val="18"/>
              </w:rPr>
              <w:t>N/A</w:t>
            </w:r>
          </w:p>
        </w:tc>
      </w:tr>
      <w:tr w:rsidR="00467ADD" w14:paraId="02CAEBEF" w14:textId="77777777" w:rsidTr="00C15FB9">
        <w:trPr>
          <w:cantSplit/>
          <w:trHeight w:val="305"/>
          <w:tblHeader/>
        </w:trPr>
        <w:tc>
          <w:tcPr>
            <w:tcW w:w="1526" w:type="dxa"/>
          </w:tcPr>
          <w:p w14:paraId="7A8D29EA" w14:textId="77777777" w:rsidR="00467ADD" w:rsidRPr="00E87A0F" w:rsidRDefault="00467ADD" w:rsidP="00ED0788">
            <w:pPr>
              <w:rPr>
                <w:rFonts w:cs="Arial"/>
                <w:b/>
                <w:bCs/>
                <w:sz w:val="18"/>
                <w:szCs w:val="18"/>
              </w:rPr>
            </w:pPr>
            <w:r w:rsidRPr="00F06520">
              <w:rPr>
                <w:rFonts w:cs="Arial"/>
                <w:b/>
                <w:bCs/>
                <w:sz w:val="18"/>
                <w:szCs w:val="18"/>
              </w:rPr>
              <w:t xml:space="preserve">≥ </w:t>
            </w:r>
            <w:r>
              <w:rPr>
                <w:rFonts w:cs="Arial"/>
                <w:b/>
                <w:bCs/>
                <w:sz w:val="18"/>
                <w:szCs w:val="18"/>
              </w:rPr>
              <w:t>18</w:t>
            </w:r>
          </w:p>
        </w:tc>
        <w:tc>
          <w:tcPr>
            <w:tcW w:w="6379" w:type="dxa"/>
          </w:tcPr>
          <w:p w14:paraId="148DE940" w14:textId="7C6ABA91" w:rsidR="00467ADD" w:rsidRPr="00E87A0F" w:rsidRDefault="00467ADD" w:rsidP="00ED0788">
            <w:pPr>
              <w:rPr>
                <w:rFonts w:cs="Arial"/>
                <w:sz w:val="18"/>
                <w:szCs w:val="18"/>
              </w:rPr>
            </w:pPr>
            <w:r>
              <w:rPr>
                <w:rFonts w:cs="Arial"/>
                <w:sz w:val="18"/>
                <w:szCs w:val="18"/>
              </w:rPr>
              <w:t>COVID+ patients in an outbreak setting</w:t>
            </w:r>
            <w:r w:rsidR="005343EB">
              <w:rPr>
                <w:rFonts w:cs="Arial"/>
                <w:sz w:val="18"/>
                <w:szCs w:val="18"/>
              </w:rPr>
              <w:t xml:space="preserve"> (irrespective of vaccination status)</w:t>
            </w:r>
          </w:p>
        </w:tc>
        <w:tc>
          <w:tcPr>
            <w:tcW w:w="2551" w:type="dxa"/>
          </w:tcPr>
          <w:p w14:paraId="2339FDD0" w14:textId="77777777" w:rsidR="00467ADD" w:rsidRDefault="00467ADD" w:rsidP="00ED0788">
            <w:pPr>
              <w:rPr>
                <w:rFonts w:cs="Arial"/>
                <w:sz w:val="18"/>
                <w:szCs w:val="18"/>
              </w:rPr>
            </w:pPr>
            <w:r w:rsidRPr="00250ADE">
              <w:rPr>
                <w:rFonts w:cs="Arial"/>
                <w:sz w:val="18"/>
                <w:szCs w:val="18"/>
              </w:rPr>
              <w:t>N/A</w:t>
            </w:r>
          </w:p>
        </w:tc>
      </w:tr>
    </w:tbl>
    <w:p w14:paraId="51F37EDF" w14:textId="77777777" w:rsidR="00CC3907" w:rsidRDefault="00CC3907" w:rsidP="00CB6C96">
      <w:pPr>
        <w:pStyle w:val="Body"/>
        <w:spacing w:after="0" w:line="276" w:lineRule="auto"/>
      </w:pPr>
    </w:p>
    <w:tbl>
      <w:tblPr>
        <w:tblStyle w:val="TableGrid"/>
        <w:tblW w:w="10446" w:type="dxa"/>
        <w:tblLook w:val="04A0" w:firstRow="1" w:lastRow="0" w:firstColumn="1" w:lastColumn="0" w:noHBand="0" w:noVBand="1"/>
      </w:tblPr>
      <w:tblGrid>
        <w:gridCol w:w="1526"/>
        <w:gridCol w:w="6379"/>
        <w:gridCol w:w="2541"/>
      </w:tblGrid>
      <w:tr w:rsidR="00CC3907" w:rsidRPr="00AF1D62" w14:paraId="5839312E" w14:textId="77777777" w:rsidTr="00C15FB9">
        <w:trPr>
          <w:cantSplit/>
          <w:trHeight w:val="707"/>
          <w:tblHeader/>
        </w:trPr>
        <w:tc>
          <w:tcPr>
            <w:tcW w:w="1526" w:type="dxa"/>
            <w:shd w:val="clear" w:color="auto" w:fill="002060"/>
          </w:tcPr>
          <w:p w14:paraId="727B6C26" w14:textId="548B4F1F" w:rsidR="00CC3907" w:rsidRPr="00EB2D26" w:rsidRDefault="00CC3907" w:rsidP="00C15FB9">
            <w:pPr>
              <w:jc w:val="center"/>
              <w:textAlignment w:val="baseline"/>
              <w:rPr>
                <w:rFonts w:eastAsia="MS Gothic" w:cs="Arial"/>
                <w:b/>
                <w:bCs/>
                <w:color w:val="FFFFFF"/>
                <w:sz w:val="18"/>
                <w:szCs w:val="18"/>
              </w:rPr>
            </w:pPr>
            <w:r w:rsidRPr="00EB2D26">
              <w:rPr>
                <w:rFonts w:eastAsia="MS Gothic" w:cs="Arial"/>
                <w:b/>
                <w:bCs/>
                <w:color w:val="FFFFFF"/>
                <w:sz w:val="18"/>
                <w:szCs w:val="18"/>
              </w:rPr>
              <w:t>Category:</w:t>
            </w:r>
          </w:p>
          <w:p w14:paraId="4DAB19FD" w14:textId="03F0EACA" w:rsidR="00CC3907" w:rsidRPr="00F06520" w:rsidRDefault="00CC3907" w:rsidP="00C15FB9">
            <w:pPr>
              <w:jc w:val="center"/>
              <w:rPr>
                <w:rFonts w:cs="Arial"/>
                <w:b/>
                <w:bCs/>
                <w:sz w:val="18"/>
                <w:szCs w:val="18"/>
              </w:rPr>
            </w:pPr>
            <w:r w:rsidRPr="00EB2D26">
              <w:rPr>
                <w:rFonts w:eastAsia="MS Gothic" w:cs="Arial"/>
                <w:b/>
                <w:bCs/>
                <w:color w:val="FFFFFF"/>
                <w:sz w:val="18"/>
                <w:szCs w:val="18"/>
              </w:rPr>
              <w:t>Age (years)</w:t>
            </w:r>
          </w:p>
        </w:tc>
        <w:tc>
          <w:tcPr>
            <w:tcW w:w="6379" w:type="dxa"/>
            <w:shd w:val="clear" w:color="auto" w:fill="002060"/>
          </w:tcPr>
          <w:p w14:paraId="3810CF75" w14:textId="65611D25" w:rsidR="00CC3907" w:rsidRDefault="00CC3907" w:rsidP="00C15FB9">
            <w:pPr>
              <w:jc w:val="center"/>
              <w:rPr>
                <w:rFonts w:cs="Arial"/>
                <w:b/>
                <w:bCs/>
                <w:sz w:val="18"/>
                <w:szCs w:val="18"/>
              </w:rPr>
            </w:pPr>
            <w:r>
              <w:rPr>
                <w:rFonts w:cs="Arial"/>
                <w:b/>
                <w:bCs/>
                <w:color w:val="FFFFFF"/>
                <w:sz w:val="18"/>
                <w:szCs w:val="18"/>
              </w:rPr>
              <w:t>Eligibility criteria – NMS (all early therapies)</w:t>
            </w:r>
          </w:p>
        </w:tc>
        <w:tc>
          <w:tcPr>
            <w:tcW w:w="2541" w:type="dxa"/>
            <w:shd w:val="clear" w:color="auto" w:fill="002060"/>
          </w:tcPr>
          <w:p w14:paraId="77F39F75" w14:textId="1C053F77" w:rsidR="00CC3907" w:rsidRPr="0037566E" w:rsidRDefault="00CC3907" w:rsidP="00C15FB9">
            <w:pPr>
              <w:jc w:val="center"/>
              <w:rPr>
                <w:rFonts w:cs="Arial"/>
                <w:b/>
                <w:bCs/>
                <w:sz w:val="18"/>
                <w:szCs w:val="18"/>
              </w:rPr>
            </w:pPr>
            <w:r>
              <w:rPr>
                <w:rFonts w:cs="Arial"/>
                <w:b/>
                <w:bCs/>
                <w:color w:val="FFFFFF"/>
                <w:sz w:val="18"/>
                <w:szCs w:val="18"/>
              </w:rPr>
              <w:t>Eligibility criteria – PBS (oral antivirals only)</w:t>
            </w:r>
          </w:p>
        </w:tc>
      </w:tr>
      <w:tr w:rsidR="00CC3907" w:rsidRPr="00AF1D62" w14:paraId="22FA98B3" w14:textId="77777777" w:rsidTr="00C15FB9">
        <w:trPr>
          <w:cantSplit/>
          <w:trHeight w:val="3767"/>
          <w:tblHeader/>
        </w:trPr>
        <w:tc>
          <w:tcPr>
            <w:tcW w:w="1526" w:type="dxa"/>
          </w:tcPr>
          <w:p w14:paraId="50230D89" w14:textId="77777777" w:rsidR="00CC3907" w:rsidRPr="00F06520" w:rsidRDefault="00CC3907" w:rsidP="00CC3907">
            <w:pPr>
              <w:rPr>
                <w:rFonts w:cs="Arial"/>
                <w:b/>
                <w:bCs/>
                <w:sz w:val="18"/>
                <w:szCs w:val="18"/>
              </w:rPr>
            </w:pPr>
            <w:r w:rsidRPr="00F06520">
              <w:rPr>
                <w:rFonts w:cs="Arial"/>
                <w:b/>
                <w:bCs/>
                <w:sz w:val="18"/>
                <w:szCs w:val="18"/>
              </w:rPr>
              <w:t xml:space="preserve">≥ 12 </w:t>
            </w:r>
          </w:p>
        </w:tc>
        <w:tc>
          <w:tcPr>
            <w:tcW w:w="6379" w:type="dxa"/>
          </w:tcPr>
          <w:p w14:paraId="6BCB22A0" w14:textId="2CB300D6" w:rsidR="00CC3907" w:rsidRPr="00EB2D26" w:rsidRDefault="00CC3907" w:rsidP="00CC3907">
            <w:pPr>
              <w:rPr>
                <w:rFonts w:cs="Arial"/>
                <w:b/>
                <w:bCs/>
                <w:sz w:val="18"/>
                <w:szCs w:val="18"/>
              </w:rPr>
            </w:pPr>
            <w:r>
              <w:rPr>
                <w:rFonts w:cs="Arial"/>
                <w:b/>
                <w:bCs/>
                <w:sz w:val="18"/>
                <w:szCs w:val="18"/>
              </w:rPr>
              <w:t>One</w:t>
            </w:r>
            <w:r w:rsidRPr="00EB2D26">
              <w:rPr>
                <w:rFonts w:cs="Arial"/>
                <w:b/>
                <w:bCs/>
                <w:sz w:val="18"/>
                <w:szCs w:val="18"/>
              </w:rPr>
              <w:t xml:space="preserve"> of the following</w:t>
            </w:r>
            <w:r>
              <w:rPr>
                <w:rFonts w:cs="Arial"/>
                <w:b/>
                <w:bCs/>
                <w:sz w:val="18"/>
                <w:szCs w:val="18"/>
              </w:rPr>
              <w:t xml:space="preserve"> risk factors</w:t>
            </w:r>
            <w:r w:rsidR="005343EB">
              <w:rPr>
                <w:rFonts w:cs="Arial"/>
                <w:b/>
                <w:bCs/>
                <w:sz w:val="18"/>
                <w:szCs w:val="18"/>
              </w:rPr>
              <w:t xml:space="preserve"> (irrespective of vaccination status)</w:t>
            </w:r>
            <w:r w:rsidRPr="00EB2D26">
              <w:rPr>
                <w:rFonts w:cs="Arial"/>
                <w:b/>
                <w:bCs/>
                <w:sz w:val="18"/>
                <w:szCs w:val="18"/>
              </w:rPr>
              <w:t xml:space="preserve">: </w:t>
            </w:r>
          </w:p>
          <w:p w14:paraId="6AFC3681" w14:textId="77777777" w:rsidR="00CC3907" w:rsidRPr="00EB2D26" w:rsidRDefault="00CC3907" w:rsidP="00CC3907">
            <w:pPr>
              <w:numPr>
                <w:ilvl w:val="0"/>
                <w:numId w:val="23"/>
              </w:numPr>
              <w:spacing w:after="240"/>
              <w:contextualSpacing/>
              <w:rPr>
                <w:sz w:val="18"/>
                <w:szCs w:val="18"/>
              </w:rPr>
            </w:pPr>
            <w:r w:rsidRPr="00EB2D26">
              <w:rPr>
                <w:sz w:val="18"/>
                <w:szCs w:val="18"/>
              </w:rPr>
              <w:t xml:space="preserve">The patient is in residential aged care </w:t>
            </w:r>
          </w:p>
          <w:p w14:paraId="68C3DFBB" w14:textId="77777777" w:rsidR="00CC3907" w:rsidRPr="00EB2D26" w:rsidRDefault="00CC3907" w:rsidP="00CC3907">
            <w:pPr>
              <w:numPr>
                <w:ilvl w:val="0"/>
                <w:numId w:val="23"/>
              </w:numPr>
              <w:spacing w:after="240"/>
              <w:contextualSpacing/>
              <w:rPr>
                <w:sz w:val="18"/>
                <w:szCs w:val="18"/>
              </w:rPr>
            </w:pPr>
            <w:r w:rsidRPr="00EB2D26">
              <w:rPr>
                <w:sz w:val="18"/>
                <w:szCs w:val="18"/>
              </w:rPr>
              <w:t>The patient has disability with multiple comorbidities and/or frailty</w:t>
            </w:r>
          </w:p>
          <w:p w14:paraId="3D6B064A" w14:textId="77777777" w:rsidR="00CC3907" w:rsidRPr="00EB2D26" w:rsidRDefault="00CC3907" w:rsidP="00CC3907">
            <w:pPr>
              <w:numPr>
                <w:ilvl w:val="0"/>
                <w:numId w:val="23"/>
              </w:numPr>
              <w:spacing w:after="240"/>
              <w:contextualSpacing/>
              <w:rPr>
                <w:sz w:val="18"/>
                <w:szCs w:val="18"/>
              </w:rPr>
            </w:pPr>
            <w:r w:rsidRPr="00EB2D26">
              <w:rPr>
                <w:sz w:val="18"/>
                <w:szCs w:val="18"/>
              </w:rPr>
              <w:t xml:space="preserve">Neurological conditions, including stroke and dementia and demyelinating conditions </w:t>
            </w:r>
          </w:p>
          <w:p w14:paraId="4DDD1A4D" w14:textId="77777777" w:rsidR="00CC3907" w:rsidRPr="00EB2D26" w:rsidRDefault="00CC3907" w:rsidP="00CC3907">
            <w:pPr>
              <w:numPr>
                <w:ilvl w:val="0"/>
                <w:numId w:val="23"/>
              </w:numPr>
              <w:spacing w:after="240"/>
              <w:contextualSpacing/>
              <w:rPr>
                <w:sz w:val="18"/>
                <w:szCs w:val="18"/>
              </w:rPr>
            </w:pPr>
            <w:r w:rsidRPr="00EB2D26">
              <w:rPr>
                <w:sz w:val="18"/>
                <w:szCs w:val="18"/>
              </w:rPr>
              <w:t xml:space="preserve">Respiratory compromise, including COPD, moderate or severe asthma (required inhaled steroids), and bronchiectasis, or caused by neurological or musculoskeletal disease </w:t>
            </w:r>
          </w:p>
          <w:p w14:paraId="3646D883" w14:textId="77777777" w:rsidR="00CC3907" w:rsidRPr="00EB2D26" w:rsidRDefault="00CC3907" w:rsidP="00CC3907">
            <w:pPr>
              <w:numPr>
                <w:ilvl w:val="0"/>
                <w:numId w:val="23"/>
              </w:numPr>
              <w:spacing w:after="240"/>
              <w:contextualSpacing/>
              <w:rPr>
                <w:sz w:val="18"/>
                <w:szCs w:val="18"/>
              </w:rPr>
            </w:pPr>
            <w:r w:rsidRPr="00EB2D26">
              <w:rPr>
                <w:sz w:val="18"/>
                <w:szCs w:val="18"/>
              </w:rPr>
              <w:t>Heart failure, coronary artery disease, cardiomyopathies</w:t>
            </w:r>
          </w:p>
          <w:p w14:paraId="56ECD994" w14:textId="34926FCD" w:rsidR="00CC3907" w:rsidRPr="00EB2D26" w:rsidRDefault="00CC3907" w:rsidP="00CC3907">
            <w:pPr>
              <w:numPr>
                <w:ilvl w:val="0"/>
                <w:numId w:val="23"/>
              </w:numPr>
              <w:spacing w:after="240"/>
              <w:contextualSpacing/>
              <w:rPr>
                <w:sz w:val="18"/>
                <w:szCs w:val="18"/>
              </w:rPr>
            </w:pPr>
            <w:r w:rsidRPr="00EB2D26">
              <w:rPr>
                <w:sz w:val="18"/>
                <w:szCs w:val="18"/>
              </w:rPr>
              <w:t>Obesity (BMI greater than 30 kg/m</w:t>
            </w:r>
            <w:r w:rsidRPr="00EB2D26">
              <w:rPr>
                <w:sz w:val="18"/>
                <w:szCs w:val="18"/>
                <w:vertAlign w:val="superscript"/>
              </w:rPr>
              <w:t>2</w:t>
            </w:r>
            <w:r w:rsidRPr="00EB2D26">
              <w:rPr>
                <w:sz w:val="18"/>
                <w:szCs w:val="18"/>
              </w:rPr>
              <w:t xml:space="preserve">) </w:t>
            </w:r>
          </w:p>
          <w:p w14:paraId="5763E140" w14:textId="77777777" w:rsidR="00CC3907" w:rsidRPr="00EB2D26" w:rsidRDefault="00CC3907" w:rsidP="00CC3907">
            <w:pPr>
              <w:numPr>
                <w:ilvl w:val="0"/>
                <w:numId w:val="23"/>
              </w:numPr>
              <w:spacing w:after="240"/>
              <w:contextualSpacing/>
              <w:rPr>
                <w:sz w:val="18"/>
                <w:szCs w:val="18"/>
              </w:rPr>
            </w:pPr>
            <w:r w:rsidRPr="00EB2D26">
              <w:rPr>
                <w:sz w:val="18"/>
                <w:szCs w:val="18"/>
              </w:rPr>
              <w:t>Diabetes type I or II, requiring medication for glycaemic control</w:t>
            </w:r>
          </w:p>
          <w:p w14:paraId="2DC52FF7" w14:textId="77777777" w:rsidR="00CC3907" w:rsidRPr="00EB2D26" w:rsidRDefault="00CC3907" w:rsidP="00CC3907">
            <w:pPr>
              <w:numPr>
                <w:ilvl w:val="0"/>
                <w:numId w:val="23"/>
              </w:numPr>
              <w:spacing w:after="240"/>
              <w:contextualSpacing/>
              <w:rPr>
                <w:sz w:val="18"/>
                <w:szCs w:val="18"/>
              </w:rPr>
            </w:pPr>
            <w:r w:rsidRPr="00EB2D26">
              <w:rPr>
                <w:sz w:val="18"/>
                <w:szCs w:val="18"/>
              </w:rPr>
              <w:t>Renal impairment (eGFR &lt; 60mL/min)</w:t>
            </w:r>
          </w:p>
          <w:p w14:paraId="00CDD6CC" w14:textId="77777777" w:rsidR="00CC3907" w:rsidRPr="00EB2D26" w:rsidRDefault="00CC3907" w:rsidP="00CC3907">
            <w:pPr>
              <w:numPr>
                <w:ilvl w:val="0"/>
                <w:numId w:val="23"/>
              </w:numPr>
              <w:spacing w:after="240"/>
              <w:contextualSpacing/>
              <w:rPr>
                <w:sz w:val="18"/>
                <w:szCs w:val="18"/>
              </w:rPr>
            </w:pPr>
            <w:r w:rsidRPr="00EB2D26">
              <w:rPr>
                <w:sz w:val="18"/>
                <w:szCs w:val="18"/>
              </w:rPr>
              <w:t xml:space="preserve">Cirrhosis </w:t>
            </w:r>
          </w:p>
          <w:p w14:paraId="73B60F32" w14:textId="1987CC75" w:rsidR="00CC3907" w:rsidRPr="000100D3" w:rsidRDefault="00CC3907" w:rsidP="00CC3907">
            <w:pPr>
              <w:numPr>
                <w:ilvl w:val="0"/>
                <w:numId w:val="23"/>
              </w:numPr>
              <w:spacing w:after="240"/>
              <w:contextualSpacing/>
              <w:rPr>
                <w:rFonts w:cs="Arial"/>
                <w:sz w:val="18"/>
                <w:szCs w:val="18"/>
              </w:rPr>
            </w:pPr>
            <w:r w:rsidRPr="00EB2D26">
              <w:rPr>
                <w:sz w:val="18"/>
                <w:szCs w:val="18"/>
              </w:rPr>
              <w:t>The patient has reduced, or lack of, access to higher level healthcare and lives in an area of geographic remoteness classified by the Modified Monash Model as Category 5 or above</w:t>
            </w:r>
            <w:r w:rsidR="001307AC" w:rsidRPr="001307AC">
              <w:rPr>
                <w:sz w:val="18"/>
                <w:szCs w:val="18"/>
                <w:vertAlign w:val="superscript"/>
              </w:rPr>
              <w:t>2</w:t>
            </w:r>
          </w:p>
          <w:p w14:paraId="2A71EF1F" w14:textId="77777777" w:rsidR="00CC3907" w:rsidRPr="00AA5BFE" w:rsidRDefault="00CC3907" w:rsidP="00CC3907">
            <w:pPr>
              <w:numPr>
                <w:ilvl w:val="0"/>
                <w:numId w:val="23"/>
              </w:numPr>
              <w:spacing w:after="240"/>
              <w:contextualSpacing/>
              <w:rPr>
                <w:rFonts w:cs="Arial"/>
                <w:sz w:val="18"/>
                <w:szCs w:val="18"/>
              </w:rPr>
            </w:pPr>
            <w:r>
              <w:rPr>
                <w:sz w:val="18"/>
                <w:szCs w:val="18"/>
              </w:rPr>
              <w:t>Paediatric complex chronic conditions (PCCC)</w:t>
            </w:r>
          </w:p>
        </w:tc>
        <w:tc>
          <w:tcPr>
            <w:tcW w:w="2541" w:type="dxa"/>
          </w:tcPr>
          <w:p w14:paraId="6FEF4450" w14:textId="77777777" w:rsidR="00CC3907" w:rsidRDefault="00CC3907" w:rsidP="00CC3907">
            <w:pPr>
              <w:rPr>
                <w:rFonts w:cs="Arial"/>
                <w:sz w:val="18"/>
                <w:szCs w:val="18"/>
              </w:rPr>
            </w:pPr>
            <w:r w:rsidRPr="0037566E">
              <w:rPr>
                <w:rFonts w:cs="Arial"/>
                <w:b/>
                <w:bCs/>
                <w:sz w:val="18"/>
                <w:szCs w:val="18"/>
              </w:rPr>
              <w:t>≥ 50</w:t>
            </w:r>
            <w:r>
              <w:rPr>
                <w:rFonts w:cs="Arial"/>
                <w:sz w:val="18"/>
                <w:szCs w:val="18"/>
              </w:rPr>
              <w:t xml:space="preserve"> with </w:t>
            </w:r>
            <w:r w:rsidRPr="0037566E">
              <w:rPr>
                <w:rFonts w:cs="Arial"/>
                <w:b/>
                <w:bCs/>
                <w:sz w:val="18"/>
                <w:szCs w:val="18"/>
              </w:rPr>
              <w:t>two risk factors</w:t>
            </w:r>
            <w:r>
              <w:rPr>
                <w:rFonts w:cs="Arial"/>
                <w:b/>
                <w:bCs/>
                <w:sz w:val="18"/>
                <w:szCs w:val="18"/>
              </w:rPr>
              <w:t xml:space="preserve">, </w:t>
            </w:r>
            <w:r>
              <w:rPr>
                <w:rFonts w:cs="Arial"/>
                <w:sz w:val="18"/>
                <w:szCs w:val="18"/>
              </w:rPr>
              <w:t xml:space="preserve">or </w:t>
            </w:r>
          </w:p>
          <w:p w14:paraId="491C98EA" w14:textId="3A26D2AB" w:rsidR="00CC3907" w:rsidRPr="00DD6A07" w:rsidRDefault="00CC3907" w:rsidP="00CC3907">
            <w:pPr>
              <w:rPr>
                <w:rFonts w:cs="Arial"/>
                <w:b/>
                <w:sz w:val="18"/>
                <w:szCs w:val="18"/>
              </w:rPr>
            </w:pPr>
            <w:r w:rsidRPr="00DD6A07">
              <w:rPr>
                <w:rFonts w:cs="Arial"/>
                <w:b/>
                <w:sz w:val="18"/>
                <w:szCs w:val="18"/>
              </w:rPr>
              <w:t>≥ 30</w:t>
            </w:r>
            <w:r w:rsidRPr="00DD6A07">
              <w:rPr>
                <w:rFonts w:cs="Arial"/>
                <w:sz w:val="18"/>
                <w:szCs w:val="18"/>
              </w:rPr>
              <w:t xml:space="preserve"> with </w:t>
            </w:r>
            <w:r w:rsidR="00D5210F">
              <w:rPr>
                <w:rFonts w:cs="Arial"/>
                <w:b/>
                <w:bCs/>
                <w:sz w:val="18"/>
                <w:szCs w:val="18"/>
                <w:highlight w:val="yellow"/>
              </w:rPr>
              <w:t>one</w:t>
            </w:r>
            <w:r w:rsidR="00D5210F" w:rsidRPr="00DD6A07">
              <w:rPr>
                <w:rFonts w:cs="Arial"/>
                <w:b/>
                <w:sz w:val="18"/>
                <w:szCs w:val="18"/>
                <w:highlight w:val="yellow"/>
              </w:rPr>
              <w:t xml:space="preserve"> </w:t>
            </w:r>
            <w:r w:rsidRPr="00DD6A07">
              <w:rPr>
                <w:rFonts w:cs="Arial"/>
                <w:b/>
                <w:sz w:val="18"/>
                <w:szCs w:val="18"/>
                <w:highlight w:val="yellow"/>
              </w:rPr>
              <w:t xml:space="preserve">risk </w:t>
            </w:r>
            <w:r w:rsidRPr="00DD6A07">
              <w:rPr>
                <w:rFonts w:cs="Arial"/>
                <w:b/>
                <w:bCs/>
                <w:sz w:val="18"/>
                <w:szCs w:val="18"/>
                <w:highlight w:val="yellow"/>
              </w:rPr>
              <w:t>factor</w:t>
            </w:r>
            <w:r w:rsidRPr="00DD6A07">
              <w:rPr>
                <w:rFonts w:cs="Arial"/>
                <w:b/>
                <w:sz w:val="18"/>
                <w:szCs w:val="18"/>
              </w:rPr>
              <w:t xml:space="preserve"> if Aboriginal</w:t>
            </w:r>
          </w:p>
          <w:p w14:paraId="6923198E" w14:textId="77777777" w:rsidR="00CC3907" w:rsidRDefault="00CC3907" w:rsidP="00CC3907">
            <w:pPr>
              <w:rPr>
                <w:rFonts w:cs="Arial"/>
                <w:sz w:val="18"/>
                <w:szCs w:val="18"/>
              </w:rPr>
            </w:pPr>
          </w:p>
          <w:p w14:paraId="0298408B" w14:textId="77777777" w:rsidR="00CC3907" w:rsidRDefault="00CC3907" w:rsidP="00CC3907">
            <w:pPr>
              <w:rPr>
                <w:rFonts w:cs="Arial"/>
                <w:sz w:val="18"/>
                <w:szCs w:val="18"/>
              </w:rPr>
            </w:pPr>
            <w:r>
              <w:rPr>
                <w:rFonts w:cs="Arial"/>
                <w:sz w:val="18"/>
                <w:szCs w:val="18"/>
              </w:rPr>
              <w:t>Risk factors as per NMS (minus PCCC)</w:t>
            </w:r>
          </w:p>
          <w:p w14:paraId="25F0D3D0" w14:textId="77777777" w:rsidR="00CC3907" w:rsidRPr="00AF1D62" w:rsidRDefault="00CC3907" w:rsidP="00CC3907">
            <w:pPr>
              <w:rPr>
                <w:rFonts w:cs="Arial"/>
                <w:sz w:val="18"/>
                <w:szCs w:val="18"/>
              </w:rPr>
            </w:pPr>
          </w:p>
        </w:tc>
      </w:tr>
      <w:tr w:rsidR="00CC3907" w14:paraId="7782ADB9" w14:textId="77777777" w:rsidTr="00C15FB9">
        <w:trPr>
          <w:cantSplit/>
          <w:trHeight w:val="1544"/>
          <w:tblHeader/>
        </w:trPr>
        <w:tc>
          <w:tcPr>
            <w:tcW w:w="1526" w:type="dxa"/>
          </w:tcPr>
          <w:p w14:paraId="02C0D61C" w14:textId="77777777" w:rsidR="00CC3907" w:rsidRPr="00F06520" w:rsidRDefault="00CC3907" w:rsidP="00CC3907">
            <w:pPr>
              <w:rPr>
                <w:rFonts w:cs="Arial"/>
                <w:b/>
                <w:bCs/>
                <w:sz w:val="18"/>
                <w:szCs w:val="18"/>
              </w:rPr>
            </w:pPr>
            <w:r w:rsidRPr="00F06520">
              <w:rPr>
                <w:rFonts w:cs="Arial"/>
                <w:b/>
                <w:bCs/>
                <w:sz w:val="18"/>
                <w:szCs w:val="18"/>
              </w:rPr>
              <w:t>≥ 12</w:t>
            </w:r>
          </w:p>
        </w:tc>
        <w:tc>
          <w:tcPr>
            <w:tcW w:w="6379" w:type="dxa"/>
          </w:tcPr>
          <w:p w14:paraId="3AE2A3CC" w14:textId="22A31EA8" w:rsidR="00CC3907" w:rsidRPr="00EB2D26" w:rsidRDefault="00CC3907" w:rsidP="00CC3907">
            <w:pPr>
              <w:rPr>
                <w:rFonts w:cs="Arial"/>
                <w:b/>
                <w:bCs/>
                <w:sz w:val="18"/>
                <w:szCs w:val="18"/>
              </w:rPr>
            </w:pPr>
            <w:r>
              <w:rPr>
                <w:rFonts w:cs="Arial"/>
                <w:b/>
                <w:bCs/>
                <w:sz w:val="18"/>
                <w:szCs w:val="18"/>
              </w:rPr>
              <w:t>One</w:t>
            </w:r>
            <w:r w:rsidRPr="00EB2D26">
              <w:rPr>
                <w:rFonts w:cs="Arial"/>
                <w:b/>
                <w:bCs/>
                <w:sz w:val="18"/>
                <w:szCs w:val="18"/>
              </w:rPr>
              <w:t xml:space="preserve"> of the following</w:t>
            </w:r>
            <w:r>
              <w:rPr>
                <w:rFonts w:cs="Arial"/>
                <w:b/>
                <w:bCs/>
                <w:sz w:val="18"/>
                <w:szCs w:val="18"/>
              </w:rPr>
              <w:t xml:space="preserve"> risk factors</w:t>
            </w:r>
            <w:r w:rsidR="005343EB">
              <w:rPr>
                <w:rFonts w:cs="Arial"/>
                <w:b/>
                <w:bCs/>
                <w:sz w:val="18"/>
                <w:szCs w:val="18"/>
              </w:rPr>
              <w:t xml:space="preserve"> (irrespective of vaccination status)</w:t>
            </w:r>
            <w:r w:rsidRPr="00EB2D26">
              <w:rPr>
                <w:rFonts w:cs="Arial"/>
                <w:b/>
                <w:bCs/>
                <w:sz w:val="18"/>
                <w:szCs w:val="18"/>
              </w:rPr>
              <w:t xml:space="preserve">: </w:t>
            </w:r>
          </w:p>
          <w:p w14:paraId="23B2A8B9" w14:textId="77777777" w:rsidR="00CC3907" w:rsidRPr="00EB2D26" w:rsidRDefault="00CC3907" w:rsidP="00CC3907">
            <w:pPr>
              <w:numPr>
                <w:ilvl w:val="0"/>
                <w:numId w:val="23"/>
              </w:numPr>
              <w:spacing w:after="240"/>
              <w:contextualSpacing/>
              <w:rPr>
                <w:sz w:val="18"/>
                <w:szCs w:val="18"/>
              </w:rPr>
            </w:pPr>
            <w:r w:rsidRPr="00EB2D26">
              <w:rPr>
                <w:sz w:val="18"/>
                <w:szCs w:val="18"/>
              </w:rPr>
              <w:t xml:space="preserve">Any primary or acquired immunodeficiency including: </w:t>
            </w:r>
          </w:p>
          <w:p w14:paraId="17FF82FF" w14:textId="77777777" w:rsidR="00CC3907" w:rsidRPr="00EB2D26" w:rsidRDefault="00CC3907" w:rsidP="00CC3907">
            <w:pPr>
              <w:spacing w:after="240"/>
              <w:ind w:left="283"/>
              <w:contextualSpacing/>
              <w:rPr>
                <w:sz w:val="18"/>
                <w:szCs w:val="18"/>
              </w:rPr>
            </w:pPr>
            <w:r w:rsidRPr="00EB2D26">
              <w:rPr>
                <w:sz w:val="18"/>
                <w:szCs w:val="18"/>
              </w:rPr>
              <w:t xml:space="preserve">a. Haematologic neoplasms: leukaemias, lymphomas, myelodysplastic syndromes, multiple myeloma and other plasma cell disorders, </w:t>
            </w:r>
          </w:p>
          <w:p w14:paraId="4051368C" w14:textId="77777777" w:rsidR="00CC3907" w:rsidRPr="00EB2D26" w:rsidRDefault="00CC3907" w:rsidP="00CC3907">
            <w:pPr>
              <w:spacing w:after="240"/>
              <w:ind w:left="283"/>
              <w:contextualSpacing/>
              <w:rPr>
                <w:sz w:val="18"/>
                <w:szCs w:val="18"/>
              </w:rPr>
            </w:pPr>
            <w:r w:rsidRPr="00EB2D26">
              <w:rPr>
                <w:sz w:val="18"/>
                <w:szCs w:val="18"/>
              </w:rPr>
              <w:t xml:space="preserve">b. Post-transplant: solid organ (on immunosuppressive therapy), haematopoietic stem cell transplant (within 24 months), </w:t>
            </w:r>
          </w:p>
          <w:p w14:paraId="06A65E66" w14:textId="77777777" w:rsidR="00CC3907" w:rsidRPr="00EB2D26" w:rsidRDefault="00CC3907" w:rsidP="00CC3907">
            <w:pPr>
              <w:spacing w:after="240"/>
              <w:ind w:left="283"/>
              <w:contextualSpacing/>
              <w:rPr>
                <w:sz w:val="18"/>
                <w:szCs w:val="18"/>
              </w:rPr>
            </w:pPr>
            <w:r w:rsidRPr="00EB2D26">
              <w:rPr>
                <w:sz w:val="18"/>
                <w:szCs w:val="18"/>
              </w:rPr>
              <w:t>c. Immunocompromised due to primary or acquired (HIV/AIDS) immunodeficiency</w:t>
            </w:r>
          </w:p>
          <w:p w14:paraId="378011BF" w14:textId="77777777" w:rsidR="00CC3907" w:rsidRPr="00EB2D26" w:rsidRDefault="00CC3907" w:rsidP="00CC3907">
            <w:pPr>
              <w:numPr>
                <w:ilvl w:val="0"/>
                <w:numId w:val="23"/>
              </w:numPr>
              <w:spacing w:after="240"/>
              <w:contextualSpacing/>
              <w:rPr>
                <w:sz w:val="18"/>
                <w:szCs w:val="18"/>
              </w:rPr>
            </w:pPr>
            <w:r w:rsidRPr="00EB2D26">
              <w:rPr>
                <w:sz w:val="18"/>
                <w:szCs w:val="18"/>
              </w:rPr>
              <w:t xml:space="preserve">Any significantly immunocompromising condition(s) where, in the last 3 months the patient has received: </w:t>
            </w:r>
          </w:p>
          <w:p w14:paraId="4735AA0C" w14:textId="77777777" w:rsidR="00CC3907" w:rsidRPr="00EB2D26" w:rsidRDefault="00CC3907" w:rsidP="00CC3907">
            <w:pPr>
              <w:spacing w:after="240"/>
              <w:ind w:left="283"/>
              <w:contextualSpacing/>
              <w:rPr>
                <w:sz w:val="18"/>
                <w:szCs w:val="18"/>
              </w:rPr>
            </w:pPr>
            <w:r w:rsidRPr="00EB2D26">
              <w:rPr>
                <w:sz w:val="18"/>
                <w:szCs w:val="18"/>
              </w:rPr>
              <w:t xml:space="preserve">a. Chemotherapy or whole body radiotherapy </w:t>
            </w:r>
          </w:p>
          <w:p w14:paraId="70C96A25" w14:textId="77777777" w:rsidR="00CC3907" w:rsidRPr="00EB2D26" w:rsidRDefault="00CC3907" w:rsidP="00CC3907">
            <w:pPr>
              <w:spacing w:after="240"/>
              <w:ind w:left="283"/>
              <w:contextualSpacing/>
              <w:rPr>
                <w:sz w:val="18"/>
                <w:szCs w:val="18"/>
              </w:rPr>
            </w:pPr>
            <w:r w:rsidRPr="00EB2D26">
              <w:rPr>
                <w:sz w:val="18"/>
                <w:szCs w:val="18"/>
              </w:rPr>
              <w:t>b. High-dose corticosteroids (at least 20 mg of prednisone per day, or equivalent) for at least 14 days in a month, or pulse corticosteroid therapy</w:t>
            </w:r>
          </w:p>
          <w:p w14:paraId="79F9FAD5" w14:textId="77777777" w:rsidR="00CC3907" w:rsidRPr="00EB2D26" w:rsidRDefault="00CC3907" w:rsidP="00CC3907">
            <w:pPr>
              <w:spacing w:after="240"/>
              <w:ind w:left="283"/>
              <w:contextualSpacing/>
              <w:rPr>
                <w:sz w:val="18"/>
                <w:szCs w:val="18"/>
              </w:rPr>
            </w:pPr>
            <w:r w:rsidRPr="00EB2D26">
              <w:rPr>
                <w:sz w:val="18"/>
                <w:szCs w:val="18"/>
              </w:rPr>
              <w:t>c. Biological agents and other treatments that deplete or inhibit B cell or T cell function (abatacept, anti-CD20 antibodies, BTK inhibitors, JAK inhibitors, sphingosine 1-phosphate receptor modulators, anti-CD52 antibodies, anti-complement antibodies, anti-thymocyte globulin)</w:t>
            </w:r>
          </w:p>
          <w:p w14:paraId="0618C514" w14:textId="11AC083B" w:rsidR="00CC3907" w:rsidRPr="00EB2D26" w:rsidRDefault="00CC3907" w:rsidP="00CC3907">
            <w:pPr>
              <w:spacing w:after="240"/>
              <w:ind w:left="283"/>
              <w:contextualSpacing/>
              <w:rPr>
                <w:sz w:val="18"/>
                <w:szCs w:val="18"/>
              </w:rPr>
            </w:pPr>
            <w:r w:rsidRPr="00EB2D26">
              <w:rPr>
                <w:sz w:val="18"/>
                <w:szCs w:val="18"/>
              </w:rPr>
              <w:t xml:space="preserve">d. Selected conventional synthetic disease-modifying anti-rheumatic drugs (csDMARDs) including mycophenolate, methotrexate, leflunomide, azathioprine, 6-mercaptopurine (at least 1.5mg/kg/day), alkylating agents (e.g. cyclophosphamide, chlorambucil), and systemic calcineurin inhibitors (e.g. cyclosporin, tacrolimus) </w:t>
            </w:r>
          </w:p>
          <w:p w14:paraId="7F4D41F1" w14:textId="77777777" w:rsidR="00CC3907" w:rsidRDefault="00CC3907" w:rsidP="00CC3907">
            <w:pPr>
              <w:numPr>
                <w:ilvl w:val="0"/>
                <w:numId w:val="23"/>
              </w:numPr>
              <w:spacing w:after="240"/>
              <w:contextualSpacing/>
              <w:rPr>
                <w:sz w:val="18"/>
                <w:szCs w:val="18"/>
              </w:rPr>
            </w:pPr>
            <w:r w:rsidRPr="00EB2D26">
              <w:rPr>
                <w:sz w:val="18"/>
                <w:szCs w:val="18"/>
              </w:rPr>
              <w:t xml:space="preserve">Any significantly immunocompromising condition(s) where, in the last 12 months the patient has received rituximab </w:t>
            </w:r>
          </w:p>
          <w:p w14:paraId="51E7A4CC" w14:textId="77777777" w:rsidR="00CC3907" w:rsidRDefault="00CC3907" w:rsidP="00CC3907">
            <w:pPr>
              <w:numPr>
                <w:ilvl w:val="0"/>
                <w:numId w:val="23"/>
              </w:numPr>
              <w:spacing w:after="240"/>
              <w:contextualSpacing/>
              <w:rPr>
                <w:sz w:val="18"/>
                <w:szCs w:val="18"/>
              </w:rPr>
            </w:pPr>
            <w:r w:rsidRPr="00AA5BFE">
              <w:rPr>
                <w:sz w:val="18"/>
                <w:szCs w:val="18"/>
              </w:rPr>
              <w:t>Others with very high-risk conditions including Down Syndrome, cerebral palsy, congenital heart disease, thalassemia, sickle cell disease and other haemoglobinopathies</w:t>
            </w:r>
          </w:p>
          <w:p w14:paraId="3EAA15D4" w14:textId="0FC473A9" w:rsidR="00CC3907" w:rsidRPr="00AA5BFE" w:rsidRDefault="00293D73" w:rsidP="00CC3907">
            <w:pPr>
              <w:numPr>
                <w:ilvl w:val="0"/>
                <w:numId w:val="23"/>
              </w:numPr>
              <w:spacing w:after="240"/>
              <w:contextualSpacing/>
              <w:rPr>
                <w:sz w:val="18"/>
                <w:szCs w:val="18"/>
              </w:rPr>
            </w:pPr>
            <w:r>
              <w:rPr>
                <w:noProof/>
              </w:rPr>
              <w:pict w14:anchorId="5DBCC8DD">
                <v:shape id="_x0000_s2072" type="#_x0000_t202" style="position:absolute;left:0;text-align:left;margin-left:-76.6pt;margin-top:16.1pt;width:531.05pt;height:37.95pt;z-index:251658247;visibility:visible;mso-wrap-distance-top:3.6pt;mso-wrap-distance-bottom:3.6pt;mso-width-relative:margin;mso-height-relative:margin" filled="f" stroked="f">
                  <v:textbox style="mso-next-textbox:#_x0000_s2072">
                    <w:txbxContent>
                      <w:p w14:paraId="0013A42F" w14:textId="3D8CA9D8" w:rsidR="008C665F" w:rsidRPr="00D33B1B" w:rsidRDefault="00A05DDF" w:rsidP="008C665F">
                        <w:pPr>
                          <w:pStyle w:val="Body"/>
                          <w:spacing w:after="0" w:line="276" w:lineRule="auto"/>
                          <w:rPr>
                            <w:sz w:val="16"/>
                            <w:szCs w:val="16"/>
                          </w:rPr>
                        </w:pPr>
                        <w:r w:rsidRPr="00D33B1B">
                          <w:rPr>
                            <w:sz w:val="16"/>
                            <w:szCs w:val="16"/>
                          </w:rPr>
                          <w:t xml:space="preserve">1. </w:t>
                        </w:r>
                        <w:r w:rsidR="008C665F" w:rsidRPr="00D33B1B">
                          <w:rPr>
                            <w:sz w:val="16"/>
                            <w:szCs w:val="16"/>
                          </w:rPr>
                          <w:t xml:space="preserve">Refer to </w:t>
                        </w:r>
                        <w:hyperlink r:id="rId66" w:anchor=":~:text=ATAGI%20emphasises%20the%20importance%20of,is%20critical%2C%20e.g.%20health%20care">
                          <w:r w:rsidR="008C665F" w:rsidRPr="00D33B1B">
                            <w:rPr>
                              <w:rStyle w:val="Hyperlink"/>
                              <w:sz w:val="16"/>
                              <w:szCs w:val="16"/>
                            </w:rPr>
                            <w:t>ATAGI</w:t>
                          </w:r>
                        </w:hyperlink>
                        <w:r w:rsidR="008C665F" w:rsidRPr="00D33B1B">
                          <w:rPr>
                            <w:sz w:val="16"/>
                            <w:szCs w:val="16"/>
                          </w:rPr>
                          <w:t xml:space="preserve"> vaccination status definitions. Also consider people who have been </w:t>
                        </w:r>
                        <w:hyperlink r:id="rId67">
                          <w:r w:rsidR="008C665F" w:rsidRPr="00D33B1B">
                            <w:rPr>
                              <w:rStyle w:val="Hyperlink"/>
                              <w:sz w:val="16"/>
                              <w:szCs w:val="16"/>
                            </w:rPr>
                            <w:t>recommended additional boosters</w:t>
                          </w:r>
                        </w:hyperlink>
                        <w:r w:rsidR="008C665F" w:rsidRPr="00D33B1B">
                          <w:rPr>
                            <w:sz w:val="16"/>
                            <w:szCs w:val="16"/>
                          </w:rPr>
                          <w:t xml:space="preserve"> as not-up-to-date.</w:t>
                        </w:r>
                      </w:p>
                      <w:p w14:paraId="43FE9106" w14:textId="64FD55AE" w:rsidR="00A05DDF" w:rsidRPr="00A05DDF" w:rsidRDefault="00A05DDF" w:rsidP="008C665F">
                        <w:pPr>
                          <w:pStyle w:val="Body"/>
                          <w:spacing w:after="0" w:line="276" w:lineRule="auto"/>
                          <w:rPr>
                            <w:sz w:val="20"/>
                            <w:szCs w:val="18"/>
                          </w:rPr>
                        </w:pPr>
                        <w:r w:rsidRPr="00D33B1B">
                          <w:rPr>
                            <w:sz w:val="16"/>
                            <w:szCs w:val="16"/>
                          </w:rPr>
                          <w:t xml:space="preserve">2. See </w:t>
                        </w:r>
                        <w:hyperlink r:id="rId68" w:history="1">
                          <w:r w:rsidR="00CD4B5A" w:rsidRPr="00D33B1B">
                            <w:rPr>
                              <w:rStyle w:val="Hyperlink"/>
                              <w:sz w:val="16"/>
                              <w:szCs w:val="16"/>
                            </w:rPr>
                            <w:t>https://www.health.gov.au/sites/default/files/documents/2019/12/modified-monash-model-mmm-suburb-and-locality-classification-home-care-subsidy-modified-monash-model-suburb-and-locality-classification-home-care-subsidy_0.pdf</w:t>
                          </w:r>
                        </w:hyperlink>
                      </w:p>
                      <w:p w14:paraId="66BAC201" w14:textId="5FB92F62" w:rsidR="008C665F" w:rsidRDefault="008C665F"/>
                    </w:txbxContent>
                  </v:textbox>
                </v:shape>
              </w:pict>
            </w:r>
            <w:r w:rsidR="00CC3907" w:rsidRPr="00EB2D26">
              <w:rPr>
                <w:sz w:val="18"/>
                <w:szCs w:val="18"/>
              </w:rPr>
              <w:t>The patient has disability with multiple comorbidities and/or frailty</w:t>
            </w:r>
          </w:p>
        </w:tc>
        <w:tc>
          <w:tcPr>
            <w:tcW w:w="2541" w:type="dxa"/>
          </w:tcPr>
          <w:p w14:paraId="1E143930" w14:textId="77777777" w:rsidR="00CC3907" w:rsidRDefault="00CC3907" w:rsidP="00CC3907">
            <w:pPr>
              <w:rPr>
                <w:rFonts w:cs="Arial"/>
                <w:sz w:val="18"/>
                <w:szCs w:val="18"/>
              </w:rPr>
            </w:pPr>
            <w:r w:rsidRPr="0037566E">
              <w:rPr>
                <w:rFonts w:cs="Arial"/>
                <w:b/>
                <w:bCs/>
                <w:sz w:val="18"/>
                <w:szCs w:val="18"/>
              </w:rPr>
              <w:t xml:space="preserve">≥ </w:t>
            </w:r>
            <w:r>
              <w:rPr>
                <w:rFonts w:cs="Arial"/>
                <w:b/>
                <w:bCs/>
                <w:sz w:val="18"/>
                <w:szCs w:val="18"/>
              </w:rPr>
              <w:t>18</w:t>
            </w:r>
            <w:r>
              <w:rPr>
                <w:rFonts w:cs="Arial"/>
                <w:sz w:val="18"/>
                <w:szCs w:val="18"/>
              </w:rPr>
              <w:t xml:space="preserve"> with </w:t>
            </w:r>
            <w:r>
              <w:rPr>
                <w:rFonts w:cs="Arial"/>
                <w:b/>
                <w:bCs/>
                <w:sz w:val="18"/>
                <w:szCs w:val="18"/>
              </w:rPr>
              <w:t>one</w:t>
            </w:r>
            <w:r w:rsidRPr="0037566E">
              <w:rPr>
                <w:rFonts w:cs="Arial"/>
                <w:b/>
                <w:bCs/>
                <w:sz w:val="18"/>
                <w:szCs w:val="18"/>
              </w:rPr>
              <w:t xml:space="preserve"> risk factor</w:t>
            </w:r>
          </w:p>
          <w:p w14:paraId="08E2B1BE" w14:textId="77777777" w:rsidR="00CC3907" w:rsidRDefault="00CC3907" w:rsidP="00CC3907">
            <w:pPr>
              <w:rPr>
                <w:rFonts w:cs="Arial"/>
                <w:sz w:val="18"/>
                <w:szCs w:val="18"/>
              </w:rPr>
            </w:pPr>
          </w:p>
          <w:p w14:paraId="7BC98E8D" w14:textId="77777777" w:rsidR="00CC3907" w:rsidRDefault="00CC3907" w:rsidP="00CC3907">
            <w:pPr>
              <w:rPr>
                <w:rFonts w:cs="Arial"/>
                <w:sz w:val="18"/>
                <w:szCs w:val="18"/>
              </w:rPr>
            </w:pPr>
            <w:r>
              <w:rPr>
                <w:rFonts w:cs="Arial"/>
                <w:sz w:val="18"/>
                <w:szCs w:val="18"/>
              </w:rPr>
              <w:t>Risk factors as per NMS</w:t>
            </w:r>
          </w:p>
          <w:p w14:paraId="7E6EB0D4" w14:textId="77777777" w:rsidR="00CC3907" w:rsidRDefault="00CC3907" w:rsidP="00CC3907">
            <w:pPr>
              <w:rPr>
                <w:rFonts w:cs="Arial"/>
                <w:b/>
                <w:bCs/>
                <w:sz w:val="18"/>
                <w:szCs w:val="18"/>
              </w:rPr>
            </w:pPr>
          </w:p>
        </w:tc>
      </w:tr>
    </w:tbl>
    <w:p w14:paraId="06FAF8AF" w14:textId="795F4572" w:rsidR="00CB6C96" w:rsidRDefault="00CB6C96" w:rsidP="00CB6C96">
      <w:pPr>
        <w:pStyle w:val="Body"/>
        <w:spacing w:after="0" w:line="276" w:lineRule="auto"/>
        <w:sectPr w:rsidR="00CB6C96" w:rsidSect="00C22F89">
          <w:pgSz w:w="11906" w:h="16838" w:code="9"/>
          <w:pgMar w:top="1418" w:right="851" w:bottom="1418" w:left="851" w:header="680" w:footer="851" w:gutter="0"/>
          <w:cols w:space="340"/>
          <w:docGrid w:linePitch="360"/>
        </w:sectPr>
      </w:pPr>
    </w:p>
    <w:p w14:paraId="53E32D70" w14:textId="0B6E55F8" w:rsidR="00DE24ED" w:rsidRPr="00EB2D26" w:rsidRDefault="00DE24ED" w:rsidP="00DE24ED">
      <w:pPr>
        <w:keepNext/>
        <w:keepLines/>
        <w:spacing w:before="240" w:line="250" w:lineRule="atLeast"/>
        <w:rPr>
          <w:b/>
        </w:rPr>
      </w:pPr>
      <w:r w:rsidRPr="00D33B1B">
        <w:rPr>
          <w:b/>
        </w:rPr>
        <w:lastRenderedPageBreak/>
        <w:t xml:space="preserve">Table </w:t>
      </w:r>
      <w:r w:rsidR="000A194C" w:rsidRPr="00D33B1B">
        <w:rPr>
          <w:b/>
        </w:rPr>
        <w:t>3</w:t>
      </w:r>
      <w:r w:rsidRPr="00D33B1B">
        <w:rPr>
          <w:b/>
        </w:rPr>
        <w:t>.</w:t>
      </w:r>
      <w:r w:rsidRPr="00EB2D26">
        <w:rPr>
          <w:b/>
        </w:rPr>
        <w:t xml:space="preserve"> Prioritisation of patients for COVID-19 medications </w:t>
      </w:r>
    </w:p>
    <w:p w14:paraId="4D530E09" w14:textId="77777777" w:rsidR="00DE24ED" w:rsidRPr="00EB2D26" w:rsidRDefault="00DE24ED" w:rsidP="00DE24ED">
      <w:pPr>
        <w:spacing w:after="0" w:line="240" w:lineRule="auto"/>
        <w:contextualSpacing/>
        <w:rPr>
          <w:rFonts w:eastAsia="Times" w:cs="Arial"/>
          <w:noProof/>
          <w:sz w:val="12"/>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1209"/>
        <w:gridCol w:w="1620"/>
        <w:gridCol w:w="3142"/>
        <w:gridCol w:w="4011"/>
        <w:gridCol w:w="2875"/>
      </w:tblGrid>
      <w:tr w:rsidR="00DE24ED" w:rsidRPr="00EB2D26" w14:paraId="7B5299DF" w14:textId="77777777" w:rsidTr="173040E2">
        <w:trPr>
          <w:trHeight w:val="589"/>
        </w:trPr>
        <w:tc>
          <w:tcPr>
            <w:tcW w:w="810" w:type="pct"/>
            <w:shd w:val="clear" w:color="auto" w:fill="FFFFFF" w:themeFill="background1"/>
          </w:tcPr>
          <w:p w14:paraId="064E3BC6" w14:textId="77777777" w:rsidR="00DE24ED" w:rsidRPr="00EB2D26" w:rsidRDefault="00DE24ED" w:rsidP="00ED0788">
            <w:pPr>
              <w:spacing w:after="0" w:line="240" w:lineRule="auto"/>
              <w:contextualSpacing/>
              <w:rPr>
                <w:rFonts w:cs="Arial"/>
                <w:b/>
                <w:bCs/>
                <w:color w:val="000000"/>
                <w:sz w:val="18"/>
                <w:szCs w:val="18"/>
                <w:lang w:eastAsia="en-AU"/>
              </w:rPr>
            </w:pPr>
          </w:p>
        </w:tc>
        <w:tc>
          <w:tcPr>
            <w:tcW w:w="394" w:type="pct"/>
            <w:shd w:val="clear" w:color="auto" w:fill="auto"/>
          </w:tcPr>
          <w:p w14:paraId="0257DFDE" w14:textId="77777777" w:rsidR="00DE24ED" w:rsidRPr="00EB2D26" w:rsidRDefault="00DE24ED" w:rsidP="00ED0788">
            <w:pPr>
              <w:spacing w:after="0" w:line="240" w:lineRule="auto"/>
              <w:contextualSpacing/>
              <w:rPr>
                <w:rFonts w:cs="Arial"/>
                <w:b/>
                <w:bCs/>
                <w:color w:val="000000"/>
                <w:sz w:val="18"/>
                <w:szCs w:val="18"/>
                <w:lang w:eastAsia="en-AU"/>
              </w:rPr>
            </w:pPr>
          </w:p>
        </w:tc>
        <w:tc>
          <w:tcPr>
            <w:tcW w:w="3796" w:type="pct"/>
            <w:gridSpan w:val="4"/>
            <w:shd w:val="clear" w:color="auto" w:fill="auto"/>
          </w:tcPr>
          <w:p w14:paraId="0033FF53" w14:textId="77777777" w:rsidR="00DE24ED" w:rsidRPr="00EB2D26" w:rsidRDefault="00DE24ED" w:rsidP="00ED0788">
            <w:pPr>
              <w:spacing w:after="0" w:line="240" w:lineRule="auto"/>
              <w:contextualSpacing/>
              <w:jc w:val="center"/>
              <w:rPr>
                <w:rFonts w:cs="Arial"/>
                <w:b/>
                <w:bCs/>
                <w:sz w:val="28"/>
                <w:szCs w:val="28"/>
                <w:lang w:eastAsia="en-AU"/>
              </w:rPr>
            </w:pPr>
            <w:r w:rsidRPr="00EB2D26">
              <w:rPr>
                <w:rFonts w:cs="Arial"/>
                <w:b/>
                <w:bCs/>
                <w:sz w:val="28"/>
                <w:szCs w:val="28"/>
                <w:lang w:eastAsia="en-AU"/>
              </w:rPr>
              <w:t xml:space="preserve">Prioritisation </w:t>
            </w:r>
          </w:p>
          <w:p w14:paraId="65D6C50E" w14:textId="79F5EC4D" w:rsidR="00DE24ED" w:rsidRPr="00EB2D26" w:rsidRDefault="00293D73" w:rsidP="00ED0788">
            <w:pPr>
              <w:spacing w:after="0" w:line="240" w:lineRule="auto"/>
              <w:contextualSpacing/>
              <w:rPr>
                <w:rFonts w:cs="Arial"/>
                <w:b/>
                <w:bCs/>
                <w:color w:val="000000"/>
                <w:sz w:val="18"/>
                <w:szCs w:val="18"/>
                <w:lang w:eastAsia="en-AU"/>
              </w:rPr>
            </w:pPr>
            <w:r>
              <w:rPr>
                <w:noProof/>
              </w:rPr>
              <w:pict w14:anchorId="2584FD4B">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2066" type="#_x0000_t13" style="position:absolute;margin-left:58.55pt;margin-top:1.2pt;width:359.25pt;height:10.5pt;z-index:2516582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" adj="21284" fillcolor="black" stroked="f" strokeweight="2pt"/>
              </w:pict>
            </w:r>
          </w:p>
        </w:tc>
      </w:tr>
      <w:tr w:rsidR="00DE24ED" w:rsidRPr="00EB2D26" w14:paraId="1188677F" w14:textId="77777777" w:rsidTr="173040E2">
        <w:trPr>
          <w:trHeight w:val="461"/>
        </w:trPr>
        <w:tc>
          <w:tcPr>
            <w:tcW w:w="810" w:type="pct"/>
            <w:shd w:val="clear" w:color="auto" w:fill="FFFFFF" w:themeFill="background1"/>
            <w:hideMark/>
          </w:tcPr>
          <w:p w14:paraId="2AE5F042" w14:textId="77777777" w:rsidR="00DE24ED" w:rsidRPr="00EB2D26" w:rsidRDefault="00DE24ED" w:rsidP="00ED0788">
            <w:pPr>
              <w:spacing w:after="0" w:line="240" w:lineRule="auto"/>
              <w:contextualSpacing/>
              <w:rPr>
                <w:rFonts w:cs="Arial"/>
                <w:b/>
                <w:bCs/>
                <w:color w:val="000000"/>
                <w:sz w:val="20"/>
                <w:lang w:eastAsia="en-AU"/>
              </w:rPr>
            </w:pPr>
            <w:r w:rsidRPr="00EB2D26">
              <w:rPr>
                <w:rFonts w:cs="Arial"/>
                <w:b/>
                <w:bCs/>
                <w:color w:val="000000"/>
                <w:sz w:val="20"/>
                <w:lang w:eastAsia="en-AU"/>
              </w:rPr>
              <w:t>Risk factors:</w:t>
            </w:r>
          </w:p>
        </w:tc>
        <w:tc>
          <w:tcPr>
            <w:tcW w:w="394" w:type="pct"/>
            <w:shd w:val="clear" w:color="auto" w:fill="auto"/>
            <w:hideMark/>
          </w:tcPr>
          <w:p w14:paraId="523ECB59" w14:textId="77777777" w:rsidR="00DE24ED" w:rsidRPr="00EB2D26" w:rsidRDefault="00DE24ED" w:rsidP="00ED0788">
            <w:pPr>
              <w:spacing w:after="0" w:line="240" w:lineRule="auto"/>
              <w:contextualSpacing/>
              <w:rPr>
                <w:rFonts w:cs="Arial"/>
                <w:b/>
                <w:bCs/>
                <w:color w:val="000000"/>
                <w:sz w:val="20"/>
                <w:lang w:eastAsia="en-AU"/>
              </w:rPr>
            </w:pPr>
            <w:r w:rsidRPr="00EB2D26">
              <w:rPr>
                <w:rFonts w:cs="Arial"/>
                <w:b/>
                <w:bCs/>
                <w:color w:val="000000"/>
                <w:sz w:val="20"/>
                <w:lang w:eastAsia="en-AU"/>
              </w:rPr>
              <w:t>Category:</w:t>
            </w:r>
          </w:p>
          <w:p w14:paraId="4E0BF816" w14:textId="77777777" w:rsidR="00DE24ED" w:rsidRPr="00EB2D26" w:rsidRDefault="00DE24ED" w:rsidP="00ED0788">
            <w:pPr>
              <w:spacing w:after="0" w:line="240" w:lineRule="auto"/>
              <w:contextualSpacing/>
              <w:rPr>
                <w:rFonts w:cs="Arial"/>
                <w:b/>
                <w:bCs/>
                <w:color w:val="000000"/>
                <w:sz w:val="20"/>
                <w:lang w:eastAsia="en-AU"/>
              </w:rPr>
            </w:pPr>
          </w:p>
          <w:p w14:paraId="3C394D44" w14:textId="77777777" w:rsidR="00DE24ED" w:rsidRPr="00EB2D26" w:rsidRDefault="00DE24ED" w:rsidP="00ED0788">
            <w:pPr>
              <w:spacing w:after="0" w:line="240" w:lineRule="auto"/>
              <w:contextualSpacing/>
              <w:rPr>
                <w:rFonts w:cs="Arial"/>
                <w:b/>
                <w:bCs/>
                <w:color w:val="000000"/>
                <w:sz w:val="20"/>
                <w:lang w:eastAsia="en-AU"/>
              </w:rPr>
            </w:pPr>
            <w:r w:rsidRPr="00EB2D26">
              <w:rPr>
                <w:rFonts w:cs="Arial"/>
                <w:b/>
                <w:bCs/>
                <w:color w:val="000000"/>
                <w:sz w:val="20"/>
                <w:lang w:eastAsia="en-AU"/>
              </w:rPr>
              <w:t>Age (years)</w:t>
            </w:r>
          </w:p>
          <w:p w14:paraId="7D560B68" w14:textId="77777777" w:rsidR="00DE24ED" w:rsidRPr="00EB2D26" w:rsidRDefault="00DE24ED" w:rsidP="00ED0788">
            <w:pPr>
              <w:spacing w:after="0" w:line="240" w:lineRule="auto"/>
              <w:contextualSpacing/>
              <w:rPr>
                <w:rFonts w:cs="Arial"/>
                <w:b/>
                <w:bCs/>
                <w:color w:val="000000"/>
                <w:sz w:val="20"/>
                <w:lang w:eastAsia="en-AU"/>
              </w:rPr>
            </w:pPr>
          </w:p>
        </w:tc>
        <w:tc>
          <w:tcPr>
            <w:tcW w:w="528" w:type="pct"/>
            <w:shd w:val="clear" w:color="auto" w:fill="auto"/>
            <w:hideMark/>
          </w:tcPr>
          <w:p w14:paraId="69008F96" w14:textId="77777777" w:rsidR="00DE24ED" w:rsidRPr="00EB2D26" w:rsidRDefault="00DE24ED" w:rsidP="00ED0788">
            <w:pPr>
              <w:spacing w:after="0" w:line="240" w:lineRule="auto"/>
              <w:contextualSpacing/>
              <w:jc w:val="center"/>
              <w:rPr>
                <w:rFonts w:cs="Arial"/>
                <w:b/>
                <w:bCs/>
                <w:color w:val="000000"/>
                <w:lang w:eastAsia="en-AU"/>
              </w:rPr>
            </w:pPr>
          </w:p>
          <w:p w14:paraId="5591629B" w14:textId="77777777" w:rsidR="00DE24ED" w:rsidRPr="00EB2D26" w:rsidRDefault="00DE24ED" w:rsidP="00ED0788">
            <w:pPr>
              <w:spacing w:after="0" w:line="240" w:lineRule="auto"/>
              <w:contextualSpacing/>
              <w:jc w:val="center"/>
              <w:rPr>
                <w:rFonts w:cs="Arial"/>
                <w:b/>
                <w:bCs/>
                <w:color w:val="000000"/>
                <w:lang w:eastAsia="en-AU"/>
              </w:rPr>
            </w:pPr>
            <w:r w:rsidRPr="00EB2D26">
              <w:rPr>
                <w:rFonts w:cs="Arial"/>
                <w:b/>
                <w:bCs/>
                <w:color w:val="000000"/>
                <w:lang w:eastAsia="en-AU"/>
              </w:rPr>
              <w:t>Priority Group 1</w:t>
            </w:r>
          </w:p>
        </w:tc>
        <w:tc>
          <w:tcPr>
            <w:tcW w:w="1024" w:type="pct"/>
            <w:shd w:val="clear" w:color="auto" w:fill="auto"/>
            <w:hideMark/>
          </w:tcPr>
          <w:p w14:paraId="4580AA7A" w14:textId="77777777" w:rsidR="00DE24ED" w:rsidRPr="00EB2D26" w:rsidRDefault="00DE24ED" w:rsidP="00ED0788">
            <w:pPr>
              <w:spacing w:after="0" w:line="240" w:lineRule="auto"/>
              <w:contextualSpacing/>
              <w:jc w:val="center"/>
              <w:rPr>
                <w:rFonts w:cs="Arial"/>
                <w:b/>
                <w:bCs/>
                <w:color w:val="000000"/>
                <w:lang w:eastAsia="en-AU"/>
              </w:rPr>
            </w:pPr>
          </w:p>
          <w:p w14:paraId="7418DFD0" w14:textId="77777777" w:rsidR="00DE24ED" w:rsidRPr="00EB2D26" w:rsidRDefault="00DE24ED" w:rsidP="00ED0788">
            <w:pPr>
              <w:spacing w:after="0" w:line="240" w:lineRule="auto"/>
              <w:contextualSpacing/>
              <w:jc w:val="center"/>
              <w:rPr>
                <w:rFonts w:cs="Arial"/>
                <w:b/>
                <w:bCs/>
                <w:color w:val="000000"/>
                <w:lang w:eastAsia="en-AU"/>
              </w:rPr>
            </w:pPr>
            <w:r w:rsidRPr="00EB2D26">
              <w:rPr>
                <w:rFonts w:cs="Arial"/>
                <w:b/>
                <w:bCs/>
                <w:color w:val="000000"/>
                <w:lang w:eastAsia="en-AU"/>
              </w:rPr>
              <w:t>Priority Group 2</w:t>
            </w:r>
          </w:p>
        </w:tc>
        <w:tc>
          <w:tcPr>
            <w:tcW w:w="1307" w:type="pct"/>
            <w:shd w:val="clear" w:color="auto" w:fill="auto"/>
            <w:hideMark/>
          </w:tcPr>
          <w:p w14:paraId="794F1210" w14:textId="77777777" w:rsidR="00DE24ED" w:rsidRPr="00EB2D26" w:rsidRDefault="00DE24ED" w:rsidP="00ED0788">
            <w:pPr>
              <w:spacing w:after="0" w:line="240" w:lineRule="auto"/>
              <w:contextualSpacing/>
              <w:jc w:val="center"/>
              <w:rPr>
                <w:rFonts w:cs="Arial"/>
                <w:b/>
                <w:bCs/>
                <w:color w:val="000000"/>
                <w:lang w:eastAsia="en-AU"/>
              </w:rPr>
            </w:pPr>
          </w:p>
          <w:p w14:paraId="6974F868" w14:textId="77777777" w:rsidR="00DE24ED" w:rsidRPr="00EB2D26" w:rsidRDefault="00DE24ED" w:rsidP="00ED0788">
            <w:pPr>
              <w:spacing w:after="0" w:line="240" w:lineRule="auto"/>
              <w:contextualSpacing/>
              <w:jc w:val="center"/>
              <w:rPr>
                <w:rFonts w:cs="Arial"/>
                <w:b/>
                <w:bCs/>
                <w:color w:val="000000"/>
                <w:lang w:eastAsia="en-AU"/>
              </w:rPr>
            </w:pPr>
            <w:r w:rsidRPr="00EB2D26">
              <w:rPr>
                <w:rFonts w:cs="Arial"/>
                <w:b/>
                <w:bCs/>
                <w:color w:val="000000"/>
                <w:lang w:eastAsia="en-AU"/>
              </w:rPr>
              <w:t>Priority Group 3</w:t>
            </w:r>
          </w:p>
        </w:tc>
        <w:tc>
          <w:tcPr>
            <w:tcW w:w="937" w:type="pct"/>
            <w:shd w:val="clear" w:color="auto" w:fill="auto"/>
            <w:hideMark/>
          </w:tcPr>
          <w:p w14:paraId="476A8CB7" w14:textId="77777777" w:rsidR="00DE24ED" w:rsidRPr="00EB2D26" w:rsidRDefault="00DE24ED" w:rsidP="00ED0788">
            <w:pPr>
              <w:spacing w:after="0" w:line="240" w:lineRule="auto"/>
              <w:contextualSpacing/>
              <w:jc w:val="center"/>
              <w:rPr>
                <w:rFonts w:cs="Arial"/>
                <w:b/>
                <w:bCs/>
                <w:color w:val="000000"/>
                <w:lang w:eastAsia="en-AU"/>
              </w:rPr>
            </w:pPr>
          </w:p>
          <w:p w14:paraId="5DA527A3" w14:textId="77777777" w:rsidR="00DE24ED" w:rsidRPr="00EB2D26" w:rsidRDefault="00DE24ED" w:rsidP="00ED0788">
            <w:pPr>
              <w:spacing w:after="0" w:line="240" w:lineRule="auto"/>
              <w:contextualSpacing/>
              <w:jc w:val="center"/>
              <w:rPr>
                <w:rFonts w:cs="Arial"/>
                <w:b/>
                <w:bCs/>
                <w:color w:val="000000"/>
                <w:lang w:eastAsia="en-AU"/>
              </w:rPr>
            </w:pPr>
            <w:r w:rsidRPr="00EB2D26">
              <w:rPr>
                <w:rFonts w:cs="Arial"/>
                <w:b/>
                <w:bCs/>
                <w:color w:val="000000"/>
                <w:lang w:eastAsia="en-AU"/>
              </w:rPr>
              <w:t>Priority Group 4</w:t>
            </w:r>
          </w:p>
          <w:p w14:paraId="23EE8C48" w14:textId="77777777" w:rsidR="00DE24ED" w:rsidRPr="00EB2D26" w:rsidRDefault="00DE24ED" w:rsidP="00ED0788">
            <w:pPr>
              <w:spacing w:after="0" w:line="240" w:lineRule="auto"/>
              <w:contextualSpacing/>
              <w:jc w:val="center"/>
              <w:rPr>
                <w:rFonts w:cs="Arial"/>
                <w:b/>
                <w:bCs/>
                <w:color w:val="000000"/>
                <w:lang w:eastAsia="en-AU"/>
              </w:rPr>
            </w:pPr>
          </w:p>
        </w:tc>
      </w:tr>
      <w:tr w:rsidR="00DE24ED" w:rsidRPr="00EB2D26" w14:paraId="6268CCAC" w14:textId="77777777" w:rsidTr="173040E2">
        <w:trPr>
          <w:trHeight w:val="335"/>
        </w:trPr>
        <w:tc>
          <w:tcPr>
            <w:tcW w:w="810" w:type="pct"/>
            <w:shd w:val="clear" w:color="auto" w:fill="FFFFFF" w:themeFill="background1"/>
            <w:hideMark/>
          </w:tcPr>
          <w:p w14:paraId="38F73599" w14:textId="77777777" w:rsidR="00DE24ED" w:rsidRPr="002048F3" w:rsidRDefault="00DE24ED" w:rsidP="00ED0788">
            <w:pPr>
              <w:spacing w:after="0" w:line="240" w:lineRule="auto"/>
              <w:contextualSpacing/>
              <w:rPr>
                <w:rFonts w:cs="Arial"/>
                <w:b/>
                <w:bCs/>
                <w:color w:val="000000"/>
                <w:sz w:val="20"/>
                <w:lang w:eastAsia="en-AU"/>
              </w:rPr>
            </w:pPr>
            <w:r w:rsidRPr="002048F3">
              <w:rPr>
                <w:rFonts w:cs="Arial"/>
                <w:b/>
                <w:bCs/>
                <w:color w:val="000000"/>
                <w:sz w:val="20"/>
                <w:lang w:eastAsia="en-AU"/>
              </w:rPr>
              <w:t xml:space="preserve">Immunosuppressed </w:t>
            </w:r>
          </w:p>
        </w:tc>
        <w:tc>
          <w:tcPr>
            <w:tcW w:w="394" w:type="pct"/>
            <w:shd w:val="clear" w:color="auto" w:fill="auto"/>
            <w:hideMark/>
          </w:tcPr>
          <w:p w14:paraId="7ED00CD7" w14:textId="77777777" w:rsidR="00DE24ED" w:rsidRPr="00EB2D26" w:rsidRDefault="00DE24ED" w:rsidP="00ED0788">
            <w:pPr>
              <w:spacing w:after="0" w:line="240" w:lineRule="auto"/>
              <w:contextualSpacing/>
              <w:rPr>
                <w:rFonts w:cs="Arial"/>
                <w:color w:val="000000"/>
                <w:sz w:val="20"/>
                <w:lang w:eastAsia="en-AU"/>
              </w:rPr>
            </w:pPr>
            <w:r w:rsidRPr="00EB2D26">
              <w:rPr>
                <w:rFonts w:cs="Arial"/>
                <w:color w:val="000000"/>
                <w:sz w:val="20"/>
                <w:lang w:eastAsia="en-AU"/>
              </w:rPr>
              <w:t>≥12</w:t>
            </w:r>
          </w:p>
        </w:tc>
        <w:tc>
          <w:tcPr>
            <w:tcW w:w="528" w:type="pct"/>
            <w:shd w:val="clear" w:color="auto" w:fill="FF9999"/>
            <w:hideMark/>
          </w:tcPr>
          <w:p w14:paraId="0E898148" w14:textId="77777777" w:rsidR="00DE24ED" w:rsidRPr="00EB2D26" w:rsidRDefault="00DE24ED" w:rsidP="00ED0788">
            <w:pPr>
              <w:spacing w:after="0" w:line="240" w:lineRule="auto"/>
              <w:contextualSpacing/>
              <w:rPr>
                <w:rFonts w:cs="Arial"/>
                <w:color w:val="000000"/>
                <w:sz w:val="18"/>
                <w:szCs w:val="18"/>
                <w:lang w:eastAsia="en-AU"/>
              </w:rPr>
            </w:pPr>
          </w:p>
        </w:tc>
        <w:tc>
          <w:tcPr>
            <w:tcW w:w="1024" w:type="pct"/>
            <w:shd w:val="clear" w:color="auto" w:fill="auto"/>
            <w:hideMark/>
          </w:tcPr>
          <w:p w14:paraId="4C314D4B" w14:textId="77777777" w:rsidR="00DE24ED" w:rsidRPr="00EB2D26" w:rsidRDefault="00DE24ED" w:rsidP="00ED0788">
            <w:pPr>
              <w:spacing w:after="0" w:line="240" w:lineRule="auto"/>
              <w:contextualSpacing/>
              <w:rPr>
                <w:rFonts w:cs="Arial"/>
                <w:color w:val="000000"/>
                <w:sz w:val="18"/>
                <w:szCs w:val="18"/>
                <w:lang w:eastAsia="en-AU"/>
              </w:rPr>
            </w:pPr>
          </w:p>
        </w:tc>
        <w:tc>
          <w:tcPr>
            <w:tcW w:w="1307" w:type="pct"/>
            <w:shd w:val="clear" w:color="auto" w:fill="auto"/>
            <w:hideMark/>
          </w:tcPr>
          <w:p w14:paraId="1A6F218C" w14:textId="77777777" w:rsidR="00DE24ED" w:rsidRPr="00EB2D26" w:rsidRDefault="00DE24ED" w:rsidP="00ED0788">
            <w:pPr>
              <w:spacing w:after="0" w:line="240" w:lineRule="auto"/>
              <w:contextualSpacing/>
              <w:rPr>
                <w:rFonts w:cs="Arial"/>
                <w:color w:val="000000"/>
                <w:sz w:val="18"/>
                <w:szCs w:val="18"/>
                <w:lang w:eastAsia="en-AU"/>
              </w:rPr>
            </w:pPr>
            <w:r w:rsidRPr="00EB2D26">
              <w:rPr>
                <w:rFonts w:cs="Arial"/>
                <w:color w:val="000000"/>
                <w:sz w:val="18"/>
                <w:szCs w:val="18"/>
                <w:lang w:eastAsia="en-AU"/>
              </w:rPr>
              <w:t> </w:t>
            </w:r>
          </w:p>
        </w:tc>
        <w:tc>
          <w:tcPr>
            <w:tcW w:w="937" w:type="pct"/>
            <w:shd w:val="clear" w:color="auto" w:fill="auto"/>
            <w:hideMark/>
          </w:tcPr>
          <w:p w14:paraId="3466AF88" w14:textId="77777777" w:rsidR="00DE24ED" w:rsidRPr="00EB2D26" w:rsidRDefault="00DE24ED" w:rsidP="00ED0788">
            <w:pPr>
              <w:spacing w:after="0" w:line="240" w:lineRule="auto"/>
              <w:contextualSpacing/>
              <w:rPr>
                <w:rFonts w:cs="Arial"/>
                <w:color w:val="000000"/>
                <w:sz w:val="18"/>
                <w:szCs w:val="18"/>
                <w:lang w:eastAsia="en-AU"/>
              </w:rPr>
            </w:pPr>
            <w:r w:rsidRPr="00EB2D26">
              <w:rPr>
                <w:rFonts w:cs="Arial"/>
                <w:color w:val="000000"/>
                <w:sz w:val="18"/>
                <w:szCs w:val="18"/>
                <w:lang w:eastAsia="en-AU"/>
              </w:rPr>
              <w:t> </w:t>
            </w:r>
          </w:p>
        </w:tc>
      </w:tr>
      <w:tr w:rsidR="00DE24ED" w:rsidRPr="00EB2D26" w14:paraId="52655A30" w14:textId="77777777" w:rsidTr="173040E2">
        <w:trPr>
          <w:trHeight w:val="61"/>
        </w:trPr>
        <w:tc>
          <w:tcPr>
            <w:tcW w:w="810" w:type="pct"/>
            <w:vMerge w:val="restart"/>
            <w:shd w:val="clear" w:color="auto" w:fill="FFFFFF" w:themeFill="background1"/>
            <w:hideMark/>
          </w:tcPr>
          <w:p w14:paraId="6980BB46" w14:textId="77777777" w:rsidR="00DE24ED" w:rsidRPr="002048F3" w:rsidRDefault="00DE24ED" w:rsidP="00ED0788">
            <w:pPr>
              <w:spacing w:after="0" w:line="240" w:lineRule="auto"/>
              <w:contextualSpacing/>
              <w:rPr>
                <w:rFonts w:cs="Arial"/>
                <w:b/>
                <w:bCs/>
                <w:color w:val="000000"/>
                <w:sz w:val="20"/>
                <w:lang w:eastAsia="en-AU"/>
              </w:rPr>
            </w:pPr>
            <w:r w:rsidRPr="002048F3">
              <w:rPr>
                <w:rFonts w:cs="Arial"/>
                <w:b/>
                <w:bCs/>
                <w:color w:val="000000"/>
                <w:sz w:val="20"/>
                <w:lang w:eastAsia="en-AU"/>
              </w:rPr>
              <w:t>Vaccination status: Not up-to-date</w:t>
            </w:r>
          </w:p>
        </w:tc>
        <w:tc>
          <w:tcPr>
            <w:tcW w:w="394" w:type="pct"/>
            <w:shd w:val="clear" w:color="auto" w:fill="auto"/>
            <w:hideMark/>
          </w:tcPr>
          <w:p w14:paraId="0A9D4FA3" w14:textId="77777777" w:rsidR="00DE24ED" w:rsidRPr="00EB2D26" w:rsidRDefault="00DE24ED" w:rsidP="00ED0788">
            <w:pPr>
              <w:spacing w:after="0" w:line="240" w:lineRule="auto"/>
              <w:contextualSpacing/>
              <w:rPr>
                <w:rFonts w:cs="Arial"/>
                <w:color w:val="000000"/>
                <w:sz w:val="20"/>
                <w:lang w:eastAsia="en-AU"/>
              </w:rPr>
            </w:pPr>
            <w:r w:rsidRPr="00EB2D26">
              <w:rPr>
                <w:rFonts w:cs="Arial"/>
                <w:color w:val="000000"/>
                <w:sz w:val="20"/>
                <w:lang w:eastAsia="en-AU"/>
              </w:rPr>
              <w:t>≥80</w:t>
            </w:r>
          </w:p>
        </w:tc>
        <w:tc>
          <w:tcPr>
            <w:tcW w:w="528" w:type="pct"/>
            <w:shd w:val="clear" w:color="auto" w:fill="FF9999"/>
            <w:noWrap/>
            <w:hideMark/>
          </w:tcPr>
          <w:p w14:paraId="5004E692" w14:textId="77777777" w:rsidR="00DE24ED" w:rsidRPr="00EB2D26" w:rsidRDefault="00DE24ED" w:rsidP="00ED0788">
            <w:pPr>
              <w:spacing w:after="0" w:line="240" w:lineRule="auto"/>
              <w:contextualSpacing/>
              <w:rPr>
                <w:rFonts w:cs="Arial"/>
                <w:color w:val="000000"/>
                <w:sz w:val="18"/>
                <w:szCs w:val="18"/>
                <w:lang w:eastAsia="en-AU"/>
              </w:rPr>
            </w:pPr>
            <w:r w:rsidRPr="00EB2D26">
              <w:rPr>
                <w:rFonts w:cs="Arial"/>
                <w:color w:val="000000"/>
                <w:sz w:val="18"/>
                <w:szCs w:val="18"/>
                <w:lang w:eastAsia="en-AU"/>
              </w:rPr>
              <w:t xml:space="preserve"> </w:t>
            </w:r>
          </w:p>
        </w:tc>
        <w:tc>
          <w:tcPr>
            <w:tcW w:w="1024" w:type="pct"/>
            <w:shd w:val="clear" w:color="auto" w:fill="auto"/>
            <w:hideMark/>
          </w:tcPr>
          <w:p w14:paraId="670E5E61" w14:textId="77777777" w:rsidR="00DE24ED" w:rsidRPr="00EB2D26" w:rsidRDefault="00DE24ED" w:rsidP="00ED0788">
            <w:pPr>
              <w:spacing w:after="0" w:line="240" w:lineRule="auto"/>
              <w:contextualSpacing/>
              <w:rPr>
                <w:rFonts w:cs="Arial"/>
                <w:color w:val="000000"/>
                <w:sz w:val="18"/>
                <w:szCs w:val="18"/>
                <w:lang w:eastAsia="en-AU"/>
              </w:rPr>
            </w:pPr>
            <w:r w:rsidRPr="00EB2D26">
              <w:rPr>
                <w:rFonts w:cs="Arial"/>
                <w:color w:val="000000"/>
                <w:sz w:val="18"/>
                <w:szCs w:val="18"/>
                <w:lang w:eastAsia="en-AU"/>
              </w:rPr>
              <w:t> </w:t>
            </w:r>
          </w:p>
        </w:tc>
        <w:tc>
          <w:tcPr>
            <w:tcW w:w="1307" w:type="pct"/>
            <w:shd w:val="clear" w:color="auto" w:fill="FFFFFF" w:themeFill="background1"/>
            <w:hideMark/>
          </w:tcPr>
          <w:p w14:paraId="2D47AC4C" w14:textId="77777777" w:rsidR="00DE24ED" w:rsidRPr="00EB2D26" w:rsidRDefault="00DE24ED" w:rsidP="00ED0788">
            <w:pPr>
              <w:spacing w:after="0" w:line="240" w:lineRule="auto"/>
              <w:contextualSpacing/>
              <w:rPr>
                <w:rFonts w:cs="Arial"/>
                <w:color w:val="000000"/>
                <w:sz w:val="18"/>
                <w:szCs w:val="18"/>
                <w:lang w:eastAsia="en-AU"/>
              </w:rPr>
            </w:pPr>
            <w:r w:rsidRPr="00EB2D26">
              <w:rPr>
                <w:rFonts w:cs="Arial"/>
                <w:color w:val="000000"/>
                <w:sz w:val="18"/>
                <w:szCs w:val="18"/>
                <w:lang w:eastAsia="en-AU"/>
              </w:rPr>
              <w:t> </w:t>
            </w:r>
          </w:p>
        </w:tc>
        <w:tc>
          <w:tcPr>
            <w:tcW w:w="937" w:type="pct"/>
            <w:shd w:val="clear" w:color="auto" w:fill="FFFFFF" w:themeFill="background1"/>
            <w:hideMark/>
          </w:tcPr>
          <w:p w14:paraId="31A99928" w14:textId="77777777" w:rsidR="00DE24ED" w:rsidRPr="00EB2D26" w:rsidRDefault="00DE24ED" w:rsidP="00ED0788">
            <w:pPr>
              <w:spacing w:after="0" w:line="240" w:lineRule="auto"/>
              <w:contextualSpacing/>
              <w:rPr>
                <w:rFonts w:cs="Arial"/>
                <w:color w:val="000000"/>
                <w:sz w:val="18"/>
                <w:szCs w:val="18"/>
                <w:highlight w:val="yellow"/>
                <w:lang w:eastAsia="en-AU"/>
              </w:rPr>
            </w:pPr>
          </w:p>
        </w:tc>
      </w:tr>
      <w:tr w:rsidR="00DE24ED" w:rsidRPr="00EB2D26" w14:paraId="2E1BF4C7" w14:textId="77777777" w:rsidTr="173040E2">
        <w:trPr>
          <w:trHeight w:val="218"/>
        </w:trPr>
        <w:tc>
          <w:tcPr>
            <w:tcW w:w="810" w:type="pct"/>
            <w:vMerge/>
            <w:vAlign w:val="center"/>
          </w:tcPr>
          <w:p w14:paraId="1541C84B" w14:textId="77777777" w:rsidR="00DE24ED" w:rsidRPr="002048F3" w:rsidRDefault="00DE24ED" w:rsidP="00ED0788">
            <w:pPr>
              <w:spacing w:after="0" w:line="240" w:lineRule="auto"/>
              <w:contextualSpacing/>
              <w:rPr>
                <w:rFonts w:cs="Arial"/>
                <w:b/>
                <w:bCs/>
                <w:color w:val="000000"/>
                <w:sz w:val="20"/>
                <w:lang w:eastAsia="en-AU"/>
              </w:rPr>
            </w:pPr>
          </w:p>
        </w:tc>
        <w:tc>
          <w:tcPr>
            <w:tcW w:w="394" w:type="pct"/>
            <w:shd w:val="clear" w:color="auto" w:fill="auto"/>
          </w:tcPr>
          <w:p w14:paraId="17ADAB75" w14:textId="33A07346" w:rsidR="00DE24ED" w:rsidRPr="006532F9" w:rsidRDefault="004B44EE" w:rsidP="00ED0788">
            <w:pPr>
              <w:spacing w:after="0" w:line="240" w:lineRule="auto"/>
              <w:contextualSpacing/>
              <w:rPr>
                <w:rFonts w:cs="Arial"/>
                <w:sz w:val="20"/>
                <w:lang w:eastAsia="en-AU"/>
              </w:rPr>
            </w:pPr>
            <w:r>
              <w:rPr>
                <w:rFonts w:cs="Arial"/>
                <w:sz w:val="20"/>
                <w:lang w:eastAsia="en-AU"/>
              </w:rPr>
              <w:t>50</w:t>
            </w:r>
            <w:r w:rsidR="00DE24ED" w:rsidRPr="006532F9">
              <w:rPr>
                <w:rFonts w:cs="Arial"/>
                <w:sz w:val="20"/>
                <w:lang w:eastAsia="en-AU"/>
              </w:rPr>
              <w:t>-79</w:t>
            </w:r>
          </w:p>
        </w:tc>
        <w:tc>
          <w:tcPr>
            <w:tcW w:w="528" w:type="pct"/>
            <w:shd w:val="clear" w:color="auto" w:fill="auto"/>
            <w:noWrap/>
          </w:tcPr>
          <w:p w14:paraId="7C97628B" w14:textId="77777777" w:rsidR="00DE24ED" w:rsidRPr="00EB2D26" w:rsidRDefault="00DE24ED" w:rsidP="00ED0788">
            <w:pPr>
              <w:spacing w:after="0" w:line="240" w:lineRule="auto"/>
              <w:contextualSpacing/>
              <w:rPr>
                <w:rFonts w:cs="Arial"/>
                <w:color w:val="006100"/>
                <w:sz w:val="18"/>
                <w:szCs w:val="18"/>
                <w:lang w:eastAsia="en-AU"/>
              </w:rPr>
            </w:pPr>
          </w:p>
        </w:tc>
        <w:tc>
          <w:tcPr>
            <w:tcW w:w="1024" w:type="pct"/>
            <w:shd w:val="clear" w:color="auto" w:fill="FABF8F" w:themeFill="accent6" w:themeFillTint="99"/>
            <w:noWrap/>
          </w:tcPr>
          <w:p w14:paraId="56AC73CB" w14:textId="77777777" w:rsidR="00DE24ED" w:rsidRPr="009B552D" w:rsidRDefault="00DE24ED" w:rsidP="00ED0788">
            <w:pPr>
              <w:spacing w:after="0" w:line="240" w:lineRule="auto"/>
              <w:contextualSpacing/>
              <w:rPr>
                <w:rFonts w:cs="Arial"/>
                <w:b/>
                <w:bCs/>
                <w:color w:val="000000"/>
                <w:sz w:val="18"/>
                <w:szCs w:val="18"/>
                <w:lang w:eastAsia="en-AU"/>
              </w:rPr>
            </w:pPr>
          </w:p>
        </w:tc>
        <w:tc>
          <w:tcPr>
            <w:tcW w:w="1307" w:type="pct"/>
            <w:shd w:val="clear" w:color="auto" w:fill="FFFFFF" w:themeFill="background1"/>
          </w:tcPr>
          <w:p w14:paraId="30E311FB" w14:textId="77777777" w:rsidR="00DE24ED" w:rsidRPr="00EB2D26" w:rsidRDefault="00DE24ED" w:rsidP="00ED0788">
            <w:pPr>
              <w:spacing w:after="0" w:line="240" w:lineRule="auto"/>
              <w:contextualSpacing/>
              <w:rPr>
                <w:rFonts w:cs="Arial"/>
                <w:b/>
                <w:bCs/>
                <w:color w:val="006100"/>
                <w:sz w:val="18"/>
                <w:szCs w:val="18"/>
                <w:lang w:eastAsia="en-AU"/>
              </w:rPr>
            </w:pPr>
          </w:p>
        </w:tc>
        <w:tc>
          <w:tcPr>
            <w:tcW w:w="937" w:type="pct"/>
            <w:shd w:val="clear" w:color="auto" w:fill="FFFFFF" w:themeFill="background1"/>
          </w:tcPr>
          <w:p w14:paraId="12359EDB" w14:textId="77777777" w:rsidR="00DE24ED" w:rsidRPr="00EB2D26" w:rsidRDefault="00DE24ED" w:rsidP="00ED0788">
            <w:pPr>
              <w:spacing w:after="0" w:line="240" w:lineRule="auto"/>
              <w:contextualSpacing/>
              <w:rPr>
                <w:rFonts w:cs="Arial"/>
                <w:b/>
                <w:bCs/>
                <w:sz w:val="18"/>
                <w:szCs w:val="18"/>
                <w:highlight w:val="yellow"/>
                <w:lang w:eastAsia="en-AU"/>
              </w:rPr>
            </w:pPr>
          </w:p>
        </w:tc>
      </w:tr>
      <w:tr w:rsidR="00DE24ED" w:rsidRPr="00EB2D26" w14:paraId="449D5838" w14:textId="77777777" w:rsidTr="173040E2">
        <w:trPr>
          <w:trHeight w:val="262"/>
        </w:trPr>
        <w:tc>
          <w:tcPr>
            <w:tcW w:w="810" w:type="pct"/>
            <w:vMerge/>
            <w:vAlign w:val="center"/>
            <w:hideMark/>
          </w:tcPr>
          <w:p w14:paraId="018A3922" w14:textId="77777777" w:rsidR="00DE24ED" w:rsidRPr="002048F3" w:rsidRDefault="00DE24ED" w:rsidP="00ED0788">
            <w:pPr>
              <w:spacing w:after="0" w:line="240" w:lineRule="auto"/>
              <w:contextualSpacing/>
              <w:rPr>
                <w:rFonts w:cs="Arial"/>
                <w:b/>
                <w:bCs/>
                <w:color w:val="000000"/>
                <w:sz w:val="20"/>
                <w:lang w:eastAsia="en-AU"/>
              </w:rPr>
            </w:pPr>
          </w:p>
        </w:tc>
        <w:tc>
          <w:tcPr>
            <w:tcW w:w="394" w:type="pct"/>
            <w:shd w:val="clear" w:color="auto" w:fill="auto"/>
            <w:hideMark/>
          </w:tcPr>
          <w:p w14:paraId="2EBE81BA" w14:textId="4FFB6E52" w:rsidR="00DE24ED" w:rsidRPr="006532F9" w:rsidRDefault="00DE24ED" w:rsidP="00ED0788">
            <w:pPr>
              <w:spacing w:after="0" w:line="240" w:lineRule="auto"/>
              <w:contextualSpacing/>
              <w:rPr>
                <w:rFonts w:cs="Arial"/>
                <w:sz w:val="20"/>
                <w:lang w:eastAsia="en-AU"/>
              </w:rPr>
            </w:pPr>
            <w:r w:rsidRPr="006532F9">
              <w:rPr>
                <w:rFonts w:cs="Arial"/>
                <w:sz w:val="20"/>
                <w:lang w:eastAsia="en-AU"/>
              </w:rPr>
              <w:t>12-</w:t>
            </w:r>
            <w:r w:rsidR="004B44EE">
              <w:rPr>
                <w:rFonts w:cs="Arial"/>
                <w:sz w:val="20"/>
                <w:lang w:eastAsia="en-AU"/>
              </w:rPr>
              <w:t>49</w:t>
            </w:r>
          </w:p>
        </w:tc>
        <w:tc>
          <w:tcPr>
            <w:tcW w:w="528" w:type="pct"/>
            <w:shd w:val="clear" w:color="auto" w:fill="auto"/>
            <w:noWrap/>
            <w:hideMark/>
          </w:tcPr>
          <w:p w14:paraId="5D839523" w14:textId="77777777" w:rsidR="00DE24ED" w:rsidRPr="00EB2D26" w:rsidRDefault="00DE24ED" w:rsidP="00ED0788">
            <w:pPr>
              <w:spacing w:after="0" w:line="240" w:lineRule="auto"/>
              <w:contextualSpacing/>
              <w:rPr>
                <w:rFonts w:cs="Arial"/>
                <w:color w:val="006100"/>
                <w:sz w:val="18"/>
                <w:szCs w:val="18"/>
                <w:lang w:eastAsia="en-AU"/>
              </w:rPr>
            </w:pPr>
            <w:r w:rsidRPr="00EB2D26">
              <w:rPr>
                <w:rFonts w:cs="Arial"/>
                <w:color w:val="006100"/>
                <w:sz w:val="18"/>
                <w:szCs w:val="18"/>
                <w:lang w:eastAsia="en-AU"/>
              </w:rPr>
              <w:t xml:space="preserve"> </w:t>
            </w:r>
          </w:p>
        </w:tc>
        <w:tc>
          <w:tcPr>
            <w:tcW w:w="1024" w:type="pct"/>
            <w:shd w:val="clear" w:color="auto" w:fill="FFFFFF" w:themeFill="background1"/>
            <w:noWrap/>
          </w:tcPr>
          <w:p w14:paraId="1BFD3985" w14:textId="77777777" w:rsidR="00DE24ED" w:rsidRPr="00EB2D26" w:rsidRDefault="00DE24ED" w:rsidP="00ED0788">
            <w:pPr>
              <w:spacing w:after="0" w:line="240" w:lineRule="auto"/>
              <w:contextualSpacing/>
              <w:rPr>
                <w:rFonts w:cs="Arial"/>
                <w:color w:val="000000"/>
                <w:sz w:val="18"/>
                <w:szCs w:val="18"/>
                <w:lang w:eastAsia="en-AU"/>
              </w:rPr>
            </w:pPr>
          </w:p>
        </w:tc>
        <w:tc>
          <w:tcPr>
            <w:tcW w:w="1307" w:type="pct"/>
            <w:shd w:val="clear" w:color="auto" w:fill="FFFF99"/>
            <w:hideMark/>
          </w:tcPr>
          <w:p w14:paraId="5C945E5C" w14:textId="77777777" w:rsidR="00DE24ED" w:rsidRPr="00EB2D26" w:rsidRDefault="00DE24ED" w:rsidP="00ED0788">
            <w:pPr>
              <w:spacing w:after="0" w:line="240" w:lineRule="auto"/>
              <w:contextualSpacing/>
              <w:rPr>
                <w:rFonts w:cs="Arial"/>
                <w:b/>
                <w:bCs/>
                <w:color w:val="006100"/>
                <w:sz w:val="18"/>
                <w:szCs w:val="18"/>
                <w:lang w:eastAsia="en-AU"/>
              </w:rPr>
            </w:pPr>
            <w:r w:rsidRPr="00EB2D26">
              <w:rPr>
                <w:rFonts w:cs="Arial"/>
                <w:b/>
                <w:bCs/>
                <w:sz w:val="18"/>
                <w:szCs w:val="18"/>
                <w:lang w:eastAsia="en-AU"/>
              </w:rPr>
              <w:t xml:space="preserve">At least one </w:t>
            </w:r>
            <w:r>
              <w:rPr>
                <w:rFonts w:cs="Arial"/>
                <w:b/>
                <w:bCs/>
                <w:sz w:val="18"/>
                <w:szCs w:val="18"/>
                <w:lang w:eastAsia="en-AU"/>
              </w:rPr>
              <w:t>risk factor</w:t>
            </w:r>
          </w:p>
        </w:tc>
        <w:tc>
          <w:tcPr>
            <w:tcW w:w="937" w:type="pct"/>
            <w:shd w:val="clear" w:color="auto" w:fill="auto"/>
          </w:tcPr>
          <w:p w14:paraId="42F4CE5B" w14:textId="77777777" w:rsidR="00DE24ED" w:rsidRPr="00EB2D26" w:rsidRDefault="00DE24ED" w:rsidP="00ED0788">
            <w:pPr>
              <w:spacing w:after="0" w:line="240" w:lineRule="auto"/>
              <w:contextualSpacing/>
              <w:rPr>
                <w:rFonts w:cs="Arial"/>
                <w:color w:val="000000"/>
                <w:sz w:val="18"/>
                <w:szCs w:val="18"/>
                <w:highlight w:val="yellow"/>
                <w:lang w:eastAsia="en-AU"/>
              </w:rPr>
            </w:pPr>
          </w:p>
        </w:tc>
      </w:tr>
      <w:tr w:rsidR="00DE24ED" w:rsidRPr="00EB2D26" w14:paraId="40A7B2B8" w14:textId="77777777" w:rsidTr="173040E2">
        <w:trPr>
          <w:trHeight w:val="249"/>
        </w:trPr>
        <w:tc>
          <w:tcPr>
            <w:tcW w:w="810" w:type="pct"/>
            <w:vMerge w:val="restart"/>
          </w:tcPr>
          <w:p w14:paraId="634E2A0B" w14:textId="77777777" w:rsidR="00DE24ED" w:rsidRPr="002048F3" w:rsidRDefault="00DE24ED" w:rsidP="00ED0788">
            <w:pPr>
              <w:spacing w:after="0" w:line="240" w:lineRule="auto"/>
              <w:contextualSpacing/>
              <w:rPr>
                <w:rFonts w:cs="Arial"/>
                <w:b/>
                <w:bCs/>
                <w:color w:val="000000"/>
                <w:sz w:val="20"/>
                <w:lang w:eastAsia="en-AU"/>
              </w:rPr>
            </w:pPr>
            <w:r w:rsidRPr="002048F3">
              <w:rPr>
                <w:rFonts w:cs="Arial"/>
                <w:b/>
                <w:bCs/>
                <w:color w:val="000000"/>
                <w:sz w:val="20"/>
                <w:lang w:eastAsia="en-AU"/>
              </w:rPr>
              <w:t>Vaccination status: Up-to-date</w:t>
            </w:r>
          </w:p>
          <w:p w14:paraId="48AFCFB2" w14:textId="77777777" w:rsidR="00DE24ED" w:rsidRPr="002048F3" w:rsidRDefault="00DE24ED" w:rsidP="00ED0788">
            <w:pPr>
              <w:spacing w:after="0" w:line="240" w:lineRule="auto"/>
              <w:contextualSpacing/>
              <w:rPr>
                <w:rFonts w:cs="Arial"/>
                <w:b/>
                <w:bCs/>
                <w:color w:val="000000"/>
                <w:sz w:val="20"/>
                <w:lang w:eastAsia="en-AU"/>
              </w:rPr>
            </w:pPr>
          </w:p>
        </w:tc>
        <w:tc>
          <w:tcPr>
            <w:tcW w:w="394" w:type="pct"/>
            <w:shd w:val="clear" w:color="auto" w:fill="auto"/>
          </w:tcPr>
          <w:p w14:paraId="1BBFC87E" w14:textId="77777777" w:rsidR="00DE24ED" w:rsidRPr="006532F9" w:rsidRDefault="00DE24ED" w:rsidP="00ED0788">
            <w:pPr>
              <w:spacing w:after="0" w:line="240" w:lineRule="auto"/>
              <w:contextualSpacing/>
              <w:rPr>
                <w:rFonts w:cs="Arial"/>
                <w:sz w:val="20"/>
                <w:lang w:eastAsia="en-AU"/>
              </w:rPr>
            </w:pPr>
            <w:r w:rsidRPr="006532F9">
              <w:rPr>
                <w:rFonts w:cs="Arial"/>
                <w:sz w:val="20"/>
                <w:lang w:eastAsia="en-AU"/>
              </w:rPr>
              <w:t>≥65</w:t>
            </w:r>
          </w:p>
        </w:tc>
        <w:tc>
          <w:tcPr>
            <w:tcW w:w="528" w:type="pct"/>
            <w:shd w:val="clear" w:color="auto" w:fill="FFFFFF" w:themeFill="background1"/>
          </w:tcPr>
          <w:p w14:paraId="277B41AC" w14:textId="77777777" w:rsidR="00DE24ED" w:rsidRPr="00EB2D26" w:rsidRDefault="00DE24ED" w:rsidP="00ED0788">
            <w:pPr>
              <w:spacing w:after="0" w:line="240" w:lineRule="auto"/>
              <w:contextualSpacing/>
              <w:rPr>
                <w:rFonts w:cs="Arial"/>
                <w:color w:val="000000"/>
                <w:sz w:val="18"/>
                <w:szCs w:val="18"/>
                <w:lang w:eastAsia="en-AU"/>
              </w:rPr>
            </w:pPr>
          </w:p>
        </w:tc>
        <w:tc>
          <w:tcPr>
            <w:tcW w:w="1024" w:type="pct"/>
            <w:shd w:val="clear" w:color="auto" w:fill="auto"/>
          </w:tcPr>
          <w:p w14:paraId="3E932A4B" w14:textId="77777777" w:rsidR="00DE24ED" w:rsidRPr="009B552D" w:rsidRDefault="00DE24ED" w:rsidP="00ED0788">
            <w:pPr>
              <w:spacing w:after="0" w:line="240" w:lineRule="auto"/>
              <w:contextualSpacing/>
              <w:rPr>
                <w:rFonts w:cs="Arial"/>
                <w:b/>
                <w:bCs/>
                <w:sz w:val="18"/>
                <w:szCs w:val="18"/>
                <w:lang w:eastAsia="en-AU"/>
              </w:rPr>
            </w:pPr>
          </w:p>
        </w:tc>
        <w:tc>
          <w:tcPr>
            <w:tcW w:w="1307" w:type="pct"/>
            <w:shd w:val="clear" w:color="auto" w:fill="FFFF99"/>
            <w:noWrap/>
          </w:tcPr>
          <w:p w14:paraId="2ECA4BAD" w14:textId="77777777" w:rsidR="00DE24ED" w:rsidRPr="00EB2D26" w:rsidRDefault="00DE24ED" w:rsidP="00ED0788">
            <w:pPr>
              <w:spacing w:after="0" w:line="240" w:lineRule="auto"/>
              <w:rPr>
                <w:rFonts w:cs="Arial"/>
                <w:b/>
                <w:bCs/>
                <w:sz w:val="18"/>
                <w:szCs w:val="18"/>
                <w:highlight w:val="cyan"/>
                <w:lang w:eastAsia="en-AU"/>
              </w:rPr>
            </w:pPr>
            <w:r w:rsidRPr="00EB2D26">
              <w:rPr>
                <w:rFonts w:cs="Arial"/>
                <w:b/>
                <w:bCs/>
                <w:sz w:val="18"/>
                <w:szCs w:val="18"/>
                <w:lang w:eastAsia="en-AU"/>
              </w:rPr>
              <w:t xml:space="preserve">At least </w:t>
            </w:r>
            <w:r>
              <w:rPr>
                <w:rFonts w:cs="Arial"/>
                <w:b/>
                <w:bCs/>
                <w:sz w:val="18"/>
                <w:szCs w:val="18"/>
                <w:lang w:eastAsia="en-AU"/>
              </w:rPr>
              <w:t xml:space="preserve">one risk factor </w:t>
            </w:r>
          </w:p>
        </w:tc>
        <w:tc>
          <w:tcPr>
            <w:tcW w:w="937" w:type="pct"/>
            <w:shd w:val="clear" w:color="auto" w:fill="auto"/>
          </w:tcPr>
          <w:p w14:paraId="21C5E9D1" w14:textId="77777777" w:rsidR="00DE24ED" w:rsidRPr="00EB2D26" w:rsidRDefault="00DE24ED" w:rsidP="00ED0788">
            <w:pPr>
              <w:spacing w:after="0" w:line="240" w:lineRule="auto"/>
              <w:contextualSpacing/>
              <w:rPr>
                <w:rFonts w:cs="Arial"/>
                <w:b/>
                <w:bCs/>
                <w:sz w:val="18"/>
                <w:szCs w:val="18"/>
                <w:highlight w:val="yellow"/>
                <w:lang w:eastAsia="en-AU"/>
              </w:rPr>
            </w:pPr>
          </w:p>
        </w:tc>
      </w:tr>
      <w:tr w:rsidR="00DE24ED" w:rsidRPr="00EB2D26" w14:paraId="2392EB52" w14:textId="77777777" w:rsidTr="173040E2">
        <w:trPr>
          <w:trHeight w:val="249"/>
        </w:trPr>
        <w:tc>
          <w:tcPr>
            <w:tcW w:w="810" w:type="pct"/>
            <w:vMerge/>
          </w:tcPr>
          <w:p w14:paraId="7C8014BB" w14:textId="77777777" w:rsidR="00DE24ED" w:rsidRPr="002048F3" w:rsidRDefault="00DE24ED" w:rsidP="00ED0788">
            <w:pPr>
              <w:spacing w:after="0" w:line="240" w:lineRule="auto"/>
              <w:contextualSpacing/>
              <w:rPr>
                <w:rFonts w:cs="Arial"/>
                <w:b/>
                <w:bCs/>
                <w:color w:val="000000"/>
                <w:sz w:val="20"/>
                <w:lang w:eastAsia="en-AU"/>
              </w:rPr>
            </w:pPr>
          </w:p>
        </w:tc>
        <w:tc>
          <w:tcPr>
            <w:tcW w:w="394" w:type="pct"/>
            <w:shd w:val="clear" w:color="auto" w:fill="auto"/>
          </w:tcPr>
          <w:p w14:paraId="58A84C9B" w14:textId="77777777" w:rsidR="00DE24ED" w:rsidRPr="006532F9" w:rsidRDefault="00DE24ED" w:rsidP="00ED0788">
            <w:pPr>
              <w:spacing w:after="0" w:line="240" w:lineRule="auto"/>
              <w:contextualSpacing/>
              <w:rPr>
                <w:rFonts w:cs="Arial"/>
                <w:sz w:val="20"/>
                <w:lang w:eastAsia="en-AU"/>
              </w:rPr>
            </w:pPr>
            <w:r>
              <w:rPr>
                <w:rFonts w:cs="Arial"/>
                <w:sz w:val="20"/>
                <w:lang w:eastAsia="en-AU"/>
              </w:rPr>
              <w:t>18</w:t>
            </w:r>
            <w:r w:rsidRPr="006532F9">
              <w:rPr>
                <w:rFonts w:cs="Arial"/>
                <w:sz w:val="20"/>
                <w:lang w:eastAsia="en-AU"/>
              </w:rPr>
              <w:t>-64</w:t>
            </w:r>
          </w:p>
        </w:tc>
        <w:tc>
          <w:tcPr>
            <w:tcW w:w="528" w:type="pct"/>
            <w:shd w:val="clear" w:color="auto" w:fill="FFFFFF" w:themeFill="background1"/>
          </w:tcPr>
          <w:p w14:paraId="4B8FCE1E" w14:textId="77777777" w:rsidR="00DE24ED" w:rsidRPr="00EB2D26" w:rsidRDefault="00DE24ED" w:rsidP="00ED0788">
            <w:pPr>
              <w:spacing w:after="0" w:line="240" w:lineRule="auto"/>
              <w:contextualSpacing/>
              <w:rPr>
                <w:rFonts w:cs="Arial"/>
                <w:color w:val="000000"/>
                <w:sz w:val="18"/>
                <w:szCs w:val="18"/>
                <w:lang w:eastAsia="en-AU"/>
              </w:rPr>
            </w:pPr>
          </w:p>
        </w:tc>
        <w:tc>
          <w:tcPr>
            <w:tcW w:w="1024" w:type="pct"/>
            <w:shd w:val="clear" w:color="auto" w:fill="auto"/>
          </w:tcPr>
          <w:p w14:paraId="66E33FBE" w14:textId="77777777" w:rsidR="00DE24ED" w:rsidRPr="00EB2D26" w:rsidRDefault="00DE24ED" w:rsidP="00ED0788">
            <w:pPr>
              <w:spacing w:after="0" w:line="240" w:lineRule="auto"/>
              <w:contextualSpacing/>
              <w:rPr>
                <w:rFonts w:cs="Arial"/>
                <w:sz w:val="18"/>
                <w:szCs w:val="18"/>
                <w:lang w:eastAsia="en-AU"/>
              </w:rPr>
            </w:pPr>
          </w:p>
        </w:tc>
        <w:tc>
          <w:tcPr>
            <w:tcW w:w="1307" w:type="pct"/>
            <w:shd w:val="clear" w:color="auto" w:fill="auto"/>
            <w:noWrap/>
          </w:tcPr>
          <w:p w14:paraId="37115CFA" w14:textId="77777777" w:rsidR="00DE24ED" w:rsidRPr="00EB2D26" w:rsidRDefault="00DE24ED" w:rsidP="00ED0788">
            <w:pPr>
              <w:spacing w:after="0" w:line="240" w:lineRule="auto"/>
              <w:contextualSpacing/>
              <w:rPr>
                <w:rFonts w:cs="Arial"/>
                <w:sz w:val="18"/>
                <w:szCs w:val="18"/>
                <w:lang w:eastAsia="en-AU"/>
              </w:rPr>
            </w:pPr>
          </w:p>
        </w:tc>
        <w:tc>
          <w:tcPr>
            <w:tcW w:w="937" w:type="pct"/>
            <w:shd w:val="clear" w:color="auto" w:fill="CCFF99"/>
          </w:tcPr>
          <w:p w14:paraId="3028AD73" w14:textId="77777777" w:rsidR="00DE24ED" w:rsidRPr="00EB2D26" w:rsidRDefault="00DE24ED" w:rsidP="00ED0788">
            <w:pPr>
              <w:spacing w:after="0" w:line="240" w:lineRule="auto"/>
              <w:contextualSpacing/>
              <w:rPr>
                <w:rFonts w:cs="Arial"/>
                <w:b/>
                <w:bCs/>
                <w:sz w:val="18"/>
                <w:szCs w:val="18"/>
                <w:lang w:eastAsia="en-AU"/>
              </w:rPr>
            </w:pPr>
            <w:r w:rsidRPr="00EB2D26">
              <w:rPr>
                <w:rFonts w:cs="Arial"/>
                <w:b/>
                <w:bCs/>
                <w:sz w:val="18"/>
                <w:szCs w:val="18"/>
                <w:lang w:eastAsia="en-AU"/>
              </w:rPr>
              <w:t xml:space="preserve">At least one </w:t>
            </w:r>
            <w:r>
              <w:rPr>
                <w:rFonts w:cs="Arial"/>
                <w:b/>
                <w:bCs/>
                <w:sz w:val="18"/>
                <w:szCs w:val="18"/>
                <w:lang w:eastAsia="en-AU"/>
              </w:rPr>
              <w:t>risk factor</w:t>
            </w:r>
          </w:p>
        </w:tc>
      </w:tr>
      <w:tr w:rsidR="00DE24ED" w:rsidRPr="00EB2D26" w14:paraId="444A303A" w14:textId="77777777" w:rsidTr="173040E2">
        <w:trPr>
          <w:trHeight w:val="1089"/>
        </w:trPr>
        <w:tc>
          <w:tcPr>
            <w:tcW w:w="810" w:type="pct"/>
          </w:tcPr>
          <w:p w14:paraId="565A7AC2" w14:textId="77777777" w:rsidR="00DE24ED" w:rsidRPr="002048F3" w:rsidRDefault="00DE24ED" w:rsidP="00ED0788">
            <w:pPr>
              <w:spacing w:after="0" w:line="240" w:lineRule="auto"/>
              <w:contextualSpacing/>
              <w:rPr>
                <w:rFonts w:cs="Arial"/>
                <w:b/>
                <w:bCs/>
                <w:color w:val="000000"/>
                <w:sz w:val="20"/>
                <w:lang w:eastAsia="en-AU"/>
              </w:rPr>
            </w:pPr>
            <w:r w:rsidRPr="002048F3">
              <w:rPr>
                <w:rFonts w:cs="Arial"/>
                <w:b/>
                <w:bCs/>
                <w:color w:val="000000"/>
                <w:sz w:val="20"/>
                <w:lang w:eastAsia="en-AU"/>
              </w:rPr>
              <w:t xml:space="preserve">Pregnancy </w:t>
            </w:r>
          </w:p>
          <w:p w14:paraId="682459BD" w14:textId="77777777" w:rsidR="00DE24ED" w:rsidRPr="002048F3" w:rsidRDefault="00DE24ED" w:rsidP="00ED0788">
            <w:pPr>
              <w:spacing w:after="0" w:line="240" w:lineRule="auto"/>
              <w:contextualSpacing/>
              <w:rPr>
                <w:rFonts w:cs="Arial"/>
                <w:b/>
                <w:bCs/>
                <w:color w:val="000000"/>
                <w:sz w:val="20"/>
                <w:lang w:eastAsia="en-AU"/>
              </w:rPr>
            </w:pPr>
            <w:r w:rsidRPr="002048F3">
              <w:rPr>
                <w:rFonts w:cs="Arial"/>
                <w:b/>
                <w:bCs/>
                <w:color w:val="000000"/>
                <w:sz w:val="20"/>
                <w:lang w:eastAsia="en-AU"/>
              </w:rPr>
              <w:t>(&gt;13 weeks)</w:t>
            </w:r>
          </w:p>
          <w:p w14:paraId="55938BC3" w14:textId="77777777" w:rsidR="00DE24ED" w:rsidRPr="002048F3" w:rsidRDefault="00DE24ED" w:rsidP="00ED0788">
            <w:pPr>
              <w:spacing w:after="0" w:line="240" w:lineRule="auto"/>
              <w:contextualSpacing/>
              <w:rPr>
                <w:rFonts w:cs="Arial"/>
                <w:b/>
                <w:bCs/>
                <w:color w:val="000000"/>
                <w:sz w:val="20"/>
                <w:lang w:eastAsia="en-AU"/>
              </w:rPr>
            </w:pPr>
          </w:p>
          <w:p w14:paraId="1865AB75" w14:textId="77777777" w:rsidR="00DE24ED" w:rsidRPr="002048F3" w:rsidRDefault="00DE24ED" w:rsidP="00ED0788">
            <w:pPr>
              <w:spacing w:after="0" w:line="240" w:lineRule="auto"/>
              <w:contextualSpacing/>
              <w:rPr>
                <w:rFonts w:cs="Arial"/>
                <w:b/>
                <w:bCs/>
                <w:color w:val="000000"/>
                <w:sz w:val="20"/>
                <w:lang w:eastAsia="en-AU"/>
              </w:rPr>
            </w:pPr>
            <w:r w:rsidRPr="002048F3">
              <w:rPr>
                <w:rFonts w:cs="Arial"/>
                <w:b/>
                <w:bCs/>
                <w:color w:val="000000"/>
                <w:sz w:val="20"/>
                <w:lang w:eastAsia="en-AU"/>
              </w:rPr>
              <w:t>Vaccination status: Not up-to-date</w:t>
            </w:r>
          </w:p>
          <w:p w14:paraId="0F6F6566" w14:textId="77777777" w:rsidR="00DE24ED" w:rsidRPr="002048F3" w:rsidRDefault="00DE24ED" w:rsidP="00ED0788">
            <w:pPr>
              <w:spacing w:after="0" w:line="240" w:lineRule="auto"/>
              <w:contextualSpacing/>
              <w:rPr>
                <w:rFonts w:cs="Arial"/>
                <w:b/>
                <w:bCs/>
                <w:color w:val="000000"/>
                <w:sz w:val="20"/>
                <w:lang w:eastAsia="en-AU"/>
              </w:rPr>
            </w:pPr>
          </w:p>
        </w:tc>
        <w:tc>
          <w:tcPr>
            <w:tcW w:w="394" w:type="pct"/>
            <w:shd w:val="clear" w:color="auto" w:fill="auto"/>
          </w:tcPr>
          <w:p w14:paraId="3F91AEE1" w14:textId="77777777" w:rsidR="00DE24ED" w:rsidRPr="006532F9" w:rsidRDefault="00DE24ED" w:rsidP="00ED0788">
            <w:pPr>
              <w:spacing w:after="0" w:line="240" w:lineRule="auto"/>
              <w:contextualSpacing/>
              <w:rPr>
                <w:rFonts w:cs="Arial"/>
                <w:sz w:val="20"/>
                <w:lang w:eastAsia="en-AU"/>
              </w:rPr>
            </w:pPr>
          </w:p>
        </w:tc>
        <w:tc>
          <w:tcPr>
            <w:tcW w:w="528" w:type="pct"/>
            <w:shd w:val="clear" w:color="auto" w:fill="FFFFFF" w:themeFill="background1"/>
          </w:tcPr>
          <w:p w14:paraId="52EEC9C0" w14:textId="77777777" w:rsidR="00DE24ED" w:rsidRPr="00EB2D26" w:rsidRDefault="00DE24ED" w:rsidP="00ED0788">
            <w:pPr>
              <w:spacing w:after="0" w:line="240" w:lineRule="auto"/>
              <w:contextualSpacing/>
              <w:rPr>
                <w:rFonts w:cs="Arial"/>
                <w:color w:val="000000"/>
                <w:sz w:val="18"/>
                <w:szCs w:val="18"/>
                <w:lang w:eastAsia="en-AU"/>
              </w:rPr>
            </w:pPr>
          </w:p>
        </w:tc>
        <w:tc>
          <w:tcPr>
            <w:tcW w:w="1024" w:type="pct"/>
            <w:shd w:val="clear" w:color="auto" w:fill="FABF8F" w:themeFill="accent6" w:themeFillTint="99"/>
          </w:tcPr>
          <w:p w14:paraId="2DBEA6B0" w14:textId="77777777" w:rsidR="00DE24ED" w:rsidRPr="00EB2D26" w:rsidRDefault="00DE24ED" w:rsidP="00ED0788">
            <w:pPr>
              <w:spacing w:after="0" w:line="240" w:lineRule="auto"/>
              <w:contextualSpacing/>
              <w:rPr>
                <w:rFonts w:cs="Arial"/>
                <w:b/>
                <w:bCs/>
                <w:color w:val="FF0000"/>
                <w:sz w:val="18"/>
                <w:szCs w:val="18"/>
                <w:lang w:eastAsia="en-AU"/>
              </w:rPr>
            </w:pPr>
          </w:p>
        </w:tc>
        <w:tc>
          <w:tcPr>
            <w:tcW w:w="1307" w:type="pct"/>
            <w:shd w:val="clear" w:color="auto" w:fill="auto"/>
            <w:noWrap/>
          </w:tcPr>
          <w:p w14:paraId="060D82E9" w14:textId="77777777" w:rsidR="00DE24ED" w:rsidRPr="00EB2D26" w:rsidRDefault="00DE24ED" w:rsidP="00ED0788">
            <w:pPr>
              <w:spacing w:after="0" w:line="240" w:lineRule="auto"/>
              <w:contextualSpacing/>
              <w:rPr>
                <w:rFonts w:cs="Arial"/>
                <w:b/>
                <w:bCs/>
                <w:sz w:val="18"/>
                <w:szCs w:val="18"/>
                <w:lang w:eastAsia="en-AU"/>
              </w:rPr>
            </w:pPr>
          </w:p>
        </w:tc>
        <w:tc>
          <w:tcPr>
            <w:tcW w:w="937" w:type="pct"/>
            <w:shd w:val="clear" w:color="auto" w:fill="auto"/>
          </w:tcPr>
          <w:p w14:paraId="4F63D75F" w14:textId="77777777" w:rsidR="00DE24ED" w:rsidRPr="00EB2D26" w:rsidRDefault="00DE24ED" w:rsidP="00ED0788">
            <w:pPr>
              <w:spacing w:after="0" w:line="240" w:lineRule="auto"/>
              <w:contextualSpacing/>
              <w:rPr>
                <w:rFonts w:cs="Arial"/>
                <w:b/>
                <w:bCs/>
                <w:sz w:val="18"/>
                <w:szCs w:val="18"/>
                <w:lang w:eastAsia="en-AU"/>
              </w:rPr>
            </w:pPr>
          </w:p>
        </w:tc>
      </w:tr>
      <w:tr w:rsidR="00DE24ED" w:rsidRPr="00EB2D26" w14:paraId="39771981" w14:textId="77777777" w:rsidTr="00DE24ED">
        <w:trPr>
          <w:trHeight w:val="289"/>
        </w:trPr>
        <w:tc>
          <w:tcPr>
            <w:tcW w:w="810" w:type="pct"/>
            <w:vMerge w:val="restart"/>
          </w:tcPr>
          <w:p w14:paraId="6D28FD4E" w14:textId="77777777" w:rsidR="00DE24ED" w:rsidRPr="002048F3" w:rsidRDefault="00DE24ED" w:rsidP="00ED0788">
            <w:pPr>
              <w:spacing w:after="0" w:line="240" w:lineRule="auto"/>
              <w:contextualSpacing/>
              <w:rPr>
                <w:rFonts w:cs="Arial"/>
                <w:b/>
                <w:bCs/>
                <w:color w:val="000000"/>
                <w:sz w:val="20"/>
                <w:lang w:eastAsia="en-AU"/>
              </w:rPr>
            </w:pPr>
          </w:p>
          <w:p w14:paraId="588A8A2D" w14:textId="77777777" w:rsidR="00DE24ED" w:rsidRPr="002048F3" w:rsidRDefault="00DE24ED" w:rsidP="00ED0788">
            <w:pPr>
              <w:spacing w:after="0" w:line="240" w:lineRule="auto"/>
              <w:contextualSpacing/>
              <w:rPr>
                <w:rFonts w:cs="Arial"/>
                <w:b/>
                <w:bCs/>
                <w:color w:val="000000"/>
                <w:sz w:val="20"/>
                <w:lang w:eastAsia="en-AU"/>
              </w:rPr>
            </w:pPr>
            <w:r w:rsidRPr="173040E2">
              <w:rPr>
                <w:rFonts w:cs="Arial"/>
                <w:b/>
                <w:color w:val="000000" w:themeColor="text1"/>
                <w:sz w:val="20"/>
                <w:lang w:eastAsia="en-AU"/>
              </w:rPr>
              <w:t xml:space="preserve">If Aboriginal </w:t>
            </w:r>
          </w:p>
          <w:p w14:paraId="55E3CF77" w14:textId="77777777" w:rsidR="00DE24ED" w:rsidRPr="002048F3" w:rsidRDefault="00DE24ED" w:rsidP="00ED0788">
            <w:pPr>
              <w:spacing w:after="0" w:line="240" w:lineRule="auto"/>
              <w:contextualSpacing/>
              <w:rPr>
                <w:rFonts w:cs="Arial"/>
                <w:b/>
                <w:bCs/>
                <w:color w:val="000000"/>
                <w:sz w:val="20"/>
                <w:lang w:eastAsia="en-AU"/>
              </w:rPr>
            </w:pPr>
          </w:p>
          <w:p w14:paraId="1F9AF062" w14:textId="77777777" w:rsidR="00DE24ED" w:rsidRPr="002048F3" w:rsidRDefault="00DE24ED" w:rsidP="00ED0788">
            <w:pPr>
              <w:spacing w:after="0" w:line="240" w:lineRule="auto"/>
              <w:contextualSpacing/>
              <w:rPr>
                <w:rFonts w:cs="Arial"/>
                <w:b/>
                <w:bCs/>
                <w:color w:val="000000"/>
                <w:sz w:val="20"/>
                <w:lang w:eastAsia="en-AU"/>
              </w:rPr>
            </w:pPr>
            <w:r w:rsidRPr="002048F3">
              <w:rPr>
                <w:rFonts w:cs="Arial"/>
                <w:b/>
                <w:bCs/>
                <w:color w:val="000000"/>
                <w:sz w:val="20"/>
                <w:lang w:eastAsia="en-AU"/>
              </w:rPr>
              <w:t>Vaccination status: Not up-to-date</w:t>
            </w:r>
          </w:p>
        </w:tc>
        <w:tc>
          <w:tcPr>
            <w:tcW w:w="394" w:type="pct"/>
            <w:shd w:val="clear" w:color="auto" w:fill="auto"/>
          </w:tcPr>
          <w:p w14:paraId="1604A583" w14:textId="77777777" w:rsidR="00DE24ED" w:rsidRPr="00EB2D26" w:rsidRDefault="00DE24ED" w:rsidP="00ED0788">
            <w:pPr>
              <w:spacing w:after="0" w:line="240" w:lineRule="auto"/>
              <w:contextualSpacing/>
              <w:rPr>
                <w:rFonts w:cs="Arial"/>
                <w:color w:val="000000"/>
                <w:sz w:val="20"/>
                <w:lang w:eastAsia="en-AU"/>
              </w:rPr>
            </w:pPr>
            <w:r w:rsidRPr="00EB2D26">
              <w:rPr>
                <w:rFonts w:cs="Arial"/>
                <w:color w:val="000000"/>
                <w:sz w:val="20"/>
                <w:lang w:eastAsia="en-AU"/>
              </w:rPr>
              <w:t>≥</w:t>
            </w:r>
            <w:r>
              <w:rPr>
                <w:rFonts w:cs="Arial"/>
                <w:color w:val="000000"/>
                <w:sz w:val="20"/>
                <w:lang w:eastAsia="en-AU"/>
              </w:rPr>
              <w:t>65</w:t>
            </w:r>
          </w:p>
        </w:tc>
        <w:tc>
          <w:tcPr>
            <w:tcW w:w="528" w:type="pct"/>
            <w:shd w:val="clear" w:color="auto" w:fill="FF9999"/>
          </w:tcPr>
          <w:p w14:paraId="4B4E581F" w14:textId="77777777" w:rsidR="00DE24ED" w:rsidRPr="00EB2D26" w:rsidRDefault="00DE24ED" w:rsidP="00ED0788">
            <w:pPr>
              <w:spacing w:after="0" w:line="240" w:lineRule="auto"/>
              <w:contextualSpacing/>
              <w:rPr>
                <w:rFonts w:cs="Arial"/>
                <w:color w:val="000000"/>
                <w:sz w:val="18"/>
                <w:szCs w:val="18"/>
                <w:lang w:eastAsia="en-AU"/>
              </w:rPr>
            </w:pPr>
          </w:p>
        </w:tc>
        <w:tc>
          <w:tcPr>
            <w:tcW w:w="1024" w:type="pct"/>
            <w:shd w:val="clear" w:color="auto" w:fill="auto"/>
          </w:tcPr>
          <w:p w14:paraId="17978CAF" w14:textId="77777777" w:rsidR="00DE24ED" w:rsidRPr="00EB2D26" w:rsidRDefault="00DE24ED" w:rsidP="00ED0788">
            <w:pPr>
              <w:spacing w:after="0" w:line="240" w:lineRule="auto"/>
              <w:contextualSpacing/>
              <w:rPr>
                <w:rFonts w:cs="Arial"/>
                <w:color w:val="000000"/>
                <w:sz w:val="18"/>
                <w:szCs w:val="18"/>
                <w:lang w:eastAsia="en-AU"/>
              </w:rPr>
            </w:pPr>
          </w:p>
        </w:tc>
        <w:tc>
          <w:tcPr>
            <w:tcW w:w="1307" w:type="pct"/>
            <w:shd w:val="clear" w:color="auto" w:fill="auto"/>
            <w:noWrap/>
          </w:tcPr>
          <w:p w14:paraId="2BFCCCDF" w14:textId="77777777" w:rsidR="00DE24ED" w:rsidRPr="00EB2D26" w:rsidRDefault="00DE24ED" w:rsidP="00ED0788">
            <w:pPr>
              <w:spacing w:after="0" w:line="240" w:lineRule="auto"/>
              <w:contextualSpacing/>
              <w:rPr>
                <w:rFonts w:cs="Arial"/>
                <w:color w:val="000000"/>
                <w:sz w:val="18"/>
                <w:szCs w:val="18"/>
                <w:lang w:eastAsia="en-AU"/>
              </w:rPr>
            </w:pPr>
          </w:p>
        </w:tc>
        <w:tc>
          <w:tcPr>
            <w:tcW w:w="937" w:type="pct"/>
            <w:shd w:val="clear" w:color="auto" w:fill="FFFFFF" w:themeFill="background1"/>
          </w:tcPr>
          <w:p w14:paraId="1C4C62CD" w14:textId="77777777" w:rsidR="00DE24ED" w:rsidRPr="00EB2D26" w:rsidRDefault="00DE24ED" w:rsidP="00ED0788">
            <w:pPr>
              <w:spacing w:after="0" w:line="240" w:lineRule="auto"/>
              <w:contextualSpacing/>
              <w:rPr>
                <w:rFonts w:cs="Arial"/>
                <w:b/>
                <w:bCs/>
                <w:sz w:val="18"/>
                <w:szCs w:val="18"/>
                <w:lang w:eastAsia="en-AU"/>
              </w:rPr>
            </w:pPr>
          </w:p>
        </w:tc>
      </w:tr>
      <w:tr w:rsidR="00DE24ED" w:rsidRPr="00EB2D26" w14:paraId="3A514479" w14:textId="77777777" w:rsidTr="00DE24ED">
        <w:trPr>
          <w:trHeight w:val="232"/>
        </w:trPr>
        <w:tc>
          <w:tcPr>
            <w:tcW w:w="810" w:type="pct"/>
            <w:vMerge/>
          </w:tcPr>
          <w:p w14:paraId="291A4B32" w14:textId="77777777" w:rsidR="00DE24ED" w:rsidRPr="002048F3" w:rsidRDefault="00DE24ED" w:rsidP="00ED0788">
            <w:pPr>
              <w:spacing w:after="0" w:line="240" w:lineRule="auto"/>
              <w:contextualSpacing/>
              <w:rPr>
                <w:rFonts w:cs="Arial"/>
                <w:b/>
                <w:bCs/>
                <w:color w:val="000000"/>
                <w:sz w:val="20"/>
                <w:lang w:eastAsia="en-AU"/>
              </w:rPr>
            </w:pPr>
          </w:p>
        </w:tc>
        <w:tc>
          <w:tcPr>
            <w:tcW w:w="394" w:type="pct"/>
            <w:shd w:val="clear" w:color="auto" w:fill="auto"/>
          </w:tcPr>
          <w:p w14:paraId="70C39521" w14:textId="77777777" w:rsidR="00DE24ED" w:rsidRPr="000D1E66" w:rsidRDefault="00DE24ED" w:rsidP="00ED0788">
            <w:pPr>
              <w:spacing w:after="0" w:line="240" w:lineRule="auto"/>
              <w:contextualSpacing/>
              <w:rPr>
                <w:rFonts w:cs="Arial"/>
                <w:color w:val="000000"/>
                <w:sz w:val="20"/>
                <w:lang w:eastAsia="en-AU"/>
              </w:rPr>
            </w:pPr>
            <w:r>
              <w:rPr>
                <w:rFonts w:cs="Arial"/>
                <w:color w:val="000000"/>
                <w:sz w:val="20"/>
                <w:lang w:eastAsia="en-AU"/>
              </w:rPr>
              <w:t>50-64</w:t>
            </w:r>
          </w:p>
        </w:tc>
        <w:tc>
          <w:tcPr>
            <w:tcW w:w="528" w:type="pct"/>
            <w:shd w:val="clear" w:color="auto" w:fill="auto"/>
          </w:tcPr>
          <w:p w14:paraId="1A3CF645" w14:textId="77777777" w:rsidR="00DE24ED" w:rsidRPr="00EB2D26" w:rsidRDefault="00DE24ED" w:rsidP="00ED0788">
            <w:pPr>
              <w:spacing w:after="0" w:line="240" w:lineRule="auto"/>
              <w:contextualSpacing/>
              <w:rPr>
                <w:rFonts w:cs="Arial"/>
                <w:sz w:val="18"/>
                <w:szCs w:val="18"/>
                <w:lang w:eastAsia="en-AU"/>
              </w:rPr>
            </w:pPr>
            <w:r w:rsidRPr="00EB2D26">
              <w:rPr>
                <w:rFonts w:cs="Arial"/>
                <w:color w:val="000000"/>
                <w:sz w:val="18"/>
                <w:szCs w:val="18"/>
                <w:lang w:eastAsia="en-AU"/>
              </w:rPr>
              <w:t xml:space="preserve"> </w:t>
            </w:r>
          </w:p>
        </w:tc>
        <w:tc>
          <w:tcPr>
            <w:tcW w:w="1024" w:type="pct"/>
            <w:shd w:val="clear" w:color="auto" w:fill="FABF8F" w:themeFill="accent6" w:themeFillTint="99"/>
          </w:tcPr>
          <w:p w14:paraId="2FC08278" w14:textId="77777777" w:rsidR="00DE24ED" w:rsidRPr="00EB2D26" w:rsidRDefault="00DE24ED" w:rsidP="00ED0788">
            <w:pPr>
              <w:spacing w:after="0" w:line="240" w:lineRule="auto"/>
              <w:contextualSpacing/>
              <w:rPr>
                <w:rFonts w:cs="Arial"/>
                <w:b/>
                <w:bCs/>
                <w:sz w:val="18"/>
                <w:szCs w:val="18"/>
                <w:highlight w:val="red"/>
                <w:lang w:eastAsia="en-AU"/>
              </w:rPr>
            </w:pPr>
            <w:r w:rsidRPr="00EB2D26">
              <w:rPr>
                <w:rFonts w:cs="Arial"/>
                <w:color w:val="000000"/>
                <w:sz w:val="18"/>
                <w:szCs w:val="18"/>
                <w:lang w:eastAsia="en-AU"/>
              </w:rPr>
              <w:t> </w:t>
            </w:r>
          </w:p>
        </w:tc>
        <w:tc>
          <w:tcPr>
            <w:tcW w:w="1307" w:type="pct"/>
            <w:shd w:val="clear" w:color="auto" w:fill="auto"/>
            <w:noWrap/>
          </w:tcPr>
          <w:p w14:paraId="075A016D" w14:textId="77777777" w:rsidR="00DE24ED" w:rsidRDefault="00DE24ED" w:rsidP="00ED0788">
            <w:pPr>
              <w:spacing w:after="0" w:line="240" w:lineRule="auto"/>
              <w:contextualSpacing/>
              <w:rPr>
                <w:rFonts w:cs="Arial"/>
                <w:b/>
                <w:bCs/>
                <w:sz w:val="18"/>
                <w:szCs w:val="18"/>
                <w:lang w:eastAsia="en-AU"/>
              </w:rPr>
            </w:pPr>
            <w:r w:rsidRPr="00EB2D26">
              <w:rPr>
                <w:rFonts w:cs="Arial"/>
                <w:color w:val="000000"/>
                <w:sz w:val="18"/>
                <w:szCs w:val="18"/>
                <w:lang w:eastAsia="en-AU"/>
              </w:rPr>
              <w:t> </w:t>
            </w:r>
          </w:p>
        </w:tc>
        <w:tc>
          <w:tcPr>
            <w:tcW w:w="937" w:type="pct"/>
            <w:shd w:val="clear" w:color="auto" w:fill="FFFFFF" w:themeFill="background1"/>
          </w:tcPr>
          <w:p w14:paraId="22F55F2F" w14:textId="77777777" w:rsidR="00DE24ED" w:rsidRPr="00EB2D26" w:rsidRDefault="00DE24ED" w:rsidP="00ED0788">
            <w:pPr>
              <w:spacing w:after="0" w:line="240" w:lineRule="auto"/>
              <w:contextualSpacing/>
              <w:rPr>
                <w:rFonts w:cs="Arial"/>
                <w:b/>
                <w:bCs/>
                <w:sz w:val="18"/>
                <w:szCs w:val="18"/>
                <w:lang w:eastAsia="en-AU"/>
              </w:rPr>
            </w:pPr>
          </w:p>
        </w:tc>
      </w:tr>
      <w:tr w:rsidR="00DE24ED" w:rsidRPr="00EB2D26" w14:paraId="00B868FA" w14:textId="77777777" w:rsidTr="173040E2">
        <w:trPr>
          <w:trHeight w:val="363"/>
        </w:trPr>
        <w:tc>
          <w:tcPr>
            <w:tcW w:w="810" w:type="pct"/>
            <w:vMerge/>
            <w:vAlign w:val="center"/>
          </w:tcPr>
          <w:p w14:paraId="5ABCAAD9" w14:textId="77777777" w:rsidR="00DE24ED" w:rsidRPr="002048F3" w:rsidRDefault="00DE24ED" w:rsidP="00ED0788">
            <w:pPr>
              <w:spacing w:after="0" w:line="240" w:lineRule="auto"/>
              <w:contextualSpacing/>
              <w:rPr>
                <w:rFonts w:cs="Arial"/>
                <w:b/>
                <w:bCs/>
                <w:color w:val="000000"/>
                <w:sz w:val="20"/>
                <w:lang w:eastAsia="en-AU"/>
              </w:rPr>
            </w:pPr>
          </w:p>
        </w:tc>
        <w:tc>
          <w:tcPr>
            <w:tcW w:w="394" w:type="pct"/>
            <w:tcBorders>
              <w:bottom w:val="single" w:sz="4" w:space="0" w:color="auto"/>
            </w:tcBorders>
            <w:shd w:val="clear" w:color="auto" w:fill="auto"/>
          </w:tcPr>
          <w:p w14:paraId="12F33F52" w14:textId="77777777" w:rsidR="00DE24ED" w:rsidRPr="006532F9" w:rsidRDefault="00DE24ED" w:rsidP="00ED0788">
            <w:pPr>
              <w:spacing w:after="0" w:line="240" w:lineRule="auto"/>
              <w:contextualSpacing/>
              <w:rPr>
                <w:rFonts w:cs="Arial"/>
                <w:sz w:val="20"/>
                <w:lang w:eastAsia="en-AU"/>
              </w:rPr>
            </w:pPr>
            <w:r w:rsidRPr="006532F9">
              <w:rPr>
                <w:rFonts w:cs="Arial"/>
                <w:sz w:val="20"/>
                <w:lang w:eastAsia="en-AU"/>
              </w:rPr>
              <w:t>12-</w:t>
            </w:r>
            <w:r>
              <w:rPr>
                <w:rFonts w:cs="Arial"/>
                <w:sz w:val="20"/>
                <w:lang w:eastAsia="en-AU"/>
              </w:rPr>
              <w:t>49</w:t>
            </w:r>
          </w:p>
        </w:tc>
        <w:tc>
          <w:tcPr>
            <w:tcW w:w="528" w:type="pct"/>
            <w:tcBorders>
              <w:bottom w:val="single" w:sz="4" w:space="0" w:color="auto"/>
            </w:tcBorders>
            <w:shd w:val="clear" w:color="auto" w:fill="FFFFFF" w:themeFill="background1"/>
          </w:tcPr>
          <w:p w14:paraId="18D0E344" w14:textId="77777777" w:rsidR="00DE24ED" w:rsidRPr="00EB2D26" w:rsidRDefault="00DE24ED" w:rsidP="00ED0788">
            <w:pPr>
              <w:spacing w:after="0" w:line="240" w:lineRule="auto"/>
              <w:contextualSpacing/>
              <w:rPr>
                <w:rFonts w:cs="Arial"/>
                <w:color w:val="000000"/>
                <w:sz w:val="18"/>
                <w:szCs w:val="18"/>
                <w:lang w:eastAsia="en-AU"/>
              </w:rPr>
            </w:pPr>
            <w:r w:rsidRPr="00EB2D26">
              <w:rPr>
                <w:rFonts w:cs="Arial"/>
                <w:color w:val="006100"/>
                <w:sz w:val="18"/>
                <w:szCs w:val="18"/>
                <w:lang w:eastAsia="en-AU"/>
              </w:rPr>
              <w:t xml:space="preserve"> </w:t>
            </w:r>
          </w:p>
        </w:tc>
        <w:tc>
          <w:tcPr>
            <w:tcW w:w="1024" w:type="pct"/>
            <w:tcBorders>
              <w:bottom w:val="single" w:sz="4" w:space="0" w:color="auto"/>
            </w:tcBorders>
            <w:shd w:val="clear" w:color="auto" w:fill="FFFFFF" w:themeFill="background1"/>
          </w:tcPr>
          <w:p w14:paraId="20AB5D34" w14:textId="77777777" w:rsidR="00DE24ED" w:rsidRPr="00EB2D26" w:rsidRDefault="00DE24ED" w:rsidP="00ED0788">
            <w:pPr>
              <w:spacing w:after="0" w:line="240" w:lineRule="auto"/>
              <w:contextualSpacing/>
              <w:rPr>
                <w:rFonts w:cs="Arial"/>
                <w:color w:val="000000"/>
                <w:sz w:val="18"/>
                <w:szCs w:val="18"/>
                <w:lang w:eastAsia="en-AU"/>
              </w:rPr>
            </w:pPr>
          </w:p>
        </w:tc>
        <w:tc>
          <w:tcPr>
            <w:tcW w:w="1307" w:type="pct"/>
            <w:tcBorders>
              <w:bottom w:val="single" w:sz="4" w:space="0" w:color="auto"/>
            </w:tcBorders>
            <w:shd w:val="clear" w:color="auto" w:fill="FFFF99"/>
            <w:noWrap/>
          </w:tcPr>
          <w:p w14:paraId="692361E4" w14:textId="77777777" w:rsidR="00DE24ED" w:rsidRPr="00C94C4F" w:rsidRDefault="00DE24ED" w:rsidP="00ED0788">
            <w:pPr>
              <w:spacing w:after="0" w:line="240" w:lineRule="auto"/>
              <w:contextualSpacing/>
              <w:rPr>
                <w:rFonts w:cs="Arial"/>
                <w:color w:val="000000" w:themeColor="text1"/>
                <w:sz w:val="18"/>
                <w:szCs w:val="18"/>
                <w:lang w:eastAsia="en-AU"/>
              </w:rPr>
            </w:pPr>
            <w:r w:rsidRPr="00C94C4F">
              <w:rPr>
                <w:rFonts w:cs="Arial"/>
                <w:b/>
                <w:bCs/>
                <w:color w:val="000000" w:themeColor="text1"/>
                <w:sz w:val="18"/>
                <w:szCs w:val="18"/>
                <w:lang w:eastAsia="en-AU"/>
              </w:rPr>
              <w:t xml:space="preserve">At least one </w:t>
            </w:r>
            <w:r>
              <w:rPr>
                <w:rFonts w:cs="Arial"/>
                <w:b/>
                <w:bCs/>
                <w:color w:val="000000" w:themeColor="text1"/>
                <w:sz w:val="18"/>
                <w:szCs w:val="18"/>
                <w:lang w:eastAsia="en-AU"/>
              </w:rPr>
              <w:t>risk factor</w:t>
            </w:r>
          </w:p>
        </w:tc>
        <w:tc>
          <w:tcPr>
            <w:tcW w:w="937" w:type="pct"/>
            <w:tcBorders>
              <w:bottom w:val="single" w:sz="4" w:space="0" w:color="auto"/>
            </w:tcBorders>
            <w:shd w:val="clear" w:color="auto" w:fill="auto"/>
          </w:tcPr>
          <w:p w14:paraId="0D6F450B" w14:textId="77777777" w:rsidR="00DE24ED" w:rsidRPr="00EB2D26" w:rsidRDefault="00DE24ED" w:rsidP="00ED0788">
            <w:pPr>
              <w:spacing w:after="0" w:line="240" w:lineRule="auto"/>
              <w:contextualSpacing/>
              <w:rPr>
                <w:rFonts w:cs="Arial"/>
                <w:b/>
                <w:bCs/>
                <w:sz w:val="18"/>
                <w:szCs w:val="18"/>
                <w:lang w:eastAsia="en-AU"/>
              </w:rPr>
            </w:pPr>
          </w:p>
        </w:tc>
      </w:tr>
      <w:tr w:rsidR="00DE24ED" w:rsidRPr="00EB2D26" w14:paraId="388B3694" w14:textId="77777777" w:rsidTr="173040E2">
        <w:trPr>
          <w:trHeight w:val="381"/>
        </w:trPr>
        <w:tc>
          <w:tcPr>
            <w:tcW w:w="810" w:type="pct"/>
            <w:vMerge w:val="restart"/>
          </w:tcPr>
          <w:p w14:paraId="3D9FF837" w14:textId="77777777" w:rsidR="00DE24ED" w:rsidRPr="002048F3" w:rsidRDefault="00DE24ED" w:rsidP="00ED0788">
            <w:pPr>
              <w:spacing w:after="0" w:line="240" w:lineRule="auto"/>
              <w:contextualSpacing/>
              <w:rPr>
                <w:rFonts w:cs="Arial"/>
                <w:b/>
                <w:bCs/>
                <w:color w:val="000000"/>
                <w:sz w:val="20"/>
                <w:lang w:eastAsia="en-AU"/>
              </w:rPr>
            </w:pPr>
          </w:p>
          <w:p w14:paraId="3D023511" w14:textId="77777777" w:rsidR="00DE24ED" w:rsidRPr="002048F3" w:rsidRDefault="00DE24ED" w:rsidP="00ED0788">
            <w:pPr>
              <w:spacing w:after="0" w:line="240" w:lineRule="auto"/>
              <w:contextualSpacing/>
              <w:rPr>
                <w:rFonts w:cs="Arial"/>
                <w:b/>
                <w:bCs/>
                <w:color w:val="000000"/>
                <w:sz w:val="20"/>
                <w:lang w:eastAsia="en-AU"/>
              </w:rPr>
            </w:pPr>
            <w:r w:rsidRPr="002048F3">
              <w:rPr>
                <w:rFonts w:cs="Arial"/>
                <w:b/>
                <w:bCs/>
                <w:color w:val="000000"/>
                <w:sz w:val="20"/>
                <w:lang w:eastAsia="en-AU"/>
              </w:rPr>
              <w:t xml:space="preserve">If Aboriginal </w:t>
            </w:r>
          </w:p>
          <w:p w14:paraId="18BA9F60" w14:textId="77777777" w:rsidR="00DE24ED" w:rsidRPr="002048F3" w:rsidRDefault="00DE24ED" w:rsidP="00ED0788">
            <w:pPr>
              <w:spacing w:after="0" w:line="240" w:lineRule="auto"/>
              <w:contextualSpacing/>
              <w:rPr>
                <w:rFonts w:cs="Arial"/>
                <w:b/>
                <w:bCs/>
                <w:color w:val="000000"/>
                <w:sz w:val="20"/>
                <w:lang w:eastAsia="en-AU"/>
              </w:rPr>
            </w:pPr>
          </w:p>
          <w:p w14:paraId="4A80E351" w14:textId="77777777" w:rsidR="00DE24ED" w:rsidRPr="002048F3" w:rsidRDefault="00DE24ED" w:rsidP="00ED0788">
            <w:pPr>
              <w:spacing w:after="0" w:line="240" w:lineRule="auto"/>
              <w:contextualSpacing/>
              <w:rPr>
                <w:rFonts w:cs="Arial"/>
                <w:b/>
                <w:bCs/>
                <w:color w:val="000000"/>
                <w:sz w:val="20"/>
                <w:lang w:eastAsia="en-AU"/>
              </w:rPr>
            </w:pPr>
            <w:r w:rsidRPr="002048F3">
              <w:rPr>
                <w:rFonts w:cs="Arial"/>
                <w:b/>
                <w:bCs/>
                <w:color w:val="000000"/>
                <w:sz w:val="20"/>
                <w:lang w:eastAsia="en-AU"/>
              </w:rPr>
              <w:t>Vaccination status: Up-to-date</w:t>
            </w:r>
          </w:p>
        </w:tc>
        <w:tc>
          <w:tcPr>
            <w:tcW w:w="394" w:type="pct"/>
            <w:shd w:val="clear" w:color="auto" w:fill="auto"/>
          </w:tcPr>
          <w:p w14:paraId="4D9D722B" w14:textId="77777777" w:rsidR="00DE24ED" w:rsidRPr="006532F9" w:rsidRDefault="00DE24ED" w:rsidP="00ED0788">
            <w:pPr>
              <w:spacing w:after="0" w:line="240" w:lineRule="auto"/>
              <w:contextualSpacing/>
              <w:rPr>
                <w:rFonts w:cs="Arial"/>
                <w:sz w:val="20"/>
                <w:lang w:eastAsia="en-AU"/>
              </w:rPr>
            </w:pPr>
            <w:r w:rsidRPr="006532F9">
              <w:rPr>
                <w:rFonts w:cs="Arial"/>
                <w:sz w:val="20"/>
                <w:lang w:eastAsia="en-AU"/>
              </w:rPr>
              <w:t>≥</w:t>
            </w:r>
            <w:r>
              <w:rPr>
                <w:rFonts w:cs="Arial"/>
                <w:sz w:val="20"/>
                <w:lang w:eastAsia="en-AU"/>
              </w:rPr>
              <w:t>50</w:t>
            </w:r>
          </w:p>
        </w:tc>
        <w:tc>
          <w:tcPr>
            <w:tcW w:w="528" w:type="pct"/>
            <w:shd w:val="clear" w:color="auto" w:fill="FFFFFF" w:themeFill="background1"/>
          </w:tcPr>
          <w:p w14:paraId="2C31A9FF" w14:textId="77777777" w:rsidR="00DE24ED" w:rsidRPr="00EB2D26" w:rsidRDefault="00DE24ED" w:rsidP="00ED0788">
            <w:pPr>
              <w:spacing w:after="0" w:line="240" w:lineRule="auto"/>
              <w:contextualSpacing/>
              <w:rPr>
                <w:rFonts w:cs="Arial"/>
                <w:color w:val="006100"/>
                <w:sz w:val="18"/>
                <w:szCs w:val="18"/>
                <w:lang w:eastAsia="en-AU"/>
              </w:rPr>
            </w:pPr>
          </w:p>
        </w:tc>
        <w:tc>
          <w:tcPr>
            <w:tcW w:w="1024" w:type="pct"/>
            <w:shd w:val="clear" w:color="auto" w:fill="FFFFFF" w:themeFill="background1"/>
          </w:tcPr>
          <w:p w14:paraId="08537554" w14:textId="77777777" w:rsidR="00DE24ED" w:rsidRPr="00EB2D26" w:rsidRDefault="00DE24ED" w:rsidP="00ED0788">
            <w:pPr>
              <w:spacing w:after="0" w:line="240" w:lineRule="auto"/>
              <w:contextualSpacing/>
              <w:rPr>
                <w:rFonts w:cs="Arial"/>
                <w:color w:val="000000"/>
                <w:sz w:val="18"/>
                <w:szCs w:val="18"/>
                <w:lang w:eastAsia="en-AU"/>
              </w:rPr>
            </w:pPr>
          </w:p>
        </w:tc>
        <w:tc>
          <w:tcPr>
            <w:tcW w:w="1307" w:type="pct"/>
            <w:shd w:val="clear" w:color="auto" w:fill="FFFF99"/>
            <w:noWrap/>
          </w:tcPr>
          <w:p w14:paraId="04C8DB41" w14:textId="77777777" w:rsidR="00DE24ED" w:rsidRPr="00C94C4F" w:rsidRDefault="00DE24ED" w:rsidP="00ED0788">
            <w:pPr>
              <w:spacing w:after="0" w:line="240" w:lineRule="auto"/>
              <w:contextualSpacing/>
              <w:rPr>
                <w:rFonts w:cs="Arial"/>
                <w:b/>
                <w:bCs/>
                <w:color w:val="000000" w:themeColor="text1"/>
                <w:sz w:val="18"/>
                <w:szCs w:val="18"/>
                <w:lang w:eastAsia="en-AU"/>
              </w:rPr>
            </w:pPr>
            <w:r w:rsidRPr="00C94C4F">
              <w:rPr>
                <w:rFonts w:cs="Arial"/>
                <w:b/>
                <w:bCs/>
                <w:color w:val="000000" w:themeColor="text1"/>
                <w:sz w:val="18"/>
                <w:szCs w:val="18"/>
                <w:lang w:eastAsia="en-AU"/>
              </w:rPr>
              <w:t xml:space="preserve">At least one </w:t>
            </w:r>
            <w:r>
              <w:rPr>
                <w:rFonts w:cs="Arial"/>
                <w:b/>
                <w:bCs/>
                <w:color w:val="000000" w:themeColor="text1"/>
                <w:sz w:val="18"/>
                <w:szCs w:val="18"/>
                <w:lang w:eastAsia="en-AU"/>
              </w:rPr>
              <w:t>risk factor</w:t>
            </w:r>
            <w:r w:rsidRPr="00C94C4F">
              <w:rPr>
                <w:rFonts w:cs="Arial"/>
                <w:b/>
                <w:bCs/>
                <w:color w:val="000000" w:themeColor="text1"/>
                <w:sz w:val="18"/>
                <w:szCs w:val="18"/>
                <w:lang w:eastAsia="en-AU"/>
              </w:rPr>
              <w:t xml:space="preserve"> </w:t>
            </w:r>
          </w:p>
        </w:tc>
        <w:tc>
          <w:tcPr>
            <w:tcW w:w="937" w:type="pct"/>
            <w:shd w:val="clear" w:color="auto" w:fill="auto"/>
          </w:tcPr>
          <w:p w14:paraId="289007E2" w14:textId="77777777" w:rsidR="00DE24ED" w:rsidRPr="00EB2D26" w:rsidRDefault="00DE24ED" w:rsidP="00ED0788">
            <w:pPr>
              <w:spacing w:after="0" w:line="240" w:lineRule="auto"/>
              <w:contextualSpacing/>
              <w:rPr>
                <w:rFonts w:cs="Arial"/>
                <w:b/>
                <w:bCs/>
                <w:sz w:val="18"/>
                <w:szCs w:val="18"/>
                <w:lang w:eastAsia="en-AU"/>
              </w:rPr>
            </w:pPr>
          </w:p>
        </w:tc>
      </w:tr>
      <w:tr w:rsidR="00DE24ED" w:rsidRPr="00EB2D26" w14:paraId="276D75BD" w14:textId="77777777" w:rsidTr="173040E2">
        <w:trPr>
          <w:trHeight w:val="610"/>
        </w:trPr>
        <w:tc>
          <w:tcPr>
            <w:tcW w:w="810" w:type="pct"/>
            <w:vMerge/>
          </w:tcPr>
          <w:p w14:paraId="4FB99E90" w14:textId="77777777" w:rsidR="00DE24ED" w:rsidRPr="00EB2D26" w:rsidRDefault="00DE24ED" w:rsidP="00ED0788">
            <w:pPr>
              <w:spacing w:after="0" w:line="240" w:lineRule="auto"/>
              <w:contextualSpacing/>
              <w:rPr>
                <w:rFonts w:cs="Arial"/>
                <w:b/>
                <w:bCs/>
                <w:color w:val="000000"/>
                <w:sz w:val="20"/>
                <w:lang w:eastAsia="en-AU"/>
              </w:rPr>
            </w:pPr>
          </w:p>
        </w:tc>
        <w:tc>
          <w:tcPr>
            <w:tcW w:w="394" w:type="pct"/>
            <w:tcBorders>
              <w:bottom w:val="nil"/>
            </w:tcBorders>
            <w:shd w:val="clear" w:color="auto" w:fill="auto"/>
          </w:tcPr>
          <w:p w14:paraId="1F04C924" w14:textId="77777777" w:rsidR="00DE24ED" w:rsidRPr="006532F9" w:rsidRDefault="00DE24ED" w:rsidP="00ED0788">
            <w:pPr>
              <w:spacing w:after="0" w:line="240" w:lineRule="auto"/>
              <w:contextualSpacing/>
              <w:rPr>
                <w:rFonts w:cs="Arial"/>
                <w:sz w:val="20"/>
                <w:lang w:eastAsia="en-AU"/>
              </w:rPr>
            </w:pPr>
            <w:r>
              <w:rPr>
                <w:rFonts w:cs="Arial"/>
                <w:sz w:val="20"/>
                <w:lang w:eastAsia="en-AU"/>
              </w:rPr>
              <w:t>18</w:t>
            </w:r>
            <w:r w:rsidRPr="006532F9">
              <w:rPr>
                <w:rFonts w:cs="Arial"/>
                <w:sz w:val="20"/>
                <w:lang w:eastAsia="en-AU"/>
              </w:rPr>
              <w:t>-</w:t>
            </w:r>
            <w:r>
              <w:rPr>
                <w:rFonts w:cs="Arial"/>
                <w:sz w:val="20"/>
                <w:lang w:eastAsia="en-AU"/>
              </w:rPr>
              <w:t>49</w:t>
            </w:r>
          </w:p>
        </w:tc>
        <w:tc>
          <w:tcPr>
            <w:tcW w:w="528" w:type="pct"/>
            <w:tcBorders>
              <w:bottom w:val="nil"/>
            </w:tcBorders>
            <w:shd w:val="clear" w:color="auto" w:fill="FFFFFF" w:themeFill="background1"/>
          </w:tcPr>
          <w:p w14:paraId="15A520DB" w14:textId="77777777" w:rsidR="00DE24ED" w:rsidRPr="00EB2D26" w:rsidRDefault="00DE24ED" w:rsidP="00ED0788">
            <w:pPr>
              <w:spacing w:after="0" w:line="240" w:lineRule="auto"/>
              <w:contextualSpacing/>
              <w:rPr>
                <w:rFonts w:cs="Arial"/>
                <w:color w:val="006100"/>
                <w:sz w:val="18"/>
                <w:szCs w:val="18"/>
                <w:lang w:eastAsia="en-AU"/>
              </w:rPr>
            </w:pPr>
          </w:p>
        </w:tc>
        <w:tc>
          <w:tcPr>
            <w:tcW w:w="1024" w:type="pct"/>
            <w:tcBorders>
              <w:bottom w:val="nil"/>
            </w:tcBorders>
            <w:shd w:val="clear" w:color="auto" w:fill="FFFFFF" w:themeFill="background1"/>
          </w:tcPr>
          <w:p w14:paraId="7AEA1C90" w14:textId="77777777" w:rsidR="00DE24ED" w:rsidRPr="00EB2D26" w:rsidRDefault="00DE24ED" w:rsidP="00ED0788">
            <w:pPr>
              <w:spacing w:after="0" w:line="240" w:lineRule="auto"/>
              <w:contextualSpacing/>
              <w:rPr>
                <w:rFonts w:cs="Arial"/>
                <w:color w:val="000000"/>
                <w:sz w:val="18"/>
                <w:szCs w:val="18"/>
                <w:lang w:eastAsia="en-AU"/>
              </w:rPr>
            </w:pPr>
          </w:p>
        </w:tc>
        <w:tc>
          <w:tcPr>
            <w:tcW w:w="1307" w:type="pct"/>
            <w:tcBorders>
              <w:bottom w:val="nil"/>
            </w:tcBorders>
            <w:shd w:val="clear" w:color="auto" w:fill="auto"/>
            <w:noWrap/>
          </w:tcPr>
          <w:p w14:paraId="0256CA8F" w14:textId="77777777" w:rsidR="00DE24ED" w:rsidRPr="00EB2D26" w:rsidRDefault="00DE24ED" w:rsidP="00ED0788">
            <w:pPr>
              <w:spacing w:after="0" w:line="240" w:lineRule="auto"/>
              <w:contextualSpacing/>
              <w:rPr>
                <w:rFonts w:cs="Arial"/>
                <w:b/>
                <w:bCs/>
                <w:sz w:val="18"/>
                <w:szCs w:val="18"/>
                <w:lang w:eastAsia="en-AU"/>
              </w:rPr>
            </w:pPr>
          </w:p>
        </w:tc>
        <w:tc>
          <w:tcPr>
            <w:tcW w:w="937" w:type="pct"/>
            <w:tcBorders>
              <w:bottom w:val="nil"/>
            </w:tcBorders>
            <w:shd w:val="clear" w:color="auto" w:fill="CCFF99"/>
          </w:tcPr>
          <w:p w14:paraId="56A5885F" w14:textId="77777777" w:rsidR="00DE24ED" w:rsidRPr="00EB2D26" w:rsidRDefault="00DE24ED" w:rsidP="00ED0788">
            <w:pPr>
              <w:spacing w:after="0" w:line="240" w:lineRule="auto"/>
              <w:contextualSpacing/>
              <w:rPr>
                <w:rFonts w:cs="Arial"/>
                <w:b/>
                <w:bCs/>
                <w:sz w:val="18"/>
                <w:szCs w:val="18"/>
                <w:lang w:eastAsia="en-AU"/>
              </w:rPr>
            </w:pPr>
            <w:r w:rsidRPr="00EB2D26">
              <w:rPr>
                <w:rFonts w:cs="Arial"/>
                <w:b/>
                <w:bCs/>
                <w:sz w:val="18"/>
                <w:szCs w:val="18"/>
                <w:lang w:eastAsia="en-AU"/>
              </w:rPr>
              <w:t xml:space="preserve">At least one </w:t>
            </w:r>
            <w:r>
              <w:rPr>
                <w:rFonts w:cs="Arial"/>
                <w:b/>
                <w:bCs/>
                <w:sz w:val="18"/>
                <w:szCs w:val="18"/>
                <w:lang w:eastAsia="en-AU"/>
              </w:rPr>
              <w:t>risk factor</w:t>
            </w:r>
          </w:p>
        </w:tc>
      </w:tr>
    </w:tbl>
    <w:p w14:paraId="2D4A9A3E" w14:textId="21E093ED" w:rsidR="00DE24ED" w:rsidRPr="00EB2D26" w:rsidRDefault="00293D73" w:rsidP="00DE24ED">
      <w:pPr>
        <w:rPr>
          <w:rFonts w:eastAsia="Times"/>
          <w:bCs/>
        </w:rPr>
        <w:sectPr w:rsidR="00DE24ED" w:rsidRPr="00EB2D26" w:rsidSect="00DE24ED">
          <w:pgSz w:w="16838" w:h="11906" w:orient="landscape" w:code="9"/>
          <w:pgMar w:top="851" w:right="851" w:bottom="1418" w:left="851" w:header="680" w:footer="851" w:gutter="0"/>
          <w:cols w:space="340"/>
          <w:docGrid w:linePitch="360"/>
        </w:sectPr>
      </w:pPr>
      <w:r>
        <w:rPr>
          <w:noProof/>
        </w:rPr>
        <w:pict w14:anchorId="2F8524C6">
          <v:shape id="Text Box 7" o:spid="_x0000_s2067" type="#_x0000_t202" style="position:absolute;margin-left:-6.2pt;margin-top:.25pt;width:768.5pt;height:64.5pt;z-index:251658245;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">
            <v:textbox>
              <w:txbxContent>
                <w:p w14:paraId="04E43BAF" w14:textId="77777777" w:rsidR="00DE24ED" w:rsidRDefault="00DE24ED" w:rsidP="00DE24ED">
                  <w:pPr>
                    <w:spacing w:after="0" w:line="240" w:lineRule="auto"/>
                    <w:contextualSpacing/>
                    <w:rPr>
                      <w:rFonts w:cs="Arial"/>
                      <w:sz w:val="18"/>
                      <w:szCs w:val="18"/>
                      <w:lang w:eastAsia="en-AU"/>
                    </w:rPr>
                  </w:pPr>
                  <w:r w:rsidRPr="00DE7DE0">
                    <w:rPr>
                      <w:rFonts w:cs="Arial"/>
                      <w:sz w:val="18"/>
                      <w:szCs w:val="18"/>
                      <w:lang w:eastAsia="en-AU"/>
                    </w:rPr>
                    <w:t xml:space="preserve">Note. Coloured boxes with specific criteria </w:t>
                  </w:r>
                  <w:r>
                    <w:rPr>
                      <w:rFonts w:cs="Arial"/>
                      <w:sz w:val="18"/>
                      <w:szCs w:val="18"/>
                      <w:lang w:eastAsia="en-AU"/>
                    </w:rPr>
                    <w:t xml:space="preserve">within them </w:t>
                  </w:r>
                  <w:r w:rsidRPr="00DE7DE0">
                    <w:rPr>
                      <w:rFonts w:cs="Arial"/>
                      <w:sz w:val="18"/>
                      <w:szCs w:val="18"/>
                      <w:lang w:eastAsia="en-AU"/>
                    </w:rPr>
                    <w:t xml:space="preserve">outline additional considerations for that priority group e.g. to meet this priority </w:t>
                  </w:r>
                  <w:r>
                    <w:rPr>
                      <w:rFonts w:cs="Arial"/>
                      <w:sz w:val="18"/>
                      <w:szCs w:val="18"/>
                      <w:lang w:eastAsia="en-AU"/>
                    </w:rPr>
                    <w:t>patients</w:t>
                  </w:r>
                  <w:r w:rsidRPr="00DE7DE0">
                    <w:rPr>
                      <w:rFonts w:cs="Arial"/>
                      <w:sz w:val="18"/>
                      <w:szCs w:val="18"/>
                      <w:lang w:eastAsia="en-AU"/>
                    </w:rPr>
                    <w:t xml:space="preserve"> must have comorbidities </w:t>
                  </w:r>
                  <w:r>
                    <w:rPr>
                      <w:rFonts w:cs="Arial"/>
                      <w:sz w:val="18"/>
                      <w:szCs w:val="18"/>
                      <w:lang w:eastAsia="en-AU"/>
                    </w:rPr>
                    <w:t>in addition to meeting the</w:t>
                  </w:r>
                  <w:r w:rsidRPr="00DE7DE0">
                    <w:rPr>
                      <w:rFonts w:cs="Arial"/>
                      <w:sz w:val="18"/>
                      <w:szCs w:val="18"/>
                      <w:lang w:eastAsia="en-AU"/>
                    </w:rPr>
                    <w:t xml:space="preserve"> age and vaccination status </w:t>
                  </w:r>
                  <w:r>
                    <w:rPr>
                      <w:rFonts w:cs="Arial"/>
                      <w:sz w:val="18"/>
                      <w:szCs w:val="18"/>
                      <w:lang w:eastAsia="en-AU"/>
                    </w:rPr>
                    <w:t>criteria</w:t>
                  </w:r>
                  <w:r w:rsidRPr="00DE7DE0">
                    <w:rPr>
                      <w:rFonts w:cs="Arial"/>
                      <w:sz w:val="18"/>
                      <w:szCs w:val="18"/>
                      <w:lang w:eastAsia="en-AU"/>
                    </w:rPr>
                    <w:t xml:space="preserve">. Coloured boxes without additional criteria </w:t>
                  </w:r>
                  <w:r>
                    <w:rPr>
                      <w:rFonts w:cs="Arial"/>
                      <w:sz w:val="18"/>
                      <w:szCs w:val="18"/>
                      <w:lang w:eastAsia="en-AU"/>
                    </w:rPr>
                    <w:t xml:space="preserve">within them </w:t>
                  </w:r>
                  <w:r w:rsidRPr="00DE7DE0">
                    <w:rPr>
                      <w:rFonts w:cs="Arial"/>
                      <w:sz w:val="18"/>
                      <w:szCs w:val="18"/>
                      <w:lang w:eastAsia="en-AU"/>
                    </w:rPr>
                    <w:t xml:space="preserve">indicate that age and vaccination status or age and immunosuppression are the primary factors </w:t>
                  </w:r>
                  <w:r w:rsidRPr="003122AD">
                    <w:rPr>
                      <w:rFonts w:cs="Arial"/>
                      <w:sz w:val="18"/>
                      <w:szCs w:val="18"/>
                      <w:lang w:eastAsia="en-AU"/>
                    </w:rPr>
                    <w:t xml:space="preserve">determining </w:t>
                  </w:r>
                  <w:r w:rsidRPr="00D33B1B">
                    <w:rPr>
                      <w:rFonts w:cs="Arial"/>
                      <w:sz w:val="18"/>
                      <w:szCs w:val="18"/>
                      <w:lang w:eastAsia="en-AU"/>
                    </w:rPr>
                    <w:t>priority</w:t>
                  </w:r>
                  <w:r w:rsidRPr="003122AD">
                    <w:rPr>
                      <w:rFonts w:cs="Arial"/>
                      <w:sz w:val="18"/>
                      <w:szCs w:val="18"/>
                      <w:lang w:eastAsia="en-AU"/>
                    </w:rPr>
                    <w:t>.</w:t>
                  </w:r>
                </w:p>
                <w:p w14:paraId="42D26112" w14:textId="77777777" w:rsidR="00DE24ED" w:rsidRDefault="00DE24ED" w:rsidP="00DE24ED">
                  <w:pPr>
                    <w:spacing w:after="0" w:line="240" w:lineRule="auto"/>
                    <w:contextualSpacing/>
                    <w:rPr>
                      <w:rFonts w:cs="Arial"/>
                      <w:sz w:val="18"/>
                      <w:szCs w:val="18"/>
                      <w:lang w:eastAsia="en-AU"/>
                    </w:rPr>
                  </w:pPr>
                </w:p>
                <w:p w14:paraId="2537AB58" w14:textId="4A012541" w:rsidR="008F3222" w:rsidRPr="00241177" w:rsidRDefault="00DE24ED" w:rsidP="00DE24ED">
                  <w:pPr>
                    <w:spacing w:after="0" w:line="240" w:lineRule="auto"/>
                    <w:contextualSpacing/>
                    <w:rPr>
                      <w:rFonts w:cs="Arial"/>
                      <w:sz w:val="18"/>
                      <w:szCs w:val="18"/>
                      <w:lang w:eastAsia="en-AU"/>
                    </w:rPr>
                  </w:pPr>
                  <w:r w:rsidRPr="00B9382C">
                    <w:rPr>
                      <w:rFonts w:cs="Arial"/>
                      <w:sz w:val="18"/>
                      <w:szCs w:val="18"/>
                      <w:lang w:eastAsia="en-AU"/>
                    </w:rPr>
                    <w:t>Remdesivir (Veklury</w:t>
                  </w:r>
                  <w:r w:rsidRPr="00B9382C">
                    <w:rPr>
                      <w:rFonts w:cs="Arial"/>
                      <w:sz w:val="18"/>
                      <w:szCs w:val="18"/>
                      <w:vertAlign w:val="superscript"/>
                      <w:lang w:eastAsia="en-AU"/>
                    </w:rPr>
                    <w:t>TM</w:t>
                  </w:r>
                  <w:r w:rsidRPr="00B9382C">
                    <w:rPr>
                      <w:rFonts w:cs="Arial"/>
                      <w:sz w:val="18"/>
                      <w:szCs w:val="18"/>
                      <w:lang w:eastAsia="en-AU"/>
                    </w:rPr>
                    <w:t>) may be reserved as an option for outpatients who are in the highest priority group(s) e.g. priority 1-2 and for inpatients of all priority groups.</w:t>
                  </w:r>
                  <w:r w:rsidR="0069075D">
                    <w:rPr>
                      <w:rFonts w:cs="Arial"/>
                      <w:sz w:val="18"/>
                      <w:szCs w:val="18"/>
                      <w:lang w:eastAsia="en-AU"/>
                    </w:rPr>
                    <w:t xml:space="preserve"> </w:t>
                  </w:r>
                </w:p>
              </w:txbxContent>
            </v:textbox>
            <w10:wrap anchorx="margin"/>
          </v:shape>
        </w:pict>
      </w:r>
    </w:p>
    <w:p w14:paraId="1A63E210" w14:textId="77777777" w:rsidR="009558FF" w:rsidRDefault="009558FF">
      <w:pPr>
        <w:spacing w:after="0" w:line="240" w:lineRule="auto"/>
        <w:rPr>
          <w:rFonts w:eastAsia="Times"/>
        </w:rPr>
      </w:pPr>
    </w:p>
    <w:tbl>
      <w:tblPr>
        <w:tblStyle w:val="TableGrid"/>
        <w:tblpPr w:leftFromText="180" w:rightFromText="180" w:vertAnchor="text" w:horzAnchor="margin" w:tblpY="102"/>
        <w:tblW w:w="4956" w:type="pct"/>
        <w:tblCellMar>
          <w:bottom w:w="108" w:type="dxa"/>
        </w:tblCellMar>
        <w:tblLook w:val="0600" w:firstRow="0" w:lastRow="0" w:firstColumn="0" w:lastColumn="0" w:noHBand="1" w:noVBand="1"/>
      </w:tblPr>
      <w:tblGrid>
        <w:gridCol w:w="9766"/>
      </w:tblGrid>
      <w:tr w:rsidR="00DE24ED" w14:paraId="34502802" w14:textId="77777777" w:rsidTr="56490CC6">
        <w:trPr>
          <w:trHeight w:val="511"/>
        </w:trPr>
        <w:tc>
          <w:tcPr>
            <w:tcW w:w="5000" w:type="pct"/>
            <w:tcBorders>
              <w:top w:val="single" w:sz="4" w:space="0" w:color="auto"/>
              <w:left w:val="single" w:sz="4" w:space="0" w:color="auto"/>
              <w:bottom w:val="single" w:sz="4" w:space="0" w:color="auto"/>
              <w:right w:val="single" w:sz="4" w:space="0" w:color="auto"/>
            </w:tcBorders>
            <w:hideMark/>
          </w:tcPr>
          <w:p w14:paraId="190E09E1" w14:textId="62D793DE" w:rsidR="00DE24ED" w:rsidRDefault="56490CC6" w:rsidP="56490CC6">
            <w:pPr>
              <w:contextualSpacing/>
            </w:pPr>
            <w:r w:rsidRPr="56490CC6">
              <w:rPr>
                <w:rFonts w:eastAsia="Arial" w:cs="Arial"/>
                <w:szCs w:val="21"/>
              </w:rPr>
              <w:t xml:space="preserve">To receive this document in another format phone 1300 651 160 using the National Relay Service 13 36 77 if required, or </w:t>
            </w:r>
            <w:hyperlink r:id="rId69">
              <w:r w:rsidRPr="56490CC6">
                <w:rPr>
                  <w:rStyle w:val="Hyperlink"/>
                  <w:rFonts w:eastAsia="Arial" w:cs="Arial"/>
                  <w:szCs w:val="21"/>
                </w:rPr>
                <w:t>email COVID Positive Pathways</w:t>
              </w:r>
            </w:hyperlink>
            <w:r w:rsidRPr="56490CC6">
              <w:rPr>
                <w:rFonts w:eastAsia="Arial" w:cs="Arial"/>
                <w:szCs w:val="21"/>
              </w:rPr>
              <w:t xml:space="preserve"> &lt;covid+pathways@health.vic.gov.au&gt;.</w:t>
            </w:r>
          </w:p>
          <w:p w14:paraId="5262EB47" w14:textId="299810A6" w:rsidR="00DE24ED" w:rsidRDefault="56490CC6" w:rsidP="56490CC6">
            <w:pPr>
              <w:contextualSpacing/>
            </w:pPr>
            <w:r w:rsidRPr="56490CC6">
              <w:rPr>
                <w:rFonts w:eastAsia="Arial" w:cs="Arial"/>
                <w:sz w:val="20"/>
              </w:rPr>
              <w:t>Authorised and published by the Victorian Government, 1 Treasury Place, Melbourne.</w:t>
            </w:r>
          </w:p>
          <w:p w14:paraId="13BF66C1" w14:textId="2E13C120" w:rsidR="00DE24ED" w:rsidRDefault="56490CC6" w:rsidP="56490CC6">
            <w:pPr>
              <w:contextualSpacing/>
            </w:pPr>
            <w:r w:rsidRPr="56490CC6">
              <w:rPr>
                <w:rFonts w:eastAsia="Arial" w:cs="Arial"/>
                <w:sz w:val="20"/>
              </w:rPr>
              <w:t xml:space="preserve">© State of Victoria, Australia, Department of Health, </w:t>
            </w:r>
            <w:r w:rsidR="00E40153" w:rsidRPr="00041E0E">
              <w:rPr>
                <w:rFonts w:eastAsia="Arial" w:cs="Arial"/>
                <w:sz w:val="20"/>
              </w:rPr>
              <w:t>November</w:t>
            </w:r>
            <w:r w:rsidR="00E40153" w:rsidRPr="56490CC6">
              <w:rPr>
                <w:rFonts w:eastAsia="Arial" w:cs="Arial"/>
                <w:sz w:val="20"/>
              </w:rPr>
              <w:t xml:space="preserve"> </w:t>
            </w:r>
            <w:r w:rsidRPr="56490CC6">
              <w:rPr>
                <w:rFonts w:eastAsia="Arial" w:cs="Arial"/>
                <w:sz w:val="20"/>
              </w:rPr>
              <w:t xml:space="preserve">2022. </w:t>
            </w:r>
          </w:p>
          <w:p w14:paraId="604E3B92" w14:textId="32B592D7" w:rsidR="00DE24ED" w:rsidRDefault="56490CC6" w:rsidP="56490CC6">
            <w:pPr>
              <w:contextualSpacing/>
            </w:pPr>
            <w:r w:rsidRPr="56490CC6">
              <w:rPr>
                <w:rFonts w:eastAsia="Arial" w:cs="Arial"/>
                <w:sz w:val="20"/>
              </w:rPr>
              <w:t xml:space="preserve">Available at: </w:t>
            </w:r>
            <w:hyperlink r:id="rId70">
              <w:r w:rsidRPr="56490CC6">
                <w:rPr>
                  <w:rStyle w:val="Hyperlink"/>
                  <w:rFonts w:eastAsia="Arial" w:cs="Arial"/>
                  <w:sz w:val="20"/>
                </w:rPr>
                <w:t>Medications for patients with COVID-19</w:t>
              </w:r>
            </w:hyperlink>
            <w:r w:rsidRPr="56490CC6">
              <w:rPr>
                <w:rFonts w:eastAsia="Arial" w:cs="Arial"/>
                <w:sz w:val="20"/>
              </w:rPr>
              <w:t xml:space="preserve"> &lt;https://www.health.vic.gov.au/covid-19/vaccines-and-medications-in-patients-with-covid-19&gt;</w:t>
            </w:r>
          </w:p>
        </w:tc>
      </w:tr>
    </w:tbl>
    <w:p w14:paraId="2B432631" w14:textId="77777777" w:rsidR="00961A17" w:rsidRDefault="00961A17" w:rsidP="005836B0">
      <w:pPr>
        <w:pStyle w:val="Body"/>
      </w:pPr>
    </w:p>
    <w:sectPr w:rsidR="00961A17" w:rsidSect="00DE24ED">
      <w:pgSz w:w="11906" w:h="16838" w:code="9"/>
      <w:pgMar w:top="851" w:right="1418" w:bottom="851"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2221B" w14:textId="77777777" w:rsidR="00DE1073" w:rsidRDefault="00DE1073">
      <w:r>
        <w:separator/>
      </w:r>
    </w:p>
  </w:endnote>
  <w:endnote w:type="continuationSeparator" w:id="0">
    <w:p w14:paraId="72460AFA" w14:textId="77777777" w:rsidR="00DE1073" w:rsidRDefault="00DE1073">
      <w:r>
        <w:continuationSeparator/>
      </w:r>
    </w:p>
  </w:endnote>
  <w:endnote w:type="continuationNotice" w:id="1">
    <w:p w14:paraId="5B1CD300" w14:textId="77777777" w:rsidR="00DE1073" w:rsidRDefault="00DE10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A1002AE7" w:usb1="C0000063" w:usb2="00000038" w:usb3="00000000" w:csb0="000000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1460" w14:textId="77777777" w:rsidR="00293D73" w:rsidRDefault="00293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870D" w14:textId="164D5525" w:rsidR="00E261B3" w:rsidRPr="00F65AA9" w:rsidRDefault="00293D73" w:rsidP="00F84FA0">
    <w:pPr>
      <w:pStyle w:val="Footer"/>
    </w:pPr>
    <w:r>
      <w:rPr>
        <w:noProof/>
      </w:rPr>
      <w:pict w14:anchorId="1A56FDA5">
        <v:shapetype id="_x0000_t202" coordsize="21600,21600" o:spt="202" path="m,l,21600r21600,l21600,xe">
          <v:stroke joinstyle="miter"/>
          <v:path gradientshapeok="t" o:connecttype="rect"/>
        </v:shapetype>
        <v:shape id="MSIPCM402b40c6b5f6264520a85dc4"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0;visibility:visible;mso-wrap-style:square;mso-position-horizontal:center;mso-position-horizontal-relative:page;mso-position-vertical:bottom;mso-position-vertical-relative:page;v-text-anchor:middle" o:allowincell="f" filled="f" stroked="f" strokeweight=".5pt">
          <v:textbox inset=",0,,0">
            <w:txbxContent>
              <w:p w14:paraId="6EC1BE8B" w14:textId="31DA3608" w:rsidR="007966F9" w:rsidRPr="00293D73" w:rsidRDefault="00293D73" w:rsidP="00293D73">
                <w:pPr>
                  <w:spacing w:after="0"/>
                  <w:jc w:val="center"/>
                  <w:rPr>
                    <w:rFonts w:ascii="Arial Black" w:hAnsi="Arial Black"/>
                    <w:color w:val="000000"/>
                    <w:sz w:val="20"/>
                  </w:rPr>
                </w:pPr>
                <w:r w:rsidRPr="00293D73">
                  <w:rPr>
                    <w:rFonts w:ascii="Arial Black" w:hAnsi="Arial Black"/>
                    <w:color w:val="000000"/>
                    <w:sz w:val="20"/>
                  </w:rPr>
                  <w:t>OFFICIAL</w:t>
                </w:r>
              </w:p>
            </w:txbxContent>
          </v:textbox>
          <w10:wrap anchorx="page" anchory="page"/>
        </v:shape>
      </w:pict>
    </w:r>
    <w:r w:rsidR="0072251A">
      <w:rPr>
        <w:noProof/>
        <w:lang w:eastAsia="en-AU"/>
      </w:rPr>
      <w:drawing>
        <wp:anchor distT="0" distB="0" distL="114300" distR="114300" simplePos="0" relativeHeight="251659264" behindDoc="1" locked="1" layoutInCell="1" allowOverlap="1" wp14:anchorId="1F9DF3AE" wp14:editId="0434669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1AB6" w14:textId="1A98BC1D" w:rsidR="00E261B3" w:rsidRDefault="00293D73">
    <w:pPr>
      <w:pStyle w:val="Footer"/>
    </w:pPr>
    <w:r>
      <w:rPr>
        <w:noProof/>
      </w:rPr>
      <w:pict w14:anchorId="096FA1A4">
        <v:shapetype id="_x0000_t202" coordsize="21600,21600" o:spt="202" path="m,l,21600r21600,l21600,xe">
          <v:stroke joinstyle="miter"/>
          <v:path gradientshapeok="t" o:connecttype="rect"/>
        </v:shapetype>
        <v:shape id="MSIPCMa98a4f62aa09df0b07de52e6" o:spid="_x0000_s1026"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7216;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22154C61" w14:textId="65E367C8" w:rsidR="007966F9" w:rsidRPr="00495C03" w:rsidRDefault="00495C03" w:rsidP="00495C03">
                <w:pPr>
                  <w:spacing w:after="0"/>
                  <w:jc w:val="center"/>
                  <w:rPr>
                    <w:rFonts w:ascii="Arial Black" w:hAnsi="Arial Black"/>
                    <w:color w:val="000000"/>
                    <w:sz w:val="20"/>
                  </w:rPr>
                </w:pPr>
                <w:r w:rsidRPr="00495C03">
                  <w:rPr>
                    <w:rFonts w:ascii="Arial Black" w:hAnsi="Arial Black"/>
                    <w:color w:val="000000"/>
                    <w:sz w:val="20"/>
                  </w:rPr>
                  <w:t>OFFICIAL</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3CA9" w14:textId="459F9376" w:rsidR="00373890" w:rsidRPr="00F65AA9" w:rsidRDefault="00293D73" w:rsidP="00F84FA0">
    <w:pPr>
      <w:pStyle w:val="Footer"/>
    </w:pPr>
    <w:r>
      <w:rPr>
        <w:noProof/>
      </w:rPr>
      <w:pict w14:anchorId="2CAB6071">
        <v:shapetype id="_x0000_t202" coordsize="21600,21600" o:spt="202" path="m,l,21600r21600,l21600,xe">
          <v:stroke joinstyle="miter"/>
          <v:path gradientshapeok="t" o:connecttype="rect"/>
        </v:shapetype>
        <v:shape id="MSIPCMd4904f1f920d35acd6377a56" o:spid="_x0000_s1025"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59264;visibility:visible;mso-wrap-style:square;mso-position-horizontal:center;mso-position-horizontal-relative:page;mso-position-vertical:bottom;mso-position-vertical-relative:page;v-text-anchor:middle" o:allowincell="f" filled="f" stroked="f" strokeweight=".5pt">
          <v:textbox inset=",0,,0">
            <w:txbxContent>
              <w:p w14:paraId="2328A51A" w14:textId="6D0DA3C2" w:rsidR="007966F9" w:rsidRPr="00293D73" w:rsidRDefault="00293D73" w:rsidP="00293D73">
                <w:pPr>
                  <w:spacing w:after="0"/>
                  <w:jc w:val="center"/>
                  <w:rPr>
                    <w:rFonts w:ascii="Arial Black" w:hAnsi="Arial Black"/>
                    <w:color w:val="000000"/>
                    <w:sz w:val="20"/>
                  </w:rPr>
                </w:pPr>
                <w:r w:rsidRPr="00293D73">
                  <w:rPr>
                    <w:rFonts w:ascii="Arial Black" w:hAnsi="Arial Black"/>
                    <w:color w:val="000000"/>
                    <w:sz w:val="20"/>
                  </w:rPr>
                  <w:t>OFFICIAL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CDA0" w14:textId="77777777" w:rsidR="00DE1073" w:rsidRDefault="00DE1073" w:rsidP="002862F1">
      <w:pPr>
        <w:spacing w:before="120"/>
      </w:pPr>
      <w:r>
        <w:separator/>
      </w:r>
    </w:p>
  </w:footnote>
  <w:footnote w:type="continuationSeparator" w:id="0">
    <w:p w14:paraId="519E42CA" w14:textId="77777777" w:rsidR="00DE1073" w:rsidRDefault="00DE1073">
      <w:r>
        <w:continuationSeparator/>
      </w:r>
    </w:p>
  </w:footnote>
  <w:footnote w:type="continuationNotice" w:id="1">
    <w:p w14:paraId="09781B57" w14:textId="77777777" w:rsidR="00DE1073" w:rsidRDefault="00DE10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DDF3" w14:textId="77777777" w:rsidR="00293D73" w:rsidRDefault="00293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89C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C841" w14:textId="77777777" w:rsidR="00293D73" w:rsidRDefault="00293D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993A" w14:textId="7647A190" w:rsidR="00E261B3" w:rsidRPr="0051568D" w:rsidRDefault="004E17D5" w:rsidP="0011701A">
    <w:pPr>
      <w:pStyle w:val="Header"/>
    </w:pPr>
    <w:r w:rsidRPr="004E17D5">
      <w:t xml:space="preserve">COVID-19 medications in adults – clinical decision making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A648B8">
      <w:rPr>
        <w:bCs/>
        <w:noProof/>
      </w:rPr>
      <w:t>5</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706"/>
    <w:multiLevelType w:val="hybridMultilevel"/>
    <w:tmpl w:val="47168C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1800" w:hanging="360"/>
      </w:pPr>
      <w:rPr>
        <w:rFonts w:ascii="Courier New" w:hAnsi="Courier New" w:cs="Courier New" w:hint="default"/>
      </w:rPr>
    </w:lvl>
    <w:lvl w:ilvl="5" w:tplc="0C090005" w:tentative="1">
      <w:start w:val="1"/>
      <w:numFmt w:val="bullet"/>
      <w:lvlText w:val=""/>
      <w:lvlJc w:val="left"/>
      <w:pPr>
        <w:ind w:left="2520" w:hanging="360"/>
      </w:pPr>
      <w:rPr>
        <w:rFonts w:ascii="Wingdings" w:hAnsi="Wingdings" w:hint="default"/>
      </w:rPr>
    </w:lvl>
    <w:lvl w:ilvl="6" w:tplc="0C090001" w:tentative="1">
      <w:start w:val="1"/>
      <w:numFmt w:val="bullet"/>
      <w:lvlText w:val=""/>
      <w:lvlJc w:val="left"/>
      <w:pPr>
        <w:ind w:left="3240" w:hanging="360"/>
      </w:pPr>
      <w:rPr>
        <w:rFonts w:ascii="Symbol" w:hAnsi="Symbol" w:hint="default"/>
      </w:rPr>
    </w:lvl>
    <w:lvl w:ilvl="7" w:tplc="0C090003" w:tentative="1">
      <w:start w:val="1"/>
      <w:numFmt w:val="bullet"/>
      <w:lvlText w:val="o"/>
      <w:lvlJc w:val="left"/>
      <w:pPr>
        <w:ind w:left="3960" w:hanging="360"/>
      </w:pPr>
      <w:rPr>
        <w:rFonts w:ascii="Courier New" w:hAnsi="Courier New" w:cs="Courier New" w:hint="default"/>
      </w:rPr>
    </w:lvl>
    <w:lvl w:ilvl="8" w:tplc="0C090005" w:tentative="1">
      <w:start w:val="1"/>
      <w:numFmt w:val="bullet"/>
      <w:lvlText w:val=""/>
      <w:lvlJc w:val="left"/>
      <w:pPr>
        <w:ind w:left="4680" w:hanging="360"/>
      </w:pPr>
      <w:rPr>
        <w:rFonts w:ascii="Wingdings" w:hAnsi="Wingdings" w:hint="default"/>
      </w:rPr>
    </w:lvl>
  </w:abstractNum>
  <w:abstractNum w:abstractNumId="1" w15:restartNumberingAfterBreak="0">
    <w:nsid w:val="007F3278"/>
    <w:multiLevelType w:val="hybridMultilevel"/>
    <w:tmpl w:val="E3828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05635"/>
    <w:multiLevelType w:val="hybridMultilevel"/>
    <w:tmpl w:val="936E64DC"/>
    <w:lvl w:ilvl="0" w:tplc="FB3E0EBC">
      <w:start w:val="1"/>
      <w:numFmt w:val="bullet"/>
      <w:lvlText w:val=""/>
      <w:lvlJc w:val="left"/>
      <w:pPr>
        <w:ind w:left="360" w:hanging="360"/>
      </w:pPr>
      <w:rPr>
        <w:rFonts w:ascii="Symbol" w:eastAsia="Times"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FBD6615"/>
    <w:multiLevelType w:val="hybridMultilevel"/>
    <w:tmpl w:val="189A3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134397"/>
    <w:multiLevelType w:val="hybridMultilevel"/>
    <w:tmpl w:val="7B666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3943C6"/>
    <w:multiLevelType w:val="hybridMultilevel"/>
    <w:tmpl w:val="65C23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EF3A92"/>
    <w:multiLevelType w:val="hybridMultilevel"/>
    <w:tmpl w:val="820EB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F258C"/>
    <w:multiLevelType w:val="hybridMultilevel"/>
    <w:tmpl w:val="993617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F464B5"/>
    <w:multiLevelType w:val="hybridMultilevel"/>
    <w:tmpl w:val="0534D7F2"/>
    <w:lvl w:ilvl="0" w:tplc="91CCB112">
      <w:numFmt w:val="bullet"/>
      <w:lvlText w:val="-"/>
      <w:lvlJc w:val="left"/>
      <w:pPr>
        <w:ind w:left="360" w:hanging="360"/>
      </w:pPr>
      <w:rPr>
        <w:rFonts w:ascii="Arial" w:eastAsia="Times" w:hAnsi="Arial" w:cs="Arial" w:hint="default"/>
        <w:color w:val="auto"/>
      </w:rPr>
    </w:lvl>
    <w:lvl w:ilvl="1" w:tplc="91CCB112">
      <w:numFmt w:val="bullet"/>
      <w:lvlText w:val="-"/>
      <w:lvlJc w:val="left"/>
      <w:pPr>
        <w:ind w:left="643" w:hanging="360"/>
      </w:pPr>
      <w:rPr>
        <w:rFonts w:ascii="Arial" w:eastAsia="Times" w:hAnsi="Arial" w:cs="Aria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B83B0A"/>
    <w:multiLevelType w:val="hybridMultilevel"/>
    <w:tmpl w:val="55A280EC"/>
    <w:lvl w:ilvl="0" w:tplc="6512BE7E">
      <w:start w:val="1"/>
      <w:numFmt w:val="bullet"/>
      <w:lvlText w:val="•"/>
      <w:lvlJc w:val="left"/>
      <w:pPr>
        <w:tabs>
          <w:tab w:val="num" w:pos="720"/>
        </w:tabs>
        <w:ind w:left="720" w:hanging="360"/>
      </w:pPr>
      <w:rPr>
        <w:rFonts w:ascii="Arial" w:hAnsi="Arial" w:hint="default"/>
      </w:rPr>
    </w:lvl>
    <w:lvl w:ilvl="1" w:tplc="5824CF2E" w:tentative="1">
      <w:start w:val="1"/>
      <w:numFmt w:val="bullet"/>
      <w:lvlText w:val="•"/>
      <w:lvlJc w:val="left"/>
      <w:pPr>
        <w:tabs>
          <w:tab w:val="num" w:pos="1440"/>
        </w:tabs>
        <w:ind w:left="1440" w:hanging="360"/>
      </w:pPr>
      <w:rPr>
        <w:rFonts w:ascii="Arial" w:hAnsi="Arial" w:hint="default"/>
      </w:rPr>
    </w:lvl>
    <w:lvl w:ilvl="2" w:tplc="BA5CF37A" w:tentative="1">
      <w:start w:val="1"/>
      <w:numFmt w:val="bullet"/>
      <w:lvlText w:val="•"/>
      <w:lvlJc w:val="left"/>
      <w:pPr>
        <w:tabs>
          <w:tab w:val="num" w:pos="2160"/>
        </w:tabs>
        <w:ind w:left="2160" w:hanging="360"/>
      </w:pPr>
      <w:rPr>
        <w:rFonts w:ascii="Arial" w:hAnsi="Arial" w:hint="default"/>
      </w:rPr>
    </w:lvl>
    <w:lvl w:ilvl="3" w:tplc="4FEC6ABC" w:tentative="1">
      <w:start w:val="1"/>
      <w:numFmt w:val="bullet"/>
      <w:lvlText w:val="•"/>
      <w:lvlJc w:val="left"/>
      <w:pPr>
        <w:tabs>
          <w:tab w:val="num" w:pos="2880"/>
        </w:tabs>
        <w:ind w:left="2880" w:hanging="360"/>
      </w:pPr>
      <w:rPr>
        <w:rFonts w:ascii="Arial" w:hAnsi="Arial" w:hint="default"/>
      </w:rPr>
    </w:lvl>
    <w:lvl w:ilvl="4" w:tplc="09AC80F0" w:tentative="1">
      <w:start w:val="1"/>
      <w:numFmt w:val="bullet"/>
      <w:lvlText w:val="•"/>
      <w:lvlJc w:val="left"/>
      <w:pPr>
        <w:tabs>
          <w:tab w:val="num" w:pos="3600"/>
        </w:tabs>
        <w:ind w:left="3600" w:hanging="360"/>
      </w:pPr>
      <w:rPr>
        <w:rFonts w:ascii="Arial" w:hAnsi="Arial" w:hint="default"/>
      </w:rPr>
    </w:lvl>
    <w:lvl w:ilvl="5" w:tplc="00D66590" w:tentative="1">
      <w:start w:val="1"/>
      <w:numFmt w:val="bullet"/>
      <w:lvlText w:val="•"/>
      <w:lvlJc w:val="left"/>
      <w:pPr>
        <w:tabs>
          <w:tab w:val="num" w:pos="4320"/>
        </w:tabs>
        <w:ind w:left="4320" w:hanging="360"/>
      </w:pPr>
      <w:rPr>
        <w:rFonts w:ascii="Arial" w:hAnsi="Arial" w:hint="default"/>
      </w:rPr>
    </w:lvl>
    <w:lvl w:ilvl="6" w:tplc="A3B627D6" w:tentative="1">
      <w:start w:val="1"/>
      <w:numFmt w:val="bullet"/>
      <w:lvlText w:val="•"/>
      <w:lvlJc w:val="left"/>
      <w:pPr>
        <w:tabs>
          <w:tab w:val="num" w:pos="5040"/>
        </w:tabs>
        <w:ind w:left="5040" w:hanging="360"/>
      </w:pPr>
      <w:rPr>
        <w:rFonts w:ascii="Arial" w:hAnsi="Arial" w:hint="default"/>
      </w:rPr>
    </w:lvl>
    <w:lvl w:ilvl="7" w:tplc="9752C80A" w:tentative="1">
      <w:start w:val="1"/>
      <w:numFmt w:val="bullet"/>
      <w:lvlText w:val="•"/>
      <w:lvlJc w:val="left"/>
      <w:pPr>
        <w:tabs>
          <w:tab w:val="num" w:pos="5760"/>
        </w:tabs>
        <w:ind w:left="5760" w:hanging="360"/>
      </w:pPr>
      <w:rPr>
        <w:rFonts w:ascii="Arial" w:hAnsi="Arial" w:hint="default"/>
      </w:rPr>
    </w:lvl>
    <w:lvl w:ilvl="8" w:tplc="9FBC5E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0C4C97"/>
    <w:multiLevelType w:val="hybridMultilevel"/>
    <w:tmpl w:val="18C0D672"/>
    <w:lvl w:ilvl="0" w:tplc="FB3E0EBC">
      <w:start w:val="1"/>
      <w:numFmt w:val="bullet"/>
      <w:lvlText w:val=""/>
      <w:lvlJc w:val="left"/>
      <w:pPr>
        <w:ind w:left="36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38167B"/>
    <w:multiLevelType w:val="hybridMultilevel"/>
    <w:tmpl w:val="1E0286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BB7348"/>
    <w:multiLevelType w:val="hybridMultilevel"/>
    <w:tmpl w:val="D618D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9BC7355"/>
    <w:multiLevelType w:val="hybridMultilevel"/>
    <w:tmpl w:val="03CAA5DA"/>
    <w:lvl w:ilvl="0" w:tplc="20B2CE1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084701"/>
    <w:multiLevelType w:val="hybridMultilevel"/>
    <w:tmpl w:val="7C903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C0945B0"/>
    <w:multiLevelType w:val="hybridMultilevel"/>
    <w:tmpl w:val="FBB288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6D158E5"/>
    <w:multiLevelType w:val="hybridMultilevel"/>
    <w:tmpl w:val="0ADAC046"/>
    <w:lvl w:ilvl="0" w:tplc="FB3E0EBC">
      <w:start w:val="1"/>
      <w:numFmt w:val="bullet"/>
      <w:lvlText w:val=""/>
      <w:lvlJc w:val="left"/>
      <w:pPr>
        <w:ind w:left="36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125018"/>
    <w:multiLevelType w:val="hybridMultilevel"/>
    <w:tmpl w:val="6010C298"/>
    <w:lvl w:ilvl="0" w:tplc="FB3E0EBC">
      <w:start w:val="1"/>
      <w:numFmt w:val="bullet"/>
      <w:lvlText w:val=""/>
      <w:lvlJc w:val="left"/>
      <w:pPr>
        <w:ind w:left="36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833060"/>
    <w:multiLevelType w:val="hybridMultilevel"/>
    <w:tmpl w:val="4F3E655E"/>
    <w:lvl w:ilvl="0" w:tplc="2AF444CA">
      <w:start w:val="1"/>
      <w:numFmt w:val="decimal"/>
      <w:lvlText w:val="%1."/>
      <w:lvlJc w:val="left"/>
      <w:pPr>
        <w:ind w:left="395" w:hanging="360"/>
      </w:pPr>
      <w:rPr>
        <w:rFonts w:hint="default"/>
      </w:rPr>
    </w:lvl>
    <w:lvl w:ilvl="1" w:tplc="0C090019" w:tentative="1">
      <w:start w:val="1"/>
      <w:numFmt w:val="lowerLetter"/>
      <w:lvlText w:val="%2."/>
      <w:lvlJc w:val="left"/>
      <w:pPr>
        <w:ind w:left="1115" w:hanging="360"/>
      </w:pPr>
    </w:lvl>
    <w:lvl w:ilvl="2" w:tplc="0C09001B" w:tentative="1">
      <w:start w:val="1"/>
      <w:numFmt w:val="lowerRoman"/>
      <w:lvlText w:val="%3."/>
      <w:lvlJc w:val="right"/>
      <w:pPr>
        <w:ind w:left="1835" w:hanging="180"/>
      </w:pPr>
    </w:lvl>
    <w:lvl w:ilvl="3" w:tplc="0C09000F" w:tentative="1">
      <w:start w:val="1"/>
      <w:numFmt w:val="decimal"/>
      <w:lvlText w:val="%4."/>
      <w:lvlJc w:val="left"/>
      <w:pPr>
        <w:ind w:left="2555" w:hanging="360"/>
      </w:pPr>
    </w:lvl>
    <w:lvl w:ilvl="4" w:tplc="0C090019" w:tentative="1">
      <w:start w:val="1"/>
      <w:numFmt w:val="lowerLetter"/>
      <w:lvlText w:val="%5."/>
      <w:lvlJc w:val="left"/>
      <w:pPr>
        <w:ind w:left="3275" w:hanging="360"/>
      </w:pPr>
    </w:lvl>
    <w:lvl w:ilvl="5" w:tplc="0C09001B" w:tentative="1">
      <w:start w:val="1"/>
      <w:numFmt w:val="lowerRoman"/>
      <w:lvlText w:val="%6."/>
      <w:lvlJc w:val="right"/>
      <w:pPr>
        <w:ind w:left="3995" w:hanging="180"/>
      </w:pPr>
    </w:lvl>
    <w:lvl w:ilvl="6" w:tplc="0C09000F" w:tentative="1">
      <w:start w:val="1"/>
      <w:numFmt w:val="decimal"/>
      <w:lvlText w:val="%7."/>
      <w:lvlJc w:val="left"/>
      <w:pPr>
        <w:ind w:left="4715" w:hanging="360"/>
      </w:pPr>
    </w:lvl>
    <w:lvl w:ilvl="7" w:tplc="0C090019" w:tentative="1">
      <w:start w:val="1"/>
      <w:numFmt w:val="lowerLetter"/>
      <w:lvlText w:val="%8."/>
      <w:lvlJc w:val="left"/>
      <w:pPr>
        <w:ind w:left="5435" w:hanging="360"/>
      </w:pPr>
    </w:lvl>
    <w:lvl w:ilvl="8" w:tplc="0C09001B" w:tentative="1">
      <w:start w:val="1"/>
      <w:numFmt w:val="lowerRoman"/>
      <w:lvlText w:val="%9."/>
      <w:lvlJc w:val="right"/>
      <w:pPr>
        <w:ind w:left="6155" w:hanging="180"/>
      </w:pPr>
    </w:lvl>
  </w:abstractNum>
  <w:abstractNum w:abstractNumId="24" w15:restartNumberingAfterBreak="0">
    <w:nsid w:val="60CB1290"/>
    <w:multiLevelType w:val="hybridMultilevel"/>
    <w:tmpl w:val="B7387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9E6D2A"/>
    <w:multiLevelType w:val="hybridMultilevel"/>
    <w:tmpl w:val="802802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4CC11B8"/>
    <w:multiLevelType w:val="hybridMultilevel"/>
    <w:tmpl w:val="CAC438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7DC0761"/>
    <w:multiLevelType w:val="hybridMultilevel"/>
    <w:tmpl w:val="6E10CC34"/>
    <w:lvl w:ilvl="0" w:tplc="FB3E0EBC">
      <w:start w:val="1"/>
      <w:numFmt w:val="bullet"/>
      <w:lvlText w:val=""/>
      <w:lvlJc w:val="left"/>
      <w:pPr>
        <w:ind w:left="36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BF7515"/>
    <w:multiLevelType w:val="hybridMultilevel"/>
    <w:tmpl w:val="E2E86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4500E4"/>
    <w:multiLevelType w:val="hybridMultilevel"/>
    <w:tmpl w:val="9C8E5E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20"/>
  </w:num>
  <w:num w:numId="3">
    <w:abstractNumId w:val="19"/>
  </w:num>
  <w:num w:numId="4">
    <w:abstractNumId w:val="25"/>
  </w:num>
  <w:num w:numId="5">
    <w:abstractNumId w:val="15"/>
  </w:num>
  <w:num w:numId="6">
    <w:abstractNumId w:val="3"/>
  </w:num>
  <w:num w:numId="7">
    <w:abstractNumId w:val="24"/>
  </w:num>
  <w:num w:numId="8">
    <w:abstractNumId w:val="27"/>
  </w:num>
  <w:num w:numId="9">
    <w:abstractNumId w:val="0"/>
  </w:num>
  <w:num w:numId="10">
    <w:abstractNumId w:val="13"/>
  </w:num>
  <w:num w:numId="11">
    <w:abstractNumId w:val="29"/>
  </w:num>
  <w:num w:numId="12">
    <w:abstractNumId w:val="10"/>
  </w:num>
  <w:num w:numId="13">
    <w:abstractNumId w:val="30"/>
  </w:num>
  <w:num w:numId="14">
    <w:abstractNumId w:val="16"/>
  </w:num>
  <w:num w:numId="15">
    <w:abstractNumId w:val="2"/>
  </w:num>
  <w:num w:numId="16">
    <w:abstractNumId w:val="28"/>
  </w:num>
  <w:num w:numId="17">
    <w:abstractNumId w:val="11"/>
  </w:num>
  <w:num w:numId="18">
    <w:abstractNumId w:val="22"/>
  </w:num>
  <w:num w:numId="19">
    <w:abstractNumId w:val="9"/>
  </w:num>
  <w:num w:numId="20">
    <w:abstractNumId w:val="21"/>
  </w:num>
  <w:num w:numId="21">
    <w:abstractNumId w:val="18"/>
  </w:num>
  <w:num w:numId="22">
    <w:abstractNumId w:val="26"/>
  </w:num>
  <w:num w:numId="23">
    <w:abstractNumId w:val="4"/>
  </w:num>
  <w:num w:numId="24">
    <w:abstractNumId w:val="12"/>
  </w:num>
  <w:num w:numId="25">
    <w:abstractNumId w:val="7"/>
  </w:num>
  <w:num w:numId="26">
    <w:abstractNumId w:val="23"/>
  </w:num>
  <w:num w:numId="27">
    <w:abstractNumId w:val="1"/>
  </w:num>
  <w:num w:numId="28">
    <w:abstractNumId w:val="17"/>
  </w:num>
  <w:num w:numId="29">
    <w:abstractNumId w:val="5"/>
  </w:num>
  <w:num w:numId="30">
    <w:abstractNumId w:val="6"/>
  </w:num>
  <w:num w:numId="3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78">
      <o:colormru v:ext="edit" colors="white"/>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53DDD"/>
    <w:rsid w:val="00000719"/>
    <w:rsid w:val="00001150"/>
    <w:rsid w:val="00001253"/>
    <w:rsid w:val="000030E8"/>
    <w:rsid w:val="00003403"/>
    <w:rsid w:val="000037EA"/>
    <w:rsid w:val="00005347"/>
    <w:rsid w:val="00006AE4"/>
    <w:rsid w:val="000072B6"/>
    <w:rsid w:val="0001021B"/>
    <w:rsid w:val="00010AFF"/>
    <w:rsid w:val="00011D89"/>
    <w:rsid w:val="000154FD"/>
    <w:rsid w:val="00016FBF"/>
    <w:rsid w:val="00022271"/>
    <w:rsid w:val="000235E8"/>
    <w:rsid w:val="0002407F"/>
    <w:rsid w:val="00024B3B"/>
    <w:rsid w:val="00024D89"/>
    <w:rsid w:val="000250B6"/>
    <w:rsid w:val="00027726"/>
    <w:rsid w:val="00030A42"/>
    <w:rsid w:val="00033D81"/>
    <w:rsid w:val="00033DCA"/>
    <w:rsid w:val="0003583F"/>
    <w:rsid w:val="0003594A"/>
    <w:rsid w:val="00037366"/>
    <w:rsid w:val="00040ED5"/>
    <w:rsid w:val="00041BF0"/>
    <w:rsid w:val="00041E0E"/>
    <w:rsid w:val="00042C8A"/>
    <w:rsid w:val="0004326B"/>
    <w:rsid w:val="00044D8F"/>
    <w:rsid w:val="0004536B"/>
    <w:rsid w:val="00045BA7"/>
    <w:rsid w:val="00046723"/>
    <w:rsid w:val="000467D4"/>
    <w:rsid w:val="00046B68"/>
    <w:rsid w:val="00047D11"/>
    <w:rsid w:val="00050DDE"/>
    <w:rsid w:val="000527DD"/>
    <w:rsid w:val="00055244"/>
    <w:rsid w:val="000578B2"/>
    <w:rsid w:val="00060959"/>
    <w:rsid w:val="00060C8F"/>
    <w:rsid w:val="0006298A"/>
    <w:rsid w:val="00062A92"/>
    <w:rsid w:val="000663CD"/>
    <w:rsid w:val="00066D01"/>
    <w:rsid w:val="000733FE"/>
    <w:rsid w:val="00073E3E"/>
    <w:rsid w:val="00074219"/>
    <w:rsid w:val="00074C56"/>
    <w:rsid w:val="00074ED5"/>
    <w:rsid w:val="00081B61"/>
    <w:rsid w:val="00082590"/>
    <w:rsid w:val="000835C6"/>
    <w:rsid w:val="00084B54"/>
    <w:rsid w:val="0008508E"/>
    <w:rsid w:val="00087951"/>
    <w:rsid w:val="00090A7D"/>
    <w:rsid w:val="0009113B"/>
    <w:rsid w:val="00092937"/>
    <w:rsid w:val="00093402"/>
    <w:rsid w:val="00094DA3"/>
    <w:rsid w:val="00096CD1"/>
    <w:rsid w:val="000A012C"/>
    <w:rsid w:val="000A0EB9"/>
    <w:rsid w:val="000A186C"/>
    <w:rsid w:val="000A194C"/>
    <w:rsid w:val="000A1EA4"/>
    <w:rsid w:val="000A22E2"/>
    <w:rsid w:val="000A2476"/>
    <w:rsid w:val="000A434E"/>
    <w:rsid w:val="000A43D9"/>
    <w:rsid w:val="000A5442"/>
    <w:rsid w:val="000A641A"/>
    <w:rsid w:val="000A65E9"/>
    <w:rsid w:val="000A6CE8"/>
    <w:rsid w:val="000A7285"/>
    <w:rsid w:val="000B2E5C"/>
    <w:rsid w:val="000B3A87"/>
    <w:rsid w:val="000B3EDB"/>
    <w:rsid w:val="000B543D"/>
    <w:rsid w:val="000B55F9"/>
    <w:rsid w:val="000B5BF7"/>
    <w:rsid w:val="000B6BC8"/>
    <w:rsid w:val="000B79AA"/>
    <w:rsid w:val="000B7B91"/>
    <w:rsid w:val="000C0303"/>
    <w:rsid w:val="000C28A4"/>
    <w:rsid w:val="000C42EA"/>
    <w:rsid w:val="000C4546"/>
    <w:rsid w:val="000C7404"/>
    <w:rsid w:val="000C772C"/>
    <w:rsid w:val="000D1242"/>
    <w:rsid w:val="000D4B1B"/>
    <w:rsid w:val="000D4CEA"/>
    <w:rsid w:val="000E0970"/>
    <w:rsid w:val="000E1910"/>
    <w:rsid w:val="000E3CC7"/>
    <w:rsid w:val="000E4520"/>
    <w:rsid w:val="000E6962"/>
    <w:rsid w:val="000E6BD4"/>
    <w:rsid w:val="000E6D6D"/>
    <w:rsid w:val="000F03CE"/>
    <w:rsid w:val="000F1F1E"/>
    <w:rsid w:val="000F1F4F"/>
    <w:rsid w:val="000F1F55"/>
    <w:rsid w:val="000F2259"/>
    <w:rsid w:val="000F2666"/>
    <w:rsid w:val="000F2DDA"/>
    <w:rsid w:val="000F5213"/>
    <w:rsid w:val="00101001"/>
    <w:rsid w:val="00103276"/>
    <w:rsid w:val="0010392D"/>
    <w:rsid w:val="0010447F"/>
    <w:rsid w:val="001048DB"/>
    <w:rsid w:val="00104FE3"/>
    <w:rsid w:val="00105694"/>
    <w:rsid w:val="001061BF"/>
    <w:rsid w:val="0010714F"/>
    <w:rsid w:val="001074DA"/>
    <w:rsid w:val="00111E92"/>
    <w:rsid w:val="001120C5"/>
    <w:rsid w:val="00114647"/>
    <w:rsid w:val="00116032"/>
    <w:rsid w:val="0011701A"/>
    <w:rsid w:val="00120BD3"/>
    <w:rsid w:val="00121426"/>
    <w:rsid w:val="00122FEA"/>
    <w:rsid w:val="001232BD"/>
    <w:rsid w:val="0012430B"/>
    <w:rsid w:val="00124ED5"/>
    <w:rsid w:val="00125454"/>
    <w:rsid w:val="001276FA"/>
    <w:rsid w:val="001307AC"/>
    <w:rsid w:val="001309A2"/>
    <w:rsid w:val="00132ED3"/>
    <w:rsid w:val="0013532B"/>
    <w:rsid w:val="00137935"/>
    <w:rsid w:val="00140933"/>
    <w:rsid w:val="0014255B"/>
    <w:rsid w:val="0014293B"/>
    <w:rsid w:val="0014335D"/>
    <w:rsid w:val="001434FF"/>
    <w:rsid w:val="00143FEB"/>
    <w:rsid w:val="001447B3"/>
    <w:rsid w:val="00146377"/>
    <w:rsid w:val="001510CE"/>
    <w:rsid w:val="001514A2"/>
    <w:rsid w:val="00152073"/>
    <w:rsid w:val="00154E2D"/>
    <w:rsid w:val="00156598"/>
    <w:rsid w:val="001613B7"/>
    <w:rsid w:val="00161939"/>
    <w:rsid w:val="00161AA0"/>
    <w:rsid w:val="00161D2E"/>
    <w:rsid w:val="00161F3E"/>
    <w:rsid w:val="00162093"/>
    <w:rsid w:val="00162CA9"/>
    <w:rsid w:val="00163656"/>
    <w:rsid w:val="001637FC"/>
    <w:rsid w:val="001646F1"/>
    <w:rsid w:val="00164BCA"/>
    <w:rsid w:val="00165459"/>
    <w:rsid w:val="00165A57"/>
    <w:rsid w:val="00166471"/>
    <w:rsid w:val="00171294"/>
    <w:rsid w:val="001712C2"/>
    <w:rsid w:val="00172BAF"/>
    <w:rsid w:val="00175C7B"/>
    <w:rsid w:val="001771DD"/>
    <w:rsid w:val="00177995"/>
    <w:rsid w:val="00177A8C"/>
    <w:rsid w:val="00182622"/>
    <w:rsid w:val="00183759"/>
    <w:rsid w:val="00184D60"/>
    <w:rsid w:val="00186B33"/>
    <w:rsid w:val="00190124"/>
    <w:rsid w:val="001910EF"/>
    <w:rsid w:val="00192240"/>
    <w:rsid w:val="0019233C"/>
    <w:rsid w:val="00192F9D"/>
    <w:rsid w:val="00194EA9"/>
    <w:rsid w:val="00195FDE"/>
    <w:rsid w:val="00196678"/>
    <w:rsid w:val="00196EB8"/>
    <w:rsid w:val="00196EFB"/>
    <w:rsid w:val="001979FF"/>
    <w:rsid w:val="00197B17"/>
    <w:rsid w:val="001A08DC"/>
    <w:rsid w:val="001A1950"/>
    <w:rsid w:val="001A1C54"/>
    <w:rsid w:val="001A3ACE"/>
    <w:rsid w:val="001A4AA7"/>
    <w:rsid w:val="001A6370"/>
    <w:rsid w:val="001B058F"/>
    <w:rsid w:val="001B4B7E"/>
    <w:rsid w:val="001B5FD9"/>
    <w:rsid w:val="001B738B"/>
    <w:rsid w:val="001C09DB"/>
    <w:rsid w:val="001C277E"/>
    <w:rsid w:val="001C2A72"/>
    <w:rsid w:val="001C2B67"/>
    <w:rsid w:val="001C2C90"/>
    <w:rsid w:val="001C31B7"/>
    <w:rsid w:val="001C3875"/>
    <w:rsid w:val="001C38C4"/>
    <w:rsid w:val="001C6D9F"/>
    <w:rsid w:val="001C7066"/>
    <w:rsid w:val="001C7653"/>
    <w:rsid w:val="001D0B75"/>
    <w:rsid w:val="001D1259"/>
    <w:rsid w:val="001D39A5"/>
    <w:rsid w:val="001D3C09"/>
    <w:rsid w:val="001D44E8"/>
    <w:rsid w:val="001D5D56"/>
    <w:rsid w:val="001D60EC"/>
    <w:rsid w:val="001D6B3A"/>
    <w:rsid w:val="001D6F59"/>
    <w:rsid w:val="001D72BF"/>
    <w:rsid w:val="001E0C5D"/>
    <w:rsid w:val="001E1680"/>
    <w:rsid w:val="001E2A36"/>
    <w:rsid w:val="001E3DCB"/>
    <w:rsid w:val="001E4122"/>
    <w:rsid w:val="001E44DF"/>
    <w:rsid w:val="001E5058"/>
    <w:rsid w:val="001E68A5"/>
    <w:rsid w:val="001E690D"/>
    <w:rsid w:val="001E6BB0"/>
    <w:rsid w:val="001E7282"/>
    <w:rsid w:val="001F3826"/>
    <w:rsid w:val="001F4278"/>
    <w:rsid w:val="001F5C07"/>
    <w:rsid w:val="001F6E46"/>
    <w:rsid w:val="001F708D"/>
    <w:rsid w:val="001F7186"/>
    <w:rsid w:val="001F76DB"/>
    <w:rsid w:val="001F7C91"/>
    <w:rsid w:val="00200176"/>
    <w:rsid w:val="00203003"/>
    <w:rsid w:val="002033B7"/>
    <w:rsid w:val="002034F7"/>
    <w:rsid w:val="00203F97"/>
    <w:rsid w:val="002040F8"/>
    <w:rsid w:val="00204728"/>
    <w:rsid w:val="002048F3"/>
    <w:rsid w:val="00206463"/>
    <w:rsid w:val="00206F2F"/>
    <w:rsid w:val="0021053D"/>
    <w:rsid w:val="00210A92"/>
    <w:rsid w:val="0021195C"/>
    <w:rsid w:val="002119B9"/>
    <w:rsid w:val="0021525E"/>
    <w:rsid w:val="00216856"/>
    <w:rsid w:val="00216C03"/>
    <w:rsid w:val="00216C4C"/>
    <w:rsid w:val="00217A22"/>
    <w:rsid w:val="00217B30"/>
    <w:rsid w:val="00220C04"/>
    <w:rsid w:val="002215A9"/>
    <w:rsid w:val="0022278D"/>
    <w:rsid w:val="00222ABD"/>
    <w:rsid w:val="00222FED"/>
    <w:rsid w:val="002239BA"/>
    <w:rsid w:val="00225BD8"/>
    <w:rsid w:val="0022611E"/>
    <w:rsid w:val="002261E9"/>
    <w:rsid w:val="0022701F"/>
    <w:rsid w:val="00227C68"/>
    <w:rsid w:val="002305CA"/>
    <w:rsid w:val="002333F5"/>
    <w:rsid w:val="00233724"/>
    <w:rsid w:val="002351C3"/>
    <w:rsid w:val="00235C5C"/>
    <w:rsid w:val="002365B4"/>
    <w:rsid w:val="00236D10"/>
    <w:rsid w:val="00240F43"/>
    <w:rsid w:val="00241177"/>
    <w:rsid w:val="00241B79"/>
    <w:rsid w:val="002432E1"/>
    <w:rsid w:val="00244CE6"/>
    <w:rsid w:val="0024556D"/>
    <w:rsid w:val="00245B0F"/>
    <w:rsid w:val="00246207"/>
    <w:rsid w:val="00246C5E"/>
    <w:rsid w:val="00250960"/>
    <w:rsid w:val="00250ADE"/>
    <w:rsid w:val="00251343"/>
    <w:rsid w:val="002521E2"/>
    <w:rsid w:val="00252EE1"/>
    <w:rsid w:val="002536A4"/>
    <w:rsid w:val="00254A40"/>
    <w:rsid w:val="00254F58"/>
    <w:rsid w:val="00256020"/>
    <w:rsid w:val="00256060"/>
    <w:rsid w:val="0026052A"/>
    <w:rsid w:val="002620BC"/>
    <w:rsid w:val="002625DE"/>
    <w:rsid w:val="00262802"/>
    <w:rsid w:val="00263A90"/>
    <w:rsid w:val="00263C1F"/>
    <w:rsid w:val="0026408B"/>
    <w:rsid w:val="00267C3E"/>
    <w:rsid w:val="002709BB"/>
    <w:rsid w:val="0027113F"/>
    <w:rsid w:val="00273BAC"/>
    <w:rsid w:val="00274FCD"/>
    <w:rsid w:val="002763B3"/>
    <w:rsid w:val="002802E3"/>
    <w:rsid w:val="00281D50"/>
    <w:rsid w:val="0028213D"/>
    <w:rsid w:val="00282705"/>
    <w:rsid w:val="00285243"/>
    <w:rsid w:val="002862F1"/>
    <w:rsid w:val="002864BF"/>
    <w:rsid w:val="002869DF"/>
    <w:rsid w:val="00291373"/>
    <w:rsid w:val="00293D73"/>
    <w:rsid w:val="0029597D"/>
    <w:rsid w:val="00295D13"/>
    <w:rsid w:val="002962C3"/>
    <w:rsid w:val="0029752B"/>
    <w:rsid w:val="002A0A9C"/>
    <w:rsid w:val="002A149E"/>
    <w:rsid w:val="002A1B1B"/>
    <w:rsid w:val="002A2DFB"/>
    <w:rsid w:val="002A4359"/>
    <w:rsid w:val="002A483C"/>
    <w:rsid w:val="002B0C7C"/>
    <w:rsid w:val="002B1729"/>
    <w:rsid w:val="002B222A"/>
    <w:rsid w:val="002B2592"/>
    <w:rsid w:val="002B3009"/>
    <w:rsid w:val="002B36C7"/>
    <w:rsid w:val="002B4DD4"/>
    <w:rsid w:val="002B5277"/>
    <w:rsid w:val="002B5375"/>
    <w:rsid w:val="002B77C1"/>
    <w:rsid w:val="002B7A73"/>
    <w:rsid w:val="002C0ED7"/>
    <w:rsid w:val="002C2728"/>
    <w:rsid w:val="002C3E6E"/>
    <w:rsid w:val="002C522F"/>
    <w:rsid w:val="002C524A"/>
    <w:rsid w:val="002C5B61"/>
    <w:rsid w:val="002D17E9"/>
    <w:rsid w:val="002D1E0D"/>
    <w:rsid w:val="002D23CD"/>
    <w:rsid w:val="002D4B09"/>
    <w:rsid w:val="002D5006"/>
    <w:rsid w:val="002D72ED"/>
    <w:rsid w:val="002E01D0"/>
    <w:rsid w:val="002E0B54"/>
    <w:rsid w:val="002E161D"/>
    <w:rsid w:val="002E27B2"/>
    <w:rsid w:val="002E3100"/>
    <w:rsid w:val="002E58DE"/>
    <w:rsid w:val="002E60CE"/>
    <w:rsid w:val="002E6C95"/>
    <w:rsid w:val="002E76C0"/>
    <w:rsid w:val="002E7C36"/>
    <w:rsid w:val="002F0107"/>
    <w:rsid w:val="002F3D32"/>
    <w:rsid w:val="002F5F31"/>
    <w:rsid w:val="002F5F46"/>
    <w:rsid w:val="002F74F3"/>
    <w:rsid w:val="00302216"/>
    <w:rsid w:val="0030245B"/>
    <w:rsid w:val="0030318A"/>
    <w:rsid w:val="00303959"/>
    <w:rsid w:val="00303E53"/>
    <w:rsid w:val="00304F88"/>
    <w:rsid w:val="0030533D"/>
    <w:rsid w:val="003058B0"/>
    <w:rsid w:val="00305CC1"/>
    <w:rsid w:val="003067E8"/>
    <w:rsid w:val="00306AF0"/>
    <w:rsid w:val="00306E5F"/>
    <w:rsid w:val="00307E14"/>
    <w:rsid w:val="003122AD"/>
    <w:rsid w:val="00314054"/>
    <w:rsid w:val="0031485E"/>
    <w:rsid w:val="00315BD8"/>
    <w:rsid w:val="003166E4"/>
    <w:rsid w:val="00316F27"/>
    <w:rsid w:val="00321225"/>
    <w:rsid w:val="003214F1"/>
    <w:rsid w:val="003220DB"/>
    <w:rsid w:val="00322857"/>
    <w:rsid w:val="00322E4B"/>
    <w:rsid w:val="00323B04"/>
    <w:rsid w:val="003256C4"/>
    <w:rsid w:val="00327870"/>
    <w:rsid w:val="003279F9"/>
    <w:rsid w:val="00330910"/>
    <w:rsid w:val="0033259D"/>
    <w:rsid w:val="00333299"/>
    <w:rsid w:val="003333D2"/>
    <w:rsid w:val="0033627E"/>
    <w:rsid w:val="003406C6"/>
    <w:rsid w:val="003418CC"/>
    <w:rsid w:val="00342198"/>
    <w:rsid w:val="00343C63"/>
    <w:rsid w:val="003459BD"/>
    <w:rsid w:val="00347B53"/>
    <w:rsid w:val="00350D38"/>
    <w:rsid w:val="003518F6"/>
    <w:rsid w:val="00351B36"/>
    <w:rsid w:val="00352158"/>
    <w:rsid w:val="00357B4E"/>
    <w:rsid w:val="00357F5B"/>
    <w:rsid w:val="00360643"/>
    <w:rsid w:val="003612B5"/>
    <w:rsid w:val="00361B72"/>
    <w:rsid w:val="0036341E"/>
    <w:rsid w:val="00371423"/>
    <w:rsid w:val="003716FD"/>
    <w:rsid w:val="0037204B"/>
    <w:rsid w:val="00373890"/>
    <w:rsid w:val="0037437D"/>
    <w:rsid w:val="003744CF"/>
    <w:rsid w:val="00374717"/>
    <w:rsid w:val="0037676C"/>
    <w:rsid w:val="003773CD"/>
    <w:rsid w:val="003806D4"/>
    <w:rsid w:val="00380B21"/>
    <w:rsid w:val="00381043"/>
    <w:rsid w:val="003829E5"/>
    <w:rsid w:val="00384010"/>
    <w:rsid w:val="00384218"/>
    <w:rsid w:val="003851CA"/>
    <w:rsid w:val="00385505"/>
    <w:rsid w:val="00386109"/>
    <w:rsid w:val="00386944"/>
    <w:rsid w:val="00386D48"/>
    <w:rsid w:val="00387225"/>
    <w:rsid w:val="0039071E"/>
    <w:rsid w:val="00393975"/>
    <w:rsid w:val="003956CC"/>
    <w:rsid w:val="00395C9A"/>
    <w:rsid w:val="00397690"/>
    <w:rsid w:val="003A0026"/>
    <w:rsid w:val="003A0853"/>
    <w:rsid w:val="003A154C"/>
    <w:rsid w:val="003A6B67"/>
    <w:rsid w:val="003A79C4"/>
    <w:rsid w:val="003A7D0A"/>
    <w:rsid w:val="003A7E9C"/>
    <w:rsid w:val="003A7F9B"/>
    <w:rsid w:val="003B13B6"/>
    <w:rsid w:val="003B15E6"/>
    <w:rsid w:val="003B3AFF"/>
    <w:rsid w:val="003B408A"/>
    <w:rsid w:val="003B5733"/>
    <w:rsid w:val="003B591D"/>
    <w:rsid w:val="003C08A2"/>
    <w:rsid w:val="003C2045"/>
    <w:rsid w:val="003C43A1"/>
    <w:rsid w:val="003C4FC0"/>
    <w:rsid w:val="003C5215"/>
    <w:rsid w:val="003C55F4"/>
    <w:rsid w:val="003C7897"/>
    <w:rsid w:val="003C7A3F"/>
    <w:rsid w:val="003D03E5"/>
    <w:rsid w:val="003D0703"/>
    <w:rsid w:val="003D107A"/>
    <w:rsid w:val="003D2766"/>
    <w:rsid w:val="003D2A02"/>
    <w:rsid w:val="003D2A74"/>
    <w:rsid w:val="003D3E8F"/>
    <w:rsid w:val="003D6475"/>
    <w:rsid w:val="003D6FD9"/>
    <w:rsid w:val="003D7490"/>
    <w:rsid w:val="003E375C"/>
    <w:rsid w:val="003E3A75"/>
    <w:rsid w:val="003E4086"/>
    <w:rsid w:val="003E4EF3"/>
    <w:rsid w:val="003E639E"/>
    <w:rsid w:val="003E71CA"/>
    <w:rsid w:val="003E71E5"/>
    <w:rsid w:val="003F0445"/>
    <w:rsid w:val="003F0CF0"/>
    <w:rsid w:val="003F14B1"/>
    <w:rsid w:val="003F2B20"/>
    <w:rsid w:val="003F31AD"/>
    <w:rsid w:val="003F3289"/>
    <w:rsid w:val="003F5CB9"/>
    <w:rsid w:val="003F5D44"/>
    <w:rsid w:val="004013C7"/>
    <w:rsid w:val="00401FCF"/>
    <w:rsid w:val="004022AB"/>
    <w:rsid w:val="0040248F"/>
    <w:rsid w:val="00404A0D"/>
    <w:rsid w:val="00404D18"/>
    <w:rsid w:val="0040588C"/>
    <w:rsid w:val="00405EAA"/>
    <w:rsid w:val="00406285"/>
    <w:rsid w:val="00407B9D"/>
    <w:rsid w:val="004112C6"/>
    <w:rsid w:val="00411637"/>
    <w:rsid w:val="004148F9"/>
    <w:rsid w:val="00414D4A"/>
    <w:rsid w:val="0042084E"/>
    <w:rsid w:val="004213BF"/>
    <w:rsid w:val="00421EEF"/>
    <w:rsid w:val="004220E4"/>
    <w:rsid w:val="00424D65"/>
    <w:rsid w:val="00431108"/>
    <w:rsid w:val="004335D3"/>
    <w:rsid w:val="004368CC"/>
    <w:rsid w:val="00437D1B"/>
    <w:rsid w:val="00442661"/>
    <w:rsid w:val="00442C6C"/>
    <w:rsid w:val="00443CBE"/>
    <w:rsid w:val="00443E8A"/>
    <w:rsid w:val="004441BC"/>
    <w:rsid w:val="0044488B"/>
    <w:rsid w:val="00445666"/>
    <w:rsid w:val="004466B3"/>
    <w:rsid w:val="004468B4"/>
    <w:rsid w:val="00451038"/>
    <w:rsid w:val="0045137E"/>
    <w:rsid w:val="0045202B"/>
    <w:rsid w:val="004520C3"/>
    <w:rsid w:val="0045230A"/>
    <w:rsid w:val="00454AD0"/>
    <w:rsid w:val="00457337"/>
    <w:rsid w:val="0046149D"/>
    <w:rsid w:val="00462D71"/>
    <w:rsid w:val="00462E3D"/>
    <w:rsid w:val="00466E79"/>
    <w:rsid w:val="00467ADA"/>
    <w:rsid w:val="00467ADD"/>
    <w:rsid w:val="00467BF5"/>
    <w:rsid w:val="00467FA7"/>
    <w:rsid w:val="004706CE"/>
    <w:rsid w:val="00470D7D"/>
    <w:rsid w:val="00471575"/>
    <w:rsid w:val="00472A39"/>
    <w:rsid w:val="00472C6F"/>
    <w:rsid w:val="0047359D"/>
    <w:rsid w:val="0047372D"/>
    <w:rsid w:val="00473BA3"/>
    <w:rsid w:val="004743DD"/>
    <w:rsid w:val="00474CEA"/>
    <w:rsid w:val="00483968"/>
    <w:rsid w:val="00484F86"/>
    <w:rsid w:val="00490746"/>
    <w:rsid w:val="00490852"/>
    <w:rsid w:val="00491A6E"/>
    <w:rsid w:val="00491C9C"/>
    <w:rsid w:val="00492F30"/>
    <w:rsid w:val="00493210"/>
    <w:rsid w:val="004946F4"/>
    <w:rsid w:val="0049487E"/>
    <w:rsid w:val="00495C03"/>
    <w:rsid w:val="00496300"/>
    <w:rsid w:val="00497B4E"/>
    <w:rsid w:val="00497CC2"/>
    <w:rsid w:val="004A160D"/>
    <w:rsid w:val="004A3E81"/>
    <w:rsid w:val="004A4195"/>
    <w:rsid w:val="004A5C62"/>
    <w:rsid w:val="004A5CE5"/>
    <w:rsid w:val="004A707D"/>
    <w:rsid w:val="004B14BD"/>
    <w:rsid w:val="004B17A2"/>
    <w:rsid w:val="004B3297"/>
    <w:rsid w:val="004B44EE"/>
    <w:rsid w:val="004B4E80"/>
    <w:rsid w:val="004B7F7B"/>
    <w:rsid w:val="004C253D"/>
    <w:rsid w:val="004C264C"/>
    <w:rsid w:val="004C30BA"/>
    <w:rsid w:val="004C3F74"/>
    <w:rsid w:val="004C5541"/>
    <w:rsid w:val="004C6EEE"/>
    <w:rsid w:val="004C702B"/>
    <w:rsid w:val="004D0033"/>
    <w:rsid w:val="004D016B"/>
    <w:rsid w:val="004D0268"/>
    <w:rsid w:val="004D1392"/>
    <w:rsid w:val="004D1B22"/>
    <w:rsid w:val="004D23CC"/>
    <w:rsid w:val="004D36F2"/>
    <w:rsid w:val="004D3B23"/>
    <w:rsid w:val="004D4760"/>
    <w:rsid w:val="004D49ED"/>
    <w:rsid w:val="004D51D6"/>
    <w:rsid w:val="004D56B3"/>
    <w:rsid w:val="004E1106"/>
    <w:rsid w:val="004E138F"/>
    <w:rsid w:val="004E17D5"/>
    <w:rsid w:val="004E18E7"/>
    <w:rsid w:val="004E4649"/>
    <w:rsid w:val="004E5C2B"/>
    <w:rsid w:val="004F00DD"/>
    <w:rsid w:val="004F03EC"/>
    <w:rsid w:val="004F1213"/>
    <w:rsid w:val="004F2133"/>
    <w:rsid w:val="004F2CCA"/>
    <w:rsid w:val="004F5398"/>
    <w:rsid w:val="004F55F1"/>
    <w:rsid w:val="004F6936"/>
    <w:rsid w:val="004F7D6A"/>
    <w:rsid w:val="005006D9"/>
    <w:rsid w:val="00500E64"/>
    <w:rsid w:val="00503DC6"/>
    <w:rsid w:val="00504B4E"/>
    <w:rsid w:val="00506CBD"/>
    <w:rsid w:val="00506F5D"/>
    <w:rsid w:val="00506F9C"/>
    <w:rsid w:val="00510C37"/>
    <w:rsid w:val="005117F0"/>
    <w:rsid w:val="005126D0"/>
    <w:rsid w:val="00512E7A"/>
    <w:rsid w:val="0051568D"/>
    <w:rsid w:val="00515EF6"/>
    <w:rsid w:val="005166F5"/>
    <w:rsid w:val="00521038"/>
    <w:rsid w:val="0052255C"/>
    <w:rsid w:val="005226C4"/>
    <w:rsid w:val="0052328D"/>
    <w:rsid w:val="005252CA"/>
    <w:rsid w:val="00526AC7"/>
    <w:rsid w:val="00526C15"/>
    <w:rsid w:val="0052778D"/>
    <w:rsid w:val="00530A1F"/>
    <w:rsid w:val="00530CDA"/>
    <w:rsid w:val="00532146"/>
    <w:rsid w:val="005343EB"/>
    <w:rsid w:val="00536395"/>
    <w:rsid w:val="00536499"/>
    <w:rsid w:val="00537094"/>
    <w:rsid w:val="005371B4"/>
    <w:rsid w:val="00537208"/>
    <w:rsid w:val="00543903"/>
    <w:rsid w:val="00543F11"/>
    <w:rsid w:val="005445AC"/>
    <w:rsid w:val="00546305"/>
    <w:rsid w:val="0054777C"/>
    <w:rsid w:val="00547A95"/>
    <w:rsid w:val="00547DFF"/>
    <w:rsid w:val="0055119B"/>
    <w:rsid w:val="0055187C"/>
    <w:rsid w:val="00552222"/>
    <w:rsid w:val="005548B5"/>
    <w:rsid w:val="0055682D"/>
    <w:rsid w:val="00556C8A"/>
    <w:rsid w:val="0056002E"/>
    <w:rsid w:val="00560833"/>
    <w:rsid w:val="00560B99"/>
    <w:rsid w:val="005627A9"/>
    <w:rsid w:val="00563F37"/>
    <w:rsid w:val="00564005"/>
    <w:rsid w:val="005647C0"/>
    <w:rsid w:val="00566422"/>
    <w:rsid w:val="005675DB"/>
    <w:rsid w:val="00567E8B"/>
    <w:rsid w:val="00572031"/>
    <w:rsid w:val="00572282"/>
    <w:rsid w:val="0057271D"/>
    <w:rsid w:val="00573CE3"/>
    <w:rsid w:val="00576E84"/>
    <w:rsid w:val="0057773E"/>
    <w:rsid w:val="00580394"/>
    <w:rsid w:val="005809CD"/>
    <w:rsid w:val="00581946"/>
    <w:rsid w:val="00582B8C"/>
    <w:rsid w:val="005836B0"/>
    <w:rsid w:val="005839AA"/>
    <w:rsid w:val="00585968"/>
    <w:rsid w:val="00585B27"/>
    <w:rsid w:val="0058757E"/>
    <w:rsid w:val="00590E1B"/>
    <w:rsid w:val="005924C1"/>
    <w:rsid w:val="00595616"/>
    <w:rsid w:val="00596A4B"/>
    <w:rsid w:val="00597507"/>
    <w:rsid w:val="00597647"/>
    <w:rsid w:val="00597664"/>
    <w:rsid w:val="005A21B1"/>
    <w:rsid w:val="005A2ED3"/>
    <w:rsid w:val="005A328D"/>
    <w:rsid w:val="005A391D"/>
    <w:rsid w:val="005A419D"/>
    <w:rsid w:val="005A479D"/>
    <w:rsid w:val="005A6ED2"/>
    <w:rsid w:val="005B1C6D"/>
    <w:rsid w:val="005B21B6"/>
    <w:rsid w:val="005B28B4"/>
    <w:rsid w:val="005B3A08"/>
    <w:rsid w:val="005B44DE"/>
    <w:rsid w:val="005B4541"/>
    <w:rsid w:val="005B5E81"/>
    <w:rsid w:val="005B7A63"/>
    <w:rsid w:val="005B7C79"/>
    <w:rsid w:val="005C0955"/>
    <w:rsid w:val="005C0DE3"/>
    <w:rsid w:val="005C2DA1"/>
    <w:rsid w:val="005C49DA"/>
    <w:rsid w:val="005C50F3"/>
    <w:rsid w:val="005C54B5"/>
    <w:rsid w:val="005C5D80"/>
    <w:rsid w:val="005C5D91"/>
    <w:rsid w:val="005C687E"/>
    <w:rsid w:val="005D07B8"/>
    <w:rsid w:val="005D0B3C"/>
    <w:rsid w:val="005D1275"/>
    <w:rsid w:val="005D1B48"/>
    <w:rsid w:val="005D4B61"/>
    <w:rsid w:val="005D6514"/>
    <w:rsid w:val="005D6597"/>
    <w:rsid w:val="005D6F72"/>
    <w:rsid w:val="005E14E7"/>
    <w:rsid w:val="005E21DE"/>
    <w:rsid w:val="005E26A3"/>
    <w:rsid w:val="005E2ECB"/>
    <w:rsid w:val="005E3510"/>
    <w:rsid w:val="005E447E"/>
    <w:rsid w:val="005E46FB"/>
    <w:rsid w:val="005E4F27"/>
    <w:rsid w:val="005E4FD1"/>
    <w:rsid w:val="005E6228"/>
    <w:rsid w:val="005F0775"/>
    <w:rsid w:val="005F0CF5"/>
    <w:rsid w:val="005F21EB"/>
    <w:rsid w:val="005F30EC"/>
    <w:rsid w:val="005F3693"/>
    <w:rsid w:val="005F4575"/>
    <w:rsid w:val="005F4870"/>
    <w:rsid w:val="00602535"/>
    <w:rsid w:val="00605908"/>
    <w:rsid w:val="00610D7C"/>
    <w:rsid w:val="00611E0B"/>
    <w:rsid w:val="00613414"/>
    <w:rsid w:val="00616640"/>
    <w:rsid w:val="00620154"/>
    <w:rsid w:val="0062050C"/>
    <w:rsid w:val="00620ED8"/>
    <w:rsid w:val="0062408D"/>
    <w:rsid w:val="006240CC"/>
    <w:rsid w:val="00624940"/>
    <w:rsid w:val="006254F8"/>
    <w:rsid w:val="00627023"/>
    <w:rsid w:val="00627DA7"/>
    <w:rsid w:val="00630DA4"/>
    <w:rsid w:val="00632597"/>
    <w:rsid w:val="00632CD5"/>
    <w:rsid w:val="006358B4"/>
    <w:rsid w:val="006376E3"/>
    <w:rsid w:val="00637967"/>
    <w:rsid w:val="0064008B"/>
    <w:rsid w:val="00640730"/>
    <w:rsid w:val="00640CD6"/>
    <w:rsid w:val="00641333"/>
    <w:rsid w:val="006419AA"/>
    <w:rsid w:val="00644337"/>
    <w:rsid w:val="00644B1F"/>
    <w:rsid w:val="00644B7E"/>
    <w:rsid w:val="00644E89"/>
    <w:rsid w:val="00645271"/>
    <w:rsid w:val="006454E6"/>
    <w:rsid w:val="00646235"/>
    <w:rsid w:val="00646A68"/>
    <w:rsid w:val="00646D4C"/>
    <w:rsid w:val="00647D0F"/>
    <w:rsid w:val="006505BD"/>
    <w:rsid w:val="006508EA"/>
    <w:rsid w:val="0065092E"/>
    <w:rsid w:val="00653286"/>
    <w:rsid w:val="006557A7"/>
    <w:rsid w:val="00656290"/>
    <w:rsid w:val="006563FC"/>
    <w:rsid w:val="006579B6"/>
    <w:rsid w:val="00657BC6"/>
    <w:rsid w:val="006601EA"/>
    <w:rsid w:val="006608D8"/>
    <w:rsid w:val="0066127B"/>
    <w:rsid w:val="00661BD5"/>
    <w:rsid w:val="006621D7"/>
    <w:rsid w:val="0066302A"/>
    <w:rsid w:val="00665C28"/>
    <w:rsid w:val="0066623D"/>
    <w:rsid w:val="00666A30"/>
    <w:rsid w:val="00667770"/>
    <w:rsid w:val="00670597"/>
    <w:rsid w:val="006706D0"/>
    <w:rsid w:val="006733CD"/>
    <w:rsid w:val="006744F7"/>
    <w:rsid w:val="006745A1"/>
    <w:rsid w:val="00677574"/>
    <w:rsid w:val="00680A53"/>
    <w:rsid w:val="00680D73"/>
    <w:rsid w:val="0068229E"/>
    <w:rsid w:val="0068454C"/>
    <w:rsid w:val="00686406"/>
    <w:rsid w:val="0069075D"/>
    <w:rsid w:val="00691B62"/>
    <w:rsid w:val="0069212B"/>
    <w:rsid w:val="006933B5"/>
    <w:rsid w:val="00693D14"/>
    <w:rsid w:val="00695E81"/>
    <w:rsid w:val="00696F27"/>
    <w:rsid w:val="00697542"/>
    <w:rsid w:val="00697EEE"/>
    <w:rsid w:val="006A1687"/>
    <w:rsid w:val="006A18C2"/>
    <w:rsid w:val="006A1B66"/>
    <w:rsid w:val="006A3383"/>
    <w:rsid w:val="006A4403"/>
    <w:rsid w:val="006B0675"/>
    <w:rsid w:val="006B077C"/>
    <w:rsid w:val="006B077F"/>
    <w:rsid w:val="006B6803"/>
    <w:rsid w:val="006B71D2"/>
    <w:rsid w:val="006C0C0E"/>
    <w:rsid w:val="006C0E49"/>
    <w:rsid w:val="006C129C"/>
    <w:rsid w:val="006C5A5A"/>
    <w:rsid w:val="006C5C87"/>
    <w:rsid w:val="006C6584"/>
    <w:rsid w:val="006C7064"/>
    <w:rsid w:val="006C7931"/>
    <w:rsid w:val="006D0F16"/>
    <w:rsid w:val="006D11E9"/>
    <w:rsid w:val="006D2A3F"/>
    <w:rsid w:val="006D2FBC"/>
    <w:rsid w:val="006D4507"/>
    <w:rsid w:val="006D7CB7"/>
    <w:rsid w:val="006E0541"/>
    <w:rsid w:val="006E0C0A"/>
    <w:rsid w:val="006E138B"/>
    <w:rsid w:val="006E1BB6"/>
    <w:rsid w:val="006E4E1C"/>
    <w:rsid w:val="006F0040"/>
    <w:rsid w:val="006F0330"/>
    <w:rsid w:val="006F1FDC"/>
    <w:rsid w:val="006F523E"/>
    <w:rsid w:val="006F589C"/>
    <w:rsid w:val="006F5D1E"/>
    <w:rsid w:val="006F6B8C"/>
    <w:rsid w:val="006F7125"/>
    <w:rsid w:val="007013EF"/>
    <w:rsid w:val="007055BD"/>
    <w:rsid w:val="0070667B"/>
    <w:rsid w:val="00707217"/>
    <w:rsid w:val="00713701"/>
    <w:rsid w:val="007173CA"/>
    <w:rsid w:val="00717ACB"/>
    <w:rsid w:val="007216AA"/>
    <w:rsid w:val="00721AB5"/>
    <w:rsid w:val="00721CFB"/>
    <w:rsid w:val="00721DEF"/>
    <w:rsid w:val="0072251A"/>
    <w:rsid w:val="00724A43"/>
    <w:rsid w:val="007273AC"/>
    <w:rsid w:val="007318D2"/>
    <w:rsid w:val="00731AD4"/>
    <w:rsid w:val="00732831"/>
    <w:rsid w:val="00733278"/>
    <w:rsid w:val="007332A6"/>
    <w:rsid w:val="007346E4"/>
    <w:rsid w:val="00734FCA"/>
    <w:rsid w:val="0073582E"/>
    <w:rsid w:val="0073BFF9"/>
    <w:rsid w:val="00740F22"/>
    <w:rsid w:val="00741136"/>
    <w:rsid w:val="00741CF0"/>
    <w:rsid w:val="00741E88"/>
    <w:rsid w:val="00741F1A"/>
    <w:rsid w:val="007447DA"/>
    <w:rsid w:val="007450F8"/>
    <w:rsid w:val="00745435"/>
    <w:rsid w:val="0074696E"/>
    <w:rsid w:val="00750129"/>
    <w:rsid w:val="00750135"/>
    <w:rsid w:val="007503AC"/>
    <w:rsid w:val="00750EC2"/>
    <w:rsid w:val="00750F3E"/>
    <w:rsid w:val="00752B28"/>
    <w:rsid w:val="007541A9"/>
    <w:rsid w:val="00754E36"/>
    <w:rsid w:val="00757A43"/>
    <w:rsid w:val="00763139"/>
    <w:rsid w:val="00764EFD"/>
    <w:rsid w:val="0076740F"/>
    <w:rsid w:val="007677CC"/>
    <w:rsid w:val="00767E0D"/>
    <w:rsid w:val="007709A3"/>
    <w:rsid w:val="00770F37"/>
    <w:rsid w:val="007711A0"/>
    <w:rsid w:val="0077186A"/>
    <w:rsid w:val="00772D5E"/>
    <w:rsid w:val="0077463E"/>
    <w:rsid w:val="0077482A"/>
    <w:rsid w:val="007761AF"/>
    <w:rsid w:val="00776597"/>
    <w:rsid w:val="00776928"/>
    <w:rsid w:val="00776E0F"/>
    <w:rsid w:val="007774B1"/>
    <w:rsid w:val="00777BE1"/>
    <w:rsid w:val="00780249"/>
    <w:rsid w:val="00781716"/>
    <w:rsid w:val="007823B5"/>
    <w:rsid w:val="007833D8"/>
    <w:rsid w:val="00784274"/>
    <w:rsid w:val="00785677"/>
    <w:rsid w:val="0078694E"/>
    <w:rsid w:val="00786F16"/>
    <w:rsid w:val="007873F7"/>
    <w:rsid w:val="007877E5"/>
    <w:rsid w:val="007878B1"/>
    <w:rsid w:val="00787B9D"/>
    <w:rsid w:val="00790604"/>
    <w:rsid w:val="00791BD7"/>
    <w:rsid w:val="007933F7"/>
    <w:rsid w:val="00793CCE"/>
    <w:rsid w:val="00794301"/>
    <w:rsid w:val="00795D25"/>
    <w:rsid w:val="007966F9"/>
    <w:rsid w:val="00796E20"/>
    <w:rsid w:val="00797C32"/>
    <w:rsid w:val="007A11E8"/>
    <w:rsid w:val="007A4AF5"/>
    <w:rsid w:val="007B0914"/>
    <w:rsid w:val="007B1374"/>
    <w:rsid w:val="007B32E5"/>
    <w:rsid w:val="007B3DB9"/>
    <w:rsid w:val="007B4E0A"/>
    <w:rsid w:val="007B589F"/>
    <w:rsid w:val="007B6186"/>
    <w:rsid w:val="007B73BC"/>
    <w:rsid w:val="007B7D16"/>
    <w:rsid w:val="007C1838"/>
    <w:rsid w:val="007C1EFF"/>
    <w:rsid w:val="007C20B9"/>
    <w:rsid w:val="007C3111"/>
    <w:rsid w:val="007C354C"/>
    <w:rsid w:val="007C4211"/>
    <w:rsid w:val="007C56C2"/>
    <w:rsid w:val="007C56DD"/>
    <w:rsid w:val="007C7301"/>
    <w:rsid w:val="007C7859"/>
    <w:rsid w:val="007C7EF1"/>
    <w:rsid w:val="007C7F28"/>
    <w:rsid w:val="007D129E"/>
    <w:rsid w:val="007D1466"/>
    <w:rsid w:val="007D24AA"/>
    <w:rsid w:val="007D2BDE"/>
    <w:rsid w:val="007D2FB6"/>
    <w:rsid w:val="007D39D3"/>
    <w:rsid w:val="007D49EB"/>
    <w:rsid w:val="007D54F0"/>
    <w:rsid w:val="007D5E1C"/>
    <w:rsid w:val="007D7330"/>
    <w:rsid w:val="007D7AF6"/>
    <w:rsid w:val="007E0DE2"/>
    <w:rsid w:val="007E1227"/>
    <w:rsid w:val="007E3B98"/>
    <w:rsid w:val="007E417A"/>
    <w:rsid w:val="007F1828"/>
    <w:rsid w:val="007F1936"/>
    <w:rsid w:val="007F22B0"/>
    <w:rsid w:val="007F31B6"/>
    <w:rsid w:val="007F546C"/>
    <w:rsid w:val="007F625F"/>
    <w:rsid w:val="007F665E"/>
    <w:rsid w:val="007F75BA"/>
    <w:rsid w:val="00800412"/>
    <w:rsid w:val="008041B6"/>
    <w:rsid w:val="0080587B"/>
    <w:rsid w:val="00806468"/>
    <w:rsid w:val="008102BB"/>
    <w:rsid w:val="008119CA"/>
    <w:rsid w:val="008121AF"/>
    <w:rsid w:val="008130C4"/>
    <w:rsid w:val="00814C70"/>
    <w:rsid w:val="008155F0"/>
    <w:rsid w:val="00816735"/>
    <w:rsid w:val="00820141"/>
    <w:rsid w:val="00820AD4"/>
    <w:rsid w:val="00820E0C"/>
    <w:rsid w:val="008213F0"/>
    <w:rsid w:val="00823275"/>
    <w:rsid w:val="0082366F"/>
    <w:rsid w:val="008241F3"/>
    <w:rsid w:val="00825985"/>
    <w:rsid w:val="008304B9"/>
    <w:rsid w:val="00830F2E"/>
    <w:rsid w:val="00831B5C"/>
    <w:rsid w:val="00831D1D"/>
    <w:rsid w:val="008338A2"/>
    <w:rsid w:val="008344FD"/>
    <w:rsid w:val="00835A2A"/>
    <w:rsid w:val="00835FAF"/>
    <w:rsid w:val="0083625C"/>
    <w:rsid w:val="00836CBF"/>
    <w:rsid w:val="00841833"/>
    <w:rsid w:val="00841AA9"/>
    <w:rsid w:val="0084296E"/>
    <w:rsid w:val="008474FE"/>
    <w:rsid w:val="00847C26"/>
    <w:rsid w:val="00847D5B"/>
    <w:rsid w:val="0085108D"/>
    <w:rsid w:val="00853BA0"/>
    <w:rsid w:val="00853EE4"/>
    <w:rsid w:val="00855535"/>
    <w:rsid w:val="00855920"/>
    <w:rsid w:val="00857C5A"/>
    <w:rsid w:val="00860175"/>
    <w:rsid w:val="0086255E"/>
    <w:rsid w:val="008633F0"/>
    <w:rsid w:val="00867D9D"/>
    <w:rsid w:val="00867E81"/>
    <w:rsid w:val="00867EF6"/>
    <w:rsid w:val="00871B6F"/>
    <w:rsid w:val="00872E0A"/>
    <w:rsid w:val="00873594"/>
    <w:rsid w:val="00873B77"/>
    <w:rsid w:val="0087425D"/>
    <w:rsid w:val="008749B3"/>
    <w:rsid w:val="00875285"/>
    <w:rsid w:val="008808BF"/>
    <w:rsid w:val="008813A0"/>
    <w:rsid w:val="00883AC4"/>
    <w:rsid w:val="00884B62"/>
    <w:rsid w:val="0088529C"/>
    <w:rsid w:val="00885574"/>
    <w:rsid w:val="00887903"/>
    <w:rsid w:val="00887FBF"/>
    <w:rsid w:val="008917A6"/>
    <w:rsid w:val="00891B9B"/>
    <w:rsid w:val="0089270A"/>
    <w:rsid w:val="00892BE2"/>
    <w:rsid w:val="00893AF6"/>
    <w:rsid w:val="00894236"/>
    <w:rsid w:val="00894BC4"/>
    <w:rsid w:val="008A2713"/>
    <w:rsid w:val="008A28A8"/>
    <w:rsid w:val="008A32B4"/>
    <w:rsid w:val="008A4515"/>
    <w:rsid w:val="008A491B"/>
    <w:rsid w:val="008A5B32"/>
    <w:rsid w:val="008B0659"/>
    <w:rsid w:val="008B2EE4"/>
    <w:rsid w:val="008B4D3D"/>
    <w:rsid w:val="008B546D"/>
    <w:rsid w:val="008B57C7"/>
    <w:rsid w:val="008B5807"/>
    <w:rsid w:val="008B5B34"/>
    <w:rsid w:val="008B668B"/>
    <w:rsid w:val="008C122C"/>
    <w:rsid w:val="008C18AA"/>
    <w:rsid w:val="008C2F92"/>
    <w:rsid w:val="008C3180"/>
    <w:rsid w:val="008C3697"/>
    <w:rsid w:val="008C459A"/>
    <w:rsid w:val="008C5557"/>
    <w:rsid w:val="008C589D"/>
    <w:rsid w:val="008C665F"/>
    <w:rsid w:val="008C6D51"/>
    <w:rsid w:val="008C7C74"/>
    <w:rsid w:val="008D2846"/>
    <w:rsid w:val="008D4236"/>
    <w:rsid w:val="008D462F"/>
    <w:rsid w:val="008D4A88"/>
    <w:rsid w:val="008D6DCF"/>
    <w:rsid w:val="008E36EA"/>
    <w:rsid w:val="008E3CB1"/>
    <w:rsid w:val="008E3DE9"/>
    <w:rsid w:val="008E4376"/>
    <w:rsid w:val="008E7A0A"/>
    <w:rsid w:val="008E7B49"/>
    <w:rsid w:val="008F0CDE"/>
    <w:rsid w:val="008F1D97"/>
    <w:rsid w:val="008F2A15"/>
    <w:rsid w:val="008F3222"/>
    <w:rsid w:val="008F59F6"/>
    <w:rsid w:val="008F65EE"/>
    <w:rsid w:val="008F7C10"/>
    <w:rsid w:val="00900719"/>
    <w:rsid w:val="009017AC"/>
    <w:rsid w:val="0090297C"/>
    <w:rsid w:val="00902A9A"/>
    <w:rsid w:val="00904A1C"/>
    <w:rsid w:val="00905030"/>
    <w:rsid w:val="00906490"/>
    <w:rsid w:val="009111B2"/>
    <w:rsid w:val="009139B9"/>
    <w:rsid w:val="00914D37"/>
    <w:rsid w:val="009151F5"/>
    <w:rsid w:val="009156ED"/>
    <w:rsid w:val="00921DF2"/>
    <w:rsid w:val="009220CA"/>
    <w:rsid w:val="00924AE1"/>
    <w:rsid w:val="0092640D"/>
    <w:rsid w:val="009269B1"/>
    <w:rsid w:val="0092724D"/>
    <w:rsid w:val="009272B3"/>
    <w:rsid w:val="009315BE"/>
    <w:rsid w:val="00931A9C"/>
    <w:rsid w:val="0093242C"/>
    <w:rsid w:val="0093338F"/>
    <w:rsid w:val="00935EB8"/>
    <w:rsid w:val="0093693C"/>
    <w:rsid w:val="00937BD9"/>
    <w:rsid w:val="009404B3"/>
    <w:rsid w:val="009415B0"/>
    <w:rsid w:val="00941C4D"/>
    <w:rsid w:val="00946BB3"/>
    <w:rsid w:val="00950E2C"/>
    <w:rsid w:val="0095111A"/>
    <w:rsid w:val="009516A3"/>
    <w:rsid w:val="00951918"/>
    <w:rsid w:val="00951D50"/>
    <w:rsid w:val="009525EB"/>
    <w:rsid w:val="00952A96"/>
    <w:rsid w:val="009532CC"/>
    <w:rsid w:val="00953E29"/>
    <w:rsid w:val="0095470B"/>
    <w:rsid w:val="00954874"/>
    <w:rsid w:val="009558FF"/>
    <w:rsid w:val="0095615A"/>
    <w:rsid w:val="00960886"/>
    <w:rsid w:val="009612C7"/>
    <w:rsid w:val="00961400"/>
    <w:rsid w:val="00961A17"/>
    <w:rsid w:val="00963646"/>
    <w:rsid w:val="00963C8A"/>
    <w:rsid w:val="0096632D"/>
    <w:rsid w:val="009711FF"/>
    <w:rsid w:val="009718C7"/>
    <w:rsid w:val="00974C5A"/>
    <w:rsid w:val="009753C1"/>
    <w:rsid w:val="0097559F"/>
    <w:rsid w:val="00976408"/>
    <w:rsid w:val="00977339"/>
    <w:rsid w:val="0097761E"/>
    <w:rsid w:val="00977825"/>
    <w:rsid w:val="0098041C"/>
    <w:rsid w:val="00981531"/>
    <w:rsid w:val="00982454"/>
    <w:rsid w:val="00982658"/>
    <w:rsid w:val="00982CF0"/>
    <w:rsid w:val="009853E1"/>
    <w:rsid w:val="00985B9A"/>
    <w:rsid w:val="00986E6B"/>
    <w:rsid w:val="009877EF"/>
    <w:rsid w:val="00990032"/>
    <w:rsid w:val="00990B19"/>
    <w:rsid w:val="0099153B"/>
    <w:rsid w:val="00991769"/>
    <w:rsid w:val="0099232C"/>
    <w:rsid w:val="00994386"/>
    <w:rsid w:val="00995ACA"/>
    <w:rsid w:val="00997E03"/>
    <w:rsid w:val="009A06D1"/>
    <w:rsid w:val="009A13D8"/>
    <w:rsid w:val="009A1C99"/>
    <w:rsid w:val="009A279E"/>
    <w:rsid w:val="009A3015"/>
    <w:rsid w:val="009A3490"/>
    <w:rsid w:val="009A6837"/>
    <w:rsid w:val="009B0A6F"/>
    <w:rsid w:val="009B0A94"/>
    <w:rsid w:val="009B1424"/>
    <w:rsid w:val="009B2AE8"/>
    <w:rsid w:val="009B4B07"/>
    <w:rsid w:val="009B54EC"/>
    <w:rsid w:val="009B59E9"/>
    <w:rsid w:val="009B68C5"/>
    <w:rsid w:val="009B70AA"/>
    <w:rsid w:val="009B71E2"/>
    <w:rsid w:val="009B7CA0"/>
    <w:rsid w:val="009C0617"/>
    <w:rsid w:val="009C46C7"/>
    <w:rsid w:val="009C5E77"/>
    <w:rsid w:val="009C6C7F"/>
    <w:rsid w:val="009C7A7E"/>
    <w:rsid w:val="009C7D33"/>
    <w:rsid w:val="009D02E8"/>
    <w:rsid w:val="009D4330"/>
    <w:rsid w:val="009D51D0"/>
    <w:rsid w:val="009D51F4"/>
    <w:rsid w:val="009D70A4"/>
    <w:rsid w:val="009D7B14"/>
    <w:rsid w:val="009D7C4C"/>
    <w:rsid w:val="009E08D1"/>
    <w:rsid w:val="009E1B95"/>
    <w:rsid w:val="009E496F"/>
    <w:rsid w:val="009E4B0D"/>
    <w:rsid w:val="009E5250"/>
    <w:rsid w:val="009E7F92"/>
    <w:rsid w:val="009F003E"/>
    <w:rsid w:val="009F02A3"/>
    <w:rsid w:val="009F2F27"/>
    <w:rsid w:val="009F34AA"/>
    <w:rsid w:val="009F513A"/>
    <w:rsid w:val="009F68F6"/>
    <w:rsid w:val="009F6BCB"/>
    <w:rsid w:val="009F7981"/>
    <w:rsid w:val="009F7B78"/>
    <w:rsid w:val="00A0057A"/>
    <w:rsid w:val="00A01CE0"/>
    <w:rsid w:val="00A02FA1"/>
    <w:rsid w:val="00A044CF"/>
    <w:rsid w:val="00A04CCE"/>
    <w:rsid w:val="00A05DDF"/>
    <w:rsid w:val="00A068F6"/>
    <w:rsid w:val="00A06B23"/>
    <w:rsid w:val="00A0703F"/>
    <w:rsid w:val="00A07421"/>
    <w:rsid w:val="00A0776B"/>
    <w:rsid w:val="00A106A3"/>
    <w:rsid w:val="00A10DCC"/>
    <w:rsid w:val="00A10FB9"/>
    <w:rsid w:val="00A11421"/>
    <w:rsid w:val="00A11605"/>
    <w:rsid w:val="00A1389F"/>
    <w:rsid w:val="00A1405B"/>
    <w:rsid w:val="00A1528C"/>
    <w:rsid w:val="00A157B1"/>
    <w:rsid w:val="00A17449"/>
    <w:rsid w:val="00A22229"/>
    <w:rsid w:val="00A230C8"/>
    <w:rsid w:val="00A23C60"/>
    <w:rsid w:val="00A24442"/>
    <w:rsid w:val="00A2445F"/>
    <w:rsid w:val="00A25BAB"/>
    <w:rsid w:val="00A27C3E"/>
    <w:rsid w:val="00A3250F"/>
    <w:rsid w:val="00A330BB"/>
    <w:rsid w:val="00A339F3"/>
    <w:rsid w:val="00A35580"/>
    <w:rsid w:val="00A3749B"/>
    <w:rsid w:val="00A40A1B"/>
    <w:rsid w:val="00A417FB"/>
    <w:rsid w:val="00A418BF"/>
    <w:rsid w:val="00A4195D"/>
    <w:rsid w:val="00A43673"/>
    <w:rsid w:val="00A44882"/>
    <w:rsid w:val="00A45125"/>
    <w:rsid w:val="00A45BE3"/>
    <w:rsid w:val="00A4694F"/>
    <w:rsid w:val="00A47D2A"/>
    <w:rsid w:val="00A54715"/>
    <w:rsid w:val="00A5483F"/>
    <w:rsid w:val="00A570D5"/>
    <w:rsid w:val="00A60252"/>
    <w:rsid w:val="00A6061C"/>
    <w:rsid w:val="00A61268"/>
    <w:rsid w:val="00A62D44"/>
    <w:rsid w:val="00A648B8"/>
    <w:rsid w:val="00A67263"/>
    <w:rsid w:val="00A70A47"/>
    <w:rsid w:val="00A7161C"/>
    <w:rsid w:val="00A72987"/>
    <w:rsid w:val="00A73CB9"/>
    <w:rsid w:val="00A77AA3"/>
    <w:rsid w:val="00A810EC"/>
    <w:rsid w:val="00A8236D"/>
    <w:rsid w:val="00A8258F"/>
    <w:rsid w:val="00A84031"/>
    <w:rsid w:val="00A854EB"/>
    <w:rsid w:val="00A860B4"/>
    <w:rsid w:val="00A872E5"/>
    <w:rsid w:val="00A91406"/>
    <w:rsid w:val="00A92305"/>
    <w:rsid w:val="00A94706"/>
    <w:rsid w:val="00A94C7E"/>
    <w:rsid w:val="00A96E65"/>
    <w:rsid w:val="00A9736D"/>
    <w:rsid w:val="00A97BB2"/>
    <w:rsid w:val="00A97C72"/>
    <w:rsid w:val="00AA268E"/>
    <w:rsid w:val="00AA310B"/>
    <w:rsid w:val="00AA4110"/>
    <w:rsid w:val="00AA42C9"/>
    <w:rsid w:val="00AA63D4"/>
    <w:rsid w:val="00AA7AFB"/>
    <w:rsid w:val="00AA7E89"/>
    <w:rsid w:val="00AB06E8"/>
    <w:rsid w:val="00AB1CD3"/>
    <w:rsid w:val="00AB2BA0"/>
    <w:rsid w:val="00AB3120"/>
    <w:rsid w:val="00AB352F"/>
    <w:rsid w:val="00AB596F"/>
    <w:rsid w:val="00AB5AAB"/>
    <w:rsid w:val="00AB6B87"/>
    <w:rsid w:val="00AC1D9C"/>
    <w:rsid w:val="00AC2594"/>
    <w:rsid w:val="00AC274B"/>
    <w:rsid w:val="00AC42FE"/>
    <w:rsid w:val="00AC4764"/>
    <w:rsid w:val="00AC6D36"/>
    <w:rsid w:val="00AD0CBA"/>
    <w:rsid w:val="00AD102B"/>
    <w:rsid w:val="00AD121E"/>
    <w:rsid w:val="00AD177A"/>
    <w:rsid w:val="00AD1E05"/>
    <w:rsid w:val="00AD26E2"/>
    <w:rsid w:val="00AD2F13"/>
    <w:rsid w:val="00AD4642"/>
    <w:rsid w:val="00AD58F2"/>
    <w:rsid w:val="00AD784C"/>
    <w:rsid w:val="00AE04A5"/>
    <w:rsid w:val="00AE126A"/>
    <w:rsid w:val="00AE186F"/>
    <w:rsid w:val="00AE1BAE"/>
    <w:rsid w:val="00AE3005"/>
    <w:rsid w:val="00AE3ADB"/>
    <w:rsid w:val="00AE3BD5"/>
    <w:rsid w:val="00AE4A84"/>
    <w:rsid w:val="00AE4E9A"/>
    <w:rsid w:val="00AE59A0"/>
    <w:rsid w:val="00AE5DEB"/>
    <w:rsid w:val="00AE62B8"/>
    <w:rsid w:val="00AF0C57"/>
    <w:rsid w:val="00AF26F3"/>
    <w:rsid w:val="00AF2AB4"/>
    <w:rsid w:val="00AF3398"/>
    <w:rsid w:val="00AF454D"/>
    <w:rsid w:val="00AF4CC7"/>
    <w:rsid w:val="00AF5F04"/>
    <w:rsid w:val="00AF6A8B"/>
    <w:rsid w:val="00AF7E0E"/>
    <w:rsid w:val="00B00672"/>
    <w:rsid w:val="00B01B4D"/>
    <w:rsid w:val="00B029AA"/>
    <w:rsid w:val="00B0474E"/>
    <w:rsid w:val="00B06571"/>
    <w:rsid w:val="00B06690"/>
    <w:rsid w:val="00B068BA"/>
    <w:rsid w:val="00B06A9F"/>
    <w:rsid w:val="00B0712B"/>
    <w:rsid w:val="00B07FF7"/>
    <w:rsid w:val="00B10300"/>
    <w:rsid w:val="00B11672"/>
    <w:rsid w:val="00B11ED8"/>
    <w:rsid w:val="00B1352A"/>
    <w:rsid w:val="00B13851"/>
    <w:rsid w:val="00B13B1C"/>
    <w:rsid w:val="00B1455B"/>
    <w:rsid w:val="00B14780"/>
    <w:rsid w:val="00B21F90"/>
    <w:rsid w:val="00B22291"/>
    <w:rsid w:val="00B227A4"/>
    <w:rsid w:val="00B23F9A"/>
    <w:rsid w:val="00B2417B"/>
    <w:rsid w:val="00B24E6F"/>
    <w:rsid w:val="00B26CB5"/>
    <w:rsid w:val="00B2752E"/>
    <w:rsid w:val="00B307CC"/>
    <w:rsid w:val="00B326B7"/>
    <w:rsid w:val="00B3492B"/>
    <w:rsid w:val="00B3588E"/>
    <w:rsid w:val="00B36897"/>
    <w:rsid w:val="00B373DC"/>
    <w:rsid w:val="00B41F3D"/>
    <w:rsid w:val="00B431E8"/>
    <w:rsid w:val="00B43241"/>
    <w:rsid w:val="00B44638"/>
    <w:rsid w:val="00B45141"/>
    <w:rsid w:val="00B46CF4"/>
    <w:rsid w:val="00B46DE7"/>
    <w:rsid w:val="00B519CD"/>
    <w:rsid w:val="00B51DDB"/>
    <w:rsid w:val="00B5273A"/>
    <w:rsid w:val="00B54CF6"/>
    <w:rsid w:val="00B56B12"/>
    <w:rsid w:val="00B57329"/>
    <w:rsid w:val="00B57890"/>
    <w:rsid w:val="00B60E61"/>
    <w:rsid w:val="00B62AFF"/>
    <w:rsid w:val="00B62B50"/>
    <w:rsid w:val="00B635B7"/>
    <w:rsid w:val="00B63AE8"/>
    <w:rsid w:val="00B657DF"/>
    <w:rsid w:val="00B65950"/>
    <w:rsid w:val="00B65C23"/>
    <w:rsid w:val="00B66D83"/>
    <w:rsid w:val="00B672C0"/>
    <w:rsid w:val="00B676FD"/>
    <w:rsid w:val="00B6787C"/>
    <w:rsid w:val="00B67FEF"/>
    <w:rsid w:val="00B70CB5"/>
    <w:rsid w:val="00B720DC"/>
    <w:rsid w:val="00B75646"/>
    <w:rsid w:val="00B75C24"/>
    <w:rsid w:val="00B76F97"/>
    <w:rsid w:val="00B8187E"/>
    <w:rsid w:val="00B90729"/>
    <w:rsid w:val="00B907DA"/>
    <w:rsid w:val="00B91197"/>
    <w:rsid w:val="00B9382C"/>
    <w:rsid w:val="00B94CD5"/>
    <w:rsid w:val="00B950BC"/>
    <w:rsid w:val="00B970AB"/>
    <w:rsid w:val="00B9714C"/>
    <w:rsid w:val="00BA105A"/>
    <w:rsid w:val="00BA1C63"/>
    <w:rsid w:val="00BA2219"/>
    <w:rsid w:val="00BA29AD"/>
    <w:rsid w:val="00BA33CF"/>
    <w:rsid w:val="00BA3F8D"/>
    <w:rsid w:val="00BA5233"/>
    <w:rsid w:val="00BA582E"/>
    <w:rsid w:val="00BA5E16"/>
    <w:rsid w:val="00BA708D"/>
    <w:rsid w:val="00BB3CDE"/>
    <w:rsid w:val="00BB7A10"/>
    <w:rsid w:val="00BC1177"/>
    <w:rsid w:val="00BC3E8F"/>
    <w:rsid w:val="00BC60BE"/>
    <w:rsid w:val="00BC7468"/>
    <w:rsid w:val="00BC7D4F"/>
    <w:rsid w:val="00BC7ED7"/>
    <w:rsid w:val="00BD1060"/>
    <w:rsid w:val="00BD2850"/>
    <w:rsid w:val="00BD3296"/>
    <w:rsid w:val="00BD4F22"/>
    <w:rsid w:val="00BE1E3D"/>
    <w:rsid w:val="00BE28D2"/>
    <w:rsid w:val="00BE2E34"/>
    <w:rsid w:val="00BE4754"/>
    <w:rsid w:val="00BE4A64"/>
    <w:rsid w:val="00BE554D"/>
    <w:rsid w:val="00BE5E43"/>
    <w:rsid w:val="00BE73B0"/>
    <w:rsid w:val="00BF02A6"/>
    <w:rsid w:val="00BF30B2"/>
    <w:rsid w:val="00BF538D"/>
    <w:rsid w:val="00BF557D"/>
    <w:rsid w:val="00BF58EB"/>
    <w:rsid w:val="00BF7F58"/>
    <w:rsid w:val="00C00717"/>
    <w:rsid w:val="00C01381"/>
    <w:rsid w:val="00C01AB1"/>
    <w:rsid w:val="00C026A0"/>
    <w:rsid w:val="00C026A5"/>
    <w:rsid w:val="00C03BD6"/>
    <w:rsid w:val="00C06137"/>
    <w:rsid w:val="00C07816"/>
    <w:rsid w:val="00C079B8"/>
    <w:rsid w:val="00C10037"/>
    <w:rsid w:val="00C123EA"/>
    <w:rsid w:val="00C12A49"/>
    <w:rsid w:val="00C133EE"/>
    <w:rsid w:val="00C13BFC"/>
    <w:rsid w:val="00C149D0"/>
    <w:rsid w:val="00C15FB9"/>
    <w:rsid w:val="00C16360"/>
    <w:rsid w:val="00C21A2E"/>
    <w:rsid w:val="00C22F89"/>
    <w:rsid w:val="00C249C7"/>
    <w:rsid w:val="00C25FAA"/>
    <w:rsid w:val="00C26588"/>
    <w:rsid w:val="00C27DE9"/>
    <w:rsid w:val="00C32989"/>
    <w:rsid w:val="00C33388"/>
    <w:rsid w:val="00C35484"/>
    <w:rsid w:val="00C3554E"/>
    <w:rsid w:val="00C35B26"/>
    <w:rsid w:val="00C35D5A"/>
    <w:rsid w:val="00C4173A"/>
    <w:rsid w:val="00C41C1F"/>
    <w:rsid w:val="00C42055"/>
    <w:rsid w:val="00C42F61"/>
    <w:rsid w:val="00C4348A"/>
    <w:rsid w:val="00C44384"/>
    <w:rsid w:val="00C443BE"/>
    <w:rsid w:val="00C44F04"/>
    <w:rsid w:val="00C47851"/>
    <w:rsid w:val="00C5004C"/>
    <w:rsid w:val="00C50DED"/>
    <w:rsid w:val="00C52778"/>
    <w:rsid w:val="00C52A74"/>
    <w:rsid w:val="00C53F48"/>
    <w:rsid w:val="00C54177"/>
    <w:rsid w:val="00C55F58"/>
    <w:rsid w:val="00C56870"/>
    <w:rsid w:val="00C570FB"/>
    <w:rsid w:val="00C572A7"/>
    <w:rsid w:val="00C602FF"/>
    <w:rsid w:val="00C61174"/>
    <w:rsid w:val="00C61427"/>
    <w:rsid w:val="00C6148F"/>
    <w:rsid w:val="00C615DE"/>
    <w:rsid w:val="00C621B1"/>
    <w:rsid w:val="00C62F7A"/>
    <w:rsid w:val="00C63B9C"/>
    <w:rsid w:val="00C6682F"/>
    <w:rsid w:val="00C67BF4"/>
    <w:rsid w:val="00C706EC"/>
    <w:rsid w:val="00C71687"/>
    <w:rsid w:val="00C71B84"/>
    <w:rsid w:val="00C7275E"/>
    <w:rsid w:val="00C7282A"/>
    <w:rsid w:val="00C7310E"/>
    <w:rsid w:val="00C739EB"/>
    <w:rsid w:val="00C7403D"/>
    <w:rsid w:val="00C74C5D"/>
    <w:rsid w:val="00C84B5A"/>
    <w:rsid w:val="00C86096"/>
    <w:rsid w:val="00C863C4"/>
    <w:rsid w:val="00C86490"/>
    <w:rsid w:val="00C86D40"/>
    <w:rsid w:val="00C8746D"/>
    <w:rsid w:val="00C913C3"/>
    <w:rsid w:val="00C9166D"/>
    <w:rsid w:val="00C920EA"/>
    <w:rsid w:val="00C9253B"/>
    <w:rsid w:val="00C92AE2"/>
    <w:rsid w:val="00C93C3E"/>
    <w:rsid w:val="00C95EF8"/>
    <w:rsid w:val="00CA01ED"/>
    <w:rsid w:val="00CA02BC"/>
    <w:rsid w:val="00CA0842"/>
    <w:rsid w:val="00CA09E2"/>
    <w:rsid w:val="00CA12E3"/>
    <w:rsid w:val="00CA1476"/>
    <w:rsid w:val="00CA2ACC"/>
    <w:rsid w:val="00CA4399"/>
    <w:rsid w:val="00CA6222"/>
    <w:rsid w:val="00CA6611"/>
    <w:rsid w:val="00CA6AE6"/>
    <w:rsid w:val="00CA782F"/>
    <w:rsid w:val="00CB187B"/>
    <w:rsid w:val="00CB2835"/>
    <w:rsid w:val="00CB3285"/>
    <w:rsid w:val="00CB4500"/>
    <w:rsid w:val="00CB6C96"/>
    <w:rsid w:val="00CB7800"/>
    <w:rsid w:val="00CC0560"/>
    <w:rsid w:val="00CC0C72"/>
    <w:rsid w:val="00CC15E7"/>
    <w:rsid w:val="00CC1DD1"/>
    <w:rsid w:val="00CC2BFD"/>
    <w:rsid w:val="00CC30C6"/>
    <w:rsid w:val="00CC34FE"/>
    <w:rsid w:val="00CC3907"/>
    <w:rsid w:val="00CC4E7B"/>
    <w:rsid w:val="00CC517E"/>
    <w:rsid w:val="00CD09C1"/>
    <w:rsid w:val="00CD1F4C"/>
    <w:rsid w:val="00CD3476"/>
    <w:rsid w:val="00CD4B5A"/>
    <w:rsid w:val="00CD507C"/>
    <w:rsid w:val="00CD64DF"/>
    <w:rsid w:val="00CD6520"/>
    <w:rsid w:val="00CE014D"/>
    <w:rsid w:val="00CE19E4"/>
    <w:rsid w:val="00CE225F"/>
    <w:rsid w:val="00CE36EF"/>
    <w:rsid w:val="00CE6626"/>
    <w:rsid w:val="00CF13E2"/>
    <w:rsid w:val="00CF14DB"/>
    <w:rsid w:val="00CF2F50"/>
    <w:rsid w:val="00CF469F"/>
    <w:rsid w:val="00CF6198"/>
    <w:rsid w:val="00CF6E85"/>
    <w:rsid w:val="00D0034A"/>
    <w:rsid w:val="00D00B15"/>
    <w:rsid w:val="00D00C76"/>
    <w:rsid w:val="00D02919"/>
    <w:rsid w:val="00D02D7E"/>
    <w:rsid w:val="00D030CA"/>
    <w:rsid w:val="00D04C61"/>
    <w:rsid w:val="00D05B8D"/>
    <w:rsid w:val="00D05D80"/>
    <w:rsid w:val="00D065A2"/>
    <w:rsid w:val="00D079AA"/>
    <w:rsid w:val="00D07F00"/>
    <w:rsid w:val="00D1130F"/>
    <w:rsid w:val="00D116EF"/>
    <w:rsid w:val="00D12EBD"/>
    <w:rsid w:val="00D17B72"/>
    <w:rsid w:val="00D17E5A"/>
    <w:rsid w:val="00D20BF9"/>
    <w:rsid w:val="00D30F3E"/>
    <w:rsid w:val="00D3185C"/>
    <w:rsid w:val="00D3205F"/>
    <w:rsid w:val="00D32D16"/>
    <w:rsid w:val="00D3318E"/>
    <w:rsid w:val="00D33B1B"/>
    <w:rsid w:val="00D33E72"/>
    <w:rsid w:val="00D35230"/>
    <w:rsid w:val="00D35BD6"/>
    <w:rsid w:val="00D360A2"/>
    <w:rsid w:val="00D361B5"/>
    <w:rsid w:val="00D405AC"/>
    <w:rsid w:val="00D40805"/>
    <w:rsid w:val="00D411A2"/>
    <w:rsid w:val="00D451D9"/>
    <w:rsid w:val="00D45DCB"/>
    <w:rsid w:val="00D4606D"/>
    <w:rsid w:val="00D46C92"/>
    <w:rsid w:val="00D50B9C"/>
    <w:rsid w:val="00D5210F"/>
    <w:rsid w:val="00D52D73"/>
    <w:rsid w:val="00D52E58"/>
    <w:rsid w:val="00D564A7"/>
    <w:rsid w:val="00D56B20"/>
    <w:rsid w:val="00D578B3"/>
    <w:rsid w:val="00D60B94"/>
    <w:rsid w:val="00D618F4"/>
    <w:rsid w:val="00D629BE"/>
    <w:rsid w:val="00D63596"/>
    <w:rsid w:val="00D63DD8"/>
    <w:rsid w:val="00D65C95"/>
    <w:rsid w:val="00D714CC"/>
    <w:rsid w:val="00D7369E"/>
    <w:rsid w:val="00D74865"/>
    <w:rsid w:val="00D75EA7"/>
    <w:rsid w:val="00D77A57"/>
    <w:rsid w:val="00D77EE8"/>
    <w:rsid w:val="00D8141F"/>
    <w:rsid w:val="00D81ADF"/>
    <w:rsid w:val="00D81F21"/>
    <w:rsid w:val="00D82339"/>
    <w:rsid w:val="00D8321F"/>
    <w:rsid w:val="00D864F2"/>
    <w:rsid w:val="00D87C1D"/>
    <w:rsid w:val="00D90A1A"/>
    <w:rsid w:val="00D925EA"/>
    <w:rsid w:val="00D92F95"/>
    <w:rsid w:val="00D943F8"/>
    <w:rsid w:val="00D95470"/>
    <w:rsid w:val="00D96B55"/>
    <w:rsid w:val="00DA0575"/>
    <w:rsid w:val="00DA2619"/>
    <w:rsid w:val="00DA4239"/>
    <w:rsid w:val="00DA5DD4"/>
    <w:rsid w:val="00DA65DE"/>
    <w:rsid w:val="00DB0240"/>
    <w:rsid w:val="00DB0B61"/>
    <w:rsid w:val="00DB1474"/>
    <w:rsid w:val="00DB23D3"/>
    <w:rsid w:val="00DB2962"/>
    <w:rsid w:val="00DB52FB"/>
    <w:rsid w:val="00DB55D6"/>
    <w:rsid w:val="00DC013B"/>
    <w:rsid w:val="00DC090B"/>
    <w:rsid w:val="00DC1679"/>
    <w:rsid w:val="00DC219B"/>
    <w:rsid w:val="00DC2CF1"/>
    <w:rsid w:val="00DC3008"/>
    <w:rsid w:val="00DC4FCF"/>
    <w:rsid w:val="00DC50E0"/>
    <w:rsid w:val="00DC6295"/>
    <w:rsid w:val="00DC6386"/>
    <w:rsid w:val="00DC7715"/>
    <w:rsid w:val="00DD1130"/>
    <w:rsid w:val="00DD1951"/>
    <w:rsid w:val="00DD3A7A"/>
    <w:rsid w:val="00DD45B1"/>
    <w:rsid w:val="00DD487D"/>
    <w:rsid w:val="00DD4E83"/>
    <w:rsid w:val="00DD5095"/>
    <w:rsid w:val="00DD6628"/>
    <w:rsid w:val="00DD6945"/>
    <w:rsid w:val="00DD6A07"/>
    <w:rsid w:val="00DD75D9"/>
    <w:rsid w:val="00DE1073"/>
    <w:rsid w:val="00DE24ED"/>
    <w:rsid w:val="00DE2D04"/>
    <w:rsid w:val="00DE3250"/>
    <w:rsid w:val="00DE451A"/>
    <w:rsid w:val="00DE6028"/>
    <w:rsid w:val="00DE66C7"/>
    <w:rsid w:val="00DE78A3"/>
    <w:rsid w:val="00DE7B5E"/>
    <w:rsid w:val="00DF1A71"/>
    <w:rsid w:val="00DF443E"/>
    <w:rsid w:val="00DF50FC"/>
    <w:rsid w:val="00DF556C"/>
    <w:rsid w:val="00DF68C7"/>
    <w:rsid w:val="00DF731A"/>
    <w:rsid w:val="00E005EE"/>
    <w:rsid w:val="00E00C0E"/>
    <w:rsid w:val="00E0185E"/>
    <w:rsid w:val="00E02C2C"/>
    <w:rsid w:val="00E0374D"/>
    <w:rsid w:val="00E0512C"/>
    <w:rsid w:val="00E06B75"/>
    <w:rsid w:val="00E07318"/>
    <w:rsid w:val="00E1033E"/>
    <w:rsid w:val="00E10FD7"/>
    <w:rsid w:val="00E11332"/>
    <w:rsid w:val="00E11352"/>
    <w:rsid w:val="00E16FCD"/>
    <w:rsid w:val="00E170DC"/>
    <w:rsid w:val="00E17546"/>
    <w:rsid w:val="00E210B5"/>
    <w:rsid w:val="00E23738"/>
    <w:rsid w:val="00E25301"/>
    <w:rsid w:val="00E261B3"/>
    <w:rsid w:val="00E26818"/>
    <w:rsid w:val="00E27FFC"/>
    <w:rsid w:val="00E303AD"/>
    <w:rsid w:val="00E30B15"/>
    <w:rsid w:val="00E3278C"/>
    <w:rsid w:val="00E33237"/>
    <w:rsid w:val="00E37B50"/>
    <w:rsid w:val="00E37C6B"/>
    <w:rsid w:val="00E40153"/>
    <w:rsid w:val="00E40181"/>
    <w:rsid w:val="00E41DA7"/>
    <w:rsid w:val="00E432F2"/>
    <w:rsid w:val="00E43BF0"/>
    <w:rsid w:val="00E44D31"/>
    <w:rsid w:val="00E454F7"/>
    <w:rsid w:val="00E511F8"/>
    <w:rsid w:val="00E5246F"/>
    <w:rsid w:val="00E54950"/>
    <w:rsid w:val="00E56936"/>
    <w:rsid w:val="00E56A01"/>
    <w:rsid w:val="00E602CA"/>
    <w:rsid w:val="00E602CB"/>
    <w:rsid w:val="00E61D1B"/>
    <w:rsid w:val="00E62622"/>
    <w:rsid w:val="00E629A1"/>
    <w:rsid w:val="00E649E5"/>
    <w:rsid w:val="00E655BC"/>
    <w:rsid w:val="00E6611E"/>
    <w:rsid w:val="00E661EC"/>
    <w:rsid w:val="00E6794C"/>
    <w:rsid w:val="00E71591"/>
    <w:rsid w:val="00E71CEB"/>
    <w:rsid w:val="00E73E01"/>
    <w:rsid w:val="00E7474F"/>
    <w:rsid w:val="00E75D95"/>
    <w:rsid w:val="00E77D2C"/>
    <w:rsid w:val="00E8045E"/>
    <w:rsid w:val="00E80DE3"/>
    <w:rsid w:val="00E82C55"/>
    <w:rsid w:val="00E835A0"/>
    <w:rsid w:val="00E839B5"/>
    <w:rsid w:val="00E8787E"/>
    <w:rsid w:val="00E87A0F"/>
    <w:rsid w:val="00E917B3"/>
    <w:rsid w:val="00E91B73"/>
    <w:rsid w:val="00E91C51"/>
    <w:rsid w:val="00E92AC3"/>
    <w:rsid w:val="00E95C0B"/>
    <w:rsid w:val="00E972C4"/>
    <w:rsid w:val="00E9785C"/>
    <w:rsid w:val="00EA0482"/>
    <w:rsid w:val="00EA1360"/>
    <w:rsid w:val="00EA1439"/>
    <w:rsid w:val="00EA1A01"/>
    <w:rsid w:val="00EA279E"/>
    <w:rsid w:val="00EA2F6A"/>
    <w:rsid w:val="00EA5816"/>
    <w:rsid w:val="00EA7D10"/>
    <w:rsid w:val="00EA7F77"/>
    <w:rsid w:val="00EB00E0"/>
    <w:rsid w:val="00EB24F3"/>
    <w:rsid w:val="00EB494F"/>
    <w:rsid w:val="00EB5FBA"/>
    <w:rsid w:val="00EC059F"/>
    <w:rsid w:val="00EC0FDA"/>
    <w:rsid w:val="00EC1F24"/>
    <w:rsid w:val="00EC22F6"/>
    <w:rsid w:val="00EC40D5"/>
    <w:rsid w:val="00EC45EA"/>
    <w:rsid w:val="00EC6135"/>
    <w:rsid w:val="00ED00F6"/>
    <w:rsid w:val="00ED0788"/>
    <w:rsid w:val="00ED1917"/>
    <w:rsid w:val="00ED338C"/>
    <w:rsid w:val="00ED5B9B"/>
    <w:rsid w:val="00ED6BAD"/>
    <w:rsid w:val="00ED7066"/>
    <w:rsid w:val="00ED7447"/>
    <w:rsid w:val="00EE00D6"/>
    <w:rsid w:val="00EE11E7"/>
    <w:rsid w:val="00EE1488"/>
    <w:rsid w:val="00EE2920"/>
    <w:rsid w:val="00EE29AD"/>
    <w:rsid w:val="00EE3E24"/>
    <w:rsid w:val="00EE3F31"/>
    <w:rsid w:val="00EE428D"/>
    <w:rsid w:val="00EE4D5D"/>
    <w:rsid w:val="00EE5131"/>
    <w:rsid w:val="00EE5883"/>
    <w:rsid w:val="00EE6C40"/>
    <w:rsid w:val="00EF109B"/>
    <w:rsid w:val="00EF201C"/>
    <w:rsid w:val="00EF36AF"/>
    <w:rsid w:val="00EF59A3"/>
    <w:rsid w:val="00EF6675"/>
    <w:rsid w:val="00F00F9C"/>
    <w:rsid w:val="00F017ED"/>
    <w:rsid w:val="00F01E5F"/>
    <w:rsid w:val="00F02342"/>
    <w:rsid w:val="00F024F3"/>
    <w:rsid w:val="00F02ABA"/>
    <w:rsid w:val="00F02DAE"/>
    <w:rsid w:val="00F04193"/>
    <w:rsid w:val="00F0437A"/>
    <w:rsid w:val="00F0475C"/>
    <w:rsid w:val="00F04CC2"/>
    <w:rsid w:val="00F04FDB"/>
    <w:rsid w:val="00F0624B"/>
    <w:rsid w:val="00F101B8"/>
    <w:rsid w:val="00F11037"/>
    <w:rsid w:val="00F122CD"/>
    <w:rsid w:val="00F16F1B"/>
    <w:rsid w:val="00F21283"/>
    <w:rsid w:val="00F21455"/>
    <w:rsid w:val="00F21E28"/>
    <w:rsid w:val="00F239B3"/>
    <w:rsid w:val="00F250A9"/>
    <w:rsid w:val="00F25909"/>
    <w:rsid w:val="00F267AF"/>
    <w:rsid w:val="00F2715A"/>
    <w:rsid w:val="00F30A04"/>
    <w:rsid w:val="00F30FF4"/>
    <w:rsid w:val="00F3122E"/>
    <w:rsid w:val="00F32368"/>
    <w:rsid w:val="00F32ABA"/>
    <w:rsid w:val="00F331AD"/>
    <w:rsid w:val="00F342F8"/>
    <w:rsid w:val="00F3451C"/>
    <w:rsid w:val="00F35287"/>
    <w:rsid w:val="00F370B8"/>
    <w:rsid w:val="00F40A70"/>
    <w:rsid w:val="00F41718"/>
    <w:rsid w:val="00F43380"/>
    <w:rsid w:val="00F43A37"/>
    <w:rsid w:val="00F44007"/>
    <w:rsid w:val="00F44076"/>
    <w:rsid w:val="00F44AF9"/>
    <w:rsid w:val="00F45152"/>
    <w:rsid w:val="00F451AB"/>
    <w:rsid w:val="00F4641B"/>
    <w:rsid w:val="00F46EB8"/>
    <w:rsid w:val="00F47AFD"/>
    <w:rsid w:val="00F50CD1"/>
    <w:rsid w:val="00F511E4"/>
    <w:rsid w:val="00F52D09"/>
    <w:rsid w:val="00F52E08"/>
    <w:rsid w:val="00F53A66"/>
    <w:rsid w:val="00F53B6F"/>
    <w:rsid w:val="00F53DDD"/>
    <w:rsid w:val="00F5462D"/>
    <w:rsid w:val="00F55B21"/>
    <w:rsid w:val="00F56D27"/>
    <w:rsid w:val="00F56EF6"/>
    <w:rsid w:val="00F60082"/>
    <w:rsid w:val="00F61603"/>
    <w:rsid w:val="00F61A9F"/>
    <w:rsid w:val="00F61B5F"/>
    <w:rsid w:val="00F64696"/>
    <w:rsid w:val="00F65AA9"/>
    <w:rsid w:val="00F660AF"/>
    <w:rsid w:val="00F662F8"/>
    <w:rsid w:val="00F66B79"/>
    <w:rsid w:val="00F6768F"/>
    <w:rsid w:val="00F67945"/>
    <w:rsid w:val="00F71B14"/>
    <w:rsid w:val="00F72C2C"/>
    <w:rsid w:val="00F74B85"/>
    <w:rsid w:val="00F75C8B"/>
    <w:rsid w:val="00F76CAB"/>
    <w:rsid w:val="00F772C6"/>
    <w:rsid w:val="00F77784"/>
    <w:rsid w:val="00F778F0"/>
    <w:rsid w:val="00F804F4"/>
    <w:rsid w:val="00F815B5"/>
    <w:rsid w:val="00F819D4"/>
    <w:rsid w:val="00F81A7F"/>
    <w:rsid w:val="00F81D05"/>
    <w:rsid w:val="00F822F2"/>
    <w:rsid w:val="00F8241A"/>
    <w:rsid w:val="00F84FA0"/>
    <w:rsid w:val="00F85195"/>
    <w:rsid w:val="00F868E3"/>
    <w:rsid w:val="00F9020C"/>
    <w:rsid w:val="00F92762"/>
    <w:rsid w:val="00F934FB"/>
    <w:rsid w:val="00F938BA"/>
    <w:rsid w:val="00F93975"/>
    <w:rsid w:val="00F93F93"/>
    <w:rsid w:val="00F94F86"/>
    <w:rsid w:val="00F97919"/>
    <w:rsid w:val="00F97C63"/>
    <w:rsid w:val="00FA0A74"/>
    <w:rsid w:val="00FA0C51"/>
    <w:rsid w:val="00FA1DD7"/>
    <w:rsid w:val="00FA2C46"/>
    <w:rsid w:val="00FA3525"/>
    <w:rsid w:val="00FA59CD"/>
    <w:rsid w:val="00FA5A53"/>
    <w:rsid w:val="00FB01AE"/>
    <w:rsid w:val="00FB1CB5"/>
    <w:rsid w:val="00FB2551"/>
    <w:rsid w:val="00FB2D50"/>
    <w:rsid w:val="00FB3255"/>
    <w:rsid w:val="00FB336C"/>
    <w:rsid w:val="00FB4769"/>
    <w:rsid w:val="00FB4CDA"/>
    <w:rsid w:val="00FB5020"/>
    <w:rsid w:val="00FB6481"/>
    <w:rsid w:val="00FB6D36"/>
    <w:rsid w:val="00FB7D0C"/>
    <w:rsid w:val="00FC0965"/>
    <w:rsid w:val="00FC0F81"/>
    <w:rsid w:val="00FC1873"/>
    <w:rsid w:val="00FC252F"/>
    <w:rsid w:val="00FC2E66"/>
    <w:rsid w:val="00FC3843"/>
    <w:rsid w:val="00FC395C"/>
    <w:rsid w:val="00FC5E8E"/>
    <w:rsid w:val="00FD0095"/>
    <w:rsid w:val="00FD2629"/>
    <w:rsid w:val="00FD35EB"/>
    <w:rsid w:val="00FD3766"/>
    <w:rsid w:val="00FD3D13"/>
    <w:rsid w:val="00FD47C4"/>
    <w:rsid w:val="00FD722A"/>
    <w:rsid w:val="00FD759B"/>
    <w:rsid w:val="00FE05BA"/>
    <w:rsid w:val="00FE2DCF"/>
    <w:rsid w:val="00FE3632"/>
    <w:rsid w:val="00FE3FA7"/>
    <w:rsid w:val="00FF19AA"/>
    <w:rsid w:val="00FF2A4E"/>
    <w:rsid w:val="00FF2D03"/>
    <w:rsid w:val="00FF2F6E"/>
    <w:rsid w:val="00FF2FCE"/>
    <w:rsid w:val="00FF35EA"/>
    <w:rsid w:val="00FF4DE4"/>
    <w:rsid w:val="00FF4F7D"/>
    <w:rsid w:val="00FF54DF"/>
    <w:rsid w:val="00FF6D9D"/>
    <w:rsid w:val="00FF7DD5"/>
    <w:rsid w:val="00FF7F7C"/>
    <w:rsid w:val="0155A76C"/>
    <w:rsid w:val="01777705"/>
    <w:rsid w:val="01E17A38"/>
    <w:rsid w:val="025E63D5"/>
    <w:rsid w:val="0272A81B"/>
    <w:rsid w:val="027BDE84"/>
    <w:rsid w:val="02B41981"/>
    <w:rsid w:val="032CE727"/>
    <w:rsid w:val="035D124F"/>
    <w:rsid w:val="0423DF8D"/>
    <w:rsid w:val="04409A6F"/>
    <w:rsid w:val="049A910F"/>
    <w:rsid w:val="050B3E08"/>
    <w:rsid w:val="0619D923"/>
    <w:rsid w:val="067A9F54"/>
    <w:rsid w:val="06A8BE34"/>
    <w:rsid w:val="074346FC"/>
    <w:rsid w:val="07B5A984"/>
    <w:rsid w:val="07E1129F"/>
    <w:rsid w:val="07FAF3D5"/>
    <w:rsid w:val="083FCCA2"/>
    <w:rsid w:val="087E4163"/>
    <w:rsid w:val="08AD2B31"/>
    <w:rsid w:val="08B77F25"/>
    <w:rsid w:val="08BF50AF"/>
    <w:rsid w:val="08D6F569"/>
    <w:rsid w:val="08FBE705"/>
    <w:rsid w:val="0997C756"/>
    <w:rsid w:val="09ECB4A0"/>
    <w:rsid w:val="0A514DA3"/>
    <w:rsid w:val="0AD4E63A"/>
    <w:rsid w:val="0B7CB6AA"/>
    <w:rsid w:val="0BD5B69C"/>
    <w:rsid w:val="0BFE0B6B"/>
    <w:rsid w:val="0C240AEF"/>
    <w:rsid w:val="0C2756E4"/>
    <w:rsid w:val="0C3387C7"/>
    <w:rsid w:val="0C4131CA"/>
    <w:rsid w:val="0C5E853C"/>
    <w:rsid w:val="0CD0E203"/>
    <w:rsid w:val="0E16E545"/>
    <w:rsid w:val="0E18C771"/>
    <w:rsid w:val="0E363A14"/>
    <w:rsid w:val="0E565A66"/>
    <w:rsid w:val="0ECEB539"/>
    <w:rsid w:val="0F1C83D0"/>
    <w:rsid w:val="0F35AC2D"/>
    <w:rsid w:val="0F80742B"/>
    <w:rsid w:val="0FFEF72C"/>
    <w:rsid w:val="1011E04F"/>
    <w:rsid w:val="1085583A"/>
    <w:rsid w:val="10E7EEEA"/>
    <w:rsid w:val="111527EE"/>
    <w:rsid w:val="1123060A"/>
    <w:rsid w:val="119D612B"/>
    <w:rsid w:val="11DFB93D"/>
    <w:rsid w:val="12A9E789"/>
    <w:rsid w:val="12E27947"/>
    <w:rsid w:val="131E8FB6"/>
    <w:rsid w:val="1392B7DB"/>
    <w:rsid w:val="139C3388"/>
    <w:rsid w:val="13BADD41"/>
    <w:rsid w:val="13F9A79E"/>
    <w:rsid w:val="149E0703"/>
    <w:rsid w:val="14BBDEA5"/>
    <w:rsid w:val="14EDDABA"/>
    <w:rsid w:val="15384B3D"/>
    <w:rsid w:val="15416188"/>
    <w:rsid w:val="173040E2"/>
    <w:rsid w:val="17E83B36"/>
    <w:rsid w:val="187237D1"/>
    <w:rsid w:val="1883A236"/>
    <w:rsid w:val="18869D72"/>
    <w:rsid w:val="1895A82B"/>
    <w:rsid w:val="18EADF42"/>
    <w:rsid w:val="1932FD5F"/>
    <w:rsid w:val="19F4C71C"/>
    <w:rsid w:val="1A012305"/>
    <w:rsid w:val="1A2D98D7"/>
    <w:rsid w:val="1A92AE68"/>
    <w:rsid w:val="1AB3849A"/>
    <w:rsid w:val="1ACB6443"/>
    <w:rsid w:val="1B940FE4"/>
    <w:rsid w:val="1BCE5F0F"/>
    <w:rsid w:val="1D161FD6"/>
    <w:rsid w:val="1D42920A"/>
    <w:rsid w:val="1D7DD864"/>
    <w:rsid w:val="1DED4625"/>
    <w:rsid w:val="1E903C3F"/>
    <w:rsid w:val="1E975D6C"/>
    <w:rsid w:val="1EDA61FF"/>
    <w:rsid w:val="1F44D1F9"/>
    <w:rsid w:val="1FA92A69"/>
    <w:rsid w:val="2089DFAA"/>
    <w:rsid w:val="20AF96F6"/>
    <w:rsid w:val="214A7AD9"/>
    <w:rsid w:val="21C23AEE"/>
    <w:rsid w:val="21D97BAF"/>
    <w:rsid w:val="21FFF1BA"/>
    <w:rsid w:val="22047EC3"/>
    <w:rsid w:val="2234CFC0"/>
    <w:rsid w:val="2291E8D9"/>
    <w:rsid w:val="2315FF9F"/>
    <w:rsid w:val="2396165A"/>
    <w:rsid w:val="23B7FD4D"/>
    <w:rsid w:val="23BC1DC1"/>
    <w:rsid w:val="2480109C"/>
    <w:rsid w:val="2492E4BC"/>
    <w:rsid w:val="24C7A36B"/>
    <w:rsid w:val="25481E76"/>
    <w:rsid w:val="2590C2E5"/>
    <w:rsid w:val="25B65A4A"/>
    <w:rsid w:val="25C937D0"/>
    <w:rsid w:val="26EE8E0D"/>
    <w:rsid w:val="270BA654"/>
    <w:rsid w:val="272EE1B4"/>
    <w:rsid w:val="27AAA5FE"/>
    <w:rsid w:val="27E63BE6"/>
    <w:rsid w:val="290299C4"/>
    <w:rsid w:val="29338E05"/>
    <w:rsid w:val="29758733"/>
    <w:rsid w:val="299DF600"/>
    <w:rsid w:val="29F11038"/>
    <w:rsid w:val="2A3A5764"/>
    <w:rsid w:val="2AF517B9"/>
    <w:rsid w:val="2B6CAA58"/>
    <w:rsid w:val="2B926B7D"/>
    <w:rsid w:val="2BEAD38C"/>
    <w:rsid w:val="2C670311"/>
    <w:rsid w:val="2D70F88C"/>
    <w:rsid w:val="2D7D1B9F"/>
    <w:rsid w:val="2DA21E50"/>
    <w:rsid w:val="2EC607E0"/>
    <w:rsid w:val="308FE536"/>
    <w:rsid w:val="30AD05CC"/>
    <w:rsid w:val="30B925E0"/>
    <w:rsid w:val="3127E11B"/>
    <w:rsid w:val="3192E944"/>
    <w:rsid w:val="31A1001A"/>
    <w:rsid w:val="322FB546"/>
    <w:rsid w:val="3237AEE0"/>
    <w:rsid w:val="328415FB"/>
    <w:rsid w:val="32BB3444"/>
    <w:rsid w:val="33E4A68E"/>
    <w:rsid w:val="343E85CE"/>
    <w:rsid w:val="34896173"/>
    <w:rsid w:val="34C0F69E"/>
    <w:rsid w:val="35090ECE"/>
    <w:rsid w:val="354A5A0D"/>
    <w:rsid w:val="35EC2110"/>
    <w:rsid w:val="360EF32B"/>
    <w:rsid w:val="3675B39A"/>
    <w:rsid w:val="36C9B767"/>
    <w:rsid w:val="36F3F082"/>
    <w:rsid w:val="37E2B18A"/>
    <w:rsid w:val="3817CD2A"/>
    <w:rsid w:val="383DB4C0"/>
    <w:rsid w:val="384B0277"/>
    <w:rsid w:val="38753E55"/>
    <w:rsid w:val="39001EEA"/>
    <w:rsid w:val="39ACB137"/>
    <w:rsid w:val="39D68662"/>
    <w:rsid w:val="3A44401F"/>
    <w:rsid w:val="3A50BEBB"/>
    <w:rsid w:val="3A5C0CF3"/>
    <w:rsid w:val="3B2C13E7"/>
    <w:rsid w:val="3B6E53B9"/>
    <w:rsid w:val="3BFA5769"/>
    <w:rsid w:val="3C39B000"/>
    <w:rsid w:val="3D00E04C"/>
    <w:rsid w:val="3D2ADAFD"/>
    <w:rsid w:val="3D4AED02"/>
    <w:rsid w:val="3E9DFB8B"/>
    <w:rsid w:val="3F4BA88F"/>
    <w:rsid w:val="3F4E840F"/>
    <w:rsid w:val="3F5F4411"/>
    <w:rsid w:val="40105E8B"/>
    <w:rsid w:val="401B1C28"/>
    <w:rsid w:val="40356B26"/>
    <w:rsid w:val="4064CF5B"/>
    <w:rsid w:val="40E778F0"/>
    <w:rsid w:val="4159BBCC"/>
    <w:rsid w:val="41952204"/>
    <w:rsid w:val="41C12ECC"/>
    <w:rsid w:val="423E425A"/>
    <w:rsid w:val="424CDEF4"/>
    <w:rsid w:val="42711978"/>
    <w:rsid w:val="429F9ED4"/>
    <w:rsid w:val="42A7CEBA"/>
    <w:rsid w:val="42B17BBB"/>
    <w:rsid w:val="42E79D21"/>
    <w:rsid w:val="433BFAD9"/>
    <w:rsid w:val="43E8366C"/>
    <w:rsid w:val="43E8AF55"/>
    <w:rsid w:val="43F1BCDE"/>
    <w:rsid w:val="4430C1E5"/>
    <w:rsid w:val="443E2CFD"/>
    <w:rsid w:val="4477EE78"/>
    <w:rsid w:val="447C0419"/>
    <w:rsid w:val="453A48D2"/>
    <w:rsid w:val="4578AA19"/>
    <w:rsid w:val="45847FB6"/>
    <w:rsid w:val="45911FD7"/>
    <w:rsid w:val="4609C141"/>
    <w:rsid w:val="46C6F0BB"/>
    <w:rsid w:val="4764D415"/>
    <w:rsid w:val="477A03CD"/>
    <w:rsid w:val="47AF3120"/>
    <w:rsid w:val="498215BF"/>
    <w:rsid w:val="49B6214B"/>
    <w:rsid w:val="4B59D660"/>
    <w:rsid w:val="4CC58DCD"/>
    <w:rsid w:val="4D22CDA3"/>
    <w:rsid w:val="4D3CDAC1"/>
    <w:rsid w:val="4D5236A8"/>
    <w:rsid w:val="4E1F10C9"/>
    <w:rsid w:val="4E51262C"/>
    <w:rsid w:val="4E73BB66"/>
    <w:rsid w:val="4E94E390"/>
    <w:rsid w:val="4ECB0823"/>
    <w:rsid w:val="4F1DF264"/>
    <w:rsid w:val="4F9EA64A"/>
    <w:rsid w:val="4FCE239C"/>
    <w:rsid w:val="50C14603"/>
    <w:rsid w:val="514B5E07"/>
    <w:rsid w:val="5207DCA1"/>
    <w:rsid w:val="52F0D05C"/>
    <w:rsid w:val="530CDEFB"/>
    <w:rsid w:val="54741345"/>
    <w:rsid w:val="5498B99D"/>
    <w:rsid w:val="5516A186"/>
    <w:rsid w:val="5519ADE6"/>
    <w:rsid w:val="553B7B95"/>
    <w:rsid w:val="55687619"/>
    <w:rsid w:val="55A7ABFA"/>
    <w:rsid w:val="55AD391B"/>
    <w:rsid w:val="55B4CD1C"/>
    <w:rsid w:val="56342B0C"/>
    <w:rsid w:val="56490CC6"/>
    <w:rsid w:val="565F7A64"/>
    <w:rsid w:val="56806926"/>
    <w:rsid w:val="56F7681A"/>
    <w:rsid w:val="570F5AE2"/>
    <w:rsid w:val="574525B8"/>
    <w:rsid w:val="57F590C1"/>
    <w:rsid w:val="58DD5315"/>
    <w:rsid w:val="590CB74B"/>
    <w:rsid w:val="5943F919"/>
    <w:rsid w:val="5946CEA1"/>
    <w:rsid w:val="59C88CCC"/>
    <w:rsid w:val="59FBB0E3"/>
    <w:rsid w:val="5A46C93A"/>
    <w:rsid w:val="5A9A0D9D"/>
    <w:rsid w:val="5AA6DFAB"/>
    <w:rsid w:val="5AB7EB4F"/>
    <w:rsid w:val="5ABC0529"/>
    <w:rsid w:val="5B251AE5"/>
    <w:rsid w:val="5BC7EBD4"/>
    <w:rsid w:val="5C8A4476"/>
    <w:rsid w:val="5D1FB240"/>
    <w:rsid w:val="5D2995B2"/>
    <w:rsid w:val="5D491C61"/>
    <w:rsid w:val="5D50E59D"/>
    <w:rsid w:val="5D5D047E"/>
    <w:rsid w:val="5D5D8E67"/>
    <w:rsid w:val="5D74BE03"/>
    <w:rsid w:val="5DEC7C59"/>
    <w:rsid w:val="5E504C0E"/>
    <w:rsid w:val="5E891074"/>
    <w:rsid w:val="5F033060"/>
    <w:rsid w:val="5F1DF125"/>
    <w:rsid w:val="5F3B2CBC"/>
    <w:rsid w:val="5F8CEFF1"/>
    <w:rsid w:val="5F8D306B"/>
    <w:rsid w:val="5FCB5928"/>
    <w:rsid w:val="5FDA434C"/>
    <w:rsid w:val="608AAD5D"/>
    <w:rsid w:val="6136CE0A"/>
    <w:rsid w:val="61E2347B"/>
    <w:rsid w:val="61EA95A2"/>
    <w:rsid w:val="6229294D"/>
    <w:rsid w:val="623AFB8B"/>
    <w:rsid w:val="62F65434"/>
    <w:rsid w:val="63386A53"/>
    <w:rsid w:val="64119C3A"/>
    <w:rsid w:val="64275361"/>
    <w:rsid w:val="6445AB9B"/>
    <w:rsid w:val="6458EB17"/>
    <w:rsid w:val="64A311B7"/>
    <w:rsid w:val="654BDED3"/>
    <w:rsid w:val="6573BD29"/>
    <w:rsid w:val="65C8CF80"/>
    <w:rsid w:val="65EBB854"/>
    <w:rsid w:val="66590E9E"/>
    <w:rsid w:val="66F7092B"/>
    <w:rsid w:val="66FEA023"/>
    <w:rsid w:val="678788B5"/>
    <w:rsid w:val="67B86AB0"/>
    <w:rsid w:val="683A4665"/>
    <w:rsid w:val="687235BA"/>
    <w:rsid w:val="688D467F"/>
    <w:rsid w:val="6895F569"/>
    <w:rsid w:val="689A7084"/>
    <w:rsid w:val="68A7CB10"/>
    <w:rsid w:val="68B20F75"/>
    <w:rsid w:val="68B4E4FD"/>
    <w:rsid w:val="68F26EEA"/>
    <w:rsid w:val="690E3D6B"/>
    <w:rsid w:val="6913A2C2"/>
    <w:rsid w:val="6916CAB0"/>
    <w:rsid w:val="692C8436"/>
    <w:rsid w:val="6937C063"/>
    <w:rsid w:val="6962A8C9"/>
    <w:rsid w:val="6A50B55E"/>
    <w:rsid w:val="6A6F1C69"/>
    <w:rsid w:val="6AC85497"/>
    <w:rsid w:val="6BDD7084"/>
    <w:rsid w:val="6C0A6760"/>
    <w:rsid w:val="6CAC49AC"/>
    <w:rsid w:val="6D2D4849"/>
    <w:rsid w:val="6D338E82"/>
    <w:rsid w:val="6DAB27B5"/>
    <w:rsid w:val="6DC8D2E7"/>
    <w:rsid w:val="6DF8F232"/>
    <w:rsid w:val="6E1EDD55"/>
    <w:rsid w:val="6E7DEB33"/>
    <w:rsid w:val="6EE8672A"/>
    <w:rsid w:val="6F550EFA"/>
    <w:rsid w:val="6F9BC5BA"/>
    <w:rsid w:val="6FC1A696"/>
    <w:rsid w:val="7019A526"/>
    <w:rsid w:val="701D2603"/>
    <w:rsid w:val="7064E90B"/>
    <w:rsid w:val="70709C09"/>
    <w:rsid w:val="70C31099"/>
    <w:rsid w:val="70E6F310"/>
    <w:rsid w:val="717191F1"/>
    <w:rsid w:val="71732651"/>
    <w:rsid w:val="72D3667C"/>
    <w:rsid w:val="72EBCE91"/>
    <w:rsid w:val="73034027"/>
    <w:rsid w:val="74C52777"/>
    <w:rsid w:val="7503B945"/>
    <w:rsid w:val="750D4CDF"/>
    <w:rsid w:val="75190AB3"/>
    <w:rsid w:val="751F31D1"/>
    <w:rsid w:val="753E8051"/>
    <w:rsid w:val="75776A20"/>
    <w:rsid w:val="75E8D206"/>
    <w:rsid w:val="76020EFD"/>
    <w:rsid w:val="76062A1C"/>
    <w:rsid w:val="7709AE34"/>
    <w:rsid w:val="779A3CF8"/>
    <w:rsid w:val="77C2C422"/>
    <w:rsid w:val="7878608A"/>
    <w:rsid w:val="78AF0AE2"/>
    <w:rsid w:val="78F5A3EC"/>
    <w:rsid w:val="790F3908"/>
    <w:rsid w:val="791500AB"/>
    <w:rsid w:val="79367D85"/>
    <w:rsid w:val="7984A900"/>
    <w:rsid w:val="7A95F3AC"/>
    <w:rsid w:val="7B97929D"/>
    <w:rsid w:val="7C2B9ADF"/>
    <w:rsid w:val="7CC15381"/>
    <w:rsid w:val="7CC3792C"/>
    <w:rsid w:val="7CC5716A"/>
    <w:rsid w:val="7D9A4A84"/>
    <w:rsid w:val="7E00D35C"/>
    <w:rsid w:val="7E3276F9"/>
    <w:rsid w:val="7E383AA9"/>
    <w:rsid w:val="7E6BCC69"/>
    <w:rsid w:val="7EAA5499"/>
    <w:rsid w:val="7EFFF97F"/>
    <w:rsid w:val="7F4DCABC"/>
    <w:rsid w:val="7F5C3A50"/>
    <w:rsid w:val="7FEFBCF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8">
      <o:colormru v:ext="edit" colors="white"/>
    </o:shapedefaults>
    <o:shapelayout v:ext="edit">
      <o:idmap v:ext="edit" data="2"/>
    </o:shapelayout>
  </w:shapeDefaults>
  <w:decimalSymbol w:val="."/>
  <w:listSeparator w:val=","/>
  <w14:docId w14:val="0FC9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3250F"/>
    <w:pPr>
      <w:keepNext/>
      <w:keepLines/>
      <w:spacing w:before="320" w:after="200" w:line="440" w:lineRule="atLeast"/>
      <w:outlineLvl w:val="0"/>
    </w:pPr>
    <w:rPr>
      <w:rFonts w:ascii="Arial" w:eastAsia="MS Gothic" w:hAnsi="Arial" w:cs="Arial"/>
      <w:bCs/>
      <w:color w:val="004EA8"/>
      <w:kern w:val="32"/>
      <w:sz w:val="40"/>
      <w:szCs w:val="40"/>
      <w:lang w:eastAsia="en-US"/>
    </w:rPr>
  </w:style>
  <w:style w:type="paragraph" w:styleId="Heading2">
    <w:name w:val="heading 2"/>
    <w:next w:val="Body"/>
    <w:link w:val="Heading2Char"/>
    <w:uiPriority w:val="1"/>
    <w:qFormat/>
    <w:rsid w:val="00E37C6B"/>
    <w:pPr>
      <w:keepNext/>
      <w:keepLines/>
      <w:spacing w:before="240" w:after="90" w:line="340" w:lineRule="atLeast"/>
      <w:outlineLvl w:val="1"/>
    </w:pPr>
    <w:rPr>
      <w:rFonts w:ascii="Arial" w:hAnsi="Arial"/>
      <w:b/>
      <w:color w:val="004EA8"/>
      <w:sz w:val="32"/>
      <w:szCs w:val="28"/>
      <w:lang w:eastAsia="en-US"/>
    </w:rPr>
  </w:style>
  <w:style w:type="paragraph" w:styleId="Heading3">
    <w:name w:val="heading 3"/>
    <w:next w:val="Body"/>
    <w:link w:val="Heading3Char"/>
    <w:uiPriority w:val="1"/>
    <w:qFormat/>
    <w:rsid w:val="00E37C6B"/>
    <w:pPr>
      <w:keepNext/>
      <w:keepLines/>
      <w:spacing w:before="280" w:after="120" w:line="310" w:lineRule="atLeast"/>
      <w:outlineLvl w:val="2"/>
    </w:pPr>
    <w:rPr>
      <w:rFonts w:ascii="Arial" w:eastAsia="MS Gothic" w:hAnsi="Arial"/>
      <w:bCs/>
      <w:color w:val="004EA8"/>
      <w:sz w:val="27"/>
      <w:szCs w:val="26"/>
      <w:lang w:eastAsia="en-US"/>
    </w:rPr>
  </w:style>
  <w:style w:type="paragraph" w:styleId="Heading4">
    <w:name w:val="heading 4"/>
    <w:next w:val="Body"/>
    <w:link w:val="Heading4Char"/>
    <w:uiPriority w:val="1"/>
    <w:qFormat/>
    <w:rsid w:val="00E37C6B"/>
    <w:pPr>
      <w:keepNext/>
      <w:keepLines/>
      <w:spacing w:before="240" w:after="120" w:line="280" w:lineRule="atLeast"/>
      <w:outlineLvl w:val="3"/>
    </w:pPr>
    <w:rPr>
      <w:rFonts w:ascii="Arial" w:eastAsia="MS Mincho" w:hAnsi="Arial"/>
      <w:b/>
      <w:bCs/>
      <w:color w:val="004EA8"/>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3250F"/>
    <w:rPr>
      <w:rFonts w:ascii="Arial" w:eastAsia="MS Gothic" w:hAnsi="Arial" w:cs="Arial"/>
      <w:bCs/>
      <w:color w:val="004EA8"/>
      <w:kern w:val="32"/>
      <w:sz w:val="40"/>
      <w:szCs w:val="40"/>
      <w:lang w:eastAsia="en-US"/>
    </w:rPr>
  </w:style>
  <w:style w:type="character" w:customStyle="1" w:styleId="Heading2Char">
    <w:name w:val="Heading 2 Char"/>
    <w:link w:val="Heading2"/>
    <w:uiPriority w:val="1"/>
    <w:rsid w:val="00E37C6B"/>
    <w:rPr>
      <w:rFonts w:ascii="Arial" w:hAnsi="Arial"/>
      <w:b/>
      <w:color w:val="004EA8"/>
      <w:sz w:val="32"/>
      <w:szCs w:val="28"/>
      <w:lang w:eastAsia="en-US"/>
    </w:rPr>
  </w:style>
  <w:style w:type="character" w:customStyle="1" w:styleId="Heading3Char">
    <w:name w:val="Heading 3 Char"/>
    <w:link w:val="Heading3"/>
    <w:uiPriority w:val="1"/>
    <w:rsid w:val="00E37C6B"/>
    <w:rPr>
      <w:rFonts w:ascii="Arial" w:eastAsia="MS Gothic" w:hAnsi="Arial"/>
      <w:bCs/>
      <w:color w:val="004EA8"/>
      <w:sz w:val="27"/>
      <w:szCs w:val="26"/>
      <w:lang w:eastAsia="en-US"/>
    </w:rPr>
  </w:style>
  <w:style w:type="character" w:customStyle="1" w:styleId="Heading4Char">
    <w:name w:val="Heading 4 Char"/>
    <w:link w:val="Heading4"/>
    <w:uiPriority w:val="1"/>
    <w:rsid w:val="00E37C6B"/>
    <w:rPr>
      <w:rFonts w:ascii="Arial" w:eastAsia="MS Mincho" w:hAnsi="Arial"/>
      <w:b/>
      <w:bCs/>
      <w:color w:val="004EA8"/>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3250F"/>
    <w:pPr>
      <w:spacing w:after="240" w:line="560" w:lineRule="atLeast"/>
    </w:pPr>
    <w:rPr>
      <w:rFonts w:ascii="Arial" w:hAnsi="Arial"/>
      <w:b/>
      <w:color w:val="004EA8"/>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3250F"/>
    <w:pPr>
      <w:spacing w:line="320" w:lineRule="atLeast"/>
    </w:pPr>
    <w:rPr>
      <w:color w:val="004EA8"/>
      <w:sz w:val="24"/>
    </w:rPr>
  </w:style>
  <w:style w:type="paragraph" w:styleId="ListParagraph">
    <w:name w:val="List Paragraph"/>
    <w:basedOn w:val="Normal"/>
    <w:uiPriority w:val="34"/>
    <w:qFormat/>
    <w:rsid w:val="00556C8A"/>
    <w:pPr>
      <w:ind w:left="720"/>
      <w:contextualSpacing/>
    </w:pPr>
  </w:style>
  <w:style w:type="character" w:styleId="UnresolvedMention">
    <w:name w:val="Unresolved Mention"/>
    <w:basedOn w:val="DefaultParagraphFont"/>
    <w:uiPriority w:val="99"/>
    <w:unhideWhenUsed/>
    <w:rsid w:val="001E690D"/>
    <w:rPr>
      <w:color w:val="605E5C"/>
      <w:shd w:val="clear" w:color="auto" w:fill="E1DFDD"/>
    </w:rPr>
  </w:style>
  <w:style w:type="character" w:customStyle="1" w:styleId="editabletextcontent">
    <w:name w:val="editabletextcontent"/>
    <w:basedOn w:val="DefaultParagraphFont"/>
    <w:rsid w:val="00BD4F22"/>
  </w:style>
  <w:style w:type="character" w:customStyle="1" w:styleId="markedcontent">
    <w:name w:val="markedcontent"/>
    <w:basedOn w:val="DefaultParagraphFont"/>
    <w:rsid w:val="00BD4F22"/>
  </w:style>
  <w:style w:type="table" w:styleId="GridTable2">
    <w:name w:val="Grid Table 2"/>
    <w:basedOn w:val="TableNormal"/>
    <w:uiPriority w:val="47"/>
    <w:rsid w:val="005445A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D8321F"/>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D8321F"/>
  </w:style>
  <w:style w:type="character" w:customStyle="1" w:styleId="eop">
    <w:name w:val="eop"/>
    <w:basedOn w:val="DefaultParagraphFont"/>
    <w:rsid w:val="00D8321F"/>
  </w:style>
  <w:style w:type="character" w:styleId="Mention">
    <w:name w:val="Mention"/>
    <w:basedOn w:val="DefaultParagraphFont"/>
    <w:uiPriority w:val="99"/>
    <w:unhideWhenUsed/>
    <w:rsid w:val="00A40A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2520">
      <w:bodyDiv w:val="1"/>
      <w:marLeft w:val="0"/>
      <w:marRight w:val="0"/>
      <w:marTop w:val="0"/>
      <w:marBottom w:val="0"/>
      <w:divBdr>
        <w:top w:val="none" w:sz="0" w:space="0" w:color="auto"/>
        <w:left w:val="none" w:sz="0" w:space="0" w:color="auto"/>
        <w:bottom w:val="none" w:sz="0" w:space="0" w:color="auto"/>
        <w:right w:val="none" w:sz="0" w:space="0" w:color="auto"/>
      </w:divBdr>
      <w:divsChild>
        <w:div w:id="1085105563">
          <w:marLeft w:val="0"/>
          <w:marRight w:val="0"/>
          <w:marTop w:val="0"/>
          <w:marBottom w:val="0"/>
          <w:divBdr>
            <w:top w:val="none" w:sz="0" w:space="0" w:color="auto"/>
            <w:left w:val="none" w:sz="0" w:space="0" w:color="auto"/>
            <w:bottom w:val="none" w:sz="0" w:space="0" w:color="auto"/>
            <w:right w:val="none" w:sz="0" w:space="0" w:color="auto"/>
          </w:divBdr>
        </w:div>
      </w:divsChild>
    </w:div>
    <w:div w:id="79911378">
      <w:bodyDiv w:val="1"/>
      <w:marLeft w:val="0"/>
      <w:marRight w:val="0"/>
      <w:marTop w:val="0"/>
      <w:marBottom w:val="0"/>
      <w:divBdr>
        <w:top w:val="none" w:sz="0" w:space="0" w:color="auto"/>
        <w:left w:val="none" w:sz="0" w:space="0" w:color="auto"/>
        <w:bottom w:val="none" w:sz="0" w:space="0" w:color="auto"/>
        <w:right w:val="none" w:sz="0" w:space="0" w:color="auto"/>
      </w:divBdr>
      <w:divsChild>
        <w:div w:id="1277058408">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063068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57453192">
      <w:bodyDiv w:val="1"/>
      <w:marLeft w:val="0"/>
      <w:marRight w:val="0"/>
      <w:marTop w:val="0"/>
      <w:marBottom w:val="0"/>
      <w:divBdr>
        <w:top w:val="none" w:sz="0" w:space="0" w:color="auto"/>
        <w:left w:val="none" w:sz="0" w:space="0" w:color="auto"/>
        <w:bottom w:val="none" w:sz="0" w:space="0" w:color="auto"/>
        <w:right w:val="none" w:sz="0" w:space="0" w:color="auto"/>
      </w:divBdr>
    </w:div>
    <w:div w:id="69994052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5925257">
      <w:bodyDiv w:val="1"/>
      <w:marLeft w:val="0"/>
      <w:marRight w:val="0"/>
      <w:marTop w:val="0"/>
      <w:marBottom w:val="0"/>
      <w:divBdr>
        <w:top w:val="none" w:sz="0" w:space="0" w:color="auto"/>
        <w:left w:val="none" w:sz="0" w:space="0" w:color="auto"/>
        <w:bottom w:val="none" w:sz="0" w:space="0" w:color="auto"/>
        <w:right w:val="none" w:sz="0" w:space="0" w:color="auto"/>
      </w:divBdr>
      <w:divsChild>
        <w:div w:id="1576283697">
          <w:marLeft w:val="0"/>
          <w:marRight w:val="0"/>
          <w:marTop w:val="0"/>
          <w:marBottom w:val="0"/>
          <w:divBdr>
            <w:top w:val="none" w:sz="0" w:space="0" w:color="auto"/>
            <w:left w:val="none" w:sz="0" w:space="0" w:color="auto"/>
            <w:bottom w:val="none" w:sz="0" w:space="0" w:color="auto"/>
            <w:right w:val="none" w:sz="0" w:space="0" w:color="auto"/>
          </w:divBdr>
        </w:div>
      </w:divsChild>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29590242">
      <w:bodyDiv w:val="1"/>
      <w:marLeft w:val="0"/>
      <w:marRight w:val="0"/>
      <w:marTop w:val="0"/>
      <w:marBottom w:val="0"/>
      <w:divBdr>
        <w:top w:val="none" w:sz="0" w:space="0" w:color="auto"/>
        <w:left w:val="none" w:sz="0" w:space="0" w:color="auto"/>
        <w:bottom w:val="none" w:sz="0" w:space="0" w:color="auto"/>
        <w:right w:val="none" w:sz="0" w:space="0" w:color="auto"/>
      </w:divBdr>
    </w:div>
    <w:div w:id="1137795261">
      <w:bodyDiv w:val="1"/>
      <w:marLeft w:val="0"/>
      <w:marRight w:val="0"/>
      <w:marTop w:val="0"/>
      <w:marBottom w:val="0"/>
      <w:divBdr>
        <w:top w:val="none" w:sz="0" w:space="0" w:color="auto"/>
        <w:left w:val="none" w:sz="0" w:space="0" w:color="auto"/>
        <w:bottom w:val="none" w:sz="0" w:space="0" w:color="auto"/>
        <w:right w:val="none" w:sz="0" w:space="0" w:color="auto"/>
      </w:divBdr>
    </w:div>
    <w:div w:id="1144010490">
      <w:bodyDiv w:val="1"/>
      <w:marLeft w:val="0"/>
      <w:marRight w:val="0"/>
      <w:marTop w:val="0"/>
      <w:marBottom w:val="0"/>
      <w:divBdr>
        <w:top w:val="none" w:sz="0" w:space="0" w:color="auto"/>
        <w:left w:val="none" w:sz="0" w:space="0" w:color="auto"/>
        <w:bottom w:val="none" w:sz="0" w:space="0" w:color="auto"/>
        <w:right w:val="none" w:sz="0" w:space="0" w:color="auto"/>
      </w:divBdr>
    </w:div>
    <w:div w:id="1190684446">
      <w:bodyDiv w:val="1"/>
      <w:marLeft w:val="0"/>
      <w:marRight w:val="0"/>
      <w:marTop w:val="0"/>
      <w:marBottom w:val="0"/>
      <w:divBdr>
        <w:top w:val="none" w:sz="0" w:space="0" w:color="auto"/>
        <w:left w:val="none" w:sz="0" w:space="0" w:color="auto"/>
        <w:bottom w:val="none" w:sz="0" w:space="0" w:color="auto"/>
        <w:right w:val="none" w:sz="0" w:space="0" w:color="auto"/>
      </w:divBdr>
      <w:divsChild>
        <w:div w:id="1334189413">
          <w:marLeft w:val="0"/>
          <w:marRight w:val="0"/>
          <w:marTop w:val="0"/>
          <w:marBottom w:val="0"/>
          <w:divBdr>
            <w:top w:val="none" w:sz="0" w:space="0" w:color="auto"/>
            <w:left w:val="none" w:sz="0" w:space="0" w:color="auto"/>
            <w:bottom w:val="none" w:sz="0" w:space="0" w:color="auto"/>
            <w:right w:val="none" w:sz="0" w:space="0" w:color="auto"/>
          </w:divBdr>
        </w:div>
      </w:divsChild>
    </w:div>
    <w:div w:id="1287464372">
      <w:bodyDiv w:val="1"/>
      <w:marLeft w:val="0"/>
      <w:marRight w:val="0"/>
      <w:marTop w:val="0"/>
      <w:marBottom w:val="0"/>
      <w:divBdr>
        <w:top w:val="none" w:sz="0" w:space="0" w:color="auto"/>
        <w:left w:val="none" w:sz="0" w:space="0" w:color="auto"/>
        <w:bottom w:val="none" w:sz="0" w:space="0" w:color="auto"/>
        <w:right w:val="none" w:sz="0" w:space="0" w:color="auto"/>
      </w:divBdr>
      <w:divsChild>
        <w:div w:id="2142183595">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5100161">
      <w:bodyDiv w:val="1"/>
      <w:marLeft w:val="0"/>
      <w:marRight w:val="0"/>
      <w:marTop w:val="0"/>
      <w:marBottom w:val="0"/>
      <w:divBdr>
        <w:top w:val="none" w:sz="0" w:space="0" w:color="auto"/>
        <w:left w:val="none" w:sz="0" w:space="0" w:color="auto"/>
        <w:bottom w:val="none" w:sz="0" w:space="0" w:color="auto"/>
        <w:right w:val="none" w:sz="0" w:space="0" w:color="auto"/>
      </w:divBdr>
      <w:divsChild>
        <w:div w:id="548147717">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2059694">
      <w:bodyDiv w:val="1"/>
      <w:marLeft w:val="0"/>
      <w:marRight w:val="0"/>
      <w:marTop w:val="0"/>
      <w:marBottom w:val="0"/>
      <w:divBdr>
        <w:top w:val="none" w:sz="0" w:space="0" w:color="auto"/>
        <w:left w:val="none" w:sz="0" w:space="0" w:color="auto"/>
        <w:bottom w:val="none" w:sz="0" w:space="0" w:color="auto"/>
        <w:right w:val="none" w:sz="0" w:space="0" w:color="auto"/>
      </w:divBdr>
    </w:div>
    <w:div w:id="1726372411">
      <w:bodyDiv w:val="1"/>
      <w:marLeft w:val="0"/>
      <w:marRight w:val="0"/>
      <w:marTop w:val="0"/>
      <w:marBottom w:val="0"/>
      <w:divBdr>
        <w:top w:val="none" w:sz="0" w:space="0" w:color="auto"/>
        <w:left w:val="none" w:sz="0" w:space="0" w:color="auto"/>
        <w:bottom w:val="none" w:sz="0" w:space="0" w:color="auto"/>
        <w:right w:val="none" w:sz="0" w:space="0" w:color="auto"/>
      </w:divBdr>
    </w:div>
    <w:div w:id="1735662414">
      <w:bodyDiv w:val="1"/>
      <w:marLeft w:val="0"/>
      <w:marRight w:val="0"/>
      <w:marTop w:val="0"/>
      <w:marBottom w:val="0"/>
      <w:divBdr>
        <w:top w:val="none" w:sz="0" w:space="0" w:color="auto"/>
        <w:left w:val="none" w:sz="0" w:space="0" w:color="auto"/>
        <w:bottom w:val="none" w:sz="0" w:space="0" w:color="auto"/>
        <w:right w:val="none" w:sz="0" w:space="0" w:color="auto"/>
      </w:divBdr>
    </w:div>
    <w:div w:id="1739357125">
      <w:bodyDiv w:val="1"/>
      <w:marLeft w:val="0"/>
      <w:marRight w:val="0"/>
      <w:marTop w:val="0"/>
      <w:marBottom w:val="0"/>
      <w:divBdr>
        <w:top w:val="none" w:sz="0" w:space="0" w:color="auto"/>
        <w:left w:val="none" w:sz="0" w:space="0" w:color="auto"/>
        <w:bottom w:val="none" w:sz="0" w:space="0" w:color="auto"/>
        <w:right w:val="none" w:sz="0" w:space="0" w:color="auto"/>
      </w:divBdr>
      <w:divsChild>
        <w:div w:id="1354988926">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24271540">
      <w:bodyDiv w:val="1"/>
      <w:marLeft w:val="0"/>
      <w:marRight w:val="0"/>
      <w:marTop w:val="0"/>
      <w:marBottom w:val="0"/>
      <w:divBdr>
        <w:top w:val="none" w:sz="0" w:space="0" w:color="auto"/>
        <w:left w:val="none" w:sz="0" w:space="0" w:color="auto"/>
        <w:bottom w:val="none" w:sz="0" w:space="0" w:color="auto"/>
        <w:right w:val="none" w:sz="0" w:space="0" w:color="auto"/>
      </w:divBdr>
      <w:divsChild>
        <w:div w:id="626469176">
          <w:marLeft w:val="0"/>
          <w:marRight w:val="0"/>
          <w:marTop w:val="0"/>
          <w:marBottom w:val="0"/>
          <w:divBdr>
            <w:top w:val="none" w:sz="0" w:space="0" w:color="auto"/>
            <w:left w:val="none" w:sz="0" w:space="0" w:color="auto"/>
            <w:bottom w:val="none" w:sz="0" w:space="0" w:color="auto"/>
            <w:right w:val="none" w:sz="0" w:space="0" w:color="auto"/>
          </w:divBdr>
        </w:div>
        <w:div w:id="755060046">
          <w:marLeft w:val="0"/>
          <w:marRight w:val="0"/>
          <w:marTop w:val="0"/>
          <w:marBottom w:val="0"/>
          <w:divBdr>
            <w:top w:val="none" w:sz="0" w:space="0" w:color="auto"/>
            <w:left w:val="none" w:sz="0" w:space="0" w:color="auto"/>
            <w:bottom w:val="none" w:sz="0" w:space="0" w:color="auto"/>
            <w:right w:val="none" w:sz="0" w:space="0" w:color="auto"/>
          </w:divBdr>
        </w:div>
        <w:div w:id="1473601190">
          <w:marLeft w:val="0"/>
          <w:marRight w:val="0"/>
          <w:marTop w:val="0"/>
          <w:marBottom w:val="0"/>
          <w:divBdr>
            <w:top w:val="none" w:sz="0" w:space="0" w:color="auto"/>
            <w:left w:val="none" w:sz="0" w:space="0" w:color="auto"/>
            <w:bottom w:val="none" w:sz="0" w:space="0" w:color="auto"/>
            <w:right w:val="none" w:sz="0" w:space="0" w:color="auto"/>
          </w:divBdr>
        </w:div>
      </w:divsChild>
    </w:div>
    <w:div w:id="1843084722">
      <w:bodyDiv w:val="1"/>
      <w:marLeft w:val="0"/>
      <w:marRight w:val="0"/>
      <w:marTop w:val="0"/>
      <w:marBottom w:val="0"/>
      <w:divBdr>
        <w:top w:val="none" w:sz="0" w:space="0" w:color="auto"/>
        <w:left w:val="none" w:sz="0" w:space="0" w:color="auto"/>
        <w:bottom w:val="none" w:sz="0" w:space="0" w:color="auto"/>
        <w:right w:val="none" w:sz="0" w:space="0" w:color="auto"/>
      </w:divBdr>
    </w:div>
    <w:div w:id="188771923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4868228">
      <w:bodyDiv w:val="1"/>
      <w:marLeft w:val="0"/>
      <w:marRight w:val="0"/>
      <w:marTop w:val="0"/>
      <w:marBottom w:val="0"/>
      <w:divBdr>
        <w:top w:val="none" w:sz="0" w:space="0" w:color="auto"/>
        <w:left w:val="none" w:sz="0" w:space="0" w:color="auto"/>
        <w:bottom w:val="none" w:sz="0" w:space="0" w:color="auto"/>
        <w:right w:val="none" w:sz="0" w:space="0" w:color="auto"/>
      </w:divBdr>
      <w:divsChild>
        <w:div w:id="1530021506">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rch.org.au/uploadedFiles/Main/Content/clinicalguide/guideline_index/RCH-COVID-clinical-management-guidelines-package.pdf" TargetMode="External"/><Relationship Id="rId26" Type="http://schemas.openxmlformats.org/officeDocument/2006/relationships/hyperlink" Target="https://covid19evidence.net.au/" TargetMode="External"/><Relationship Id="rId39" Type="http://schemas.openxmlformats.org/officeDocument/2006/relationships/image" Target="media/image4.jpg"/><Relationship Id="rId21" Type="http://schemas.openxmlformats.org/officeDocument/2006/relationships/hyperlink" Target="https://www.pbs.gov.au/medicine/item/12996B" TargetMode="External"/><Relationship Id="rId34" Type="http://schemas.openxmlformats.org/officeDocument/2006/relationships/hyperlink" Target="https://www.tga.gov.au/sites/default/files/paxlovid-pi.pdf" TargetMode="External"/><Relationship Id="rId42" Type="http://schemas.openxmlformats.org/officeDocument/2006/relationships/hyperlink" Target="https://www.tga.gov.au/sites/default/files/auspar-remdesivir-200720-pi.pdf" TargetMode="External"/><Relationship Id="rId47" Type="http://schemas.openxmlformats.org/officeDocument/2006/relationships/hyperlink" Target="https://app.magicapp.org/" TargetMode="External"/><Relationship Id="rId50" Type="http://schemas.openxmlformats.org/officeDocument/2006/relationships/hyperlink" Target="https://www.pbs.gov.au/medicine/item/12996B" TargetMode="External"/><Relationship Id="rId55" Type="http://schemas.openxmlformats.org/officeDocument/2006/relationships/hyperlink" Target="mailto:RMH-COVIDInfusionReferral@mh.org.au" TargetMode="External"/><Relationship Id="rId63" Type="http://schemas.openxmlformats.org/officeDocument/2006/relationships/hyperlink" Target="mailto:COVIDMonitoring@gvhealth.org.au" TargetMode="External"/><Relationship Id="rId68" Type="http://schemas.openxmlformats.org/officeDocument/2006/relationships/hyperlink" Target="https://www.health.gov.au/sites/default/files/documents/2019/12/modified-monash-model-mmm-suburb-and-locality-classification-home-care-subsidy-modified-monash-model-suburb-and-locality-classification-home-care-subsidy_0.pdf"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covid19-druginteraction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pbs.gov.au/medicine/item/12910L" TargetMode="External"/><Relationship Id="rId32" Type="http://schemas.openxmlformats.org/officeDocument/2006/relationships/hyperlink" Target="https://app.magicapp.org/" TargetMode="External"/><Relationship Id="rId37" Type="http://schemas.openxmlformats.org/officeDocument/2006/relationships/hyperlink" Target="https://www.clinicians.vic.gov.au/" TargetMode="External"/><Relationship Id="rId40" Type="http://schemas.openxmlformats.org/officeDocument/2006/relationships/hyperlink" Target="https://www.rch.org.au/uploadedFiles/Main/Content/clinicalguide/guideline_index/RCH-COVID-clinical-management-guidelines-package.pdf" TargetMode="External"/><Relationship Id="rId45" Type="http://schemas.openxmlformats.org/officeDocument/2006/relationships/hyperlink" Target="https://www.tga.gov.au/sites/default/files/lagevrio-pi.pdf" TargetMode="External"/><Relationship Id="rId53" Type="http://schemas.openxmlformats.org/officeDocument/2006/relationships/hyperlink" Target="https://monashhealth.org/patients-visitors/coronavirus/satellite-clinic/" TargetMode="External"/><Relationship Id="rId58" Type="http://schemas.openxmlformats.org/officeDocument/2006/relationships/hyperlink" Target="mailto:hith@basscoasthealth.org.au" TargetMode="External"/><Relationship Id="rId66" Type="http://schemas.openxmlformats.org/officeDocument/2006/relationships/hyperlink" Target="https://www.health.gov.au/news/atagi-statement-on-defining-up-to-date-status-for-covid-19-vaccination"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pbs.gov.au/medicine/item/12910L" TargetMode="External"/><Relationship Id="rId28" Type="http://schemas.openxmlformats.org/officeDocument/2006/relationships/image" Target="media/image3.jpg"/><Relationship Id="rId36" Type="http://schemas.openxmlformats.org/officeDocument/2006/relationships/footer" Target="footer4.xml"/><Relationship Id="rId49" Type="http://schemas.openxmlformats.org/officeDocument/2006/relationships/hyperlink" Target="https://www.ebs.tga.gov.au/ebs/picmi/picmirepository.nsf/pdf?OpenAgent&amp;id=CP-2021-CMI-01897-1" TargetMode="External"/><Relationship Id="rId57" Type="http://schemas.openxmlformats.org/officeDocument/2006/relationships/hyperlink" Target="mailto:C19casemonitoring@lrh.com.au" TargetMode="External"/><Relationship Id="rId61" Type="http://schemas.openxmlformats.org/officeDocument/2006/relationships/hyperlink" Target="mailto:covidpositivepathway@bendigohealth.org.au" TargetMode="External"/><Relationship Id="rId10" Type="http://schemas.openxmlformats.org/officeDocument/2006/relationships/endnotes" Target="endnotes.xml"/><Relationship Id="rId19" Type="http://schemas.openxmlformats.org/officeDocument/2006/relationships/hyperlink" Target="https://www.health.vic.gov.au/request-to-access-covid-19-medications" TargetMode="External"/><Relationship Id="rId31" Type="http://schemas.openxmlformats.org/officeDocument/2006/relationships/hyperlink" Target="https://app.magicapp.org/" TargetMode="External"/><Relationship Id="rId44" Type="http://schemas.openxmlformats.org/officeDocument/2006/relationships/hyperlink" Target="https://app.magicapp.org/" TargetMode="External"/><Relationship Id="rId52" Type="http://schemas.openxmlformats.org/officeDocument/2006/relationships/hyperlink" Target="mailto:HITHCOVIDTherapies.svhm@svha.org.au" TargetMode="External"/><Relationship Id="rId60" Type="http://schemas.openxmlformats.org/officeDocument/2006/relationships/hyperlink" Target="mailto:covid.home@brhs.com.au" TargetMode="External"/><Relationship Id="rId65" Type="http://schemas.openxmlformats.org/officeDocument/2006/relationships/hyperlink" Target="https://www.rch.org.au/uploadedFiles/Main/Content/clinicalguide/guideline_index/RCH-COVID-clinical-management-guidelines-packag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pbs.gov.au/medicine/item/12996B" TargetMode="External"/><Relationship Id="rId27" Type="http://schemas.openxmlformats.org/officeDocument/2006/relationships/hyperlink" Target="https://covid19evidence.net.au/wp-content/uploads/DECISION-TOOL-DT-FOR-ADULTS.pdf" TargetMode="External"/><Relationship Id="rId30" Type="http://schemas.openxmlformats.org/officeDocument/2006/relationships/hyperlink" Target="https://www.covid19-druginteractions.org/prescribing_resources/paxlovid-crushing-tablets" TargetMode="External"/><Relationship Id="rId35" Type="http://schemas.openxmlformats.org/officeDocument/2006/relationships/hyperlink" Target="https://www.ebs.tga.gov.au/ebs/picmi/picmirepository.nsf/pdf?OpenAgent&amp;id=CP-2022-CMI-01050-1" TargetMode="External"/><Relationship Id="rId43" Type="http://schemas.openxmlformats.org/officeDocument/2006/relationships/hyperlink" Target="https://www.ebs.tga.gov.au/ebs/picmi/picmirepository.nsf/pdf?OpenAgent&amp;id=CP-2020-CMI-01929-1" TargetMode="External"/><Relationship Id="rId48" Type="http://schemas.openxmlformats.org/officeDocument/2006/relationships/hyperlink" Target="https://www.ebs.tga.gov.au/ebs/picmi/picmirepository.nsf/pdf?OpenAgent&amp;id=CP-2010-PI-04678-3" TargetMode="External"/><Relationship Id="rId56" Type="http://schemas.openxmlformats.org/officeDocument/2006/relationships/hyperlink" Target="mailto:covidnotification@mercy.com.au" TargetMode="External"/><Relationship Id="rId64" Type="http://schemas.openxmlformats.org/officeDocument/2006/relationships/hyperlink" Target="mailto:covid19consult@awh.org.au" TargetMode="External"/><Relationship Id="rId69" Type="http://schemas.openxmlformats.org/officeDocument/2006/relationships/hyperlink" Target="mailto:covid+pathways@health.vic.gov.au" TargetMode="External"/><Relationship Id="rId8" Type="http://schemas.openxmlformats.org/officeDocument/2006/relationships/webSettings" Target="webSettings.xml"/><Relationship Id="rId51" Type="http://schemas.openxmlformats.org/officeDocument/2006/relationships/hyperlink" Target="https://www.pbs.gov.au/medicine/item/12910L"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jpg"/><Relationship Id="rId25" Type="http://schemas.openxmlformats.org/officeDocument/2006/relationships/hyperlink" Target="https://covid19evidence.net.au/" TargetMode="External"/><Relationship Id="rId33" Type="http://schemas.openxmlformats.org/officeDocument/2006/relationships/hyperlink" Target="https://www.idsociety.org/globalassets/idsa/practice-guidelines/covid-19/treatment/idsa-paxlovid-drug-interactions-resource-5-6-22-v1.1.pdf" TargetMode="External"/><Relationship Id="rId38" Type="http://schemas.openxmlformats.org/officeDocument/2006/relationships/hyperlink" Target="https://www.covid19-druginteractions.org/prescribing_resources/paxlovid-patient-assessment" TargetMode="External"/><Relationship Id="rId46" Type="http://schemas.openxmlformats.org/officeDocument/2006/relationships/hyperlink" Target="https://www.ebs.tga.gov.au/ebs/picmi/picmirepository.nsf/pdf?OpenAgent&amp;id=CP-2022-CMI-01048-1" TargetMode="External"/><Relationship Id="rId59" Type="http://schemas.openxmlformats.org/officeDocument/2006/relationships/hyperlink" Target="mailto:surgical.unit@cghs.com.au" TargetMode="External"/><Relationship Id="rId67" Type="http://schemas.openxmlformats.org/officeDocument/2006/relationships/hyperlink" Target="https://www.health.gov.au/news/atagi-updated-recommendations-for-a-winter-dose-of-covid-19-vaccine" TargetMode="External"/><Relationship Id="rId20" Type="http://schemas.openxmlformats.org/officeDocument/2006/relationships/header" Target="header4.xml"/><Relationship Id="rId41" Type="http://schemas.openxmlformats.org/officeDocument/2006/relationships/hyperlink" Target="https://app.magicapp.org/" TargetMode="External"/><Relationship Id="rId54" Type="http://schemas.openxmlformats.org/officeDocument/2006/relationships/hyperlink" Target="mailto:CCPclinical@alfred.org.au" TargetMode="External"/><Relationship Id="rId62" Type="http://schemas.openxmlformats.org/officeDocument/2006/relationships/hyperlink" Target="mailto:covid.daystay@barwonhealth.org.au" TargetMode="External"/><Relationship Id="rId70" Type="http://schemas.openxmlformats.org/officeDocument/2006/relationships/hyperlink" Target="https://www.health.vic.gov.au/covid-19/vaccines-and-medications-in-patients-with-covid-1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283bbd-cbd3-4545-9aa6-8cdecb1b4ebf">
      <Terms xmlns="http://schemas.microsoft.com/office/infopath/2007/PartnerControls"/>
    </lcf76f155ced4ddcb4097134ff3c332f>
    <TaxCatchAll xmlns="5ce0f2b5-5be5-4508-bce9-d7011ece06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B4EBACB09F7943AE9007C90CB29198" ma:contentTypeVersion="15" ma:contentTypeDescription="Create a new document." ma:contentTypeScope="" ma:versionID="d6a51fbc0c17d12606c217ac51488870">
  <xsd:schema xmlns:xsd="http://www.w3.org/2001/XMLSchema" xmlns:xs="http://www.w3.org/2001/XMLSchema" xmlns:p="http://schemas.microsoft.com/office/2006/metadata/properties" xmlns:ns2="44283bbd-cbd3-4545-9aa6-8cdecb1b4ebf" xmlns:ns3="22b2a996-90f2-4093-9cfd-0e684e15c3cd" xmlns:ns4="5ce0f2b5-5be5-4508-bce9-d7011ece0659" targetNamespace="http://schemas.microsoft.com/office/2006/metadata/properties" ma:root="true" ma:fieldsID="65f942ab50e9f40ad907faee84e3ce05" ns2:_="" ns3:_="" ns4:_="">
    <xsd:import namespace="44283bbd-cbd3-4545-9aa6-8cdecb1b4ebf"/>
    <xsd:import namespace="22b2a996-90f2-4093-9cfd-0e684e15c3c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83bbd-cbd3-4545-9aa6-8cdecb1b4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b2a996-90f2-4093-9cfd-0e684e15c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8370d11-a2c6-4beb-a0d5-6dd299c55968}" ma:internalName="TaxCatchAll" ma:showField="CatchAllData" ma:web="22b2a996-90f2-4093-9cfd-0e684e15c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95E61-FEFA-4F4F-9E99-090F7B188259}">
  <ds:schemaRefs>
    <ds:schemaRef ds:uri="http://schemas.microsoft.com/office/2006/metadata/properties"/>
    <ds:schemaRef ds:uri="http://schemas.microsoft.com/office/infopath/2007/PartnerControls"/>
    <ds:schemaRef ds:uri="44283bbd-cbd3-4545-9aa6-8cdecb1b4ebf"/>
    <ds:schemaRef ds:uri="5ce0f2b5-5be5-4508-bce9-d7011ece0659"/>
  </ds:schemaRefs>
</ds:datastoreItem>
</file>

<file path=customXml/itemProps2.xml><?xml version="1.0" encoding="utf-8"?>
<ds:datastoreItem xmlns:ds="http://schemas.openxmlformats.org/officeDocument/2006/customXml" ds:itemID="{F2F7330E-E2BB-4697-9CDB-8ACB98EF131A}">
  <ds:schemaRefs>
    <ds:schemaRef ds:uri="http://schemas.microsoft.com/sharepoint/v3/contenttype/forms"/>
  </ds:schemaRefs>
</ds:datastoreItem>
</file>

<file path=customXml/itemProps3.xml><?xml version="1.0" encoding="utf-8"?>
<ds:datastoreItem xmlns:ds="http://schemas.openxmlformats.org/officeDocument/2006/customXml" ds:itemID="{01A9DD4D-7843-4BD4-8095-B365EC8A5610}">
  <ds:schemaRefs>
    <ds:schemaRef ds:uri="http://schemas.openxmlformats.org/officeDocument/2006/bibliography"/>
  </ds:schemaRefs>
</ds:datastoreItem>
</file>

<file path=customXml/itemProps4.xml><?xml version="1.0" encoding="utf-8"?>
<ds:datastoreItem xmlns:ds="http://schemas.openxmlformats.org/officeDocument/2006/customXml" ds:itemID="{C64FE206-C41F-400B-A367-60A585EE0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83bbd-cbd3-4545-9aa6-8cdecb1b4ebf"/>
    <ds:schemaRef ds:uri="22b2a996-90f2-4093-9cfd-0e684e15c3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3952</Words>
  <Characters>22530</Characters>
  <Application>Microsoft Office Word</Application>
  <DocSecurity>0</DocSecurity>
  <Lines>187</Lines>
  <Paragraphs>52</Paragraphs>
  <ScaleCrop>false</ScaleCrop>
  <Manager/>
  <Company/>
  <LinksUpToDate>false</LinksUpToDate>
  <CharactersWithSpaces>26430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medications for at risk people who do not require oxygen</dc:title>
  <dc:subject/>
  <dc:creator/>
  <cp:keywords/>
  <dc:description/>
  <cp:lastModifiedBy/>
  <cp:revision>1</cp:revision>
  <dcterms:created xsi:type="dcterms:W3CDTF">2022-11-16T10:35:00Z</dcterms:created>
  <dcterms:modified xsi:type="dcterms:W3CDTF">2022-11-16T10:35:00Z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0x0101004AB4EBACB09F7943AE9007C90CB29198</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2022-11-16T10:35:03Z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baf884d2-e359-4dd6-8054-970f56a59ce9</vt:lpwstr>
  </property>
  <property fmtid="{D5CDD505-2E9C-101B-9397-08002B2CF9AE}" pid="10" name="MSIP_Label_43e64453-338c-4f93-8a4d-0039a0a41f2a_ContentBits">
    <vt:lpwstr>2</vt:lpwstr>
  </property>
</Properties>
</file>