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E1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538B135" w14:textId="77777777" w:rsidTr="00B07FF7">
        <w:trPr>
          <w:trHeight w:val="622"/>
        </w:trPr>
        <w:tc>
          <w:tcPr>
            <w:tcW w:w="10348" w:type="dxa"/>
            <w:tcMar>
              <w:top w:w="1531" w:type="dxa"/>
              <w:left w:w="0" w:type="dxa"/>
              <w:right w:w="0" w:type="dxa"/>
            </w:tcMar>
          </w:tcPr>
          <w:p w14:paraId="2E771887" w14:textId="74227531" w:rsidR="00DB0536" w:rsidRDefault="00C161EC" w:rsidP="003B5733">
            <w:pPr>
              <w:pStyle w:val="Documenttitle"/>
            </w:pPr>
            <w:r>
              <w:t>Deceased Clients – Legal Status and Case Closure in CMI/ODS</w:t>
            </w:r>
          </w:p>
          <w:p w14:paraId="4AEF9BCC" w14:textId="68F6D3C2" w:rsidR="003B5733" w:rsidRPr="003B5733" w:rsidRDefault="003B5733" w:rsidP="00C161EC">
            <w:pPr>
              <w:pStyle w:val="Body"/>
            </w:pPr>
          </w:p>
        </w:tc>
      </w:tr>
      <w:tr w:rsidR="003B5733" w14:paraId="6BEFF6E1" w14:textId="77777777" w:rsidTr="00B07FF7">
        <w:tc>
          <w:tcPr>
            <w:tcW w:w="10348" w:type="dxa"/>
          </w:tcPr>
          <w:p w14:paraId="4AF31EC3" w14:textId="1665169F" w:rsidR="003B5733" w:rsidRPr="00A1389F" w:rsidRDefault="00C900B1" w:rsidP="005F44C0">
            <w:pPr>
              <w:pStyle w:val="Documentsubtitle"/>
            </w:pPr>
            <w:r>
              <w:t>Program Management Circular</w:t>
            </w:r>
          </w:p>
        </w:tc>
      </w:tr>
      <w:tr w:rsidR="003B5733" w14:paraId="590F5644" w14:textId="77777777" w:rsidTr="00B07FF7">
        <w:tc>
          <w:tcPr>
            <w:tcW w:w="10348" w:type="dxa"/>
          </w:tcPr>
          <w:p w14:paraId="6FDEFFFC" w14:textId="77777777" w:rsidR="003B5733" w:rsidRPr="001E5058" w:rsidRDefault="00F14ABF" w:rsidP="001E5058">
            <w:pPr>
              <w:pStyle w:val="Bannermarking"/>
            </w:pPr>
            <w:fldSimple w:instr=" FILLIN  &quot;Type the protective marking&quot; \d OFFICIAL \o  \* MERGEFORMAT ">
              <w:r w:rsidR="00C900B1">
                <w:t>OFFICIAL</w:t>
              </w:r>
            </w:fldSimple>
          </w:p>
        </w:tc>
      </w:tr>
    </w:tbl>
    <w:p w14:paraId="462131EC" w14:textId="0EDB40B7" w:rsidR="007173CA" w:rsidRDefault="007173CA" w:rsidP="00D079AA">
      <w:pPr>
        <w:pStyle w:val="Body"/>
      </w:pPr>
    </w:p>
    <w:p w14:paraId="6B684611" w14:textId="6DD1515F" w:rsidR="00DB0536" w:rsidRDefault="00DB0536" w:rsidP="00DB0536">
      <w:pPr>
        <w:pStyle w:val="Heading3"/>
      </w:pPr>
      <w:r>
        <w:t>Contents</w:t>
      </w:r>
    </w:p>
    <w:p w14:paraId="66FDE50A" w14:textId="2E87A00B" w:rsidR="00C161EC" w:rsidRDefault="00DB0536">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12658305" w:history="1">
        <w:r w:rsidR="00C161EC" w:rsidRPr="00D1510D">
          <w:rPr>
            <w:rStyle w:val="Hyperlink"/>
          </w:rPr>
          <w:t>Key Message</w:t>
        </w:r>
        <w:r w:rsidR="00C161EC">
          <w:rPr>
            <w:webHidden/>
          </w:rPr>
          <w:tab/>
        </w:r>
        <w:r w:rsidR="00C161EC">
          <w:rPr>
            <w:webHidden/>
          </w:rPr>
          <w:fldChar w:fldCharType="begin"/>
        </w:r>
        <w:r w:rsidR="00C161EC">
          <w:rPr>
            <w:webHidden/>
          </w:rPr>
          <w:instrText xml:space="preserve"> PAGEREF _Toc112658305 \h </w:instrText>
        </w:r>
        <w:r w:rsidR="00C161EC">
          <w:rPr>
            <w:webHidden/>
          </w:rPr>
        </w:r>
        <w:r w:rsidR="00C161EC">
          <w:rPr>
            <w:webHidden/>
          </w:rPr>
          <w:fldChar w:fldCharType="separate"/>
        </w:r>
        <w:r w:rsidR="00C161EC">
          <w:rPr>
            <w:webHidden/>
          </w:rPr>
          <w:t>1</w:t>
        </w:r>
        <w:r w:rsidR="00C161EC">
          <w:rPr>
            <w:webHidden/>
          </w:rPr>
          <w:fldChar w:fldCharType="end"/>
        </w:r>
      </w:hyperlink>
    </w:p>
    <w:p w14:paraId="35489184" w14:textId="2F3080B6" w:rsidR="00C161EC" w:rsidRDefault="00DD0467">
      <w:pPr>
        <w:pStyle w:val="TOC1"/>
        <w:rPr>
          <w:rFonts w:asciiTheme="minorHAnsi" w:eastAsiaTheme="minorEastAsia" w:hAnsiTheme="minorHAnsi" w:cstheme="minorBidi"/>
          <w:b w:val="0"/>
          <w:sz w:val="22"/>
          <w:szCs w:val="22"/>
          <w:lang w:eastAsia="en-AU"/>
        </w:rPr>
      </w:pPr>
      <w:hyperlink w:anchor="_Toc112658306" w:history="1">
        <w:r w:rsidR="00C161EC" w:rsidRPr="00D1510D">
          <w:rPr>
            <w:rStyle w:val="Hyperlink"/>
          </w:rPr>
          <w:t>Purpose</w:t>
        </w:r>
        <w:r w:rsidR="00C161EC">
          <w:rPr>
            <w:webHidden/>
          </w:rPr>
          <w:tab/>
        </w:r>
        <w:r w:rsidR="00C161EC">
          <w:rPr>
            <w:webHidden/>
          </w:rPr>
          <w:fldChar w:fldCharType="begin"/>
        </w:r>
        <w:r w:rsidR="00C161EC">
          <w:rPr>
            <w:webHidden/>
          </w:rPr>
          <w:instrText xml:space="preserve"> PAGEREF _Toc112658306 \h </w:instrText>
        </w:r>
        <w:r w:rsidR="00C161EC">
          <w:rPr>
            <w:webHidden/>
          </w:rPr>
        </w:r>
        <w:r w:rsidR="00C161EC">
          <w:rPr>
            <w:webHidden/>
          </w:rPr>
          <w:fldChar w:fldCharType="separate"/>
        </w:r>
        <w:r w:rsidR="00C161EC">
          <w:rPr>
            <w:webHidden/>
          </w:rPr>
          <w:t>1</w:t>
        </w:r>
        <w:r w:rsidR="00C161EC">
          <w:rPr>
            <w:webHidden/>
          </w:rPr>
          <w:fldChar w:fldCharType="end"/>
        </w:r>
      </w:hyperlink>
    </w:p>
    <w:p w14:paraId="3C034979" w14:textId="47664662" w:rsidR="00C161EC" w:rsidRDefault="00DD0467">
      <w:pPr>
        <w:pStyle w:val="TOC1"/>
        <w:rPr>
          <w:rFonts w:asciiTheme="minorHAnsi" w:eastAsiaTheme="minorEastAsia" w:hAnsiTheme="minorHAnsi" w:cstheme="minorBidi"/>
          <w:b w:val="0"/>
          <w:sz w:val="22"/>
          <w:szCs w:val="22"/>
          <w:lang w:eastAsia="en-AU"/>
        </w:rPr>
      </w:pPr>
      <w:hyperlink w:anchor="_Toc112658307" w:history="1">
        <w:r w:rsidR="00C161EC" w:rsidRPr="00D1510D">
          <w:rPr>
            <w:rStyle w:val="Hyperlink"/>
          </w:rPr>
          <w:t>Background</w:t>
        </w:r>
        <w:r w:rsidR="00C161EC">
          <w:rPr>
            <w:webHidden/>
          </w:rPr>
          <w:tab/>
        </w:r>
        <w:r w:rsidR="00C161EC">
          <w:rPr>
            <w:webHidden/>
          </w:rPr>
          <w:fldChar w:fldCharType="begin"/>
        </w:r>
        <w:r w:rsidR="00C161EC">
          <w:rPr>
            <w:webHidden/>
          </w:rPr>
          <w:instrText xml:space="preserve"> PAGEREF _Toc112658307 \h </w:instrText>
        </w:r>
        <w:r w:rsidR="00C161EC">
          <w:rPr>
            <w:webHidden/>
          </w:rPr>
        </w:r>
        <w:r w:rsidR="00C161EC">
          <w:rPr>
            <w:webHidden/>
          </w:rPr>
          <w:fldChar w:fldCharType="separate"/>
        </w:r>
        <w:r w:rsidR="00C161EC">
          <w:rPr>
            <w:webHidden/>
          </w:rPr>
          <w:t>2</w:t>
        </w:r>
        <w:r w:rsidR="00C161EC">
          <w:rPr>
            <w:webHidden/>
          </w:rPr>
          <w:fldChar w:fldCharType="end"/>
        </w:r>
      </w:hyperlink>
    </w:p>
    <w:p w14:paraId="65267C99" w14:textId="3D33D031" w:rsidR="00C161EC" w:rsidRDefault="00DD0467">
      <w:pPr>
        <w:pStyle w:val="TOC1"/>
        <w:rPr>
          <w:rFonts w:asciiTheme="minorHAnsi" w:eastAsiaTheme="minorEastAsia" w:hAnsiTheme="minorHAnsi" w:cstheme="minorBidi"/>
          <w:b w:val="0"/>
          <w:sz w:val="22"/>
          <w:szCs w:val="22"/>
          <w:lang w:eastAsia="en-AU"/>
        </w:rPr>
      </w:pPr>
      <w:hyperlink w:anchor="_Toc112658308" w:history="1">
        <w:r w:rsidR="00C161EC" w:rsidRPr="00D1510D">
          <w:rPr>
            <w:rStyle w:val="Hyperlink"/>
          </w:rPr>
          <w:t>CMI/ODS Organisational Structure</w:t>
        </w:r>
        <w:r w:rsidR="00C161EC">
          <w:rPr>
            <w:webHidden/>
          </w:rPr>
          <w:tab/>
        </w:r>
        <w:r w:rsidR="00C161EC">
          <w:rPr>
            <w:webHidden/>
          </w:rPr>
          <w:fldChar w:fldCharType="begin"/>
        </w:r>
        <w:r w:rsidR="00C161EC">
          <w:rPr>
            <w:webHidden/>
          </w:rPr>
          <w:instrText xml:space="preserve"> PAGEREF _Toc112658308 \h </w:instrText>
        </w:r>
        <w:r w:rsidR="00C161EC">
          <w:rPr>
            <w:webHidden/>
          </w:rPr>
        </w:r>
        <w:r w:rsidR="00C161EC">
          <w:rPr>
            <w:webHidden/>
          </w:rPr>
          <w:fldChar w:fldCharType="separate"/>
        </w:r>
        <w:r w:rsidR="00C161EC">
          <w:rPr>
            <w:webHidden/>
          </w:rPr>
          <w:t>2</w:t>
        </w:r>
        <w:r w:rsidR="00C161EC">
          <w:rPr>
            <w:webHidden/>
          </w:rPr>
          <w:fldChar w:fldCharType="end"/>
        </w:r>
      </w:hyperlink>
    </w:p>
    <w:p w14:paraId="1086EB07" w14:textId="0B47CECF" w:rsidR="00C161EC" w:rsidRDefault="00DD0467">
      <w:pPr>
        <w:pStyle w:val="TOC1"/>
        <w:rPr>
          <w:rFonts w:asciiTheme="minorHAnsi" w:eastAsiaTheme="minorEastAsia" w:hAnsiTheme="minorHAnsi" w:cstheme="minorBidi"/>
          <w:b w:val="0"/>
          <w:sz w:val="22"/>
          <w:szCs w:val="22"/>
          <w:lang w:eastAsia="en-AU"/>
        </w:rPr>
      </w:pPr>
      <w:hyperlink w:anchor="_Toc112658309" w:history="1">
        <w:r w:rsidR="00C161EC" w:rsidRPr="00D1510D">
          <w:rPr>
            <w:rStyle w:val="Hyperlink"/>
          </w:rPr>
          <w:t>Process</w:t>
        </w:r>
        <w:r w:rsidR="00C161EC">
          <w:rPr>
            <w:webHidden/>
          </w:rPr>
          <w:tab/>
        </w:r>
        <w:r w:rsidR="00C161EC">
          <w:rPr>
            <w:webHidden/>
          </w:rPr>
          <w:fldChar w:fldCharType="begin"/>
        </w:r>
        <w:r w:rsidR="00C161EC">
          <w:rPr>
            <w:webHidden/>
          </w:rPr>
          <w:instrText xml:space="preserve"> PAGEREF _Toc112658309 \h </w:instrText>
        </w:r>
        <w:r w:rsidR="00C161EC">
          <w:rPr>
            <w:webHidden/>
          </w:rPr>
        </w:r>
        <w:r w:rsidR="00C161EC">
          <w:rPr>
            <w:webHidden/>
          </w:rPr>
          <w:fldChar w:fldCharType="separate"/>
        </w:r>
        <w:r w:rsidR="00C161EC">
          <w:rPr>
            <w:webHidden/>
          </w:rPr>
          <w:t>2</w:t>
        </w:r>
        <w:r w:rsidR="00C161EC">
          <w:rPr>
            <w:webHidden/>
          </w:rPr>
          <w:fldChar w:fldCharType="end"/>
        </w:r>
      </w:hyperlink>
    </w:p>
    <w:p w14:paraId="22F31F2C" w14:textId="28F2176B" w:rsidR="00C161EC" w:rsidRDefault="00DD0467">
      <w:pPr>
        <w:pStyle w:val="TOC1"/>
        <w:rPr>
          <w:rFonts w:asciiTheme="minorHAnsi" w:eastAsiaTheme="minorEastAsia" w:hAnsiTheme="minorHAnsi" w:cstheme="minorBidi"/>
          <w:b w:val="0"/>
          <w:sz w:val="22"/>
          <w:szCs w:val="22"/>
          <w:lang w:eastAsia="en-AU"/>
        </w:rPr>
      </w:pPr>
      <w:hyperlink w:anchor="_Toc112658310" w:history="1">
        <w:r w:rsidR="00C161EC" w:rsidRPr="00D1510D">
          <w:rPr>
            <w:rStyle w:val="Hyperlink"/>
          </w:rPr>
          <w:t>About Management Circulars</w:t>
        </w:r>
        <w:r w:rsidR="00C161EC">
          <w:rPr>
            <w:webHidden/>
          </w:rPr>
          <w:tab/>
        </w:r>
        <w:r w:rsidR="00C161EC">
          <w:rPr>
            <w:webHidden/>
          </w:rPr>
          <w:fldChar w:fldCharType="begin"/>
        </w:r>
        <w:r w:rsidR="00C161EC">
          <w:rPr>
            <w:webHidden/>
          </w:rPr>
          <w:instrText xml:space="preserve"> PAGEREF _Toc112658310 \h </w:instrText>
        </w:r>
        <w:r w:rsidR="00C161EC">
          <w:rPr>
            <w:webHidden/>
          </w:rPr>
        </w:r>
        <w:r w:rsidR="00C161EC">
          <w:rPr>
            <w:webHidden/>
          </w:rPr>
          <w:fldChar w:fldCharType="separate"/>
        </w:r>
        <w:r w:rsidR="00C161EC">
          <w:rPr>
            <w:webHidden/>
          </w:rPr>
          <w:t>3</w:t>
        </w:r>
        <w:r w:rsidR="00C161EC">
          <w:rPr>
            <w:webHidden/>
          </w:rPr>
          <w:fldChar w:fldCharType="end"/>
        </w:r>
      </w:hyperlink>
    </w:p>
    <w:p w14:paraId="0C4E6FFF" w14:textId="11262586" w:rsidR="00DB0536" w:rsidRDefault="00DB0536" w:rsidP="00D079AA">
      <w:pPr>
        <w:pStyle w:val="Body"/>
      </w:pPr>
      <w:r>
        <w:fldChar w:fldCharType="end"/>
      </w:r>
    </w:p>
    <w:p w14:paraId="7F7A4EE2" w14:textId="08A27430" w:rsidR="00C161EC" w:rsidRDefault="00C161EC" w:rsidP="00D079AA">
      <w:pPr>
        <w:pStyle w:val="Body"/>
      </w:pPr>
    </w:p>
    <w:p w14:paraId="5B50095D" w14:textId="77777777" w:rsidR="00C161EC" w:rsidRDefault="00C161EC" w:rsidP="00D079AA">
      <w:pPr>
        <w:pStyle w:val="Body"/>
      </w:pPr>
    </w:p>
    <w:p w14:paraId="705E5ED0" w14:textId="77777777" w:rsidR="00580394" w:rsidRDefault="00580394" w:rsidP="007173CA">
      <w:pPr>
        <w:pStyle w:val="Body"/>
      </w:pPr>
    </w:p>
    <w:p w14:paraId="0285003B" w14:textId="4374BC08" w:rsidR="00936154" w:rsidRPr="00B519CD" w:rsidRDefault="00936154" w:rsidP="007173CA">
      <w:pPr>
        <w:pStyle w:val="Body"/>
        <w:sectPr w:rsidR="0093615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5887200" w14:textId="15B2F9A8" w:rsidR="00C900B1" w:rsidRDefault="00C900B1" w:rsidP="00C900B1">
      <w:pPr>
        <w:pStyle w:val="Heading1"/>
      </w:pPr>
      <w:bookmarkStart w:id="0" w:name="_Toc449190509"/>
      <w:bookmarkStart w:id="1" w:name="_Toc103168315"/>
      <w:bookmarkStart w:id="2" w:name="_Toc112658305"/>
      <w:bookmarkStart w:id="3" w:name="_Hlk41913885"/>
      <w:r>
        <w:t>Key Message</w:t>
      </w:r>
      <w:bookmarkEnd w:id="0"/>
      <w:bookmarkEnd w:id="1"/>
      <w:bookmarkEnd w:id="2"/>
    </w:p>
    <w:p w14:paraId="0E204D91" w14:textId="4B1BA52E" w:rsidR="00C161EC" w:rsidRPr="00C161EC" w:rsidRDefault="00C161EC" w:rsidP="00C161EC">
      <w:pPr>
        <w:pStyle w:val="Body"/>
      </w:pPr>
      <w:r>
        <w:t>All deceased clients on a legal status must have their status updated to ‘None’ and their case closed after their death is recorded in CMI/ODS.</w:t>
      </w:r>
    </w:p>
    <w:p w14:paraId="028240DD" w14:textId="77777777" w:rsidR="000343B0" w:rsidRPr="00B63AE8" w:rsidRDefault="000343B0" w:rsidP="000343B0">
      <w:pPr>
        <w:pStyle w:val="Heading1"/>
      </w:pPr>
      <w:bookmarkStart w:id="4" w:name="_Toc103168316"/>
      <w:bookmarkStart w:id="5" w:name="_Toc112658306"/>
      <w:r>
        <w:t>Purpose</w:t>
      </w:r>
      <w:bookmarkEnd w:id="4"/>
      <w:bookmarkEnd w:id="5"/>
    </w:p>
    <w:p w14:paraId="5E9F8805" w14:textId="77777777" w:rsidR="00C161EC" w:rsidRDefault="00C161EC" w:rsidP="00C161EC">
      <w:pPr>
        <w:autoSpaceDE w:val="0"/>
        <w:autoSpaceDN w:val="0"/>
        <w:adjustRightInd w:val="0"/>
        <w:spacing w:line="288" w:lineRule="auto"/>
        <w:rPr>
          <w:rFonts w:cs="Arial"/>
          <w:lang w:eastAsia="en-AU"/>
        </w:rPr>
      </w:pPr>
      <w:r w:rsidRPr="005C24F8">
        <w:rPr>
          <w:rFonts w:cs="Arial"/>
          <w:lang w:eastAsia="en-AU"/>
        </w:rPr>
        <w:t>To provide advice regarding the recording and updating of legal status and case closure for deceased clients in CMI/ODS.</w:t>
      </w:r>
    </w:p>
    <w:p w14:paraId="74B3C342" w14:textId="05153F9F" w:rsidR="00936154" w:rsidRDefault="00936154">
      <w:pPr>
        <w:spacing w:after="0" w:line="240" w:lineRule="auto"/>
        <w:rPr>
          <w:rFonts w:cs="Arial"/>
          <w:lang w:eastAsia="en-AU"/>
        </w:rPr>
      </w:pPr>
      <w:r>
        <w:rPr>
          <w:rFonts w:cs="Arial"/>
          <w:lang w:eastAsia="en-AU"/>
        </w:rPr>
        <w:br w:type="page"/>
      </w:r>
    </w:p>
    <w:p w14:paraId="283CA452" w14:textId="77777777" w:rsidR="000343B0" w:rsidRPr="00B63AE8" w:rsidRDefault="000343B0" w:rsidP="000343B0">
      <w:pPr>
        <w:pStyle w:val="Heading1"/>
      </w:pPr>
      <w:bookmarkStart w:id="6" w:name="_Toc103168317"/>
      <w:bookmarkStart w:id="7" w:name="_Toc112658307"/>
      <w:r>
        <w:lastRenderedPageBreak/>
        <w:t>Background</w:t>
      </w:r>
      <w:bookmarkEnd w:id="6"/>
      <w:bookmarkEnd w:id="7"/>
    </w:p>
    <w:p w14:paraId="397899CF"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CMI/ODS is the Victorian public mental healt</w:t>
      </w:r>
      <w:r>
        <w:rPr>
          <w:rFonts w:cs="Arial"/>
          <w:lang w:eastAsia="en-AU"/>
        </w:rPr>
        <w:t xml:space="preserve">h client information management </w:t>
      </w:r>
      <w:r w:rsidRPr="00FF01AF">
        <w:rPr>
          <w:rFonts w:cs="Arial"/>
          <w:lang w:eastAsia="en-AU"/>
        </w:rPr>
        <w:t>system and comprises:</w:t>
      </w:r>
    </w:p>
    <w:p w14:paraId="62B160A1" w14:textId="7A155877" w:rsidR="000343B0"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Client Management Interface (CMI) – the CMI is the local client information</w:t>
      </w:r>
      <w:r>
        <w:rPr>
          <w:rFonts w:cs="Arial"/>
          <w:lang w:eastAsia="en-AU"/>
        </w:rPr>
        <w:t xml:space="preserve"> </w:t>
      </w:r>
      <w:r w:rsidRPr="00FF01AF">
        <w:rPr>
          <w:rFonts w:cs="Arial"/>
          <w:lang w:eastAsia="en-AU"/>
        </w:rPr>
        <w:t>system used by each public mental health service</w:t>
      </w:r>
    </w:p>
    <w:p w14:paraId="1FEFB6DF" w14:textId="77777777" w:rsidR="000343B0" w:rsidRPr="00FF01AF" w:rsidRDefault="000343B0" w:rsidP="000343B0">
      <w:pPr>
        <w:tabs>
          <w:tab w:val="left" w:pos="362"/>
        </w:tabs>
        <w:autoSpaceDE w:val="0"/>
        <w:autoSpaceDN w:val="0"/>
        <w:adjustRightInd w:val="0"/>
        <w:spacing w:after="0" w:line="240" w:lineRule="auto"/>
        <w:rPr>
          <w:rFonts w:cs="Arial"/>
          <w:lang w:eastAsia="en-AU"/>
        </w:rPr>
      </w:pPr>
    </w:p>
    <w:p w14:paraId="49D4F6CD" w14:textId="77777777" w:rsidR="000343B0" w:rsidRPr="00FF01AF"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Operational Data Store (ODS) – the O</w:t>
      </w:r>
      <w:r>
        <w:rPr>
          <w:rFonts w:cs="Arial"/>
          <w:lang w:eastAsia="en-AU"/>
        </w:rPr>
        <w:t xml:space="preserve">DS manages a set of select data </w:t>
      </w:r>
      <w:r w:rsidRPr="00FF01AF">
        <w:rPr>
          <w:rFonts w:cs="Arial"/>
          <w:lang w:eastAsia="en-AU"/>
        </w:rPr>
        <w:t>items from each CMI and is used to:</w:t>
      </w:r>
    </w:p>
    <w:p w14:paraId="0A0CE90C"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allocate a unique (mental health) regis</w:t>
      </w:r>
      <w:r>
        <w:rPr>
          <w:rFonts w:cs="Arial"/>
          <w:lang w:eastAsia="en-AU"/>
        </w:rPr>
        <w:t xml:space="preserve">tration number for each client, </w:t>
      </w:r>
      <w:r w:rsidRPr="00FF01AF">
        <w:rPr>
          <w:rFonts w:cs="Arial"/>
          <w:lang w:eastAsia="en-AU"/>
        </w:rPr>
        <w:t xml:space="preserve">known as the </w:t>
      </w:r>
      <w:proofErr w:type="spellStart"/>
      <w:r w:rsidRPr="00FF01AF">
        <w:rPr>
          <w:rFonts w:cs="Arial"/>
          <w:lang w:eastAsia="en-AU"/>
        </w:rPr>
        <w:t>statewide</w:t>
      </w:r>
      <w:proofErr w:type="spellEnd"/>
      <w:r w:rsidRPr="00FF01AF">
        <w:rPr>
          <w:rFonts w:cs="Arial"/>
          <w:lang w:eastAsia="en-AU"/>
        </w:rPr>
        <w:t xml:space="preserve"> unit record (</w:t>
      </w:r>
      <w:smartTag w:uri="urn:schemas-microsoft-com:office:smarttags" w:element="place">
        <w:smartTag w:uri="urn:schemas-microsoft-com:office:smarttags" w:element="City">
          <w:r w:rsidRPr="00FF01AF">
            <w:rPr>
              <w:rFonts w:cs="Arial"/>
              <w:lang w:eastAsia="en-AU"/>
            </w:rPr>
            <w:t>UR</w:t>
          </w:r>
        </w:smartTag>
      </w:smartTag>
      <w:r w:rsidRPr="00FF01AF">
        <w:rPr>
          <w:rFonts w:cs="Arial"/>
          <w:lang w:eastAsia="en-AU"/>
        </w:rPr>
        <w:t>) number</w:t>
      </w:r>
    </w:p>
    <w:p w14:paraId="2C552B48"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share select client-level data betwe</w:t>
      </w:r>
      <w:r>
        <w:rPr>
          <w:rFonts w:cs="Arial"/>
          <w:lang w:eastAsia="en-AU"/>
        </w:rPr>
        <w:t xml:space="preserve">en Victorian public area mental </w:t>
      </w:r>
      <w:r w:rsidRPr="00FF01AF">
        <w:rPr>
          <w:rFonts w:cs="Arial"/>
          <w:lang w:eastAsia="en-AU"/>
        </w:rPr>
        <w:t>health services (AMHS) to support continuity of treatment and care</w:t>
      </w:r>
    </w:p>
    <w:p w14:paraId="5A6A2C4A"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ensure the legal basis for providing tre</w:t>
      </w:r>
      <w:r>
        <w:rPr>
          <w:rFonts w:cs="Arial"/>
          <w:lang w:eastAsia="en-AU"/>
        </w:rPr>
        <w:t xml:space="preserve">atment is evident to all public </w:t>
      </w:r>
      <w:r w:rsidRPr="00FF01AF">
        <w:rPr>
          <w:rFonts w:cs="Arial"/>
          <w:lang w:eastAsia="en-AU"/>
        </w:rPr>
        <w:t>mental health service providers where a client may be unable or</w:t>
      </w:r>
      <w:r>
        <w:rPr>
          <w:rFonts w:cs="Arial"/>
          <w:lang w:eastAsia="en-AU"/>
        </w:rPr>
        <w:t xml:space="preserve"> </w:t>
      </w:r>
      <w:r w:rsidRPr="00FF01AF">
        <w:rPr>
          <w:rFonts w:cs="Arial"/>
          <w:lang w:eastAsia="en-AU"/>
        </w:rPr>
        <w:t>unwilling to consent to treatment</w:t>
      </w:r>
    </w:p>
    <w:p w14:paraId="3632097F"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meet the various reporting requirements of the Department of Health</w:t>
      </w:r>
    </w:p>
    <w:p w14:paraId="38A31538"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support the statutory functions of the Chief Psychiatrist and the Mental Health Review Board.</w:t>
      </w:r>
    </w:p>
    <w:p w14:paraId="6371D524" w14:textId="77777777" w:rsidR="000343B0" w:rsidRPr="00777D5A" w:rsidRDefault="000343B0" w:rsidP="000343B0">
      <w:pPr>
        <w:autoSpaceDE w:val="0"/>
        <w:autoSpaceDN w:val="0"/>
        <w:adjustRightInd w:val="0"/>
        <w:spacing w:line="288" w:lineRule="auto"/>
        <w:rPr>
          <w:rFonts w:cs="Arial"/>
          <w:lang w:eastAsia="en-AU"/>
        </w:rPr>
      </w:pPr>
    </w:p>
    <w:p w14:paraId="210AB114" w14:textId="77777777" w:rsidR="000343B0" w:rsidRPr="00B63AE8" w:rsidRDefault="000343B0" w:rsidP="000343B0">
      <w:pPr>
        <w:pStyle w:val="Heading1"/>
      </w:pPr>
      <w:bookmarkStart w:id="8" w:name="_Toc103168318"/>
      <w:bookmarkStart w:id="9" w:name="_Toc112658308"/>
      <w:r>
        <w:t>CMI/ODS Organisational Structure</w:t>
      </w:r>
      <w:bookmarkEnd w:id="8"/>
      <w:bookmarkEnd w:id="9"/>
    </w:p>
    <w:p w14:paraId="32380E6E"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The hierarchy of a mental health organisational structure in CMI/ODS follows:</w:t>
      </w:r>
    </w:p>
    <w:p w14:paraId="2B8E5459"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organisation</w:t>
      </w:r>
    </w:p>
    <w:p w14:paraId="0E46B1A0"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establishment</w:t>
      </w:r>
    </w:p>
    <w:p w14:paraId="4919120E"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campus</w:t>
      </w:r>
    </w:p>
    <w:p w14:paraId="61D66F23"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subcentre</w:t>
      </w:r>
    </w:p>
    <w:p w14:paraId="7A727990"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5444F5">
        <w:rPr>
          <w:rFonts w:cs="Arial"/>
          <w:b/>
          <w:lang w:eastAsia="en-AU"/>
        </w:rPr>
        <w:t>program</w:t>
      </w:r>
      <w:r w:rsidRPr="00FF01AF">
        <w:rPr>
          <w:rFonts w:cs="Arial"/>
          <w:lang w:eastAsia="en-AU"/>
        </w:rPr>
        <w:t>.</w:t>
      </w:r>
    </w:p>
    <w:p w14:paraId="14AE8014" w14:textId="77777777" w:rsidR="000343B0" w:rsidRDefault="000343B0" w:rsidP="000343B0">
      <w:pPr>
        <w:autoSpaceDE w:val="0"/>
        <w:autoSpaceDN w:val="0"/>
        <w:adjustRightInd w:val="0"/>
        <w:rPr>
          <w:rFonts w:cs="Arial"/>
          <w:lang w:eastAsia="en-AU"/>
        </w:rPr>
      </w:pPr>
    </w:p>
    <w:p w14:paraId="0D2BCB3B" w14:textId="77777777" w:rsidR="00D552A2" w:rsidRDefault="00D552A2" w:rsidP="00D552A2">
      <w:pPr>
        <w:autoSpaceDE w:val="0"/>
        <w:autoSpaceDN w:val="0"/>
        <w:adjustRightInd w:val="0"/>
        <w:rPr>
          <w:rFonts w:cs="Arial"/>
          <w:lang w:eastAsia="en-AU"/>
        </w:rPr>
      </w:pPr>
      <w:r>
        <w:rPr>
          <w:rFonts w:cs="Arial"/>
          <w:lang w:eastAsia="en-AU"/>
        </w:rPr>
        <w:t xml:space="preserve">A program is </w:t>
      </w:r>
      <w:r w:rsidRPr="00A157C7">
        <w:rPr>
          <w:rFonts w:cs="Arial"/>
          <w:lang w:eastAsia="en-AU"/>
        </w:rPr>
        <w:t>‘the organisational service unit attached to a subcentre.  Each program identifies a clinical function or service intervention performed by a team that relates directly to a funded activity’</w:t>
      </w:r>
      <w:r>
        <w:rPr>
          <w:rFonts w:cs="Arial"/>
          <w:lang w:eastAsia="en-AU"/>
        </w:rPr>
        <w:t>.</w:t>
      </w:r>
    </w:p>
    <w:p w14:paraId="05742F00" w14:textId="70779AA8" w:rsidR="000343B0" w:rsidRDefault="000343B0" w:rsidP="000343B0">
      <w:pPr>
        <w:autoSpaceDE w:val="0"/>
        <w:autoSpaceDN w:val="0"/>
        <w:adjustRightInd w:val="0"/>
        <w:rPr>
          <w:rFonts w:ascii="HelveticaNeueLT-Light" w:hAnsi="HelveticaNeueLT-Light" w:cs="HelveticaNeueLT-Light"/>
          <w:sz w:val="19"/>
          <w:szCs w:val="19"/>
          <w:lang w:eastAsia="en-AU"/>
        </w:rPr>
      </w:pPr>
      <w:r w:rsidRPr="005444F5">
        <w:rPr>
          <w:rFonts w:cs="Arial"/>
          <w:lang w:eastAsia="en-AU"/>
        </w:rPr>
        <w:t>Each campus requires the creation of subcentre(s) and program(s) to record the delivery of services</w:t>
      </w:r>
      <w:r>
        <w:rPr>
          <w:rFonts w:ascii="HelveticaNeueLT-Light" w:hAnsi="HelveticaNeueLT-Light" w:cs="HelveticaNeueLT-Light"/>
          <w:sz w:val="19"/>
          <w:szCs w:val="19"/>
          <w:lang w:eastAsia="en-AU"/>
        </w:rPr>
        <w:t>.</w:t>
      </w:r>
    </w:p>
    <w:p w14:paraId="658D5CA8" w14:textId="77777777" w:rsidR="000343B0" w:rsidRDefault="000343B0" w:rsidP="000343B0">
      <w:pPr>
        <w:autoSpaceDE w:val="0"/>
        <w:autoSpaceDN w:val="0"/>
        <w:adjustRightInd w:val="0"/>
        <w:rPr>
          <w:rFonts w:ascii="HelveticaNeueLT-Light" w:hAnsi="HelveticaNeueLT-Light" w:cs="HelveticaNeueLT-Light"/>
          <w:sz w:val="19"/>
          <w:szCs w:val="19"/>
          <w:lang w:eastAsia="en-AU"/>
        </w:rPr>
      </w:pPr>
    </w:p>
    <w:p w14:paraId="553BBB29" w14:textId="4E63D6DA" w:rsidR="000343B0" w:rsidRPr="00B63AE8" w:rsidRDefault="00C161EC" w:rsidP="000343B0">
      <w:pPr>
        <w:pStyle w:val="Heading1"/>
      </w:pPr>
      <w:bookmarkStart w:id="10" w:name="_Toc112658309"/>
      <w:r>
        <w:t>Process</w:t>
      </w:r>
      <w:bookmarkEnd w:id="10"/>
    </w:p>
    <w:p w14:paraId="4FBD12F5" w14:textId="77777777" w:rsidR="00C161EC" w:rsidRPr="00F70236" w:rsidRDefault="00C161EC" w:rsidP="00C161EC">
      <w:pPr>
        <w:autoSpaceDE w:val="0"/>
        <w:autoSpaceDN w:val="0"/>
        <w:adjustRightInd w:val="0"/>
        <w:spacing w:line="312" w:lineRule="auto"/>
        <w:rPr>
          <w:rFonts w:cs="Arial"/>
          <w:lang w:eastAsia="en-AU"/>
        </w:rPr>
      </w:pPr>
      <w:r w:rsidRPr="00F70236">
        <w:rPr>
          <w:rFonts w:cs="Arial"/>
          <w:lang w:eastAsia="en-AU"/>
        </w:rPr>
        <w:t>In accordance with s.</w:t>
      </w:r>
      <w:r>
        <w:rPr>
          <w:rFonts w:cs="Arial"/>
          <w:lang w:eastAsia="en-AU"/>
        </w:rPr>
        <w:t>348(1)</w:t>
      </w:r>
      <w:r w:rsidRPr="00F70236">
        <w:rPr>
          <w:rFonts w:cs="Arial"/>
          <w:lang w:eastAsia="en-AU"/>
        </w:rPr>
        <w:t xml:space="preserve"> of the </w:t>
      </w:r>
      <w:r w:rsidRPr="00F70236">
        <w:rPr>
          <w:rFonts w:cs="Arial"/>
          <w:i/>
          <w:iCs/>
          <w:lang w:eastAsia="en-AU"/>
        </w:rPr>
        <w:t xml:space="preserve">Mental Health Act </w:t>
      </w:r>
      <w:r>
        <w:rPr>
          <w:rFonts w:cs="Arial"/>
          <w:i/>
          <w:iCs/>
          <w:lang w:eastAsia="en-AU"/>
        </w:rPr>
        <w:t>2014</w:t>
      </w:r>
      <w:r w:rsidRPr="00F70236">
        <w:rPr>
          <w:rFonts w:cs="Arial"/>
          <w:lang w:eastAsia="en-AU"/>
        </w:rPr>
        <w:t>, the authorised</w:t>
      </w:r>
      <w:r>
        <w:rPr>
          <w:rFonts w:cs="Arial"/>
          <w:lang w:eastAsia="en-AU"/>
        </w:rPr>
        <w:t xml:space="preserve"> </w:t>
      </w:r>
      <w:r w:rsidRPr="00F70236">
        <w:rPr>
          <w:rFonts w:cs="Arial"/>
          <w:lang w:eastAsia="en-AU"/>
        </w:rPr>
        <w:t xml:space="preserve">psychiatrist of each approved mental health service must report the death of a person receiving treatment or care for a mental disorder which is a ‘reportable death’ within the meaning of the </w:t>
      </w:r>
      <w:r w:rsidRPr="00F70236">
        <w:rPr>
          <w:rFonts w:cs="Arial"/>
          <w:i/>
          <w:iCs/>
          <w:lang w:eastAsia="en-AU"/>
        </w:rPr>
        <w:t xml:space="preserve">Coroners Act </w:t>
      </w:r>
      <w:r>
        <w:rPr>
          <w:rFonts w:cs="Arial"/>
          <w:i/>
          <w:iCs/>
          <w:lang w:eastAsia="en-AU"/>
        </w:rPr>
        <w:t>2008</w:t>
      </w:r>
      <w:r w:rsidRPr="00F70236">
        <w:rPr>
          <w:rFonts w:cs="Arial"/>
          <w:lang w:eastAsia="en-AU"/>
        </w:rPr>
        <w:t>. This report is made by completing form MHA-</w:t>
      </w:r>
      <w:r>
        <w:rPr>
          <w:rFonts w:cs="Arial"/>
          <w:lang w:eastAsia="en-AU"/>
        </w:rPr>
        <w:t>125</w:t>
      </w:r>
      <w:r w:rsidRPr="00F70236">
        <w:rPr>
          <w:rFonts w:cs="Arial"/>
          <w:lang w:eastAsia="en-AU"/>
        </w:rPr>
        <w:t xml:space="preserve"> (Notice of death) and submitting it to the Chief Psychiatrist. </w:t>
      </w:r>
    </w:p>
    <w:p w14:paraId="238D24CF" w14:textId="77777777" w:rsidR="00C161EC" w:rsidRPr="00F70236" w:rsidRDefault="00C161EC" w:rsidP="00C161EC">
      <w:pPr>
        <w:autoSpaceDE w:val="0"/>
        <w:autoSpaceDN w:val="0"/>
        <w:adjustRightInd w:val="0"/>
        <w:spacing w:line="312" w:lineRule="auto"/>
        <w:rPr>
          <w:rFonts w:cs="Arial"/>
          <w:lang w:eastAsia="en-AU"/>
        </w:rPr>
      </w:pPr>
    </w:p>
    <w:p w14:paraId="78C9F0F0" w14:textId="77777777" w:rsidR="00C161EC" w:rsidRPr="00F70236" w:rsidRDefault="00C161EC" w:rsidP="00C161EC">
      <w:pPr>
        <w:autoSpaceDE w:val="0"/>
        <w:autoSpaceDN w:val="0"/>
        <w:adjustRightInd w:val="0"/>
        <w:spacing w:line="312" w:lineRule="auto"/>
        <w:rPr>
          <w:rFonts w:cs="Arial"/>
          <w:lang w:eastAsia="en-AU"/>
        </w:rPr>
      </w:pPr>
      <w:r w:rsidRPr="00F70236">
        <w:rPr>
          <w:rFonts w:cs="Arial"/>
          <w:lang w:eastAsia="en-AU"/>
        </w:rPr>
        <w:t>Administrative staff should accept the completion of the MHA-</w:t>
      </w:r>
      <w:r>
        <w:rPr>
          <w:rFonts w:cs="Arial"/>
          <w:lang w:eastAsia="en-AU"/>
        </w:rPr>
        <w:t>125</w:t>
      </w:r>
      <w:r w:rsidRPr="00F70236">
        <w:rPr>
          <w:rFonts w:cs="Arial"/>
          <w:lang w:eastAsia="en-AU"/>
        </w:rPr>
        <w:t xml:space="preserve"> as full authorisat</w:t>
      </w:r>
      <w:r>
        <w:rPr>
          <w:rFonts w:cs="Arial"/>
          <w:lang w:eastAsia="en-AU"/>
        </w:rPr>
        <w:t>ion to enter the death details i</w:t>
      </w:r>
      <w:r w:rsidRPr="00F70236">
        <w:rPr>
          <w:rFonts w:cs="Arial"/>
          <w:lang w:eastAsia="en-AU"/>
        </w:rPr>
        <w:t>nto the CMI/ODS</w:t>
      </w:r>
      <w:r>
        <w:rPr>
          <w:rFonts w:cs="Arial"/>
          <w:lang w:eastAsia="en-AU"/>
        </w:rPr>
        <w:t xml:space="preserve"> </w:t>
      </w:r>
      <w:r w:rsidRPr="00F70236">
        <w:rPr>
          <w:rFonts w:cs="Arial"/>
          <w:lang w:eastAsia="en-AU"/>
        </w:rPr>
        <w:t>and close the current case(s) where this is not automatically performed by the system.</w:t>
      </w:r>
    </w:p>
    <w:p w14:paraId="762D1BEC" w14:textId="77777777" w:rsidR="00C161EC" w:rsidRPr="00F70236" w:rsidRDefault="00C161EC" w:rsidP="00C161EC">
      <w:pPr>
        <w:autoSpaceDE w:val="0"/>
        <w:autoSpaceDN w:val="0"/>
        <w:adjustRightInd w:val="0"/>
        <w:spacing w:line="312" w:lineRule="auto"/>
        <w:rPr>
          <w:rFonts w:cs="Arial"/>
          <w:lang w:eastAsia="en-AU"/>
        </w:rPr>
      </w:pPr>
    </w:p>
    <w:p w14:paraId="3B952CF0" w14:textId="77777777" w:rsidR="00C161EC" w:rsidRDefault="00C161EC" w:rsidP="00C161EC">
      <w:pPr>
        <w:autoSpaceDE w:val="0"/>
        <w:autoSpaceDN w:val="0"/>
        <w:adjustRightInd w:val="0"/>
        <w:spacing w:line="312" w:lineRule="auto"/>
        <w:rPr>
          <w:rFonts w:cs="Arial"/>
          <w:lang w:eastAsia="en-AU"/>
        </w:rPr>
      </w:pPr>
      <w:r w:rsidRPr="00F70236">
        <w:rPr>
          <w:rFonts w:cs="Arial"/>
          <w:lang w:eastAsia="en-AU"/>
        </w:rPr>
        <w:lastRenderedPageBreak/>
        <w:t>The date and time of the legal status change must be set at exactly one minute after the date and time of death, where the date and time are known and recorded.</w:t>
      </w:r>
    </w:p>
    <w:p w14:paraId="64E9C4EF" w14:textId="77777777" w:rsidR="00C161EC" w:rsidRPr="00F70236" w:rsidRDefault="00C161EC" w:rsidP="00C161EC">
      <w:pPr>
        <w:autoSpaceDE w:val="0"/>
        <w:autoSpaceDN w:val="0"/>
        <w:adjustRightInd w:val="0"/>
        <w:spacing w:line="312" w:lineRule="auto"/>
        <w:rPr>
          <w:rFonts w:cs="Arial"/>
          <w:lang w:eastAsia="en-AU"/>
        </w:rPr>
      </w:pPr>
    </w:p>
    <w:p w14:paraId="7734E52E" w14:textId="77777777" w:rsidR="00C161EC" w:rsidRDefault="00C161EC" w:rsidP="00C161EC">
      <w:pPr>
        <w:autoSpaceDE w:val="0"/>
        <w:autoSpaceDN w:val="0"/>
        <w:adjustRightInd w:val="0"/>
        <w:spacing w:line="312" w:lineRule="auto"/>
        <w:rPr>
          <w:rFonts w:cs="Arial"/>
          <w:lang w:eastAsia="en-AU"/>
        </w:rPr>
      </w:pPr>
      <w:r w:rsidRPr="00F70236">
        <w:rPr>
          <w:rFonts w:cs="Arial"/>
          <w:lang w:eastAsia="en-AU"/>
        </w:rPr>
        <w:t>Where either</w:t>
      </w:r>
      <w:r>
        <w:rPr>
          <w:rFonts w:cs="Arial"/>
          <w:lang w:eastAsia="en-AU"/>
        </w:rPr>
        <w:t xml:space="preserve"> the date or time are not known, </w:t>
      </w:r>
      <w:r w:rsidRPr="00F70236">
        <w:rPr>
          <w:rFonts w:cs="Arial"/>
          <w:lang w:eastAsia="en-AU"/>
        </w:rPr>
        <w:t xml:space="preserve">administrative staff should try to obtain the information in the first instance. </w:t>
      </w:r>
    </w:p>
    <w:p w14:paraId="4349062E" w14:textId="77777777" w:rsidR="00C161EC" w:rsidRDefault="00C161EC" w:rsidP="00C161EC">
      <w:pPr>
        <w:autoSpaceDE w:val="0"/>
        <w:autoSpaceDN w:val="0"/>
        <w:adjustRightInd w:val="0"/>
        <w:spacing w:line="312" w:lineRule="auto"/>
        <w:rPr>
          <w:rFonts w:cs="Arial"/>
          <w:lang w:eastAsia="en-AU"/>
        </w:rPr>
      </w:pPr>
    </w:p>
    <w:p w14:paraId="637EDEE9" w14:textId="77777777" w:rsidR="00C161EC" w:rsidRDefault="00C161EC" w:rsidP="00C161EC">
      <w:pPr>
        <w:autoSpaceDE w:val="0"/>
        <w:autoSpaceDN w:val="0"/>
        <w:adjustRightInd w:val="0"/>
        <w:spacing w:line="312" w:lineRule="auto"/>
        <w:rPr>
          <w:rFonts w:cs="Arial"/>
          <w:lang w:eastAsia="en-AU"/>
        </w:rPr>
      </w:pPr>
      <w:r w:rsidRPr="00F70236">
        <w:rPr>
          <w:rFonts w:cs="Arial"/>
          <w:lang w:eastAsia="en-AU"/>
        </w:rPr>
        <w:t>In the event that one or both are not able to be reliably determined, a best estimate should be made,</w:t>
      </w:r>
      <w:r>
        <w:rPr>
          <w:rFonts w:cs="Arial"/>
          <w:lang w:eastAsia="en-AU"/>
        </w:rPr>
        <w:t xml:space="preserve"> </w:t>
      </w:r>
      <w:r w:rsidRPr="00F70236">
        <w:rPr>
          <w:rFonts w:cs="Arial"/>
          <w:lang w:eastAsia="en-AU"/>
        </w:rPr>
        <w:t>based on information obtained from all available sources.</w:t>
      </w:r>
    </w:p>
    <w:p w14:paraId="153A866F" w14:textId="77777777" w:rsidR="00C161EC" w:rsidRPr="00F70236" w:rsidRDefault="00C161EC" w:rsidP="00C161EC">
      <w:pPr>
        <w:autoSpaceDE w:val="0"/>
        <w:autoSpaceDN w:val="0"/>
        <w:adjustRightInd w:val="0"/>
        <w:spacing w:line="312" w:lineRule="auto"/>
        <w:rPr>
          <w:rFonts w:cs="Arial"/>
          <w:lang w:eastAsia="en-AU"/>
        </w:rPr>
      </w:pPr>
    </w:p>
    <w:p w14:paraId="0144187C" w14:textId="77777777" w:rsidR="00C161EC" w:rsidRPr="00F70236" w:rsidRDefault="00C161EC" w:rsidP="00C161EC">
      <w:pPr>
        <w:autoSpaceDE w:val="0"/>
        <w:autoSpaceDN w:val="0"/>
        <w:adjustRightInd w:val="0"/>
        <w:spacing w:line="312" w:lineRule="auto"/>
        <w:rPr>
          <w:rFonts w:cs="Arial"/>
          <w:lang w:eastAsia="en-AU"/>
        </w:rPr>
      </w:pPr>
      <w:r w:rsidRPr="00F70236">
        <w:rPr>
          <w:rFonts w:cs="Arial"/>
          <w:lang w:eastAsia="en-AU"/>
        </w:rPr>
        <w:t>As a last resort, a default date and/or time may be recorded using the following protocol:</w:t>
      </w:r>
    </w:p>
    <w:p w14:paraId="2C6BFD74" w14:textId="77777777" w:rsidR="00C161EC" w:rsidRPr="00F70236" w:rsidRDefault="00C161EC" w:rsidP="00C161EC">
      <w:pPr>
        <w:numPr>
          <w:ilvl w:val="0"/>
          <w:numId w:val="14"/>
        </w:numPr>
        <w:tabs>
          <w:tab w:val="clear" w:pos="720"/>
          <w:tab w:val="num" w:pos="362"/>
        </w:tabs>
        <w:autoSpaceDE w:val="0"/>
        <w:autoSpaceDN w:val="0"/>
        <w:adjustRightInd w:val="0"/>
        <w:spacing w:after="0" w:line="312" w:lineRule="auto"/>
        <w:ind w:left="362" w:hanging="362"/>
        <w:rPr>
          <w:rFonts w:cs="Arial"/>
          <w:lang w:eastAsia="en-AU"/>
        </w:rPr>
      </w:pPr>
      <w:r w:rsidRPr="00F70236">
        <w:rPr>
          <w:rFonts w:cs="Arial"/>
          <w:lang w:eastAsia="en-AU"/>
        </w:rPr>
        <w:t>last date of the week or month of death as the default date of death</w:t>
      </w:r>
    </w:p>
    <w:p w14:paraId="45E70BA8" w14:textId="77777777" w:rsidR="00C161EC" w:rsidRPr="00F70236" w:rsidRDefault="00C161EC" w:rsidP="00C161EC">
      <w:pPr>
        <w:numPr>
          <w:ilvl w:val="0"/>
          <w:numId w:val="14"/>
        </w:numPr>
        <w:tabs>
          <w:tab w:val="clear" w:pos="720"/>
          <w:tab w:val="num" w:pos="362"/>
        </w:tabs>
        <w:autoSpaceDE w:val="0"/>
        <w:autoSpaceDN w:val="0"/>
        <w:adjustRightInd w:val="0"/>
        <w:spacing w:after="0" w:line="312" w:lineRule="auto"/>
        <w:ind w:left="362" w:hanging="362"/>
        <w:rPr>
          <w:rFonts w:cs="Arial"/>
          <w:lang w:eastAsia="en-AU"/>
        </w:rPr>
      </w:pPr>
      <w:r w:rsidRPr="00F70236">
        <w:rPr>
          <w:rFonts w:cs="Arial"/>
          <w:lang w:eastAsia="en-AU"/>
        </w:rPr>
        <w:t>time of death (where unknown and unable to be estimated) recorded as 00:01 hours with legal status change recorded effective of 00:02 hours.</w:t>
      </w:r>
    </w:p>
    <w:p w14:paraId="4BB6FA12" w14:textId="77777777" w:rsidR="00C161EC" w:rsidRPr="00F70236" w:rsidRDefault="00C161EC" w:rsidP="00C161EC">
      <w:pPr>
        <w:autoSpaceDE w:val="0"/>
        <w:autoSpaceDN w:val="0"/>
        <w:adjustRightInd w:val="0"/>
        <w:spacing w:line="312" w:lineRule="auto"/>
        <w:rPr>
          <w:rFonts w:cs="Arial"/>
          <w:lang w:eastAsia="en-AU"/>
        </w:rPr>
      </w:pPr>
    </w:p>
    <w:p w14:paraId="45A45204" w14:textId="77777777" w:rsidR="00C161EC" w:rsidRPr="00F70236" w:rsidRDefault="00C161EC" w:rsidP="00C161EC">
      <w:pPr>
        <w:autoSpaceDE w:val="0"/>
        <w:autoSpaceDN w:val="0"/>
        <w:adjustRightInd w:val="0"/>
        <w:spacing w:line="312" w:lineRule="auto"/>
        <w:rPr>
          <w:rFonts w:cs="Arial"/>
          <w:lang w:eastAsia="en-AU"/>
        </w:rPr>
      </w:pPr>
      <w:r w:rsidRPr="00F70236">
        <w:rPr>
          <w:rFonts w:cs="Arial"/>
          <w:lang w:eastAsia="en-AU"/>
        </w:rPr>
        <w:t>Recording a death does not in itself close a case where there is a current community episode. The case will automatically close if the only current episode is an admitted episode and the separation type/mode is ‘Death’. Administrative staff must check the case and manually close any open community episode to ensure post-mortem events are not recorded against an open case. Reportable post-mortem contacts may still be attributed to the client, but not a case.</w:t>
      </w:r>
    </w:p>
    <w:p w14:paraId="5819CAC3" w14:textId="420541A2" w:rsidR="00936154" w:rsidRDefault="00936154">
      <w:pPr>
        <w:spacing w:after="0" w:line="240" w:lineRule="auto"/>
        <w:rPr>
          <w:rFonts w:cs="Arial"/>
          <w:b/>
          <w:bCs/>
          <w:color w:val="000000"/>
          <w:lang w:eastAsia="en-AU"/>
        </w:rPr>
      </w:pPr>
    </w:p>
    <w:p w14:paraId="11689F9B" w14:textId="0DC83B7A" w:rsidR="000343B0" w:rsidRPr="00B63AE8" w:rsidRDefault="000343B0" w:rsidP="00936154">
      <w:pPr>
        <w:pStyle w:val="Heading1"/>
      </w:pPr>
      <w:bookmarkStart w:id="11" w:name="_Toc103168322"/>
      <w:bookmarkStart w:id="12" w:name="_Toc112658310"/>
      <w:r>
        <w:t>About Management Circulars</w:t>
      </w:r>
      <w:bookmarkEnd w:id="11"/>
      <w:bookmarkEnd w:id="12"/>
    </w:p>
    <w:p w14:paraId="75BFB534" w14:textId="77777777" w:rsidR="000343B0" w:rsidRPr="00851BEE" w:rsidRDefault="000343B0" w:rsidP="000343B0">
      <w:pPr>
        <w:autoSpaceDE w:val="0"/>
        <w:autoSpaceDN w:val="0"/>
        <w:adjustRightInd w:val="0"/>
        <w:rPr>
          <w:rFonts w:cs="Arial"/>
          <w:lang w:eastAsia="en-AU"/>
        </w:rPr>
      </w:pPr>
      <w:r w:rsidRPr="00851BEE">
        <w:rPr>
          <w:rFonts w:cs="Arial"/>
        </w:rPr>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1730DBCB" w14:textId="77777777" w:rsidR="00C900B1" w:rsidRPr="00F32368" w:rsidRDefault="00C900B1" w:rsidP="00F32368">
      <w:pPr>
        <w:pStyle w:val="Body"/>
      </w:pPr>
    </w:p>
    <w:tbl>
      <w:tblPr>
        <w:tblW w:w="4800" w:type="pct"/>
        <w:tblInd w:w="113" w:type="dxa"/>
        <w:tblCellMar>
          <w:top w:w="113" w:type="dxa"/>
          <w:bottom w:w="57" w:type="dxa"/>
        </w:tblCellMar>
        <w:tblLook w:val="00A0" w:firstRow="1" w:lastRow="0" w:firstColumn="1" w:lastColumn="0" w:noHBand="0" w:noVBand="0"/>
      </w:tblPr>
      <w:tblGrid>
        <w:gridCol w:w="9786"/>
      </w:tblGrid>
      <w:tr w:rsidR="00B15662" w:rsidRPr="002802E3" w14:paraId="5346E670" w14:textId="77777777" w:rsidTr="00566D23">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3"/>
          <w:p w14:paraId="59196BFF" w14:textId="77777777" w:rsidR="00B15662" w:rsidRPr="00E20063" w:rsidRDefault="00B15662" w:rsidP="00566D23">
            <w:pPr>
              <w:pStyle w:val="DHHSaccessibilitypara"/>
              <w:rPr>
                <w:sz w:val="20"/>
                <w:szCs w:val="20"/>
              </w:rPr>
            </w:pPr>
            <w:r w:rsidRPr="00E20063">
              <w:rPr>
                <w:sz w:val="20"/>
                <w:szCs w:val="20"/>
              </w:rPr>
              <w:t>To receive this publication in an accessible format email</w:t>
            </w:r>
            <w:r>
              <w:rPr>
                <w:sz w:val="20"/>
                <w:szCs w:val="20"/>
              </w:rPr>
              <w:t xml:space="preserve"> </w:t>
            </w:r>
            <w:hyperlink r:id="rId16"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3F510C19" w14:textId="77777777" w:rsidR="00B15662" w:rsidRPr="00E20063" w:rsidRDefault="00B15662" w:rsidP="00566D23">
            <w:pPr>
              <w:pStyle w:val="DHHSbody"/>
            </w:pPr>
            <w:r w:rsidRPr="00E20063">
              <w:t>Authorised and published by the Victorian Government, 1 Treasury Place, Melbourne.</w:t>
            </w:r>
          </w:p>
          <w:p w14:paraId="2349FB97" w14:textId="4F70A554" w:rsidR="00B15662" w:rsidRDefault="00B15662" w:rsidP="00566D23">
            <w:pPr>
              <w:pStyle w:val="DHHSbody"/>
            </w:pPr>
            <w:r w:rsidRPr="00E20063">
              <w:t>© State of Victoria, Department of Health May 2016, rev</w:t>
            </w:r>
            <w:r>
              <w:t>iewed</w:t>
            </w:r>
            <w:r w:rsidRPr="00E20063">
              <w:t xml:space="preserve"> </w:t>
            </w:r>
            <w:r>
              <w:t>August</w:t>
            </w:r>
            <w:r w:rsidRPr="00E20063">
              <w:t xml:space="preserve"> 2022.</w:t>
            </w:r>
          </w:p>
          <w:p w14:paraId="2F835A17" w14:textId="4C3FB444" w:rsidR="00F14ABF" w:rsidRDefault="00F14ABF" w:rsidP="00566D23">
            <w:pPr>
              <w:pStyle w:val="DHHSbody"/>
            </w:pPr>
            <w:r>
              <w:rPr>
                <w:rFonts w:cs="Arial"/>
                <w:b/>
                <w:bCs/>
                <w:color w:val="000000"/>
              </w:rPr>
              <w:t xml:space="preserve">ISBN </w:t>
            </w:r>
            <w:r>
              <w:rPr>
                <w:rFonts w:cs="Arial"/>
                <w:color w:val="000000"/>
              </w:rPr>
              <w:t xml:space="preserve">978-1-76131-008-9 </w:t>
            </w:r>
            <w:r>
              <w:rPr>
                <w:rFonts w:cs="Arial"/>
                <w:b/>
                <w:bCs/>
                <w:color w:val="000000"/>
              </w:rPr>
              <w:t>(pdf/online/MS word)</w:t>
            </w:r>
          </w:p>
          <w:p w14:paraId="6845A7E5" w14:textId="77777777" w:rsidR="00B15662" w:rsidRPr="00BA5EAE" w:rsidRDefault="00B15662" w:rsidP="00566D23">
            <w:pPr>
              <w:pStyle w:val="DHHSbody"/>
            </w:pPr>
            <w:r w:rsidRPr="00713BA6">
              <w:t xml:space="preserve">Available at </w:t>
            </w:r>
            <w:hyperlink r:id="rId17"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74B9B821" w14:textId="77777777" w:rsidR="00B15662" w:rsidRPr="00BA5EAE" w:rsidRDefault="00B15662" w:rsidP="00B15662">
      <w:pPr>
        <w:pStyle w:val="DHHSbody"/>
      </w:pPr>
    </w:p>
    <w:p w14:paraId="45F6FDE5" w14:textId="77777777" w:rsidR="00162CA9" w:rsidRDefault="00162CA9" w:rsidP="00162CA9">
      <w:pPr>
        <w:pStyle w:val="Body"/>
      </w:pPr>
    </w:p>
    <w:sectPr w:rsidR="00162CA9" w:rsidSect="00485410">
      <w:footerReference w:type="default" r:id="rId18"/>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F617" w14:textId="77777777" w:rsidR="00DD0467" w:rsidRDefault="00DD0467">
      <w:r>
        <w:separator/>
      </w:r>
    </w:p>
  </w:endnote>
  <w:endnote w:type="continuationSeparator" w:id="0">
    <w:p w14:paraId="3A8A0493" w14:textId="77777777" w:rsidR="00DD0467" w:rsidRDefault="00DD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5C40" w14:textId="77777777" w:rsidR="00F14ABF" w:rsidRDefault="00F14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A9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EA0F0F2" wp14:editId="4F481C2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C6CCC67" wp14:editId="14EA42C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6CCC6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28A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A112223" wp14:editId="7E5781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1222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6" w14:textId="6E862248" w:rsidR="00373890" w:rsidRPr="00F65AA9" w:rsidRDefault="00B07FF7" w:rsidP="00485410">
    <w:pPr>
      <w:pStyle w:val="Footer"/>
      <w:jc w:val="left"/>
    </w:pPr>
    <w:r>
      <w:rPr>
        <w:noProof/>
      </w:rPr>
      <mc:AlternateContent>
        <mc:Choice Requires="wps">
          <w:drawing>
            <wp:anchor distT="0" distB="0" distL="114300" distR="114300" simplePos="0" relativeHeight="251675136" behindDoc="0" locked="0" layoutInCell="0" allowOverlap="1" wp14:anchorId="7E22A8B0" wp14:editId="12AE69C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22A8B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r w:rsidR="009E0EFE">
      <w:t xml:space="preserve">PMC – </w:t>
    </w:r>
    <w:r w:rsidR="00C161EC">
      <w:t>Deceased Clients – Legal Status and Case Closure in CMI/ODS</w:t>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40CF" w14:textId="77777777" w:rsidR="00DD0467" w:rsidRDefault="00DD0467" w:rsidP="002862F1">
      <w:pPr>
        <w:spacing w:before="120"/>
      </w:pPr>
      <w:r>
        <w:separator/>
      </w:r>
    </w:p>
  </w:footnote>
  <w:footnote w:type="continuationSeparator" w:id="0">
    <w:p w14:paraId="19D187C7" w14:textId="77777777" w:rsidR="00DD0467" w:rsidRDefault="00DD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42BE" w14:textId="77777777" w:rsidR="00F14ABF" w:rsidRDefault="00F14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F4C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EA72" w14:textId="77777777" w:rsidR="00F14ABF" w:rsidRDefault="00F14A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B43" w14:textId="18EDD1E9"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21A0062"/>
    <w:multiLevelType w:val="hybridMultilevel"/>
    <w:tmpl w:val="A94E89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1E27018"/>
    <w:multiLevelType w:val="hybridMultilevel"/>
    <w:tmpl w:val="4372D3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3F3C46"/>
    <w:multiLevelType w:val="hybridMultilevel"/>
    <w:tmpl w:val="255CB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6477EB7"/>
    <w:multiLevelType w:val="hybridMultilevel"/>
    <w:tmpl w:val="FAB22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56449F"/>
    <w:multiLevelType w:val="hybridMultilevel"/>
    <w:tmpl w:val="7B724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DC67CC"/>
    <w:multiLevelType w:val="hybridMultilevel"/>
    <w:tmpl w:val="8E04C7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3"/>
  </w:num>
  <w:num w:numId="6">
    <w:abstractNumId w:val="0"/>
  </w:num>
  <w:num w:numId="7">
    <w:abstractNumId w:val="4"/>
  </w:num>
  <w:num w:numId="8">
    <w:abstractNumId w:val="12"/>
  </w:num>
  <w:num w:numId="9">
    <w:abstractNumId w:val="1"/>
  </w:num>
  <w:num w:numId="10">
    <w:abstractNumId w:val="11"/>
  </w:num>
  <w:num w:numId="11">
    <w:abstractNumId w:val="8"/>
  </w:num>
  <w:num w:numId="12">
    <w:abstractNumId w:val="10"/>
  </w:num>
  <w:num w:numId="13">
    <w:abstractNumId w:val="5"/>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43B0"/>
    <w:rsid w:val="00037366"/>
    <w:rsid w:val="00041BF0"/>
    <w:rsid w:val="00042C8A"/>
    <w:rsid w:val="0004536B"/>
    <w:rsid w:val="00046B68"/>
    <w:rsid w:val="000527DD"/>
    <w:rsid w:val="00052EED"/>
    <w:rsid w:val="000568D2"/>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07F"/>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410"/>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57416"/>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8B3"/>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6154"/>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EFE"/>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29C8"/>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3321"/>
    <w:rsid w:val="00AA63D4"/>
    <w:rsid w:val="00AB06E8"/>
    <w:rsid w:val="00AB1CD3"/>
    <w:rsid w:val="00AB352F"/>
    <w:rsid w:val="00AC274B"/>
    <w:rsid w:val="00AC4764"/>
    <w:rsid w:val="00AC6D36"/>
    <w:rsid w:val="00AD0CBA"/>
    <w:rsid w:val="00AD177A"/>
    <w:rsid w:val="00AD2087"/>
    <w:rsid w:val="00AD26E2"/>
    <w:rsid w:val="00AD3965"/>
    <w:rsid w:val="00AD784C"/>
    <w:rsid w:val="00AE126A"/>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4780"/>
    <w:rsid w:val="00B15662"/>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A74"/>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1EC"/>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00B1"/>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52A2"/>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536"/>
    <w:rsid w:val="00DB0B61"/>
    <w:rsid w:val="00DB1474"/>
    <w:rsid w:val="00DB2962"/>
    <w:rsid w:val="00DB52FB"/>
    <w:rsid w:val="00DC013B"/>
    <w:rsid w:val="00DC090B"/>
    <w:rsid w:val="00DC1679"/>
    <w:rsid w:val="00DC219B"/>
    <w:rsid w:val="00DC2CF1"/>
    <w:rsid w:val="00DC4FCF"/>
    <w:rsid w:val="00DC50E0"/>
    <w:rsid w:val="00DC6386"/>
    <w:rsid w:val="00DD0467"/>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063"/>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D90"/>
    <w:rsid w:val="00F14ABF"/>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4CA8"/>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semiHidden/>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paragraph" w:styleId="TOCHeading">
    <w:name w:val="TOC Heading"/>
    <w:basedOn w:val="Heading1"/>
    <w:next w:val="Normal"/>
    <w:uiPriority w:val="39"/>
    <w:unhideWhenUsed/>
    <w:qFormat/>
    <w:rsid w:val="00DB053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DHHSbodyChar">
    <w:name w:val="DHHS body Char"/>
    <w:link w:val="DHHSbody"/>
    <w:locked/>
    <w:rsid w:val="00B15662"/>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research-and-reporting/bulletins-and-program-management-circulars-pmc" TargetMode="External"/><Relationship Id="rId2" Type="http://schemas.openxmlformats.org/officeDocument/2006/relationships/numbering" Target="numbering.xml"/><Relationship Id="rId16" Type="http://schemas.openxmlformats.org/officeDocument/2006/relationships/hyperlink" Target="mailto:MHDReporting@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Deceased Clients – Legal Status and Case Closure in CMI/ODS</dc:title>
  <dc:subject/>
  <dc:creator/>
  <cp:keywords/>
  <dc:description/>
  <cp:lastModifiedBy/>
  <cp:revision>1</cp:revision>
  <dcterms:created xsi:type="dcterms:W3CDTF">2022-09-05T06:28:00Z</dcterms:created>
  <dcterms:modified xsi:type="dcterms:W3CDTF">2022-09-08T01:19:00Z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2022-09-06T01:54:57Z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5d31a46f-64cf-479a-903a-b4a6bf68c1c2</vt:lpwstr>
  </property>
  <property fmtid="{D5CDD505-2E9C-101B-9397-08002B2CF9AE}" pid="8" name="MSIP_Label_43e64453-338c-4f93-8a4d-0039a0a41f2a_ContentBits">
    <vt:lpwstr>2</vt:lpwstr>
  </property>
</Properties>
</file>