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0171AB5" w:rsidR="007F209B" w:rsidRPr="007B44BE" w:rsidRDefault="00A56452" w:rsidP="00BA17C2">
                            <w:pPr>
                              <w:pStyle w:val="VAHImainheading"/>
                            </w:pPr>
                            <w:r>
                              <w:rPr>
                                <w:rFonts w:ascii="VIC Medium" w:hAnsi="VIC Medium"/>
                                <w:sz w:val="28"/>
                                <w:szCs w:val="28"/>
                              </w:rPr>
                              <w:t xml:space="preserve">April – June </w:t>
                            </w:r>
                            <w:r w:rsidR="006707D9">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H87Lv7jAAAACwEAAA8AAABkcnMvZG93&#10;bnJldi54bWxMj8tuwjAQRfeV+g/WVOoOHMIjUZoJQpFQpapdQNl058RDEuFHGhtI+/U1K7qcmaM7&#10;5+brUSt2ocF11iDMphEwMrWVnWkQDp/bSQrMeWGkUNYQwg85WBePD7nIpL2aHV32vmEhxLhMILTe&#10;9xnnrm5JCze1PZlwO9pBCx/GoeFyENcQrhWPo2jFtehM+NCKnsqW6tP+rBHeyu2H2FWxTn9V+fp+&#10;3PTfh68l4vPTuHkB5mn0dxhu+kEdiuBU2bORjimEOEnnAUWYrBYJsBsxTxdLYBVCEja8yPn/DsUf&#10;AAAA//8DAFBLAQItABQABgAIAAAAIQC2gziS/gAAAOEBAAATAAAAAAAAAAAAAAAAAAAAAABbQ29u&#10;dGVudF9UeXBlc10ueG1sUEsBAi0AFAAGAAgAAAAhADj9If/WAAAAlAEAAAsAAAAAAAAAAAAAAAAA&#10;LwEAAF9yZWxzLy5yZWxzUEsBAi0AFAAGAAgAAAAhANd7Us4uAgAAUQQAAA4AAAAAAAAAAAAAAAAA&#10;LgIAAGRycy9lMm9Eb2MueG1sUEsBAi0AFAAGAAgAAAAhAH87Lv7jAAAACwEAAA8AAAAAAAAAAAAA&#10;AAAAiAQAAGRycy9kb3ducmV2LnhtbFBLBQYAAAAABAAEAPMAAACYBQ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0171AB5" w:rsidR="007F209B" w:rsidRPr="007B44BE" w:rsidRDefault="00A56452" w:rsidP="00BA17C2">
                      <w:pPr>
                        <w:pStyle w:val="VAHImainheading"/>
                      </w:pPr>
                      <w:r>
                        <w:rPr>
                          <w:rFonts w:ascii="VIC Medium" w:hAnsi="VIC Medium"/>
                          <w:sz w:val="28"/>
                          <w:szCs w:val="28"/>
                        </w:rPr>
                        <w:t xml:space="preserve">April – June </w:t>
                      </w:r>
                      <w:r w:rsidR="006707D9">
                        <w:rPr>
                          <w:rFonts w:ascii="VIC Medium" w:hAnsi="VIC Medium"/>
                          <w:sz w:val="28"/>
                          <w:szCs w:val="28"/>
                        </w:rPr>
                        <w:t>2022</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09FD834C" w:rsidR="00D765CB" w:rsidRPr="00A76D9F" w:rsidRDefault="005C4552" w:rsidP="003D5BED">
            <w:pPr>
              <w:pStyle w:val="VAHItablecolhead"/>
              <w:jc w:val="right"/>
              <w:rPr>
                <w:rFonts w:eastAsia="Verdana"/>
                <w:color w:val="244C5A"/>
                <w:sz w:val="16"/>
              </w:rPr>
            </w:pPr>
            <w:r>
              <w:rPr>
                <w:sz w:val="16"/>
              </w:rPr>
              <w:t>2021-22 Q</w:t>
            </w:r>
            <w:r w:rsidR="00A56452">
              <w:rPr>
                <w:sz w:val="16"/>
              </w:rPr>
              <w:t>4</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4D8665CF" w:rsidR="00D765CB" w:rsidRPr="00A76D9F" w:rsidRDefault="005C4552" w:rsidP="003D5BED">
            <w:pPr>
              <w:pStyle w:val="VAHItablecolhead"/>
              <w:jc w:val="right"/>
              <w:rPr>
                <w:rFonts w:eastAsia="Verdana"/>
                <w:color w:val="244C5A"/>
                <w:sz w:val="16"/>
              </w:rPr>
            </w:pPr>
            <w:r>
              <w:rPr>
                <w:sz w:val="16"/>
              </w:rPr>
              <w:t>2021-22</w:t>
            </w:r>
            <w:r w:rsidR="00D765CB">
              <w:rPr>
                <w:sz w:val="16"/>
              </w:rPr>
              <w:t xml:space="preserve"> </w:t>
            </w:r>
            <w:r w:rsidR="00D765CB">
              <w:rPr>
                <w:sz w:val="16"/>
              </w:rPr>
              <w:br w:type="textWrapping" w:clear="all"/>
              <w:t>target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34B516CE"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2021-22</w:t>
            </w:r>
            <w:r>
              <w:rPr>
                <w:sz w:val="16"/>
              </w:rPr>
              <w:t xml:space="preserve"> target</w:t>
            </w:r>
          </w:p>
        </w:tc>
      </w:tr>
      <w:tr w:rsidR="00A56452" w:rsidRPr="00A6366B" w14:paraId="5AEF62E7" w14:textId="77777777" w:rsidTr="00650FED">
        <w:trPr>
          <w:trHeight w:val="340"/>
        </w:trPr>
        <w:tc>
          <w:tcPr>
            <w:tcW w:w="2704" w:type="dxa"/>
            <w:shd w:val="clear" w:color="auto" w:fill="BFCED6"/>
            <w:tcMar>
              <w:left w:w="57" w:type="dxa"/>
            </w:tcMar>
          </w:tcPr>
          <w:p w14:paraId="54B56F45" w14:textId="602821F4" w:rsidR="00A56452" w:rsidRPr="00382424" w:rsidRDefault="00A56452" w:rsidP="00A56452">
            <w:pPr>
              <w:pStyle w:val="DHHStabletext"/>
              <w:spacing w:before="0" w:after="0"/>
              <w:rPr>
                <w:rFonts w:ascii="VIC" w:eastAsia="Verdana" w:hAnsi="VIC" w:cs="Verdana"/>
                <w:sz w:val="18"/>
                <w:szCs w:val="18"/>
              </w:rPr>
            </w:pPr>
            <w:bookmarkStart w:id="2" w:name="_Hlk15473260"/>
            <w:r>
              <w:rPr>
                <w:rFonts w:ascii="VIC" w:eastAsia="VIC" w:hAnsi="VIC"/>
                <w:color w:val="000000"/>
                <w:sz w:val="18"/>
              </w:rPr>
              <w:t>Alfred Health</w:t>
            </w:r>
          </w:p>
        </w:tc>
        <w:tc>
          <w:tcPr>
            <w:tcW w:w="1449" w:type="dxa"/>
            <w:shd w:val="clear" w:color="auto" w:fill="BFCED6"/>
          </w:tcPr>
          <w:p w14:paraId="2B0082FF" w14:textId="6673E963" w:rsidR="00A56452" w:rsidRPr="00650FED" w:rsidRDefault="00A56452" w:rsidP="00A56452">
            <w:pPr>
              <w:jc w:val="right"/>
              <w:rPr>
                <w:rFonts w:ascii="VIC" w:hAnsi="VIC"/>
                <w:sz w:val="18"/>
                <w:szCs w:val="18"/>
              </w:rPr>
            </w:pPr>
            <w:r>
              <w:rPr>
                <w:rFonts w:ascii="VIC" w:eastAsia="VIC" w:hAnsi="VIC"/>
                <w:color w:val="000000"/>
                <w:sz w:val="18"/>
              </w:rPr>
              <w:t>22,453</w:t>
            </w:r>
          </w:p>
        </w:tc>
        <w:tc>
          <w:tcPr>
            <w:tcW w:w="1449" w:type="dxa"/>
            <w:shd w:val="clear" w:color="auto" w:fill="BFCED6"/>
          </w:tcPr>
          <w:p w14:paraId="535AF842" w14:textId="641E23D9" w:rsidR="00A56452" w:rsidRPr="00650FED" w:rsidRDefault="00A56452" w:rsidP="00A56452">
            <w:pPr>
              <w:jc w:val="right"/>
              <w:rPr>
                <w:rFonts w:ascii="VIC" w:hAnsi="VIC"/>
                <w:sz w:val="18"/>
                <w:szCs w:val="18"/>
              </w:rPr>
            </w:pPr>
            <w:r>
              <w:rPr>
                <w:rFonts w:ascii="VIC" w:eastAsia="VIC" w:hAnsi="VIC"/>
                <w:color w:val="000000"/>
                <w:sz w:val="18"/>
              </w:rPr>
              <w:t>90,706</w:t>
            </w:r>
          </w:p>
        </w:tc>
        <w:tc>
          <w:tcPr>
            <w:tcW w:w="1449" w:type="dxa"/>
            <w:shd w:val="clear" w:color="auto" w:fill="BFCED6"/>
          </w:tcPr>
          <w:p w14:paraId="4DAE3F9C" w14:textId="6350A0AF" w:rsidR="00A56452" w:rsidRPr="005F536D" w:rsidRDefault="00A56452" w:rsidP="00A56452">
            <w:pPr>
              <w:jc w:val="right"/>
              <w:rPr>
                <w:rFonts w:ascii="VIC" w:hAnsi="VIC"/>
                <w:sz w:val="18"/>
                <w:szCs w:val="18"/>
              </w:rPr>
            </w:pPr>
            <w:r>
              <w:rPr>
                <w:rFonts w:ascii="VIC" w:eastAsia="VIC" w:hAnsi="VIC"/>
                <w:color w:val="000000"/>
                <w:sz w:val="18"/>
              </w:rPr>
              <w:t>117,991</w:t>
            </w:r>
          </w:p>
        </w:tc>
        <w:tc>
          <w:tcPr>
            <w:tcW w:w="1449" w:type="dxa"/>
            <w:shd w:val="clear" w:color="auto" w:fill="BFCED6"/>
          </w:tcPr>
          <w:p w14:paraId="06536090" w14:textId="409A36A5"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30CB2EBF" w14:textId="39733109" w:rsidR="00A56452" w:rsidRPr="00650FED" w:rsidRDefault="00A56452" w:rsidP="00A56452">
            <w:pPr>
              <w:jc w:val="right"/>
              <w:rPr>
                <w:rFonts w:ascii="VIC" w:hAnsi="VIC"/>
                <w:color w:val="FF0000"/>
                <w:sz w:val="18"/>
                <w:szCs w:val="18"/>
              </w:rPr>
            </w:pPr>
            <w:r>
              <w:rPr>
                <w:rFonts w:ascii="VIC" w:eastAsia="VIC" w:hAnsi="VIC"/>
                <w:color w:val="FF0000"/>
                <w:sz w:val="18"/>
              </w:rPr>
              <w:t>77%</w:t>
            </w:r>
          </w:p>
        </w:tc>
      </w:tr>
      <w:bookmarkEnd w:id="2"/>
      <w:tr w:rsidR="00A56452" w:rsidRPr="00A6366B" w14:paraId="681BA44E" w14:textId="77777777" w:rsidTr="00650FED">
        <w:trPr>
          <w:trHeight w:val="340"/>
        </w:trPr>
        <w:tc>
          <w:tcPr>
            <w:tcW w:w="2704" w:type="dxa"/>
            <w:tcMar>
              <w:left w:w="57" w:type="dxa"/>
            </w:tcMar>
          </w:tcPr>
          <w:p w14:paraId="2CB2150E" w14:textId="116B79D3" w:rsidR="00A56452" w:rsidRPr="00382424" w:rsidRDefault="00A56452" w:rsidP="00A5645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449" w:type="dxa"/>
          </w:tcPr>
          <w:p w14:paraId="6298EB62" w14:textId="6D8879FE" w:rsidR="00A56452" w:rsidRPr="00650FED" w:rsidRDefault="00A56452" w:rsidP="00A56452">
            <w:pPr>
              <w:jc w:val="right"/>
              <w:rPr>
                <w:rFonts w:ascii="VIC" w:hAnsi="VIC"/>
                <w:sz w:val="18"/>
                <w:szCs w:val="18"/>
              </w:rPr>
            </w:pPr>
            <w:r>
              <w:rPr>
                <w:rFonts w:ascii="VIC" w:eastAsia="VIC" w:hAnsi="VIC"/>
                <w:color w:val="000000"/>
                <w:sz w:val="18"/>
              </w:rPr>
              <w:t>14,644</w:t>
            </w:r>
          </w:p>
        </w:tc>
        <w:tc>
          <w:tcPr>
            <w:tcW w:w="1449" w:type="dxa"/>
          </w:tcPr>
          <w:p w14:paraId="7809CD30" w14:textId="2F21B8A4" w:rsidR="00A56452" w:rsidRPr="00650FED" w:rsidRDefault="00A56452" w:rsidP="00A56452">
            <w:pPr>
              <w:jc w:val="right"/>
              <w:rPr>
                <w:rFonts w:ascii="VIC" w:hAnsi="VIC"/>
                <w:sz w:val="18"/>
                <w:szCs w:val="18"/>
              </w:rPr>
            </w:pPr>
            <w:r>
              <w:rPr>
                <w:rFonts w:ascii="VIC" w:eastAsia="VIC" w:hAnsi="VIC"/>
                <w:color w:val="000000"/>
                <w:sz w:val="18"/>
              </w:rPr>
              <w:t>52,184</w:t>
            </w:r>
          </w:p>
        </w:tc>
        <w:tc>
          <w:tcPr>
            <w:tcW w:w="1449" w:type="dxa"/>
          </w:tcPr>
          <w:p w14:paraId="1F8AED50" w14:textId="1B6593B5" w:rsidR="00A56452" w:rsidRPr="005F536D" w:rsidRDefault="00A56452" w:rsidP="00A56452">
            <w:pPr>
              <w:jc w:val="right"/>
              <w:rPr>
                <w:rFonts w:ascii="VIC" w:hAnsi="VIC"/>
                <w:sz w:val="18"/>
                <w:szCs w:val="18"/>
              </w:rPr>
            </w:pPr>
            <w:r>
              <w:rPr>
                <w:rFonts w:ascii="VIC" w:eastAsia="VIC" w:hAnsi="VIC"/>
                <w:color w:val="000000"/>
                <w:sz w:val="18"/>
              </w:rPr>
              <w:t>83,043</w:t>
            </w:r>
          </w:p>
        </w:tc>
        <w:tc>
          <w:tcPr>
            <w:tcW w:w="1449" w:type="dxa"/>
          </w:tcPr>
          <w:p w14:paraId="35568156" w14:textId="65767B47"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tcMar>
              <w:bottom w:w="0" w:type="dxa"/>
              <w:right w:w="57" w:type="dxa"/>
            </w:tcMar>
          </w:tcPr>
          <w:p w14:paraId="2FBEE051" w14:textId="3FB20C1F" w:rsidR="00A56452" w:rsidRPr="00650FED" w:rsidRDefault="00A56452" w:rsidP="00A56452">
            <w:pPr>
              <w:jc w:val="right"/>
              <w:rPr>
                <w:rFonts w:ascii="VIC" w:hAnsi="VIC"/>
                <w:color w:val="FF0000"/>
                <w:sz w:val="18"/>
                <w:szCs w:val="18"/>
              </w:rPr>
            </w:pPr>
            <w:r>
              <w:rPr>
                <w:rFonts w:ascii="VIC" w:eastAsia="VIC" w:hAnsi="VIC"/>
                <w:color w:val="FF0000"/>
                <w:sz w:val="18"/>
              </w:rPr>
              <w:t>63%</w:t>
            </w:r>
          </w:p>
        </w:tc>
      </w:tr>
      <w:tr w:rsidR="00A56452" w:rsidRPr="00A6366B" w14:paraId="1167B823" w14:textId="77777777" w:rsidTr="00650FED">
        <w:trPr>
          <w:trHeight w:val="340"/>
        </w:trPr>
        <w:tc>
          <w:tcPr>
            <w:tcW w:w="2704" w:type="dxa"/>
            <w:shd w:val="clear" w:color="auto" w:fill="BFCED6"/>
            <w:tcMar>
              <w:left w:w="57" w:type="dxa"/>
            </w:tcMar>
          </w:tcPr>
          <w:p w14:paraId="05BDDF9D" w14:textId="5EDFE2B0" w:rsidR="00A56452" w:rsidRPr="00382424" w:rsidRDefault="00A56452" w:rsidP="00A56452">
            <w:pPr>
              <w:pStyle w:val="DHHStabletext"/>
              <w:spacing w:before="0" w:after="0"/>
              <w:rPr>
                <w:rFonts w:ascii="VIC" w:hAnsi="VIC"/>
                <w:sz w:val="18"/>
                <w:szCs w:val="18"/>
              </w:rPr>
            </w:pPr>
            <w:r>
              <w:rPr>
                <w:rFonts w:ascii="VIC" w:eastAsia="VIC" w:hAnsi="VIC"/>
                <w:color w:val="000000"/>
                <w:sz w:val="18"/>
              </w:rPr>
              <w:t>Eastern Health</w:t>
            </w:r>
          </w:p>
        </w:tc>
        <w:tc>
          <w:tcPr>
            <w:tcW w:w="1449" w:type="dxa"/>
            <w:shd w:val="clear" w:color="auto" w:fill="BFCED6"/>
          </w:tcPr>
          <w:p w14:paraId="681B4214" w14:textId="19570D58" w:rsidR="00A56452" w:rsidRPr="00650FED" w:rsidRDefault="00A56452" w:rsidP="00A56452">
            <w:pPr>
              <w:jc w:val="right"/>
              <w:rPr>
                <w:rFonts w:ascii="VIC" w:hAnsi="VIC"/>
                <w:sz w:val="18"/>
                <w:szCs w:val="18"/>
              </w:rPr>
            </w:pPr>
            <w:r>
              <w:rPr>
                <w:rFonts w:ascii="VIC" w:eastAsia="VIC" w:hAnsi="VIC"/>
                <w:color w:val="000000"/>
                <w:sz w:val="18"/>
              </w:rPr>
              <w:t>45,853</w:t>
            </w:r>
          </w:p>
        </w:tc>
        <w:tc>
          <w:tcPr>
            <w:tcW w:w="1449" w:type="dxa"/>
            <w:shd w:val="clear" w:color="auto" w:fill="BFCED6"/>
          </w:tcPr>
          <w:p w14:paraId="5D2E6588" w14:textId="31B10883" w:rsidR="00A56452" w:rsidRPr="00650FED" w:rsidRDefault="00A56452" w:rsidP="00A56452">
            <w:pPr>
              <w:jc w:val="right"/>
              <w:rPr>
                <w:rFonts w:ascii="VIC" w:hAnsi="VIC"/>
                <w:sz w:val="18"/>
                <w:szCs w:val="18"/>
              </w:rPr>
            </w:pPr>
            <w:r>
              <w:rPr>
                <w:rFonts w:ascii="VIC" w:eastAsia="VIC" w:hAnsi="VIC"/>
                <w:color w:val="000000"/>
                <w:sz w:val="18"/>
              </w:rPr>
              <w:t>161,317</w:t>
            </w:r>
          </w:p>
        </w:tc>
        <w:tc>
          <w:tcPr>
            <w:tcW w:w="1449" w:type="dxa"/>
            <w:shd w:val="clear" w:color="auto" w:fill="BFCED6"/>
          </w:tcPr>
          <w:p w14:paraId="78C2F2A5" w14:textId="2EC6042F" w:rsidR="00A56452" w:rsidRPr="005F536D" w:rsidRDefault="00A56452" w:rsidP="00A56452">
            <w:pPr>
              <w:jc w:val="right"/>
              <w:rPr>
                <w:rFonts w:ascii="VIC" w:hAnsi="VIC"/>
                <w:sz w:val="18"/>
                <w:szCs w:val="18"/>
              </w:rPr>
            </w:pPr>
            <w:r>
              <w:rPr>
                <w:rFonts w:ascii="VIC" w:eastAsia="VIC" w:hAnsi="VIC"/>
                <w:color w:val="000000"/>
                <w:sz w:val="18"/>
              </w:rPr>
              <w:t>215,479</w:t>
            </w:r>
          </w:p>
        </w:tc>
        <w:tc>
          <w:tcPr>
            <w:tcW w:w="1449" w:type="dxa"/>
            <w:shd w:val="clear" w:color="auto" w:fill="BFCED6"/>
          </w:tcPr>
          <w:p w14:paraId="418915D8" w14:textId="5BF65C23"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69E3AE08" w14:textId="72240F2B" w:rsidR="00A56452" w:rsidRPr="00650FED" w:rsidRDefault="00A56452" w:rsidP="00A56452">
            <w:pPr>
              <w:jc w:val="right"/>
              <w:rPr>
                <w:rFonts w:ascii="VIC" w:hAnsi="VIC"/>
                <w:color w:val="FF0000"/>
                <w:sz w:val="18"/>
                <w:szCs w:val="18"/>
              </w:rPr>
            </w:pPr>
            <w:r>
              <w:rPr>
                <w:rFonts w:ascii="VIC" w:eastAsia="VIC" w:hAnsi="VIC"/>
                <w:color w:val="FF0000"/>
                <w:sz w:val="18"/>
              </w:rPr>
              <w:t>75%</w:t>
            </w:r>
          </w:p>
        </w:tc>
      </w:tr>
      <w:tr w:rsidR="00A56452" w:rsidRPr="00A6366B" w14:paraId="3B60D1BE" w14:textId="77777777" w:rsidTr="00650FED">
        <w:trPr>
          <w:trHeight w:val="340"/>
        </w:trPr>
        <w:tc>
          <w:tcPr>
            <w:tcW w:w="2704" w:type="dxa"/>
            <w:shd w:val="clear" w:color="auto" w:fill="FFFFFF" w:themeFill="background1"/>
            <w:tcMar>
              <w:left w:w="57" w:type="dxa"/>
            </w:tcMar>
          </w:tcPr>
          <w:p w14:paraId="0E554804" w14:textId="332EEC30"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Melbourne Health</w:t>
            </w:r>
          </w:p>
        </w:tc>
        <w:tc>
          <w:tcPr>
            <w:tcW w:w="1449" w:type="dxa"/>
            <w:shd w:val="clear" w:color="auto" w:fill="FFFFFF" w:themeFill="background1"/>
          </w:tcPr>
          <w:p w14:paraId="78B885C9" w14:textId="292F2752" w:rsidR="00A56452" w:rsidRPr="00650FED" w:rsidRDefault="00A56452" w:rsidP="00A56452">
            <w:pPr>
              <w:jc w:val="right"/>
              <w:rPr>
                <w:rFonts w:ascii="VIC" w:hAnsi="VIC"/>
                <w:sz w:val="18"/>
                <w:szCs w:val="18"/>
              </w:rPr>
            </w:pPr>
            <w:r>
              <w:rPr>
                <w:rFonts w:ascii="VIC" w:eastAsia="VIC" w:hAnsi="VIC"/>
                <w:color w:val="000000"/>
                <w:sz w:val="18"/>
              </w:rPr>
              <w:t>71,760</w:t>
            </w:r>
          </w:p>
        </w:tc>
        <w:tc>
          <w:tcPr>
            <w:tcW w:w="1449" w:type="dxa"/>
            <w:shd w:val="clear" w:color="auto" w:fill="FFFFFF" w:themeFill="background1"/>
          </w:tcPr>
          <w:p w14:paraId="2C198557" w14:textId="775E0144" w:rsidR="00A56452" w:rsidRPr="00650FED" w:rsidRDefault="00A56452" w:rsidP="00A56452">
            <w:pPr>
              <w:jc w:val="right"/>
              <w:rPr>
                <w:rFonts w:ascii="VIC" w:hAnsi="VIC"/>
                <w:sz w:val="18"/>
                <w:szCs w:val="18"/>
              </w:rPr>
            </w:pPr>
            <w:r>
              <w:rPr>
                <w:rFonts w:ascii="VIC" w:eastAsia="VIC" w:hAnsi="VIC"/>
                <w:color w:val="000000"/>
                <w:sz w:val="18"/>
              </w:rPr>
              <w:t>247,051</w:t>
            </w:r>
          </w:p>
        </w:tc>
        <w:tc>
          <w:tcPr>
            <w:tcW w:w="1449" w:type="dxa"/>
            <w:shd w:val="clear" w:color="auto" w:fill="FFFFFF" w:themeFill="background1"/>
          </w:tcPr>
          <w:p w14:paraId="59F16309" w14:textId="25B663A8" w:rsidR="00A56452" w:rsidRPr="005F536D" w:rsidRDefault="00A56452" w:rsidP="00A56452">
            <w:pPr>
              <w:jc w:val="right"/>
              <w:rPr>
                <w:rFonts w:ascii="VIC" w:hAnsi="VIC"/>
                <w:sz w:val="18"/>
                <w:szCs w:val="18"/>
              </w:rPr>
            </w:pPr>
            <w:r>
              <w:rPr>
                <w:rFonts w:ascii="VIC" w:eastAsia="VIC" w:hAnsi="VIC"/>
                <w:color w:val="000000"/>
                <w:sz w:val="18"/>
              </w:rPr>
              <w:t>344,659</w:t>
            </w:r>
          </w:p>
        </w:tc>
        <w:tc>
          <w:tcPr>
            <w:tcW w:w="1449" w:type="dxa"/>
            <w:shd w:val="clear" w:color="auto" w:fill="FFFFFF" w:themeFill="background1"/>
          </w:tcPr>
          <w:p w14:paraId="07514259" w14:textId="5B7F432B"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1C712338" w14:textId="3F90E4FD" w:rsidR="00A56452" w:rsidRPr="00650FED" w:rsidRDefault="00A56452" w:rsidP="00A56452">
            <w:pPr>
              <w:jc w:val="right"/>
              <w:rPr>
                <w:rFonts w:ascii="VIC" w:hAnsi="VIC"/>
                <w:color w:val="FF0000"/>
                <w:sz w:val="18"/>
                <w:szCs w:val="18"/>
              </w:rPr>
            </w:pPr>
            <w:r>
              <w:rPr>
                <w:rFonts w:ascii="VIC" w:eastAsia="VIC" w:hAnsi="VIC"/>
                <w:color w:val="FF0000"/>
                <w:sz w:val="18"/>
              </w:rPr>
              <w:t>72%</w:t>
            </w:r>
          </w:p>
        </w:tc>
      </w:tr>
      <w:tr w:rsidR="00A56452" w:rsidRPr="00A6366B" w14:paraId="2BE4D301" w14:textId="77777777" w:rsidTr="00650FED">
        <w:trPr>
          <w:trHeight w:val="340"/>
        </w:trPr>
        <w:tc>
          <w:tcPr>
            <w:tcW w:w="2704" w:type="dxa"/>
            <w:shd w:val="clear" w:color="auto" w:fill="BFCED6"/>
            <w:tcMar>
              <w:left w:w="57" w:type="dxa"/>
            </w:tcMar>
          </w:tcPr>
          <w:p w14:paraId="5A2DD6EB" w14:textId="4FC1E6BF"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Monash Health</w:t>
            </w:r>
          </w:p>
        </w:tc>
        <w:tc>
          <w:tcPr>
            <w:tcW w:w="1449" w:type="dxa"/>
            <w:shd w:val="clear" w:color="auto" w:fill="BFCED6"/>
          </w:tcPr>
          <w:p w14:paraId="2B9AE086" w14:textId="68C2DC47" w:rsidR="00A56452" w:rsidRPr="00650FED" w:rsidRDefault="00A56452" w:rsidP="00A56452">
            <w:pPr>
              <w:jc w:val="right"/>
              <w:rPr>
                <w:rFonts w:ascii="VIC" w:hAnsi="VIC"/>
                <w:sz w:val="18"/>
                <w:szCs w:val="18"/>
              </w:rPr>
            </w:pPr>
            <w:r>
              <w:rPr>
                <w:rFonts w:ascii="VIC" w:eastAsia="VIC" w:hAnsi="VIC"/>
                <w:color w:val="000000"/>
                <w:sz w:val="18"/>
              </w:rPr>
              <w:t>48,732</w:t>
            </w:r>
          </w:p>
        </w:tc>
        <w:tc>
          <w:tcPr>
            <w:tcW w:w="1449" w:type="dxa"/>
            <w:shd w:val="clear" w:color="auto" w:fill="BFCED6"/>
          </w:tcPr>
          <w:p w14:paraId="7DAE285E" w14:textId="43674218" w:rsidR="00A56452" w:rsidRPr="00650FED" w:rsidRDefault="00A56452" w:rsidP="00A56452">
            <w:pPr>
              <w:jc w:val="right"/>
              <w:rPr>
                <w:rFonts w:ascii="VIC" w:hAnsi="VIC"/>
                <w:sz w:val="18"/>
                <w:szCs w:val="18"/>
              </w:rPr>
            </w:pPr>
            <w:r>
              <w:rPr>
                <w:rFonts w:ascii="VIC" w:eastAsia="VIC" w:hAnsi="VIC"/>
                <w:color w:val="000000"/>
                <w:sz w:val="18"/>
              </w:rPr>
              <w:t>200,801</w:t>
            </w:r>
          </w:p>
        </w:tc>
        <w:tc>
          <w:tcPr>
            <w:tcW w:w="1449" w:type="dxa"/>
            <w:shd w:val="clear" w:color="auto" w:fill="BFCED6"/>
          </w:tcPr>
          <w:p w14:paraId="6FA4356A" w14:textId="45A3C5E3" w:rsidR="00A56452" w:rsidRPr="005F536D" w:rsidRDefault="00A56452" w:rsidP="00A56452">
            <w:pPr>
              <w:jc w:val="right"/>
              <w:rPr>
                <w:rFonts w:ascii="VIC" w:hAnsi="VIC"/>
                <w:sz w:val="18"/>
                <w:szCs w:val="18"/>
              </w:rPr>
            </w:pPr>
            <w:r>
              <w:rPr>
                <w:rFonts w:ascii="VIC" w:eastAsia="VIC" w:hAnsi="VIC"/>
                <w:color w:val="000000"/>
                <w:sz w:val="18"/>
              </w:rPr>
              <w:t>255,008</w:t>
            </w:r>
          </w:p>
        </w:tc>
        <w:tc>
          <w:tcPr>
            <w:tcW w:w="1449" w:type="dxa"/>
            <w:shd w:val="clear" w:color="auto" w:fill="BFCED6"/>
          </w:tcPr>
          <w:p w14:paraId="48D4AC85" w14:textId="1A263231"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09A22151" w14:textId="0407E264" w:rsidR="00A56452" w:rsidRPr="00650FED" w:rsidRDefault="00A56452" w:rsidP="00A56452">
            <w:pPr>
              <w:jc w:val="right"/>
              <w:rPr>
                <w:rFonts w:ascii="VIC" w:hAnsi="VIC"/>
                <w:color w:val="FF0000"/>
                <w:sz w:val="18"/>
                <w:szCs w:val="18"/>
              </w:rPr>
            </w:pPr>
            <w:r>
              <w:rPr>
                <w:rFonts w:ascii="VIC" w:eastAsia="VIC" w:hAnsi="VIC"/>
                <w:color w:val="FF0000"/>
                <w:sz w:val="18"/>
              </w:rPr>
              <w:t>79%</w:t>
            </w:r>
          </w:p>
        </w:tc>
      </w:tr>
      <w:tr w:rsidR="00A56452" w:rsidRPr="00A6366B" w14:paraId="438A5ED7" w14:textId="77777777" w:rsidTr="00650FED">
        <w:trPr>
          <w:trHeight w:val="340"/>
        </w:trPr>
        <w:tc>
          <w:tcPr>
            <w:tcW w:w="2704" w:type="dxa"/>
            <w:shd w:val="clear" w:color="auto" w:fill="FFFFFF" w:themeFill="background1"/>
            <w:tcMar>
              <w:left w:w="57" w:type="dxa"/>
            </w:tcMar>
          </w:tcPr>
          <w:p w14:paraId="5508A2FB" w14:textId="7FEBDBF7"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Peninsula Health</w:t>
            </w:r>
          </w:p>
        </w:tc>
        <w:tc>
          <w:tcPr>
            <w:tcW w:w="1449" w:type="dxa"/>
            <w:shd w:val="clear" w:color="auto" w:fill="FFFFFF" w:themeFill="background1"/>
          </w:tcPr>
          <w:p w14:paraId="476167F3" w14:textId="32414B08" w:rsidR="00A56452" w:rsidRPr="00650FED" w:rsidRDefault="00A56452" w:rsidP="00A56452">
            <w:pPr>
              <w:jc w:val="right"/>
              <w:rPr>
                <w:rFonts w:ascii="VIC" w:hAnsi="VIC"/>
                <w:sz w:val="18"/>
                <w:szCs w:val="18"/>
              </w:rPr>
            </w:pPr>
            <w:r>
              <w:rPr>
                <w:rFonts w:ascii="VIC" w:eastAsia="VIC" w:hAnsi="VIC"/>
                <w:color w:val="000000"/>
                <w:sz w:val="18"/>
              </w:rPr>
              <w:t>13,736</w:t>
            </w:r>
          </w:p>
        </w:tc>
        <w:tc>
          <w:tcPr>
            <w:tcW w:w="1449" w:type="dxa"/>
            <w:shd w:val="clear" w:color="auto" w:fill="FFFFFF" w:themeFill="background1"/>
          </w:tcPr>
          <w:p w14:paraId="10F0E63D" w14:textId="494CDF2B" w:rsidR="00A56452" w:rsidRPr="00650FED" w:rsidRDefault="00A56452" w:rsidP="00A56452">
            <w:pPr>
              <w:jc w:val="right"/>
              <w:rPr>
                <w:rFonts w:ascii="VIC" w:hAnsi="VIC"/>
                <w:sz w:val="18"/>
                <w:szCs w:val="18"/>
              </w:rPr>
            </w:pPr>
            <w:r>
              <w:rPr>
                <w:rFonts w:ascii="VIC" w:eastAsia="VIC" w:hAnsi="VIC"/>
                <w:color w:val="000000"/>
                <w:sz w:val="18"/>
              </w:rPr>
              <w:t>54,118</w:t>
            </w:r>
          </w:p>
        </w:tc>
        <w:tc>
          <w:tcPr>
            <w:tcW w:w="1449" w:type="dxa"/>
            <w:shd w:val="clear" w:color="auto" w:fill="FFFFFF" w:themeFill="background1"/>
          </w:tcPr>
          <w:p w14:paraId="7EDDBD46" w14:textId="5938C4F4" w:rsidR="00A56452" w:rsidRPr="005F536D" w:rsidRDefault="00A56452" w:rsidP="00A56452">
            <w:pPr>
              <w:jc w:val="right"/>
              <w:rPr>
                <w:rFonts w:ascii="VIC" w:hAnsi="VIC"/>
                <w:sz w:val="18"/>
                <w:szCs w:val="18"/>
              </w:rPr>
            </w:pPr>
            <w:r>
              <w:rPr>
                <w:rFonts w:ascii="VIC" w:eastAsia="VIC" w:hAnsi="VIC"/>
                <w:color w:val="000000"/>
                <w:sz w:val="18"/>
              </w:rPr>
              <w:t>70,086</w:t>
            </w:r>
          </w:p>
        </w:tc>
        <w:tc>
          <w:tcPr>
            <w:tcW w:w="1449" w:type="dxa"/>
            <w:shd w:val="clear" w:color="auto" w:fill="FFFFFF" w:themeFill="background1"/>
          </w:tcPr>
          <w:p w14:paraId="5C34C696" w14:textId="76A0572A"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1BB32B21" w14:textId="28560B7F" w:rsidR="00A56452" w:rsidRPr="00650FED" w:rsidRDefault="00A56452" w:rsidP="00A56452">
            <w:pPr>
              <w:jc w:val="right"/>
              <w:rPr>
                <w:rFonts w:ascii="VIC" w:hAnsi="VIC"/>
                <w:color w:val="FF0000"/>
                <w:sz w:val="18"/>
                <w:szCs w:val="18"/>
              </w:rPr>
            </w:pPr>
            <w:r>
              <w:rPr>
                <w:rFonts w:ascii="VIC" w:eastAsia="VIC" w:hAnsi="VIC"/>
                <w:color w:val="FF0000"/>
                <w:sz w:val="18"/>
              </w:rPr>
              <w:t>77%</w:t>
            </w:r>
          </w:p>
        </w:tc>
      </w:tr>
      <w:tr w:rsidR="00A56452" w:rsidRPr="00A6366B" w14:paraId="5F773288" w14:textId="77777777" w:rsidTr="00650FED">
        <w:trPr>
          <w:trHeight w:val="340"/>
        </w:trPr>
        <w:tc>
          <w:tcPr>
            <w:tcW w:w="2704" w:type="dxa"/>
            <w:shd w:val="clear" w:color="auto" w:fill="BFCED6"/>
            <w:tcMar>
              <w:left w:w="57" w:type="dxa"/>
            </w:tcMar>
          </w:tcPr>
          <w:p w14:paraId="3B22BA3E" w14:textId="5D8C3981"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St Vincent's Hospital</w:t>
            </w:r>
          </w:p>
        </w:tc>
        <w:tc>
          <w:tcPr>
            <w:tcW w:w="1449" w:type="dxa"/>
            <w:shd w:val="clear" w:color="auto" w:fill="BFCED6"/>
          </w:tcPr>
          <w:p w14:paraId="3E4F9E63" w14:textId="2189A8C3" w:rsidR="00A56452" w:rsidRPr="00650FED" w:rsidRDefault="00A56452" w:rsidP="00A56452">
            <w:pPr>
              <w:jc w:val="right"/>
              <w:rPr>
                <w:rFonts w:ascii="VIC" w:hAnsi="VIC"/>
                <w:sz w:val="18"/>
                <w:szCs w:val="18"/>
              </w:rPr>
            </w:pPr>
            <w:r>
              <w:rPr>
                <w:rFonts w:ascii="VIC" w:eastAsia="VIC" w:hAnsi="VIC"/>
                <w:color w:val="000000"/>
                <w:sz w:val="18"/>
              </w:rPr>
              <w:t>17,574</w:t>
            </w:r>
          </w:p>
        </w:tc>
        <w:tc>
          <w:tcPr>
            <w:tcW w:w="1449" w:type="dxa"/>
            <w:shd w:val="clear" w:color="auto" w:fill="BFCED6"/>
          </w:tcPr>
          <w:p w14:paraId="71558B5C" w14:textId="7F51BEBD" w:rsidR="00A56452" w:rsidRPr="00650FED" w:rsidRDefault="00A56452" w:rsidP="00A56452">
            <w:pPr>
              <w:jc w:val="right"/>
              <w:rPr>
                <w:rFonts w:ascii="VIC" w:hAnsi="VIC"/>
                <w:sz w:val="18"/>
                <w:szCs w:val="18"/>
              </w:rPr>
            </w:pPr>
            <w:r>
              <w:rPr>
                <w:rFonts w:ascii="VIC" w:eastAsia="VIC" w:hAnsi="VIC"/>
                <w:color w:val="000000"/>
                <w:sz w:val="18"/>
              </w:rPr>
              <w:t>56,830</w:t>
            </w:r>
          </w:p>
        </w:tc>
        <w:tc>
          <w:tcPr>
            <w:tcW w:w="1449" w:type="dxa"/>
            <w:shd w:val="clear" w:color="auto" w:fill="BFCED6"/>
          </w:tcPr>
          <w:p w14:paraId="0F7C08D8" w14:textId="23BCE2BD" w:rsidR="00A56452" w:rsidRPr="005F536D" w:rsidRDefault="00A56452" w:rsidP="00A56452">
            <w:pPr>
              <w:jc w:val="right"/>
              <w:rPr>
                <w:rFonts w:ascii="VIC" w:hAnsi="VIC"/>
                <w:sz w:val="18"/>
                <w:szCs w:val="18"/>
              </w:rPr>
            </w:pPr>
            <w:r>
              <w:rPr>
                <w:rFonts w:ascii="VIC" w:eastAsia="VIC" w:hAnsi="VIC"/>
                <w:color w:val="000000"/>
                <w:sz w:val="18"/>
              </w:rPr>
              <w:t>79,962</w:t>
            </w:r>
          </w:p>
        </w:tc>
        <w:tc>
          <w:tcPr>
            <w:tcW w:w="1449" w:type="dxa"/>
            <w:shd w:val="clear" w:color="auto" w:fill="BFCED6"/>
          </w:tcPr>
          <w:p w14:paraId="4D408ED0" w14:textId="3B568F22"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246C07E2" w14:textId="138ADA28" w:rsidR="00A56452" w:rsidRPr="00650FED" w:rsidRDefault="00A56452" w:rsidP="00A56452">
            <w:pPr>
              <w:jc w:val="right"/>
              <w:rPr>
                <w:rFonts w:ascii="VIC" w:hAnsi="VIC"/>
                <w:color w:val="FF0000"/>
                <w:sz w:val="18"/>
                <w:szCs w:val="18"/>
              </w:rPr>
            </w:pPr>
            <w:r>
              <w:rPr>
                <w:rFonts w:ascii="VIC" w:eastAsia="VIC" w:hAnsi="VIC"/>
                <w:color w:val="FF0000"/>
                <w:sz w:val="18"/>
              </w:rPr>
              <w:t>71%</w:t>
            </w:r>
          </w:p>
        </w:tc>
      </w:tr>
      <w:tr w:rsidR="00A56452" w:rsidRPr="00A6366B" w14:paraId="2258906B" w14:textId="77777777" w:rsidTr="00650FED">
        <w:trPr>
          <w:trHeight w:val="340"/>
        </w:trPr>
        <w:tc>
          <w:tcPr>
            <w:tcW w:w="2704" w:type="dxa"/>
            <w:shd w:val="clear" w:color="auto" w:fill="FFFFFF" w:themeFill="background1"/>
            <w:tcMar>
              <w:left w:w="57" w:type="dxa"/>
            </w:tcMar>
          </w:tcPr>
          <w:p w14:paraId="71CD8163" w14:textId="3C58E7E2"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Mercy Health</w:t>
            </w:r>
          </w:p>
        </w:tc>
        <w:tc>
          <w:tcPr>
            <w:tcW w:w="1449" w:type="dxa"/>
            <w:shd w:val="clear" w:color="auto" w:fill="FFFFFF" w:themeFill="background1"/>
          </w:tcPr>
          <w:p w14:paraId="73E9A05B" w14:textId="0361179B" w:rsidR="00A56452" w:rsidRPr="00650FED" w:rsidRDefault="00A56452" w:rsidP="00A56452">
            <w:pPr>
              <w:jc w:val="right"/>
              <w:rPr>
                <w:rFonts w:ascii="VIC" w:hAnsi="VIC"/>
                <w:sz w:val="18"/>
                <w:szCs w:val="18"/>
              </w:rPr>
            </w:pPr>
            <w:r>
              <w:rPr>
                <w:rFonts w:ascii="VIC" w:eastAsia="VIC" w:hAnsi="VIC"/>
                <w:color w:val="000000"/>
                <w:sz w:val="18"/>
              </w:rPr>
              <w:t>19,676</w:t>
            </w:r>
          </w:p>
        </w:tc>
        <w:tc>
          <w:tcPr>
            <w:tcW w:w="1449" w:type="dxa"/>
            <w:shd w:val="clear" w:color="auto" w:fill="FFFFFF" w:themeFill="background1"/>
          </w:tcPr>
          <w:p w14:paraId="420F86E1" w14:textId="2F18994A" w:rsidR="00A56452" w:rsidRPr="00650FED" w:rsidRDefault="00A56452" w:rsidP="00A56452">
            <w:pPr>
              <w:jc w:val="right"/>
              <w:rPr>
                <w:rFonts w:ascii="VIC" w:hAnsi="VIC"/>
                <w:sz w:val="18"/>
                <w:szCs w:val="18"/>
              </w:rPr>
            </w:pPr>
            <w:r>
              <w:rPr>
                <w:rFonts w:ascii="VIC" w:eastAsia="VIC" w:hAnsi="VIC"/>
                <w:color w:val="000000"/>
                <w:sz w:val="18"/>
              </w:rPr>
              <w:t>61,095</w:t>
            </w:r>
          </w:p>
        </w:tc>
        <w:tc>
          <w:tcPr>
            <w:tcW w:w="1449" w:type="dxa"/>
            <w:shd w:val="clear" w:color="auto" w:fill="FFFFFF" w:themeFill="background1"/>
          </w:tcPr>
          <w:p w14:paraId="64B9CAC0" w14:textId="28F0040C" w:rsidR="00A56452" w:rsidRPr="005F536D" w:rsidRDefault="00A56452" w:rsidP="00A56452">
            <w:pPr>
              <w:jc w:val="right"/>
              <w:rPr>
                <w:rFonts w:ascii="VIC" w:hAnsi="VIC"/>
                <w:sz w:val="18"/>
                <w:szCs w:val="18"/>
              </w:rPr>
            </w:pPr>
            <w:r>
              <w:rPr>
                <w:rFonts w:ascii="VIC" w:eastAsia="VIC" w:hAnsi="VIC"/>
                <w:color w:val="000000"/>
                <w:sz w:val="18"/>
              </w:rPr>
              <w:t>82,674</w:t>
            </w:r>
          </w:p>
        </w:tc>
        <w:tc>
          <w:tcPr>
            <w:tcW w:w="1449" w:type="dxa"/>
            <w:shd w:val="clear" w:color="auto" w:fill="FFFFFF" w:themeFill="background1"/>
          </w:tcPr>
          <w:p w14:paraId="48E4277B" w14:textId="47C1235F"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46A42627" w14:textId="3999A29F" w:rsidR="00A56452" w:rsidRPr="00650FED" w:rsidRDefault="00A56452" w:rsidP="00A56452">
            <w:pPr>
              <w:jc w:val="right"/>
              <w:rPr>
                <w:rFonts w:ascii="VIC" w:hAnsi="VIC"/>
                <w:color w:val="FF0000"/>
                <w:sz w:val="18"/>
                <w:szCs w:val="18"/>
              </w:rPr>
            </w:pPr>
            <w:r>
              <w:rPr>
                <w:rFonts w:ascii="VIC" w:eastAsia="VIC" w:hAnsi="VIC"/>
                <w:color w:val="FF0000"/>
                <w:sz w:val="18"/>
              </w:rPr>
              <w:t>74%</w:t>
            </w:r>
          </w:p>
        </w:tc>
      </w:tr>
      <w:tr w:rsidR="00A56452" w:rsidRPr="00A6366B" w14:paraId="1FF3F1C5" w14:textId="77777777" w:rsidTr="00650FED">
        <w:trPr>
          <w:trHeight w:val="340"/>
        </w:trPr>
        <w:tc>
          <w:tcPr>
            <w:tcW w:w="2704" w:type="dxa"/>
            <w:shd w:val="clear" w:color="auto" w:fill="BFCED6"/>
            <w:tcMar>
              <w:left w:w="57" w:type="dxa"/>
            </w:tcMar>
          </w:tcPr>
          <w:p w14:paraId="1A232B5F" w14:textId="46A634FE"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Royal Children's</w:t>
            </w:r>
          </w:p>
        </w:tc>
        <w:tc>
          <w:tcPr>
            <w:tcW w:w="1449" w:type="dxa"/>
            <w:shd w:val="clear" w:color="auto" w:fill="BFCED6"/>
          </w:tcPr>
          <w:p w14:paraId="52438A44" w14:textId="4B906DB3" w:rsidR="00A56452" w:rsidRPr="00650FED" w:rsidRDefault="00A56452" w:rsidP="00A56452">
            <w:pPr>
              <w:jc w:val="right"/>
              <w:rPr>
                <w:rFonts w:ascii="VIC" w:hAnsi="VIC"/>
                <w:sz w:val="18"/>
                <w:szCs w:val="18"/>
              </w:rPr>
            </w:pPr>
            <w:r>
              <w:rPr>
                <w:rFonts w:ascii="VIC" w:eastAsia="VIC" w:hAnsi="VIC"/>
                <w:color w:val="000000"/>
                <w:sz w:val="18"/>
              </w:rPr>
              <w:t>9,726</w:t>
            </w:r>
          </w:p>
        </w:tc>
        <w:tc>
          <w:tcPr>
            <w:tcW w:w="1449" w:type="dxa"/>
            <w:shd w:val="clear" w:color="auto" w:fill="BFCED6"/>
          </w:tcPr>
          <w:p w14:paraId="351EC681" w14:textId="4A52A0CB" w:rsidR="00A56452" w:rsidRPr="00650FED" w:rsidRDefault="00A56452" w:rsidP="00A56452">
            <w:pPr>
              <w:jc w:val="right"/>
              <w:rPr>
                <w:rFonts w:ascii="VIC" w:hAnsi="VIC"/>
                <w:sz w:val="18"/>
                <w:szCs w:val="18"/>
              </w:rPr>
            </w:pPr>
            <w:r>
              <w:rPr>
                <w:rFonts w:ascii="VIC" w:eastAsia="VIC" w:hAnsi="VIC"/>
                <w:color w:val="000000"/>
                <w:sz w:val="18"/>
              </w:rPr>
              <w:t>38,136</w:t>
            </w:r>
          </w:p>
        </w:tc>
        <w:tc>
          <w:tcPr>
            <w:tcW w:w="1449" w:type="dxa"/>
            <w:shd w:val="clear" w:color="auto" w:fill="BFCED6"/>
          </w:tcPr>
          <w:p w14:paraId="041C39BC" w14:textId="7DE6BB59" w:rsidR="00A56452" w:rsidRPr="005F536D" w:rsidRDefault="00A56452" w:rsidP="00A56452">
            <w:pPr>
              <w:jc w:val="right"/>
              <w:rPr>
                <w:rFonts w:ascii="VIC" w:hAnsi="VIC"/>
                <w:sz w:val="18"/>
                <w:szCs w:val="18"/>
              </w:rPr>
            </w:pPr>
            <w:r>
              <w:rPr>
                <w:rFonts w:ascii="VIC" w:eastAsia="VIC" w:hAnsi="VIC"/>
                <w:color w:val="000000"/>
                <w:sz w:val="18"/>
              </w:rPr>
              <w:t>44,396</w:t>
            </w:r>
          </w:p>
        </w:tc>
        <w:tc>
          <w:tcPr>
            <w:tcW w:w="1449" w:type="dxa"/>
            <w:shd w:val="clear" w:color="auto" w:fill="BFCED6"/>
          </w:tcPr>
          <w:p w14:paraId="60971C47" w14:textId="03074601"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49DF8B68" w14:textId="6CB27860" w:rsidR="00A56452" w:rsidRPr="00650FED" w:rsidRDefault="00A56452" w:rsidP="00A56452">
            <w:pPr>
              <w:jc w:val="right"/>
              <w:rPr>
                <w:rFonts w:ascii="VIC" w:hAnsi="VIC"/>
                <w:color w:val="FF0000"/>
                <w:sz w:val="18"/>
                <w:szCs w:val="18"/>
              </w:rPr>
            </w:pPr>
            <w:r>
              <w:rPr>
                <w:rFonts w:ascii="VIC" w:eastAsia="VIC" w:hAnsi="VIC"/>
                <w:color w:val="FF0000"/>
                <w:sz w:val="18"/>
              </w:rPr>
              <w:t>86%</w:t>
            </w:r>
          </w:p>
        </w:tc>
      </w:tr>
      <w:tr w:rsidR="00A56452" w:rsidRPr="00A6366B" w14:paraId="0BB44688" w14:textId="77777777" w:rsidTr="00650FED">
        <w:trPr>
          <w:trHeight w:val="340"/>
        </w:trPr>
        <w:tc>
          <w:tcPr>
            <w:tcW w:w="2704" w:type="dxa"/>
            <w:shd w:val="clear" w:color="auto" w:fill="FFFFFF" w:themeFill="background1"/>
            <w:tcMar>
              <w:left w:w="57" w:type="dxa"/>
            </w:tcMar>
          </w:tcPr>
          <w:p w14:paraId="738C062A" w14:textId="02D32FDC"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VIFMH (Forensicare)</w:t>
            </w:r>
          </w:p>
        </w:tc>
        <w:tc>
          <w:tcPr>
            <w:tcW w:w="1449" w:type="dxa"/>
            <w:shd w:val="clear" w:color="auto" w:fill="FFFFFF" w:themeFill="background1"/>
          </w:tcPr>
          <w:p w14:paraId="5DD55C89" w14:textId="232C50C3" w:rsidR="00A56452" w:rsidRPr="00650FED" w:rsidRDefault="00A56452" w:rsidP="00A56452">
            <w:pPr>
              <w:jc w:val="right"/>
              <w:rPr>
                <w:rFonts w:ascii="VIC" w:hAnsi="VIC"/>
                <w:sz w:val="18"/>
                <w:szCs w:val="18"/>
              </w:rPr>
            </w:pPr>
            <w:r>
              <w:rPr>
                <w:rFonts w:ascii="VIC" w:eastAsia="VIC" w:hAnsi="VIC"/>
                <w:color w:val="000000"/>
                <w:sz w:val="18"/>
              </w:rPr>
              <w:t>3,455</w:t>
            </w:r>
          </w:p>
        </w:tc>
        <w:tc>
          <w:tcPr>
            <w:tcW w:w="1449" w:type="dxa"/>
            <w:shd w:val="clear" w:color="auto" w:fill="FFFFFF" w:themeFill="background1"/>
          </w:tcPr>
          <w:p w14:paraId="62C7C549" w14:textId="21807883" w:rsidR="00A56452" w:rsidRPr="00650FED" w:rsidRDefault="00A56452" w:rsidP="00A56452">
            <w:pPr>
              <w:jc w:val="right"/>
              <w:rPr>
                <w:rFonts w:ascii="VIC" w:hAnsi="VIC"/>
                <w:sz w:val="18"/>
                <w:szCs w:val="18"/>
              </w:rPr>
            </w:pPr>
            <w:r>
              <w:rPr>
                <w:rFonts w:ascii="VIC" w:eastAsia="VIC" w:hAnsi="VIC"/>
                <w:color w:val="000000"/>
                <w:sz w:val="18"/>
              </w:rPr>
              <w:t>14,108</w:t>
            </w:r>
          </w:p>
        </w:tc>
        <w:tc>
          <w:tcPr>
            <w:tcW w:w="1449" w:type="dxa"/>
            <w:shd w:val="clear" w:color="auto" w:fill="FFFFFF" w:themeFill="background1"/>
          </w:tcPr>
          <w:p w14:paraId="5D4BE788" w14:textId="4170138D" w:rsidR="00A56452" w:rsidRPr="005F536D" w:rsidRDefault="00A56452" w:rsidP="00A56452">
            <w:pPr>
              <w:jc w:val="right"/>
              <w:rPr>
                <w:rFonts w:ascii="VIC" w:hAnsi="VIC"/>
                <w:sz w:val="18"/>
                <w:szCs w:val="18"/>
              </w:rPr>
            </w:pPr>
            <w:r>
              <w:rPr>
                <w:rFonts w:ascii="VIC" w:eastAsia="VIC" w:hAnsi="VIC"/>
                <w:color w:val="000000"/>
                <w:sz w:val="18"/>
              </w:rPr>
              <w:t>19,818</w:t>
            </w:r>
          </w:p>
        </w:tc>
        <w:tc>
          <w:tcPr>
            <w:tcW w:w="1449" w:type="dxa"/>
            <w:shd w:val="clear" w:color="auto" w:fill="FFFFFF" w:themeFill="background1"/>
          </w:tcPr>
          <w:p w14:paraId="3E3847B9" w14:textId="50F60ED4"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43FE3E99" w14:textId="242B6585" w:rsidR="00A56452" w:rsidRPr="00650FED" w:rsidRDefault="00A56452" w:rsidP="00A56452">
            <w:pPr>
              <w:jc w:val="right"/>
              <w:rPr>
                <w:rFonts w:ascii="VIC" w:hAnsi="VIC"/>
                <w:color w:val="FF0000"/>
                <w:sz w:val="18"/>
                <w:szCs w:val="18"/>
              </w:rPr>
            </w:pPr>
            <w:r>
              <w:rPr>
                <w:rFonts w:ascii="VIC" w:eastAsia="VIC" w:hAnsi="VIC"/>
                <w:color w:val="FF0000"/>
                <w:sz w:val="18"/>
              </w:rPr>
              <w:t>71%</w:t>
            </w:r>
          </w:p>
        </w:tc>
      </w:tr>
      <w:tr w:rsidR="00A56452" w:rsidRPr="00A6366B" w14:paraId="00C6C6C0" w14:textId="77777777" w:rsidTr="00650FED">
        <w:trPr>
          <w:trHeight w:val="340"/>
        </w:trPr>
        <w:tc>
          <w:tcPr>
            <w:tcW w:w="2704" w:type="dxa"/>
            <w:shd w:val="clear" w:color="auto" w:fill="BFCED6"/>
            <w:tcMar>
              <w:left w:w="57" w:type="dxa"/>
            </w:tcMar>
          </w:tcPr>
          <w:p w14:paraId="22CAE699" w14:textId="7486E180"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Grampians Health</w:t>
            </w:r>
          </w:p>
        </w:tc>
        <w:tc>
          <w:tcPr>
            <w:tcW w:w="1449" w:type="dxa"/>
            <w:shd w:val="clear" w:color="auto" w:fill="BFCED6"/>
          </w:tcPr>
          <w:p w14:paraId="5CFD4995" w14:textId="3BFF0A01" w:rsidR="00A56452" w:rsidRPr="00650FED" w:rsidRDefault="00A56452" w:rsidP="00A56452">
            <w:pPr>
              <w:jc w:val="right"/>
              <w:rPr>
                <w:rFonts w:ascii="VIC" w:hAnsi="VIC"/>
                <w:sz w:val="18"/>
                <w:szCs w:val="18"/>
              </w:rPr>
            </w:pPr>
            <w:r>
              <w:rPr>
                <w:rFonts w:ascii="VIC" w:eastAsia="VIC" w:hAnsi="VIC"/>
                <w:color w:val="000000"/>
                <w:sz w:val="18"/>
              </w:rPr>
              <w:t>9,508</w:t>
            </w:r>
          </w:p>
        </w:tc>
        <w:tc>
          <w:tcPr>
            <w:tcW w:w="1449" w:type="dxa"/>
            <w:shd w:val="clear" w:color="auto" w:fill="BFCED6"/>
          </w:tcPr>
          <w:p w14:paraId="05A5F4D1" w14:textId="7194AED4" w:rsidR="00A56452" w:rsidRPr="00650FED" w:rsidRDefault="00A56452" w:rsidP="00A56452">
            <w:pPr>
              <w:jc w:val="right"/>
              <w:rPr>
                <w:rFonts w:ascii="VIC" w:hAnsi="VIC"/>
                <w:sz w:val="18"/>
                <w:szCs w:val="18"/>
              </w:rPr>
            </w:pPr>
            <w:r>
              <w:rPr>
                <w:rFonts w:ascii="VIC" w:eastAsia="VIC" w:hAnsi="VIC"/>
                <w:color w:val="000000"/>
                <w:sz w:val="18"/>
              </w:rPr>
              <w:t>36,868</w:t>
            </w:r>
          </w:p>
        </w:tc>
        <w:tc>
          <w:tcPr>
            <w:tcW w:w="1449" w:type="dxa"/>
            <w:shd w:val="clear" w:color="auto" w:fill="BFCED6"/>
          </w:tcPr>
          <w:p w14:paraId="7BFCB656" w14:textId="714AC99A" w:rsidR="00A56452" w:rsidRPr="005F536D" w:rsidRDefault="00A56452" w:rsidP="00A56452">
            <w:pPr>
              <w:jc w:val="right"/>
              <w:rPr>
                <w:rFonts w:ascii="VIC" w:hAnsi="VIC"/>
                <w:sz w:val="18"/>
                <w:szCs w:val="18"/>
              </w:rPr>
            </w:pPr>
            <w:r>
              <w:rPr>
                <w:rFonts w:ascii="VIC" w:eastAsia="VIC" w:hAnsi="VIC"/>
                <w:color w:val="000000"/>
                <w:sz w:val="18"/>
              </w:rPr>
              <w:t>73,996</w:t>
            </w:r>
          </w:p>
        </w:tc>
        <w:tc>
          <w:tcPr>
            <w:tcW w:w="1449" w:type="dxa"/>
            <w:shd w:val="clear" w:color="auto" w:fill="BFCED6"/>
          </w:tcPr>
          <w:p w14:paraId="5FF3701D" w14:textId="49157C6C"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28EBFFF3" w14:textId="1A695215" w:rsidR="00A56452" w:rsidRPr="00650FED" w:rsidRDefault="00A56452" w:rsidP="00A56452">
            <w:pPr>
              <w:jc w:val="right"/>
              <w:rPr>
                <w:rFonts w:ascii="VIC" w:hAnsi="VIC"/>
                <w:color w:val="FF0000"/>
                <w:sz w:val="18"/>
                <w:szCs w:val="18"/>
              </w:rPr>
            </w:pPr>
            <w:r>
              <w:rPr>
                <w:rFonts w:ascii="VIC" w:eastAsia="VIC" w:hAnsi="VIC"/>
                <w:color w:val="FF0000"/>
                <w:sz w:val="18"/>
              </w:rPr>
              <w:t>50%</w:t>
            </w:r>
          </w:p>
        </w:tc>
      </w:tr>
      <w:tr w:rsidR="00A56452" w:rsidRPr="00A6366B" w14:paraId="27BEC895" w14:textId="77777777" w:rsidTr="00650FED">
        <w:trPr>
          <w:trHeight w:val="340"/>
        </w:trPr>
        <w:tc>
          <w:tcPr>
            <w:tcW w:w="2704" w:type="dxa"/>
            <w:shd w:val="clear" w:color="auto" w:fill="FFFFFF" w:themeFill="background1"/>
            <w:tcMar>
              <w:left w:w="57" w:type="dxa"/>
            </w:tcMar>
          </w:tcPr>
          <w:p w14:paraId="17225578" w14:textId="2F091A9F"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Barwon Health</w:t>
            </w:r>
          </w:p>
        </w:tc>
        <w:tc>
          <w:tcPr>
            <w:tcW w:w="1449" w:type="dxa"/>
            <w:shd w:val="clear" w:color="auto" w:fill="FFFFFF" w:themeFill="background1"/>
          </w:tcPr>
          <w:p w14:paraId="1B35A67A" w14:textId="39BBE790" w:rsidR="00A56452" w:rsidRPr="00650FED" w:rsidRDefault="00A56452" w:rsidP="00A56452">
            <w:pPr>
              <w:jc w:val="right"/>
              <w:rPr>
                <w:rFonts w:ascii="VIC" w:hAnsi="VIC"/>
                <w:sz w:val="18"/>
                <w:szCs w:val="18"/>
              </w:rPr>
            </w:pPr>
            <w:r>
              <w:rPr>
                <w:rFonts w:ascii="VIC" w:eastAsia="VIC" w:hAnsi="VIC"/>
                <w:color w:val="000000"/>
                <w:sz w:val="18"/>
              </w:rPr>
              <w:t>19,239</w:t>
            </w:r>
          </w:p>
        </w:tc>
        <w:tc>
          <w:tcPr>
            <w:tcW w:w="1449" w:type="dxa"/>
            <w:shd w:val="clear" w:color="auto" w:fill="FFFFFF" w:themeFill="background1"/>
          </w:tcPr>
          <w:p w14:paraId="01BBF7F1" w14:textId="5FEC9194" w:rsidR="00A56452" w:rsidRPr="00650FED" w:rsidRDefault="00A56452" w:rsidP="00A56452">
            <w:pPr>
              <w:jc w:val="right"/>
              <w:rPr>
                <w:rFonts w:ascii="VIC" w:hAnsi="VIC"/>
                <w:sz w:val="18"/>
                <w:szCs w:val="18"/>
              </w:rPr>
            </w:pPr>
            <w:r>
              <w:rPr>
                <w:rFonts w:ascii="VIC" w:eastAsia="VIC" w:hAnsi="VIC"/>
                <w:color w:val="000000"/>
                <w:sz w:val="18"/>
              </w:rPr>
              <w:t>66,824</w:t>
            </w:r>
          </w:p>
        </w:tc>
        <w:tc>
          <w:tcPr>
            <w:tcW w:w="1449" w:type="dxa"/>
            <w:shd w:val="clear" w:color="auto" w:fill="FFFFFF" w:themeFill="background1"/>
          </w:tcPr>
          <w:p w14:paraId="74404D8A" w14:textId="6E0A32E5" w:rsidR="00A56452" w:rsidRPr="005F536D" w:rsidRDefault="00A56452" w:rsidP="00A56452">
            <w:pPr>
              <w:jc w:val="right"/>
              <w:rPr>
                <w:rFonts w:ascii="VIC" w:hAnsi="VIC"/>
                <w:sz w:val="18"/>
                <w:szCs w:val="18"/>
              </w:rPr>
            </w:pPr>
            <w:r>
              <w:rPr>
                <w:rFonts w:ascii="VIC" w:eastAsia="VIC" w:hAnsi="VIC"/>
                <w:color w:val="000000"/>
                <w:sz w:val="18"/>
              </w:rPr>
              <w:t>90,070</w:t>
            </w:r>
          </w:p>
        </w:tc>
        <w:tc>
          <w:tcPr>
            <w:tcW w:w="1449" w:type="dxa"/>
            <w:shd w:val="clear" w:color="auto" w:fill="FFFFFF" w:themeFill="background1"/>
          </w:tcPr>
          <w:p w14:paraId="2028B110" w14:textId="08D78EFF"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61EBA250" w14:textId="77C82305" w:rsidR="00A56452" w:rsidRPr="00650FED" w:rsidRDefault="00A56452" w:rsidP="00A56452">
            <w:pPr>
              <w:jc w:val="right"/>
              <w:rPr>
                <w:rFonts w:ascii="VIC" w:hAnsi="VIC"/>
                <w:color w:val="FF0000"/>
                <w:sz w:val="18"/>
                <w:szCs w:val="18"/>
              </w:rPr>
            </w:pPr>
            <w:r>
              <w:rPr>
                <w:rFonts w:ascii="VIC" w:eastAsia="VIC" w:hAnsi="VIC"/>
                <w:color w:val="FF0000"/>
                <w:sz w:val="18"/>
              </w:rPr>
              <w:t>74%</w:t>
            </w:r>
          </w:p>
        </w:tc>
      </w:tr>
      <w:tr w:rsidR="00A56452" w:rsidRPr="00A6366B" w14:paraId="3707AD97" w14:textId="77777777" w:rsidTr="00650FED">
        <w:trPr>
          <w:trHeight w:val="340"/>
        </w:trPr>
        <w:tc>
          <w:tcPr>
            <w:tcW w:w="2704" w:type="dxa"/>
            <w:shd w:val="clear" w:color="auto" w:fill="BFCED6"/>
            <w:tcMar>
              <w:left w:w="57" w:type="dxa"/>
            </w:tcMar>
          </w:tcPr>
          <w:p w14:paraId="750BF54B" w14:textId="715A5835"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Bendigo Health</w:t>
            </w:r>
          </w:p>
        </w:tc>
        <w:tc>
          <w:tcPr>
            <w:tcW w:w="1449" w:type="dxa"/>
            <w:shd w:val="clear" w:color="auto" w:fill="BFCED6"/>
          </w:tcPr>
          <w:p w14:paraId="66CE2F9C" w14:textId="77445E22" w:rsidR="00A56452" w:rsidRPr="00650FED" w:rsidRDefault="00A56452" w:rsidP="00A56452">
            <w:pPr>
              <w:jc w:val="right"/>
              <w:rPr>
                <w:rFonts w:ascii="VIC" w:hAnsi="VIC"/>
                <w:sz w:val="18"/>
                <w:szCs w:val="18"/>
              </w:rPr>
            </w:pPr>
            <w:r>
              <w:rPr>
                <w:rFonts w:ascii="VIC" w:eastAsia="VIC" w:hAnsi="VIC"/>
                <w:color w:val="000000"/>
                <w:sz w:val="18"/>
              </w:rPr>
              <w:t>20,409</w:t>
            </w:r>
          </w:p>
        </w:tc>
        <w:tc>
          <w:tcPr>
            <w:tcW w:w="1449" w:type="dxa"/>
            <w:shd w:val="clear" w:color="auto" w:fill="BFCED6"/>
          </w:tcPr>
          <w:p w14:paraId="24ABC6A2" w14:textId="516A67B4" w:rsidR="00A56452" w:rsidRPr="00650FED" w:rsidRDefault="00A56452" w:rsidP="00A56452">
            <w:pPr>
              <w:jc w:val="right"/>
              <w:rPr>
                <w:rFonts w:ascii="VIC" w:hAnsi="VIC"/>
                <w:sz w:val="18"/>
                <w:szCs w:val="18"/>
              </w:rPr>
            </w:pPr>
            <w:r>
              <w:rPr>
                <w:rFonts w:ascii="VIC" w:eastAsia="VIC" w:hAnsi="VIC"/>
                <w:color w:val="000000"/>
                <w:sz w:val="18"/>
              </w:rPr>
              <w:t>55,520</w:t>
            </w:r>
          </w:p>
        </w:tc>
        <w:tc>
          <w:tcPr>
            <w:tcW w:w="1449" w:type="dxa"/>
            <w:shd w:val="clear" w:color="auto" w:fill="BFCED6"/>
          </w:tcPr>
          <w:p w14:paraId="0F056D22" w14:textId="0CB73C29" w:rsidR="00A56452" w:rsidRPr="005F536D" w:rsidRDefault="00A56452" w:rsidP="00A56452">
            <w:pPr>
              <w:jc w:val="right"/>
              <w:rPr>
                <w:rFonts w:ascii="VIC" w:hAnsi="VIC"/>
                <w:sz w:val="18"/>
                <w:szCs w:val="18"/>
              </w:rPr>
            </w:pPr>
            <w:r>
              <w:rPr>
                <w:rFonts w:ascii="VIC" w:eastAsia="VIC" w:hAnsi="VIC"/>
                <w:color w:val="000000"/>
                <w:sz w:val="18"/>
              </w:rPr>
              <w:t>84,256</w:t>
            </w:r>
          </w:p>
        </w:tc>
        <w:tc>
          <w:tcPr>
            <w:tcW w:w="1449" w:type="dxa"/>
            <w:shd w:val="clear" w:color="auto" w:fill="BFCED6"/>
          </w:tcPr>
          <w:p w14:paraId="09C415B6" w14:textId="13CDB9C9"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5E3875AF" w14:textId="6192CE80" w:rsidR="00A56452" w:rsidRPr="00650FED" w:rsidRDefault="00A56452" w:rsidP="00A56452">
            <w:pPr>
              <w:jc w:val="right"/>
              <w:rPr>
                <w:rFonts w:ascii="VIC" w:hAnsi="VIC"/>
                <w:color w:val="FF0000"/>
                <w:sz w:val="18"/>
                <w:szCs w:val="18"/>
              </w:rPr>
            </w:pPr>
            <w:r>
              <w:rPr>
                <w:rFonts w:ascii="VIC" w:eastAsia="VIC" w:hAnsi="VIC"/>
                <w:color w:val="FF0000"/>
                <w:sz w:val="18"/>
              </w:rPr>
              <w:t>66%</w:t>
            </w:r>
          </w:p>
        </w:tc>
      </w:tr>
      <w:tr w:rsidR="00A56452" w:rsidRPr="00A6366B" w14:paraId="716843BE" w14:textId="77777777" w:rsidTr="00650FED">
        <w:trPr>
          <w:trHeight w:val="340"/>
        </w:trPr>
        <w:tc>
          <w:tcPr>
            <w:tcW w:w="2704" w:type="dxa"/>
            <w:shd w:val="clear" w:color="auto" w:fill="FFFFFF" w:themeFill="background1"/>
            <w:tcMar>
              <w:left w:w="57" w:type="dxa"/>
            </w:tcMar>
          </w:tcPr>
          <w:p w14:paraId="30A203C7" w14:textId="65A3DF10"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Goulburn Valley Health</w:t>
            </w:r>
          </w:p>
        </w:tc>
        <w:tc>
          <w:tcPr>
            <w:tcW w:w="1449" w:type="dxa"/>
            <w:shd w:val="clear" w:color="auto" w:fill="FFFFFF" w:themeFill="background1"/>
          </w:tcPr>
          <w:p w14:paraId="5277BA71" w14:textId="6041A05E" w:rsidR="00A56452" w:rsidRPr="00650FED" w:rsidRDefault="00A56452" w:rsidP="00A56452">
            <w:pPr>
              <w:jc w:val="right"/>
              <w:rPr>
                <w:rFonts w:ascii="VIC" w:hAnsi="VIC"/>
                <w:sz w:val="18"/>
                <w:szCs w:val="18"/>
              </w:rPr>
            </w:pPr>
            <w:r>
              <w:rPr>
                <w:rFonts w:ascii="VIC" w:eastAsia="VIC" w:hAnsi="VIC"/>
                <w:color w:val="000000"/>
                <w:sz w:val="18"/>
              </w:rPr>
              <w:t>8,148</w:t>
            </w:r>
          </w:p>
        </w:tc>
        <w:tc>
          <w:tcPr>
            <w:tcW w:w="1449" w:type="dxa"/>
            <w:shd w:val="clear" w:color="auto" w:fill="FFFFFF" w:themeFill="background1"/>
          </w:tcPr>
          <w:p w14:paraId="4FDDD491" w14:textId="361BE79B" w:rsidR="00A56452" w:rsidRPr="00650FED" w:rsidRDefault="00A56452" w:rsidP="00A56452">
            <w:pPr>
              <w:jc w:val="right"/>
              <w:rPr>
                <w:rFonts w:ascii="VIC" w:hAnsi="VIC"/>
                <w:sz w:val="18"/>
                <w:szCs w:val="18"/>
              </w:rPr>
            </w:pPr>
            <w:r>
              <w:rPr>
                <w:rFonts w:ascii="VIC" w:eastAsia="VIC" w:hAnsi="VIC"/>
                <w:color w:val="000000"/>
                <w:sz w:val="18"/>
              </w:rPr>
              <w:t>27,430</w:t>
            </w:r>
          </w:p>
        </w:tc>
        <w:tc>
          <w:tcPr>
            <w:tcW w:w="1449" w:type="dxa"/>
            <w:shd w:val="clear" w:color="auto" w:fill="FFFFFF" w:themeFill="background1"/>
          </w:tcPr>
          <w:p w14:paraId="56385006" w14:textId="29A35017" w:rsidR="00A56452" w:rsidRPr="005F536D" w:rsidRDefault="00A56452" w:rsidP="00A56452">
            <w:pPr>
              <w:jc w:val="right"/>
              <w:rPr>
                <w:rFonts w:ascii="VIC" w:hAnsi="VIC"/>
                <w:sz w:val="18"/>
                <w:szCs w:val="18"/>
              </w:rPr>
            </w:pPr>
            <w:r>
              <w:rPr>
                <w:rFonts w:ascii="VIC" w:eastAsia="VIC" w:hAnsi="VIC"/>
                <w:color w:val="000000"/>
                <w:sz w:val="18"/>
              </w:rPr>
              <w:t>49,698</w:t>
            </w:r>
          </w:p>
        </w:tc>
        <w:tc>
          <w:tcPr>
            <w:tcW w:w="1449" w:type="dxa"/>
            <w:shd w:val="clear" w:color="auto" w:fill="FFFFFF" w:themeFill="background1"/>
          </w:tcPr>
          <w:p w14:paraId="7F5F9E8B" w14:textId="4BF22DEB"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4962E141" w14:textId="68A8115E" w:rsidR="00A56452" w:rsidRPr="00650FED" w:rsidRDefault="00A56452" w:rsidP="00A56452">
            <w:pPr>
              <w:jc w:val="right"/>
              <w:rPr>
                <w:rFonts w:ascii="VIC" w:hAnsi="VIC"/>
                <w:color w:val="FF0000"/>
                <w:sz w:val="18"/>
                <w:szCs w:val="18"/>
              </w:rPr>
            </w:pPr>
            <w:r>
              <w:rPr>
                <w:rFonts w:ascii="VIC" w:eastAsia="VIC" w:hAnsi="VIC"/>
                <w:color w:val="FF0000"/>
                <w:sz w:val="18"/>
              </w:rPr>
              <w:t>55%</w:t>
            </w:r>
          </w:p>
        </w:tc>
      </w:tr>
      <w:tr w:rsidR="00A56452" w:rsidRPr="00A6366B" w14:paraId="42DE497F" w14:textId="77777777" w:rsidTr="00650FED">
        <w:trPr>
          <w:trHeight w:val="340"/>
        </w:trPr>
        <w:tc>
          <w:tcPr>
            <w:tcW w:w="2704" w:type="dxa"/>
            <w:shd w:val="clear" w:color="auto" w:fill="BFCED6"/>
            <w:tcMar>
              <w:left w:w="57" w:type="dxa"/>
            </w:tcMar>
          </w:tcPr>
          <w:p w14:paraId="46075C76" w14:textId="60C38AE5"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Latrobe Regional</w:t>
            </w:r>
          </w:p>
        </w:tc>
        <w:tc>
          <w:tcPr>
            <w:tcW w:w="1449" w:type="dxa"/>
            <w:shd w:val="clear" w:color="auto" w:fill="BFCED6"/>
          </w:tcPr>
          <w:p w14:paraId="2372FC81" w14:textId="5A474CA4" w:rsidR="00A56452" w:rsidRPr="00650FED" w:rsidRDefault="00A56452" w:rsidP="00A56452">
            <w:pPr>
              <w:jc w:val="right"/>
              <w:rPr>
                <w:rFonts w:ascii="VIC" w:hAnsi="VIC"/>
                <w:sz w:val="18"/>
                <w:szCs w:val="18"/>
              </w:rPr>
            </w:pPr>
            <w:r>
              <w:rPr>
                <w:rFonts w:ascii="VIC" w:eastAsia="VIC" w:hAnsi="VIC"/>
                <w:color w:val="000000"/>
                <w:sz w:val="18"/>
              </w:rPr>
              <w:t>16,850</w:t>
            </w:r>
          </w:p>
        </w:tc>
        <w:tc>
          <w:tcPr>
            <w:tcW w:w="1449" w:type="dxa"/>
            <w:shd w:val="clear" w:color="auto" w:fill="BFCED6"/>
          </w:tcPr>
          <w:p w14:paraId="4209B296" w14:textId="3F34B683" w:rsidR="00A56452" w:rsidRPr="00650FED" w:rsidRDefault="00A56452" w:rsidP="00A56452">
            <w:pPr>
              <w:jc w:val="right"/>
              <w:rPr>
                <w:rFonts w:ascii="VIC" w:hAnsi="VIC"/>
                <w:sz w:val="18"/>
                <w:szCs w:val="18"/>
              </w:rPr>
            </w:pPr>
            <w:r>
              <w:rPr>
                <w:rFonts w:ascii="VIC" w:eastAsia="VIC" w:hAnsi="VIC"/>
                <w:color w:val="000000"/>
                <w:sz w:val="18"/>
              </w:rPr>
              <w:t>56,969</w:t>
            </w:r>
          </w:p>
        </w:tc>
        <w:tc>
          <w:tcPr>
            <w:tcW w:w="1449" w:type="dxa"/>
            <w:shd w:val="clear" w:color="auto" w:fill="BFCED6"/>
          </w:tcPr>
          <w:p w14:paraId="0D4D9371" w14:textId="4EAB6D3A" w:rsidR="00A56452" w:rsidRPr="005F536D" w:rsidRDefault="00A56452" w:rsidP="00A56452">
            <w:pPr>
              <w:jc w:val="right"/>
              <w:rPr>
                <w:rFonts w:ascii="VIC" w:hAnsi="VIC"/>
                <w:sz w:val="18"/>
                <w:szCs w:val="18"/>
              </w:rPr>
            </w:pPr>
            <w:r>
              <w:rPr>
                <w:rFonts w:ascii="VIC" w:eastAsia="VIC" w:hAnsi="VIC"/>
                <w:color w:val="000000"/>
                <w:sz w:val="18"/>
              </w:rPr>
              <w:t>83,974</w:t>
            </w:r>
          </w:p>
        </w:tc>
        <w:tc>
          <w:tcPr>
            <w:tcW w:w="1449" w:type="dxa"/>
            <w:shd w:val="clear" w:color="auto" w:fill="BFCED6"/>
          </w:tcPr>
          <w:p w14:paraId="797461D2" w14:textId="1D4A0CF9"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741E20D4" w14:textId="676D143D" w:rsidR="00A56452" w:rsidRPr="00650FED" w:rsidRDefault="00A56452" w:rsidP="00A56452">
            <w:pPr>
              <w:jc w:val="right"/>
              <w:rPr>
                <w:rFonts w:ascii="VIC" w:hAnsi="VIC"/>
                <w:color w:val="FF0000"/>
                <w:sz w:val="18"/>
                <w:szCs w:val="18"/>
              </w:rPr>
            </w:pPr>
            <w:r>
              <w:rPr>
                <w:rFonts w:ascii="VIC" w:eastAsia="VIC" w:hAnsi="VIC"/>
                <w:color w:val="FF0000"/>
                <w:sz w:val="18"/>
              </w:rPr>
              <w:t>68%</w:t>
            </w:r>
          </w:p>
        </w:tc>
      </w:tr>
      <w:tr w:rsidR="00A56452" w:rsidRPr="00A6366B" w14:paraId="60E66D4A" w14:textId="77777777" w:rsidTr="00650FED">
        <w:trPr>
          <w:trHeight w:val="340"/>
        </w:trPr>
        <w:tc>
          <w:tcPr>
            <w:tcW w:w="2704" w:type="dxa"/>
            <w:shd w:val="clear" w:color="auto" w:fill="FFFFFF" w:themeFill="background1"/>
            <w:tcMar>
              <w:left w:w="57" w:type="dxa"/>
            </w:tcMar>
          </w:tcPr>
          <w:p w14:paraId="7E78EDD5" w14:textId="49468EB5"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Mildura Base Hospital</w:t>
            </w:r>
          </w:p>
        </w:tc>
        <w:tc>
          <w:tcPr>
            <w:tcW w:w="1449" w:type="dxa"/>
            <w:shd w:val="clear" w:color="auto" w:fill="FFFFFF" w:themeFill="background1"/>
          </w:tcPr>
          <w:p w14:paraId="0048F47A" w14:textId="4124E695" w:rsidR="00A56452" w:rsidRPr="00650FED" w:rsidRDefault="00A56452" w:rsidP="00A56452">
            <w:pPr>
              <w:jc w:val="right"/>
              <w:rPr>
                <w:rFonts w:ascii="VIC" w:hAnsi="VIC"/>
                <w:sz w:val="18"/>
                <w:szCs w:val="18"/>
              </w:rPr>
            </w:pPr>
            <w:r>
              <w:rPr>
                <w:rFonts w:ascii="VIC" w:eastAsia="VIC" w:hAnsi="VIC"/>
                <w:color w:val="000000"/>
                <w:sz w:val="18"/>
              </w:rPr>
              <w:t>5,392</w:t>
            </w:r>
          </w:p>
        </w:tc>
        <w:tc>
          <w:tcPr>
            <w:tcW w:w="1449" w:type="dxa"/>
            <w:shd w:val="clear" w:color="auto" w:fill="FFFFFF" w:themeFill="background1"/>
          </w:tcPr>
          <w:p w14:paraId="069E86D9" w14:textId="1EB30E34" w:rsidR="00A56452" w:rsidRPr="00650FED" w:rsidRDefault="00A56452" w:rsidP="00A56452">
            <w:pPr>
              <w:jc w:val="right"/>
              <w:rPr>
                <w:rFonts w:ascii="VIC" w:hAnsi="VIC"/>
                <w:sz w:val="18"/>
                <w:szCs w:val="18"/>
              </w:rPr>
            </w:pPr>
            <w:r>
              <w:rPr>
                <w:rFonts w:ascii="VIC" w:eastAsia="VIC" w:hAnsi="VIC"/>
                <w:color w:val="000000"/>
                <w:sz w:val="18"/>
              </w:rPr>
              <w:t>22,864</w:t>
            </w:r>
          </w:p>
        </w:tc>
        <w:tc>
          <w:tcPr>
            <w:tcW w:w="1449" w:type="dxa"/>
            <w:shd w:val="clear" w:color="auto" w:fill="FFFFFF" w:themeFill="background1"/>
          </w:tcPr>
          <w:p w14:paraId="09D7959C" w14:textId="6AC4D594" w:rsidR="00A56452" w:rsidRPr="005F536D" w:rsidRDefault="00A56452" w:rsidP="00A56452">
            <w:pPr>
              <w:jc w:val="right"/>
              <w:rPr>
                <w:rFonts w:ascii="VIC" w:hAnsi="VIC"/>
                <w:sz w:val="18"/>
                <w:szCs w:val="18"/>
              </w:rPr>
            </w:pPr>
            <w:r>
              <w:rPr>
                <w:rFonts w:ascii="VIC" w:eastAsia="VIC" w:hAnsi="VIC"/>
                <w:color w:val="000000"/>
                <w:sz w:val="18"/>
              </w:rPr>
              <w:t>30,715</w:t>
            </w:r>
          </w:p>
        </w:tc>
        <w:tc>
          <w:tcPr>
            <w:tcW w:w="1449" w:type="dxa"/>
            <w:shd w:val="clear" w:color="auto" w:fill="FFFFFF" w:themeFill="background1"/>
          </w:tcPr>
          <w:p w14:paraId="39BE63D6" w14:textId="09036C06"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2E93385F" w14:textId="601DD50A" w:rsidR="00A56452" w:rsidRPr="00650FED" w:rsidRDefault="00A56452" w:rsidP="00A56452">
            <w:pPr>
              <w:jc w:val="right"/>
              <w:rPr>
                <w:rFonts w:ascii="VIC" w:hAnsi="VIC"/>
                <w:color w:val="FF0000"/>
                <w:sz w:val="18"/>
                <w:szCs w:val="18"/>
              </w:rPr>
            </w:pPr>
            <w:r>
              <w:rPr>
                <w:rFonts w:ascii="VIC" w:eastAsia="VIC" w:hAnsi="VIC"/>
                <w:color w:val="FF0000"/>
                <w:sz w:val="18"/>
              </w:rPr>
              <w:t>74%</w:t>
            </w:r>
          </w:p>
        </w:tc>
      </w:tr>
      <w:tr w:rsidR="00A56452" w:rsidRPr="00A6366B" w14:paraId="07526C1E" w14:textId="77777777" w:rsidTr="00650FED">
        <w:trPr>
          <w:trHeight w:val="340"/>
        </w:trPr>
        <w:tc>
          <w:tcPr>
            <w:tcW w:w="2704" w:type="dxa"/>
            <w:shd w:val="clear" w:color="auto" w:fill="BFCED6"/>
            <w:tcMar>
              <w:left w:w="57" w:type="dxa"/>
            </w:tcMar>
          </w:tcPr>
          <w:p w14:paraId="2E2E24A8" w14:textId="76C10412"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Albury Wodonga Health</w:t>
            </w:r>
          </w:p>
        </w:tc>
        <w:tc>
          <w:tcPr>
            <w:tcW w:w="1449" w:type="dxa"/>
            <w:shd w:val="clear" w:color="auto" w:fill="BFCED6"/>
          </w:tcPr>
          <w:p w14:paraId="3B410405" w14:textId="2EE959B2" w:rsidR="00A56452" w:rsidRPr="00650FED" w:rsidRDefault="00A56452" w:rsidP="00A56452">
            <w:pPr>
              <w:jc w:val="right"/>
              <w:rPr>
                <w:rFonts w:ascii="VIC" w:hAnsi="VIC"/>
                <w:sz w:val="18"/>
                <w:szCs w:val="18"/>
              </w:rPr>
            </w:pPr>
            <w:r>
              <w:rPr>
                <w:rFonts w:ascii="VIC" w:eastAsia="VIC" w:hAnsi="VIC"/>
                <w:color w:val="000000"/>
                <w:sz w:val="18"/>
              </w:rPr>
              <w:t>6,724</w:t>
            </w:r>
          </w:p>
        </w:tc>
        <w:tc>
          <w:tcPr>
            <w:tcW w:w="1449" w:type="dxa"/>
            <w:shd w:val="clear" w:color="auto" w:fill="BFCED6"/>
          </w:tcPr>
          <w:p w14:paraId="63F0D0C0" w14:textId="3A43AAC9" w:rsidR="00A56452" w:rsidRPr="00650FED" w:rsidRDefault="00A56452" w:rsidP="00A56452">
            <w:pPr>
              <w:jc w:val="right"/>
              <w:rPr>
                <w:rFonts w:ascii="VIC" w:hAnsi="VIC"/>
                <w:sz w:val="18"/>
                <w:szCs w:val="18"/>
              </w:rPr>
            </w:pPr>
            <w:r>
              <w:rPr>
                <w:rFonts w:ascii="VIC" w:eastAsia="VIC" w:hAnsi="VIC"/>
                <w:color w:val="000000"/>
                <w:sz w:val="18"/>
              </w:rPr>
              <w:t>30,389</w:t>
            </w:r>
          </w:p>
        </w:tc>
        <w:tc>
          <w:tcPr>
            <w:tcW w:w="1449" w:type="dxa"/>
            <w:shd w:val="clear" w:color="auto" w:fill="BFCED6"/>
          </w:tcPr>
          <w:p w14:paraId="4843F621" w14:textId="436E2930" w:rsidR="00A56452" w:rsidRPr="005F536D" w:rsidRDefault="00A56452" w:rsidP="00A56452">
            <w:pPr>
              <w:jc w:val="right"/>
              <w:rPr>
                <w:rFonts w:ascii="VIC" w:hAnsi="VIC"/>
                <w:sz w:val="18"/>
                <w:szCs w:val="18"/>
              </w:rPr>
            </w:pPr>
            <w:r>
              <w:rPr>
                <w:rFonts w:ascii="VIC" w:eastAsia="VIC" w:hAnsi="VIC"/>
                <w:color w:val="000000"/>
                <w:sz w:val="18"/>
              </w:rPr>
              <w:t>43,178</w:t>
            </w:r>
          </w:p>
        </w:tc>
        <w:tc>
          <w:tcPr>
            <w:tcW w:w="1449" w:type="dxa"/>
            <w:shd w:val="clear" w:color="auto" w:fill="BFCED6"/>
          </w:tcPr>
          <w:p w14:paraId="6698FA65" w14:textId="21388B37"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BFCED6"/>
            <w:tcMar>
              <w:bottom w:w="0" w:type="dxa"/>
              <w:right w:w="57" w:type="dxa"/>
            </w:tcMar>
          </w:tcPr>
          <w:p w14:paraId="7246204F" w14:textId="7A4F5915" w:rsidR="00A56452" w:rsidRPr="00650FED" w:rsidRDefault="00A56452" w:rsidP="00A56452">
            <w:pPr>
              <w:jc w:val="right"/>
              <w:rPr>
                <w:rFonts w:ascii="VIC" w:hAnsi="VIC"/>
                <w:color w:val="FF0000"/>
                <w:sz w:val="18"/>
                <w:szCs w:val="18"/>
              </w:rPr>
            </w:pPr>
            <w:r>
              <w:rPr>
                <w:rFonts w:ascii="VIC" w:eastAsia="VIC" w:hAnsi="VIC"/>
                <w:color w:val="FF0000"/>
                <w:sz w:val="18"/>
              </w:rPr>
              <w:t>70%</w:t>
            </w:r>
          </w:p>
        </w:tc>
      </w:tr>
      <w:tr w:rsidR="00A56452" w:rsidRPr="00A6366B" w14:paraId="2E8A3186" w14:textId="77777777" w:rsidTr="00650FED">
        <w:trPr>
          <w:trHeight w:val="340"/>
        </w:trPr>
        <w:tc>
          <w:tcPr>
            <w:tcW w:w="2704" w:type="dxa"/>
            <w:shd w:val="clear" w:color="auto" w:fill="FFFFFF" w:themeFill="background1"/>
            <w:tcMar>
              <w:left w:w="57" w:type="dxa"/>
            </w:tcMar>
          </w:tcPr>
          <w:p w14:paraId="3DC5A07C" w14:textId="7E3933CC" w:rsidR="00A56452" w:rsidRDefault="00A56452" w:rsidP="00A56452">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449" w:type="dxa"/>
            <w:shd w:val="clear" w:color="auto" w:fill="FFFFFF" w:themeFill="background1"/>
          </w:tcPr>
          <w:p w14:paraId="61AA86A4" w14:textId="58320235" w:rsidR="00A56452" w:rsidRPr="00650FED" w:rsidRDefault="00A56452" w:rsidP="00A56452">
            <w:pPr>
              <w:tabs>
                <w:tab w:val="left" w:pos="1365"/>
              </w:tabs>
              <w:jc w:val="right"/>
              <w:rPr>
                <w:rFonts w:ascii="VIC" w:hAnsi="VIC"/>
                <w:sz w:val="18"/>
                <w:szCs w:val="18"/>
              </w:rPr>
            </w:pPr>
            <w:r>
              <w:rPr>
                <w:rFonts w:ascii="VIC" w:eastAsia="VIC" w:hAnsi="VIC"/>
                <w:color w:val="000000"/>
                <w:sz w:val="18"/>
              </w:rPr>
              <w:t>8,859</w:t>
            </w:r>
          </w:p>
        </w:tc>
        <w:tc>
          <w:tcPr>
            <w:tcW w:w="1449" w:type="dxa"/>
            <w:shd w:val="clear" w:color="auto" w:fill="FFFFFF" w:themeFill="background1"/>
          </w:tcPr>
          <w:p w14:paraId="65FC3A5C" w14:textId="64FA130E" w:rsidR="00A56452" w:rsidRPr="00650FED" w:rsidRDefault="00A56452" w:rsidP="00A56452">
            <w:pPr>
              <w:jc w:val="right"/>
              <w:rPr>
                <w:rFonts w:ascii="VIC" w:hAnsi="VIC"/>
                <w:sz w:val="18"/>
                <w:szCs w:val="18"/>
              </w:rPr>
            </w:pPr>
            <w:r>
              <w:rPr>
                <w:rFonts w:ascii="VIC" w:eastAsia="VIC" w:hAnsi="VIC"/>
                <w:color w:val="000000"/>
                <w:sz w:val="18"/>
              </w:rPr>
              <w:t>34,941</w:t>
            </w:r>
          </w:p>
        </w:tc>
        <w:tc>
          <w:tcPr>
            <w:tcW w:w="1449" w:type="dxa"/>
            <w:shd w:val="clear" w:color="auto" w:fill="FFFFFF" w:themeFill="background1"/>
          </w:tcPr>
          <w:p w14:paraId="1857D422" w14:textId="212ABC3D" w:rsidR="00A56452" w:rsidRPr="005F536D" w:rsidRDefault="00A56452" w:rsidP="00A56452">
            <w:pPr>
              <w:jc w:val="right"/>
              <w:rPr>
                <w:rFonts w:ascii="VIC" w:hAnsi="VIC"/>
                <w:sz w:val="18"/>
                <w:szCs w:val="18"/>
              </w:rPr>
            </w:pPr>
            <w:r>
              <w:rPr>
                <w:rFonts w:ascii="VIC" w:eastAsia="VIC" w:hAnsi="VIC"/>
                <w:color w:val="000000"/>
                <w:sz w:val="18"/>
              </w:rPr>
              <w:t>40,031</w:t>
            </w:r>
          </w:p>
        </w:tc>
        <w:tc>
          <w:tcPr>
            <w:tcW w:w="1449" w:type="dxa"/>
            <w:shd w:val="clear" w:color="auto" w:fill="FFFFFF" w:themeFill="background1"/>
          </w:tcPr>
          <w:p w14:paraId="7C71E7BA" w14:textId="19ABC5D6" w:rsidR="00A56452" w:rsidRPr="005F536D" w:rsidRDefault="00A56452" w:rsidP="00A56452">
            <w:pPr>
              <w:jc w:val="right"/>
              <w:rPr>
                <w:rFonts w:ascii="VIC" w:hAnsi="VIC"/>
                <w:sz w:val="18"/>
                <w:szCs w:val="18"/>
              </w:rPr>
            </w:pPr>
            <w:r>
              <w:rPr>
                <w:rFonts w:ascii="VIC" w:eastAsia="VIC" w:hAnsi="VIC"/>
                <w:color w:val="000000"/>
                <w:sz w:val="18"/>
              </w:rPr>
              <w:t>100%</w:t>
            </w:r>
          </w:p>
        </w:tc>
        <w:tc>
          <w:tcPr>
            <w:tcW w:w="1449" w:type="dxa"/>
            <w:shd w:val="clear" w:color="auto" w:fill="FFFFFF" w:themeFill="background1"/>
            <w:tcMar>
              <w:bottom w:w="0" w:type="dxa"/>
              <w:right w:w="57" w:type="dxa"/>
            </w:tcMar>
          </w:tcPr>
          <w:p w14:paraId="38D3C06F" w14:textId="5711AB94" w:rsidR="00A56452" w:rsidRPr="00650FED" w:rsidRDefault="00A56452" w:rsidP="00A56452">
            <w:pPr>
              <w:jc w:val="right"/>
              <w:rPr>
                <w:rFonts w:ascii="VIC" w:hAnsi="VIC"/>
                <w:color w:val="FF0000"/>
                <w:sz w:val="18"/>
                <w:szCs w:val="18"/>
              </w:rPr>
            </w:pPr>
            <w:r>
              <w:rPr>
                <w:rFonts w:ascii="VIC" w:eastAsia="VIC" w:hAnsi="VIC"/>
                <w:color w:val="FF0000"/>
                <w:sz w:val="18"/>
              </w:rPr>
              <w:t>87%</w:t>
            </w:r>
          </w:p>
        </w:tc>
      </w:tr>
      <w:tr w:rsidR="00A56452" w:rsidRPr="00A56452" w14:paraId="31F0BD6D" w14:textId="77777777" w:rsidTr="00650FED">
        <w:trPr>
          <w:trHeight w:val="312"/>
        </w:trPr>
        <w:tc>
          <w:tcPr>
            <w:tcW w:w="2704" w:type="dxa"/>
            <w:shd w:val="clear" w:color="auto" w:fill="244C5A"/>
            <w:tcMar>
              <w:left w:w="57" w:type="dxa"/>
            </w:tcMar>
          </w:tcPr>
          <w:p w14:paraId="5FDD5C66" w14:textId="55177926" w:rsidR="00A56452" w:rsidRPr="00A56452" w:rsidRDefault="00A56452" w:rsidP="00A56452">
            <w:pPr>
              <w:pStyle w:val="DHHStabletext"/>
              <w:spacing w:before="0" w:after="0"/>
              <w:rPr>
                <w:rFonts w:ascii="VIC SemiBold" w:eastAsia="Verdana" w:hAnsi="VIC SemiBold" w:cs="Verdana"/>
                <w:bCs/>
                <w:color w:val="FFFFFF" w:themeColor="background1"/>
                <w:sz w:val="18"/>
                <w:szCs w:val="18"/>
              </w:rPr>
            </w:pPr>
            <w:r w:rsidRPr="00A56452">
              <w:rPr>
                <w:rFonts w:ascii="VIC SemiBold" w:eastAsia="VIC SemiBold" w:hAnsi="VIC SemiBold"/>
                <w:bCs/>
                <w:color w:val="FFFFFF"/>
                <w:sz w:val="18"/>
              </w:rPr>
              <w:t>TOTAL STATEWIDE</w:t>
            </w:r>
          </w:p>
        </w:tc>
        <w:tc>
          <w:tcPr>
            <w:tcW w:w="1449" w:type="dxa"/>
            <w:shd w:val="clear" w:color="auto" w:fill="244C5A"/>
          </w:tcPr>
          <w:p w14:paraId="7743B7D3" w14:textId="33749940" w:rsidR="00A56452" w:rsidRPr="00A56452" w:rsidRDefault="00A56452" w:rsidP="00A56452">
            <w:pPr>
              <w:jc w:val="right"/>
              <w:rPr>
                <w:rFonts w:ascii="VIC SemiBold" w:hAnsi="VIC SemiBold"/>
                <w:bCs/>
                <w:color w:val="FFFFFF" w:themeColor="background1"/>
                <w:sz w:val="18"/>
                <w:szCs w:val="18"/>
              </w:rPr>
            </w:pPr>
            <w:r w:rsidRPr="00A56452">
              <w:rPr>
                <w:rFonts w:ascii="VIC SemiBold" w:eastAsia="VIC SemiBold" w:hAnsi="VIC SemiBold"/>
                <w:bCs/>
                <w:color w:val="FFFFFF"/>
                <w:sz w:val="18"/>
              </w:rPr>
              <w:t>362,738</w:t>
            </w:r>
          </w:p>
        </w:tc>
        <w:tc>
          <w:tcPr>
            <w:tcW w:w="1449" w:type="dxa"/>
            <w:shd w:val="clear" w:color="auto" w:fill="244C5A"/>
          </w:tcPr>
          <w:p w14:paraId="6F22DF3A" w14:textId="42146F48" w:rsidR="00A56452" w:rsidRPr="00A56452" w:rsidRDefault="00A56452" w:rsidP="00A56452">
            <w:pPr>
              <w:jc w:val="right"/>
              <w:rPr>
                <w:rFonts w:ascii="VIC SemiBold" w:hAnsi="VIC SemiBold"/>
                <w:bCs/>
                <w:color w:val="FFFFFF" w:themeColor="background1"/>
                <w:sz w:val="18"/>
                <w:szCs w:val="18"/>
              </w:rPr>
            </w:pPr>
            <w:r w:rsidRPr="00A56452">
              <w:rPr>
                <w:rFonts w:ascii="VIC SemiBold" w:eastAsia="VIC SemiBold" w:hAnsi="VIC SemiBold"/>
                <w:bCs/>
                <w:color w:val="FFFFFF"/>
                <w:sz w:val="18"/>
              </w:rPr>
              <w:t>1,308,150</w:t>
            </w:r>
          </w:p>
        </w:tc>
        <w:tc>
          <w:tcPr>
            <w:tcW w:w="1449" w:type="dxa"/>
            <w:shd w:val="clear" w:color="auto" w:fill="244C5A"/>
          </w:tcPr>
          <w:p w14:paraId="7BF01ECC" w14:textId="3EFA8AF9" w:rsidR="00A56452" w:rsidRPr="00A56452" w:rsidRDefault="00A56452" w:rsidP="00A56452">
            <w:pPr>
              <w:jc w:val="right"/>
              <w:rPr>
                <w:rFonts w:ascii="VIC SemiBold" w:hAnsi="VIC SemiBold"/>
                <w:bCs/>
                <w:color w:val="FFFFFF" w:themeColor="background1"/>
                <w:sz w:val="18"/>
                <w:szCs w:val="18"/>
              </w:rPr>
            </w:pPr>
            <w:r w:rsidRPr="00A56452">
              <w:rPr>
                <w:rFonts w:ascii="VIC SemiBold" w:eastAsia="VIC SemiBold" w:hAnsi="VIC SemiBold"/>
                <w:bCs/>
                <w:color w:val="FFFFFF"/>
                <w:sz w:val="18"/>
              </w:rPr>
              <w:t>1,809,034</w:t>
            </w:r>
          </w:p>
        </w:tc>
        <w:tc>
          <w:tcPr>
            <w:tcW w:w="1449" w:type="dxa"/>
            <w:shd w:val="clear" w:color="auto" w:fill="244C5A"/>
          </w:tcPr>
          <w:p w14:paraId="19A5485A" w14:textId="1782DEDE" w:rsidR="00A56452" w:rsidRPr="00A56452" w:rsidRDefault="00A56452" w:rsidP="00A56452">
            <w:pPr>
              <w:jc w:val="right"/>
              <w:rPr>
                <w:rFonts w:ascii="VIC SemiBold" w:hAnsi="VIC SemiBold"/>
                <w:bCs/>
                <w:color w:val="FFFFFF" w:themeColor="background1"/>
                <w:sz w:val="18"/>
                <w:szCs w:val="18"/>
              </w:rPr>
            </w:pPr>
            <w:r w:rsidRPr="00A56452">
              <w:rPr>
                <w:rFonts w:ascii="VIC SemiBold" w:eastAsia="VIC SemiBold" w:hAnsi="VIC SemiBold"/>
                <w:bCs/>
                <w:color w:val="FFFFFF"/>
                <w:sz w:val="18"/>
              </w:rPr>
              <w:t>100%</w:t>
            </w:r>
          </w:p>
        </w:tc>
        <w:tc>
          <w:tcPr>
            <w:tcW w:w="1449" w:type="dxa"/>
            <w:shd w:val="clear" w:color="auto" w:fill="244C5A"/>
            <w:tcMar>
              <w:bottom w:w="0" w:type="dxa"/>
              <w:right w:w="57" w:type="dxa"/>
            </w:tcMar>
          </w:tcPr>
          <w:p w14:paraId="45DA6FC5" w14:textId="25E3870B" w:rsidR="00A56452" w:rsidRPr="00A56452" w:rsidRDefault="00A56452" w:rsidP="00A56452">
            <w:pPr>
              <w:jc w:val="right"/>
              <w:rPr>
                <w:rFonts w:ascii="VIC SemiBold" w:hAnsi="VIC SemiBold"/>
                <w:bCs/>
                <w:color w:val="FF0000"/>
                <w:sz w:val="18"/>
                <w:szCs w:val="18"/>
              </w:rPr>
            </w:pPr>
            <w:r w:rsidRPr="00A56452">
              <w:rPr>
                <w:rFonts w:ascii="VIC SemiBold" w:eastAsia="VIC SemiBold" w:hAnsi="VIC SemiBold"/>
                <w:bCs/>
                <w:color w:val="FF0000"/>
                <w:sz w:val="18"/>
              </w:rPr>
              <w:t>72%</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36C03245" w14:textId="03130ABA" w:rsidR="006707D9" w:rsidRPr="006707D9" w:rsidRDefault="005C4552" w:rsidP="006707D9">
      <w:pPr>
        <w:spacing w:before="120" w:after="120"/>
        <w:rPr>
          <w:rFonts w:ascii="VIC" w:hAnsi="VIC"/>
          <w:color w:val="696969"/>
          <w:sz w:val="18"/>
        </w:rPr>
      </w:pPr>
      <w:r w:rsidRPr="00CB22DE">
        <w:rPr>
          <w:rFonts w:ascii="VIC" w:hAnsi="VIC"/>
          <w:color w:val="696969"/>
          <w:sz w:val="18"/>
        </w:rPr>
        <w:t xml:space="preserve">KPI Definition - </w:t>
      </w:r>
      <w:r w:rsidR="00A56452" w:rsidRPr="00A56452">
        <w:rPr>
          <w:rFonts w:ascii="VIC" w:hAnsi="VIC"/>
          <w:color w:val="696969"/>
          <w:sz w:val="18"/>
        </w:rPr>
        <w:t>Number of service hours, by sector, excluding (a) Bouverie Centre, Albury contacts, (b) contacts reported against inpatient or residential program types, (c) block funded and PHN commissioned programs, (d) specialty mental health service development contacts reported outside of approved programs</w:t>
      </w:r>
      <w:r w:rsidR="006707D9" w:rsidRPr="006707D9">
        <w:rPr>
          <w:rFonts w:ascii="VIC" w:hAnsi="VIC"/>
          <w:color w:val="696969"/>
          <w:sz w:val="18"/>
        </w:rPr>
        <w:t>.</w:t>
      </w:r>
    </w:p>
    <w:p w14:paraId="288AFBF1" w14:textId="77777777"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640DF858" w:rsidR="005C4552" w:rsidRPr="00CB22DE" w:rsidRDefault="005C4552" w:rsidP="006707D9">
      <w:pPr>
        <w:spacing w:before="120" w:after="120"/>
        <w:rPr>
          <w:rFonts w:ascii="VIC" w:hAnsi="VIC"/>
          <w:color w:val="696969"/>
          <w:sz w:val="18"/>
        </w:rPr>
      </w:pPr>
      <w:r w:rsidRPr="00CB22DE">
        <w:rPr>
          <w:rFonts w:ascii="VIC" w:hAnsi="VIC"/>
          <w:color w:val="696969"/>
          <w:sz w:val="18"/>
        </w:rPr>
        <w:t>Statewide mental health ambulatory</w:t>
      </w:r>
      <w:r w:rsidR="00F25F42">
        <w:rPr>
          <w:rFonts w:ascii="VIC" w:hAnsi="VIC"/>
          <w:color w:val="696969"/>
          <w:sz w:val="18"/>
        </w:rPr>
        <w:t xml:space="preserve"> targets</w:t>
      </w:r>
      <w:r w:rsidRPr="00CB22DE">
        <w:rPr>
          <w:rFonts w:ascii="VIC" w:hAnsi="VIC"/>
          <w:color w:val="696969"/>
          <w:sz w:val="18"/>
        </w:rPr>
        <w:t xml:space="preserve"> exclude Albury New South Wales activity within Albury Wodonga Health.</w:t>
      </w:r>
    </w:p>
    <w:p w14:paraId="05EE3A61" w14:textId="5A2D6CD5" w:rsidR="0069621D" w:rsidRDefault="0069621D">
      <w:pPr>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7617379E"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A56452">
              <w:rPr>
                <w:rFonts w:ascii="VIC" w:hAnsi="VIC"/>
                <w:sz w:val="16"/>
              </w:rPr>
              <w:t>July</w:t>
            </w:r>
            <w:r w:rsidR="005C4552">
              <w:rPr>
                <w:rFonts w:ascii="VIC" w:hAnsi="VIC"/>
                <w:sz w:val="16"/>
              </w:rPr>
              <w:t xml:space="preserve"> 2022</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j3rAIAAEUFAAAOAAAAZHJzL2Uyb0RvYy54bWysVEtv2zAMvg/YfxB02Gmr7SZOY69OkWXI&#10;ViBtA6RDz4osxQZsUZWUxtmw/z7Kj7Trdhp2kSl+NB8fSV1eNXVFnoSxJaiMRmchJUJxyEu1y+i3&#10;++WHKSXWMZWzCpTI6FFYejV7++byoFNxDgVUuTAEnSibHnRGC+d0GgSWF6Jm9gy0UAhKMDVzeDW7&#10;IDfsgN7rKjgPw0lwAJNrA1xYi9rPHUhnrX8pBXd3UlrhSJVRzM21p2nPrT+D2SVLd4bpouR9Guwf&#10;sqhZqTDoydVn5hjZm/IPV3XJDViQ7oxDHYCUJRdtDVhNFL6qZlMwLdpakByrTzTZ/+eW3z6tDSnz&#10;jMaUKFZji2421+vFTRJFYjySSZJLyaejfCpimeQsoSQXliODP9497sF9/MpssYBcdLc0CccX8XQ0&#10;id73sCh3hevB6RgHpAceytwVvT5O4pN+XTEuaqGGfzqTJYATppN7B9cqF03voPusTVkzc/zNaoMT&#10;gKPZ2w1Z3YPuNeEp8ErIISYqf/rJOGibIkEbjRS55hM0OOGD3qLSN7yRpvZfbCVBHGfseJor0TjC&#10;UXkRT8JRhBBHbBRFF9PYuwme/9bGui8CauKFjBrMuh0n9rSyrjMdTHwwBcuyqtrZrRQ5ZHQyisP2&#10;hxOCziuFMXwNXa5ecs226QvbQn7Eugx0O2E1X5YYfMWsWzODS4D54mK7OzxkBRgEeomSAsz3v+m9&#10;Pc4mopQccKkyah/3zAhKqmuFU5tE47HfwvaCgnmp3Q5ata8XgPsa4dOheSt6W1cNojRQP+Dez300&#10;hJjiGDOj20FcOLwhgO8GF/N5K+O+aeZWaqO5d+1p9JTeNw/M6J53hx27hWHtWPqK/s62a8B870CW&#10;bW88sR2bPd+4q213+3fFPw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pbOI96wCAABFBQAADgAAAAAA&#10;AAAAAAAAAAAuAgAAZHJzL2Uyb0RvYy54bWxQSwECLQAUAAYACAAAACEASA1emt8AAAALAQAADwAA&#10;AAAAAAAAAAAAAAAGBQAAZHJzL2Rvd25yZXYueG1sUEsFBgAAAAAEAAQA8wAAABIGA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713DF0BC"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11 July</w:t>
                </w:r>
                <w:r w:rsidR="005C4552">
                  <w:rPr>
                    <w:rFonts w:ascii="VIC" w:eastAsia="VIC" w:hAnsi="VIC"/>
                    <w:color w:val="244C5A"/>
                    <w:sz w:val="16"/>
                  </w:rPr>
                  <w:t xml:space="preserve"> 2022</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RrwIAAEwFAAAOAAAAZHJzL2Uyb0RvYy54bWysVN1v0zAQf0fif7D8wBMsydr0i6VTKRpM&#10;6rZKHdqz69hNpMTn2e6agvjfOTtJNwZPiJfkfL/zff7OF5dNXZEnYWwJKqPJWUyJUBzyUu0y+u3+&#10;6sOEEuuYylkFSmT0KCy9nL99c3HQM3EOBVS5MASdKDs76IwWzulZFFleiJrZM9BCISjB1Mzh0eyi&#10;3LADeq+r6DyOR9EBTK4NcGEtaj+3IJ0H/1IK7u6ktMKRKqOYmwtfE75b/43mF2y2M0wXJe/SYP+Q&#10;Rc1KhUFPrj4zx8jelH+4qktuwIJ0ZxzqCKQsuQg1YDVJ/KqaTcG0CLVgc6w+tcn+P7f89mltSJln&#10;dESJYjWO6GZzvV7ejFKeD0WcTNPBdiAHgqVyPBzGnJJcWI4d/PHucQ/u41dmiyXkoj3NpvFwnE4G&#10;o+R9B4tyV7gOnAyRIB3wUOau6PTpND3p1xXjohaqv9OaXAE4YVq5c3CtctF0Dtrf2pQ1M8ffrDbI&#10;AKRmZ3fe3b0H3WniU+CVkH1MVP70zDhoO8MGbTS2yDWfoEGG93qLSj/wRpra/3GUBHHk2PHEK9E4&#10;wlE5TkfxIEGIIzZIkvEk9W6i59vaWPdFQE28kFGDWQc6saeVda1pb+KDKbgqqypwt1LkgMMbpHG4&#10;cELQeaUwhq+hzdVLrtk2YdqnOraQH7E8A+1qWM2vSsxhxaxbM4O7gGnjfrs7/MgKMBZ0EiUFmO9/&#10;03t7pCiilBxwtzJqH/fMCEqqa4XknSbIJFzGcEDBvNRue63a10vAtU3wBdE8iN7WVb0oDdQPuP4L&#10;Hw0hpjjGzOi2F5cOTwjg88HFYhFkXDvN3EptNPeufTd9Z++bB2Z0136Hg7uFfvvY7NUUWtt2Dou9&#10;A1mGEfn+tt3s2o4rG4bcPS/+TXh5DlbPj+D8FwA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H/uVtGvAgAATAUAAA4A&#10;AAAAAAAAAAAAAAAALgIAAGRycy9lMm9Eb2MueG1sUEsBAi0AFAAGAAgAAAAhAC+QSJfgAAAACwEA&#10;AA8AAAAAAAAAAAAAAAAACQUAAGRycy9kb3ducmV2LnhtbFBLBQYAAAAABAAEAPMAAAAWBg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360</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2021-22 Q4 Mental health community service hours report</vt:lpstr>
    </vt:vector>
  </TitlesOfParts>
  <Company>Department of Health</Company>
  <LinksUpToDate>false</LinksUpToDate>
  <CharactersWithSpaces>2740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Mental health community service hours report</dc:title>
  <dc:subject/>
  <dc:creator>Victorian Agency for Health Information</dc:creator>
  <cp:keywords/>
  <cp:lastModifiedBy>Daniel Mendoza (Health)</cp:lastModifiedBy>
  <cp:revision>35</cp:revision>
  <cp:lastPrinted>2022-04-19T10:03:00Z</cp:lastPrinted>
  <dcterms:created xsi:type="dcterms:W3CDTF">2019-10-11T06:35:00Z</dcterms:created>
  <dcterms:modified xsi:type="dcterms:W3CDTF">2022-07-19T07:47:00Z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2022-07-19T07:47:11Z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5a3de387-b869-4af1-ad15-aff663ba3928</vt:lpwstr>
  </property>
  <property fmtid="{D5CDD505-2E9C-101B-9397-08002B2CF9AE}" pid="9" name="MSIP_Label_43e64453-338c-4f93-8a4d-0039a0a41f2a_ContentBits">
    <vt:lpwstr>2</vt:lpwstr>
  </property>
</Properties>
</file>