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Look w:val="04A0" w:firstRow="1" w:lastRow="0" w:firstColumn="1" w:lastColumn="0" w:noHBand="0" w:noVBand="1"/>
      </w:tblPr>
      <w:tblGrid>
        <w:gridCol w:w="9918"/>
      </w:tblGrid>
      <w:tr w:rsidR="00577412" w:rsidRPr="00577412" w14:paraId="6E2FD51B" w14:textId="77777777" w:rsidTr="00832CC7">
        <w:trPr>
          <w:trHeight w:val="1990"/>
        </w:trPr>
        <w:tc>
          <w:tcPr>
            <w:tcW w:w="9918" w:type="dxa"/>
          </w:tcPr>
          <w:p w14:paraId="41713904" w14:textId="04B7E1A9" w:rsidR="00577412" w:rsidRPr="00577412" w:rsidRDefault="002B4456" w:rsidP="00AD0099">
            <w:pPr>
              <w:spacing w:after="60" w:line="440" w:lineRule="exact"/>
              <w:ind w:right="992"/>
              <w:outlineLvl w:val="0"/>
              <w:rPr>
                <w:rFonts w:ascii="Arial" w:hAnsi="Arial" w:cs="Arial"/>
                <w:b/>
                <w:color w:val="201547"/>
                <w:sz w:val="44"/>
                <w:szCs w:val="44"/>
              </w:rPr>
            </w:pPr>
            <w:bookmarkStart w:id="0" w:name="_Toc107570897"/>
            <w:r>
              <w:rPr>
                <w:rFonts w:ascii="Arial" w:hAnsi="Arial" w:cs="Arial"/>
                <w:b/>
                <w:color w:val="201547"/>
                <w:sz w:val="44"/>
                <w:szCs w:val="44"/>
              </w:rPr>
              <w:t xml:space="preserve">Summary: </w:t>
            </w:r>
            <w:r w:rsidR="00577412" w:rsidRPr="00577412">
              <w:rPr>
                <w:rFonts w:ascii="Arial" w:hAnsi="Arial" w:cs="Arial"/>
                <w:b/>
                <w:color w:val="201547"/>
                <w:sz w:val="44"/>
                <w:szCs w:val="44"/>
              </w:rPr>
              <w:t xml:space="preserve">Integrated treatment, care and support </w:t>
            </w:r>
            <w:r w:rsidR="001D5294">
              <w:rPr>
                <w:rFonts w:ascii="Arial" w:hAnsi="Arial" w:cs="Arial"/>
                <w:b/>
                <w:color w:val="201547"/>
                <w:sz w:val="44"/>
                <w:szCs w:val="44"/>
              </w:rPr>
              <w:t>g</w:t>
            </w:r>
            <w:r w:rsidR="00577412" w:rsidRPr="2C06EA35">
              <w:rPr>
                <w:rFonts w:ascii="Arial" w:hAnsi="Arial" w:cs="Arial"/>
                <w:b/>
                <w:bCs/>
                <w:color w:val="201547"/>
                <w:sz w:val="44"/>
                <w:szCs w:val="44"/>
              </w:rPr>
              <w:t>uidance</w:t>
            </w:r>
          </w:p>
          <w:p w14:paraId="2FA52958" w14:textId="5E8747C0" w:rsidR="00577412" w:rsidRPr="00577412" w:rsidRDefault="00577412" w:rsidP="00577412">
            <w:pPr>
              <w:spacing w:before="240" w:after="240"/>
              <w:ind w:right="992"/>
              <w:outlineLvl w:val="1"/>
              <w:rPr>
                <w:rFonts w:ascii="Arial" w:hAnsi="Arial" w:cs="Arial"/>
                <w:b/>
                <w:bCs/>
                <w:color w:val="201547"/>
                <w:sz w:val="44"/>
                <w:szCs w:val="44"/>
              </w:rPr>
            </w:pPr>
            <w:r w:rsidRPr="00577412">
              <w:rPr>
                <w:rFonts w:ascii="Arial" w:hAnsi="Arial" w:cs="Arial"/>
                <w:bCs/>
                <w:color w:val="201547"/>
                <w:sz w:val="32"/>
                <w:szCs w:val="32"/>
              </w:rPr>
              <w:t xml:space="preserve">Principles and expectations for mental health and wellbeing </w:t>
            </w:r>
            <w:r w:rsidR="00FB6E7B">
              <w:rPr>
                <w:rFonts w:ascii="Arial" w:hAnsi="Arial" w:cs="Arial"/>
                <w:bCs/>
                <w:color w:val="201547"/>
                <w:sz w:val="32"/>
                <w:szCs w:val="32"/>
              </w:rPr>
              <w:t>and</w:t>
            </w:r>
            <w:r w:rsidRPr="00577412">
              <w:rPr>
                <w:rFonts w:ascii="Arial" w:hAnsi="Arial" w:cs="Arial"/>
                <w:bCs/>
                <w:color w:val="201547"/>
                <w:sz w:val="32"/>
                <w:szCs w:val="32"/>
              </w:rPr>
              <w:t xml:space="preserve"> alcohol and other drug services</w:t>
            </w:r>
          </w:p>
        </w:tc>
      </w:tr>
    </w:tbl>
    <w:p w14:paraId="3C0F593B" w14:textId="74EE968F" w:rsidR="00577412" w:rsidRPr="00577412" w:rsidRDefault="00577412" w:rsidP="00577412">
      <w:pPr>
        <w:spacing w:after="240" w:line="280" w:lineRule="atLeast"/>
        <w:ind w:left="-142" w:right="-142"/>
        <w:outlineLvl w:val="1"/>
        <w:rPr>
          <w:rFonts w:ascii="Arial" w:eastAsia="MS Gothic" w:hAnsi="Arial" w:cs="Arial"/>
          <w:bCs/>
          <w:color w:val="0D0D0D" w:themeColor="text1" w:themeTint="F2"/>
          <w:kern w:val="32"/>
          <w:sz w:val="21"/>
          <w:szCs w:val="21"/>
          <w:lang w:eastAsia="en-AU"/>
        </w:rPr>
      </w:pPr>
      <w:r w:rsidRPr="00577412">
        <w:rPr>
          <w:rFonts w:ascii="Arial" w:eastAsia="MS Gothic" w:hAnsi="Arial" w:cs="Arial"/>
          <w:bCs/>
          <w:color w:val="0D0D0D" w:themeColor="text1" w:themeTint="F2"/>
          <w:kern w:val="32"/>
          <w:sz w:val="21"/>
          <w:szCs w:val="21"/>
          <w:lang w:eastAsia="en-AU"/>
        </w:rPr>
        <w:t>In Victoria, all people who experience co-occurring mental illness and substance use or addiction, and their families and supporters</w:t>
      </w:r>
      <w:r w:rsidR="00551FA3">
        <w:rPr>
          <w:rFonts w:ascii="Arial" w:eastAsia="MS Gothic" w:hAnsi="Arial" w:cs="Arial"/>
          <w:bCs/>
          <w:color w:val="0D0D0D" w:themeColor="text1" w:themeTint="F2"/>
          <w:kern w:val="32"/>
          <w:sz w:val="21"/>
          <w:szCs w:val="21"/>
          <w:lang w:eastAsia="en-AU"/>
        </w:rPr>
        <w:t>,</w:t>
      </w:r>
      <w:r w:rsidRPr="00577412">
        <w:rPr>
          <w:rFonts w:ascii="Arial" w:eastAsia="MS Gothic" w:hAnsi="Arial" w:cs="Arial"/>
          <w:bCs/>
          <w:color w:val="0D0D0D" w:themeColor="text1" w:themeTint="F2"/>
          <w:kern w:val="32"/>
          <w:sz w:val="21"/>
          <w:szCs w:val="21"/>
          <w:lang w:eastAsia="en-AU"/>
        </w:rPr>
        <w:t xml:space="preserve"> are entitled to treatment, care and support that meets their needs in an integrated way.</w:t>
      </w:r>
    </w:p>
    <w:p w14:paraId="0D0F07F8" w14:textId="4CD56008" w:rsidR="00577412" w:rsidRPr="00BE77E8" w:rsidRDefault="00577412" w:rsidP="00DD1765">
      <w:pPr>
        <w:spacing w:after="240" w:line="280" w:lineRule="atLeast"/>
        <w:ind w:left="-142" w:right="-142"/>
        <w:outlineLvl w:val="1"/>
        <w:rPr>
          <w:rFonts w:ascii="Arial" w:eastAsia="MS Gothic" w:hAnsi="Arial" w:cs="Arial"/>
          <w:bCs/>
          <w:color w:val="0D0D0D" w:themeColor="text1" w:themeTint="F2"/>
          <w:kern w:val="32"/>
          <w:sz w:val="21"/>
          <w:szCs w:val="21"/>
          <w:lang w:eastAsia="en-AU"/>
        </w:rPr>
      </w:pPr>
      <w:r w:rsidRPr="00577412">
        <w:rPr>
          <w:rFonts w:ascii="Arial" w:eastAsia="MS Gothic" w:hAnsi="Arial" w:cs="Arial"/>
          <w:bCs/>
          <w:color w:val="0D0D0D" w:themeColor="text1" w:themeTint="F2"/>
          <w:kern w:val="32"/>
          <w:sz w:val="21"/>
          <w:szCs w:val="21"/>
          <w:lang w:eastAsia="en-AU"/>
        </w:rPr>
        <w:t xml:space="preserve">Working in partnership with people with lived and living experience and service providers, the Department of Health has developed </w:t>
      </w:r>
      <w:r w:rsidR="0035746E" w:rsidRPr="00577412">
        <w:rPr>
          <w:rFonts w:ascii="Arial" w:eastAsia="MS Gothic" w:hAnsi="Arial" w:cs="Arial"/>
          <w:bCs/>
          <w:color w:val="0D0D0D" w:themeColor="text1" w:themeTint="F2"/>
          <w:kern w:val="32"/>
          <w:sz w:val="21"/>
          <w:szCs w:val="21"/>
          <w:lang w:eastAsia="en-AU"/>
        </w:rPr>
        <w:t xml:space="preserve">the </w:t>
      </w:r>
      <w:r w:rsidR="0035746E" w:rsidRPr="00421A87">
        <w:rPr>
          <w:rFonts w:ascii="Arial" w:eastAsia="MS Gothic" w:hAnsi="Arial" w:cs="Arial"/>
          <w:bCs/>
          <w:i/>
          <w:iCs/>
          <w:color w:val="0D0D0D" w:themeColor="text1" w:themeTint="F2"/>
          <w:kern w:val="32"/>
          <w:sz w:val="21"/>
          <w:szCs w:val="21"/>
          <w:lang w:eastAsia="en-AU"/>
        </w:rPr>
        <w:t>Integrated treatment</w:t>
      </w:r>
      <w:r w:rsidR="00A25E77">
        <w:rPr>
          <w:rFonts w:ascii="Arial" w:eastAsia="MS Gothic" w:hAnsi="Arial" w:cs="Arial"/>
          <w:bCs/>
          <w:i/>
          <w:iCs/>
          <w:color w:val="0D0D0D" w:themeColor="text1" w:themeTint="F2"/>
          <w:kern w:val="32"/>
          <w:sz w:val="21"/>
          <w:szCs w:val="21"/>
          <w:lang w:eastAsia="en-AU"/>
        </w:rPr>
        <w:t>,</w:t>
      </w:r>
      <w:r w:rsidR="0035746E" w:rsidRPr="00421A87">
        <w:rPr>
          <w:rFonts w:ascii="Arial" w:eastAsia="MS Gothic" w:hAnsi="Arial" w:cs="Arial"/>
          <w:bCs/>
          <w:i/>
          <w:iCs/>
          <w:color w:val="0D0D0D" w:themeColor="text1" w:themeTint="F2"/>
          <w:kern w:val="32"/>
          <w:sz w:val="21"/>
          <w:szCs w:val="21"/>
          <w:lang w:eastAsia="en-AU"/>
        </w:rPr>
        <w:t xml:space="preserve"> care and support for people with co-occurring </w:t>
      </w:r>
      <w:r w:rsidR="0035746E">
        <w:rPr>
          <w:rFonts w:ascii="Arial" w:eastAsia="MS Gothic" w:hAnsi="Arial" w:cs="Arial"/>
          <w:bCs/>
          <w:i/>
          <w:iCs/>
          <w:color w:val="0D0D0D" w:themeColor="text1" w:themeTint="F2"/>
          <w:kern w:val="32"/>
          <w:sz w:val="21"/>
          <w:szCs w:val="21"/>
          <w:lang w:eastAsia="en-AU"/>
        </w:rPr>
        <w:t>mental illness and substance use or addiction</w:t>
      </w:r>
      <w:r w:rsidR="0035746E" w:rsidRPr="00421A87">
        <w:rPr>
          <w:rFonts w:ascii="Arial" w:eastAsia="MS Gothic" w:hAnsi="Arial" w:cs="Arial"/>
          <w:bCs/>
          <w:i/>
          <w:iCs/>
          <w:color w:val="0D0D0D" w:themeColor="text1" w:themeTint="F2"/>
          <w:kern w:val="32"/>
          <w:sz w:val="21"/>
          <w:szCs w:val="21"/>
          <w:lang w:eastAsia="en-AU"/>
        </w:rPr>
        <w:t xml:space="preserve">: Guidance for Victorian mental health and wellbeing and </w:t>
      </w:r>
      <w:r w:rsidR="00D703DF">
        <w:rPr>
          <w:rFonts w:ascii="Arial" w:eastAsia="MS Gothic" w:hAnsi="Arial" w:cs="Arial"/>
          <w:bCs/>
          <w:i/>
          <w:iCs/>
          <w:color w:val="0D0D0D" w:themeColor="text1" w:themeTint="F2"/>
          <w:kern w:val="32"/>
          <w:sz w:val="21"/>
          <w:szCs w:val="21"/>
          <w:lang w:eastAsia="en-AU"/>
        </w:rPr>
        <w:t>alcohol and other drug (AOD)</w:t>
      </w:r>
      <w:r w:rsidR="0035746E" w:rsidRPr="00421A87">
        <w:rPr>
          <w:rFonts w:ascii="Arial" w:eastAsia="MS Gothic" w:hAnsi="Arial" w:cs="Arial"/>
          <w:bCs/>
          <w:i/>
          <w:iCs/>
          <w:color w:val="0D0D0D" w:themeColor="text1" w:themeTint="F2"/>
          <w:kern w:val="32"/>
          <w:sz w:val="21"/>
          <w:szCs w:val="21"/>
          <w:lang w:eastAsia="en-AU"/>
        </w:rPr>
        <w:t xml:space="preserve"> services</w:t>
      </w:r>
      <w:r w:rsidR="0035746E" w:rsidRPr="00421A87">
        <w:rPr>
          <w:rFonts w:ascii="Arial" w:eastAsia="MS Gothic" w:hAnsi="Arial" w:cs="Arial"/>
          <w:bCs/>
          <w:color w:val="0D0D0D" w:themeColor="text1" w:themeTint="F2"/>
          <w:kern w:val="32"/>
          <w:sz w:val="21"/>
          <w:szCs w:val="21"/>
          <w:lang w:eastAsia="en-AU"/>
        </w:rPr>
        <w:t xml:space="preserve"> (the Guidance)</w:t>
      </w:r>
      <w:r w:rsidR="0035746E">
        <w:rPr>
          <w:rFonts w:ascii="Arial" w:eastAsia="MS Gothic" w:hAnsi="Arial" w:cs="Arial"/>
          <w:bCs/>
          <w:color w:val="0D0D0D" w:themeColor="text1" w:themeTint="F2"/>
          <w:kern w:val="32"/>
          <w:sz w:val="21"/>
          <w:szCs w:val="21"/>
          <w:lang w:eastAsia="en-AU"/>
        </w:rPr>
        <w:t>.</w:t>
      </w:r>
      <w:r w:rsidR="00DD1765">
        <w:rPr>
          <w:rFonts w:ascii="Arial" w:eastAsia="MS Gothic" w:hAnsi="Arial" w:cs="Arial"/>
          <w:bCs/>
          <w:color w:val="0D0D0D" w:themeColor="text1" w:themeTint="F2"/>
          <w:kern w:val="32"/>
          <w:sz w:val="21"/>
          <w:szCs w:val="21"/>
          <w:lang w:eastAsia="en-AU"/>
        </w:rPr>
        <w:t xml:space="preserve"> </w:t>
      </w:r>
      <w:r w:rsidR="0035746E" w:rsidRPr="00A25E77">
        <w:rPr>
          <w:rFonts w:ascii="Arial" w:eastAsia="MS Gothic" w:hAnsi="Arial" w:cs="Arial"/>
          <w:bCs/>
          <w:color w:val="0D0D0D" w:themeColor="text1" w:themeTint="F2"/>
          <w:kern w:val="32"/>
          <w:sz w:val="21"/>
          <w:szCs w:val="21"/>
          <w:lang w:eastAsia="en-AU"/>
        </w:rPr>
        <w:t>The Guidance contains</w:t>
      </w:r>
      <w:r w:rsidR="0035746E">
        <w:rPr>
          <w:rFonts w:ascii="Arial" w:eastAsia="MS Gothic" w:hAnsi="Arial" w:cs="Arial"/>
          <w:b/>
          <w:color w:val="0D0D0D" w:themeColor="text1" w:themeTint="F2"/>
          <w:kern w:val="32"/>
          <w:sz w:val="21"/>
          <w:szCs w:val="21"/>
          <w:lang w:eastAsia="en-AU"/>
        </w:rPr>
        <w:t xml:space="preserve"> </w:t>
      </w:r>
      <w:r w:rsidRPr="00577412">
        <w:rPr>
          <w:rFonts w:ascii="Arial" w:eastAsia="MS Gothic" w:hAnsi="Arial" w:cs="Arial"/>
          <w:b/>
          <w:color w:val="0D0D0D" w:themeColor="text1" w:themeTint="F2"/>
          <w:kern w:val="32"/>
          <w:sz w:val="21"/>
          <w:szCs w:val="21"/>
          <w:lang w:eastAsia="en-AU"/>
        </w:rPr>
        <w:t>11 expectations for service providers</w:t>
      </w:r>
      <w:r w:rsidRPr="00577412">
        <w:rPr>
          <w:rFonts w:ascii="Arial" w:eastAsia="MS Gothic" w:hAnsi="Arial" w:cs="Arial"/>
          <w:bCs/>
          <w:color w:val="0D0D0D" w:themeColor="text1" w:themeTint="F2"/>
          <w:kern w:val="32"/>
          <w:sz w:val="21"/>
          <w:szCs w:val="21"/>
          <w:lang w:eastAsia="en-AU"/>
        </w:rPr>
        <w:t xml:space="preserve"> – underpinned by </w:t>
      </w:r>
      <w:r w:rsidRPr="00577412">
        <w:rPr>
          <w:rFonts w:ascii="Arial" w:eastAsia="MS Gothic" w:hAnsi="Arial" w:cs="Arial"/>
          <w:b/>
          <w:color w:val="0D0D0D" w:themeColor="text1" w:themeTint="F2"/>
          <w:kern w:val="32"/>
          <w:sz w:val="21"/>
          <w:szCs w:val="21"/>
          <w:lang w:eastAsia="en-AU"/>
        </w:rPr>
        <w:t>four principles</w:t>
      </w:r>
      <w:r w:rsidRPr="00577412">
        <w:rPr>
          <w:rFonts w:ascii="Arial" w:eastAsia="MS Gothic" w:hAnsi="Arial" w:cs="Arial"/>
          <w:bCs/>
          <w:color w:val="0D0D0D" w:themeColor="text1" w:themeTint="F2"/>
          <w:kern w:val="32"/>
          <w:sz w:val="21"/>
          <w:szCs w:val="21"/>
          <w:lang w:eastAsia="en-AU"/>
        </w:rPr>
        <w:t xml:space="preserve"> – to guide the delivery of integrated treatment, care and support. The principles and expectations are summarised </w:t>
      </w:r>
      <w:r w:rsidR="000D119C">
        <w:rPr>
          <w:rFonts w:ascii="Arial" w:eastAsia="MS Gothic" w:hAnsi="Arial" w:cs="Arial"/>
          <w:bCs/>
          <w:color w:val="0D0D0D" w:themeColor="text1" w:themeTint="F2"/>
          <w:kern w:val="32"/>
          <w:sz w:val="21"/>
          <w:szCs w:val="21"/>
          <w:lang w:eastAsia="en-AU"/>
        </w:rPr>
        <w:t>below</w:t>
      </w:r>
      <w:r w:rsidRPr="00577412">
        <w:rPr>
          <w:rFonts w:ascii="Arial" w:eastAsia="MS Gothic" w:hAnsi="Arial" w:cs="Arial"/>
          <w:bCs/>
          <w:color w:val="0D0D0D" w:themeColor="text1" w:themeTint="F2"/>
          <w:kern w:val="32"/>
          <w:sz w:val="21"/>
          <w:szCs w:val="21"/>
          <w:lang w:eastAsia="en-AU"/>
        </w:rPr>
        <w:t xml:space="preserve">, and fully described </w:t>
      </w:r>
      <w:r w:rsidR="005A30B6" w:rsidRPr="005A30B6">
        <w:rPr>
          <w:rFonts w:ascii="Arial" w:eastAsia="MS Gothic" w:hAnsi="Arial" w:cs="Arial"/>
          <w:bCs/>
          <w:color w:val="0D0D0D" w:themeColor="text1" w:themeTint="F2"/>
          <w:kern w:val="32"/>
          <w:sz w:val="21"/>
          <w:szCs w:val="21"/>
          <w:lang w:eastAsia="en-AU"/>
        </w:rPr>
        <w:t xml:space="preserve">on pages </w:t>
      </w:r>
      <w:r w:rsidR="00DE7FF5">
        <w:rPr>
          <w:rFonts w:ascii="Arial" w:eastAsia="MS Gothic" w:hAnsi="Arial" w:cs="Arial"/>
          <w:bCs/>
          <w:color w:val="0D0D0D" w:themeColor="text1" w:themeTint="F2"/>
          <w:kern w:val="32"/>
          <w:sz w:val="21"/>
          <w:szCs w:val="21"/>
          <w:lang w:eastAsia="en-AU"/>
        </w:rPr>
        <w:t>2</w:t>
      </w:r>
      <w:r w:rsidR="005A30B6" w:rsidRPr="005A30B6">
        <w:rPr>
          <w:rFonts w:ascii="Arial" w:eastAsia="MS Gothic" w:hAnsi="Arial" w:cs="Arial"/>
          <w:bCs/>
          <w:color w:val="0D0D0D" w:themeColor="text1" w:themeTint="F2"/>
          <w:kern w:val="32"/>
          <w:sz w:val="21"/>
          <w:szCs w:val="21"/>
          <w:lang w:eastAsia="en-AU"/>
        </w:rPr>
        <w:t>-</w:t>
      </w:r>
      <w:r w:rsidR="00DE7FF5">
        <w:rPr>
          <w:rFonts w:ascii="Arial" w:eastAsia="MS Gothic" w:hAnsi="Arial" w:cs="Arial"/>
          <w:bCs/>
          <w:color w:val="0D0D0D" w:themeColor="text1" w:themeTint="F2"/>
          <w:kern w:val="32"/>
          <w:sz w:val="21"/>
          <w:szCs w:val="21"/>
          <w:lang w:eastAsia="en-AU"/>
        </w:rPr>
        <w:t>7</w:t>
      </w:r>
      <w:r w:rsidRPr="00577412">
        <w:rPr>
          <w:rFonts w:ascii="Arial" w:eastAsia="MS Gothic" w:hAnsi="Arial" w:cs="Arial"/>
          <w:bCs/>
          <w:color w:val="0D0D0D" w:themeColor="text1" w:themeTint="F2"/>
          <w:kern w:val="32"/>
          <w:sz w:val="21"/>
          <w:szCs w:val="21"/>
          <w:lang w:eastAsia="en-AU"/>
        </w:rPr>
        <w:t>.</w:t>
      </w: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938"/>
      </w:tblGrid>
      <w:tr w:rsidR="0062637A" w:rsidRPr="00577412" w14:paraId="737637BE" w14:textId="77777777" w:rsidTr="0062637A">
        <w:tc>
          <w:tcPr>
            <w:tcW w:w="1848" w:type="dxa"/>
            <w:shd w:val="clear" w:color="auto" w:fill="D9E2F3" w:themeFill="accent1" w:themeFillTint="33"/>
            <w:vAlign w:val="center"/>
          </w:tcPr>
          <w:p w14:paraId="14B16906" w14:textId="77777777" w:rsidR="00577412" w:rsidRPr="00577412" w:rsidRDefault="00577412" w:rsidP="00577412">
            <w:pPr>
              <w:spacing w:before="120" w:after="120"/>
              <w:rPr>
                <w:rFonts w:ascii="Arial" w:eastAsia="MS Gothic" w:hAnsi="Arial"/>
                <w:b/>
                <w:bCs/>
                <w:sz w:val="21"/>
              </w:rPr>
            </w:pPr>
            <w:r w:rsidRPr="00577412">
              <w:rPr>
                <w:rFonts w:ascii="Arial" w:eastAsia="MS Gothic" w:hAnsi="Arial"/>
                <w:b/>
                <w:bCs/>
                <w:sz w:val="21"/>
              </w:rPr>
              <w:t>1. Inclusion</w:t>
            </w:r>
          </w:p>
        </w:tc>
        <w:tc>
          <w:tcPr>
            <w:tcW w:w="7938" w:type="dxa"/>
            <w:shd w:val="clear" w:color="auto" w:fill="D9E2F3" w:themeFill="accent1" w:themeFillTint="33"/>
            <w:vAlign w:val="center"/>
          </w:tcPr>
          <w:p w14:paraId="7516B9EF"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Welcome people with co-occurring needs and their families and supporters</w:t>
            </w:r>
          </w:p>
          <w:p w14:paraId="03E7ECDB"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Offer hope, respect and non-judgement</w:t>
            </w:r>
          </w:p>
        </w:tc>
      </w:tr>
      <w:tr w:rsidR="0062637A" w:rsidRPr="00577412" w14:paraId="0BC6FE59" w14:textId="77777777" w:rsidTr="0062637A">
        <w:tc>
          <w:tcPr>
            <w:tcW w:w="1848" w:type="dxa"/>
            <w:shd w:val="clear" w:color="auto" w:fill="B4C6E7" w:themeFill="accent1" w:themeFillTint="66"/>
            <w:vAlign w:val="center"/>
          </w:tcPr>
          <w:p w14:paraId="194557FB" w14:textId="77777777" w:rsidR="00577412" w:rsidRPr="00577412" w:rsidRDefault="00577412" w:rsidP="00577412">
            <w:pPr>
              <w:spacing w:before="120" w:after="120"/>
              <w:rPr>
                <w:rFonts w:ascii="Arial" w:eastAsia="MS Gothic" w:hAnsi="Arial"/>
                <w:b/>
                <w:bCs/>
                <w:sz w:val="21"/>
              </w:rPr>
            </w:pPr>
            <w:r w:rsidRPr="00577412">
              <w:rPr>
                <w:rFonts w:ascii="Arial" w:eastAsia="MS Gothic" w:hAnsi="Arial"/>
                <w:b/>
                <w:bCs/>
                <w:sz w:val="21"/>
              </w:rPr>
              <w:t>2. Access</w:t>
            </w:r>
          </w:p>
        </w:tc>
        <w:tc>
          <w:tcPr>
            <w:tcW w:w="7938" w:type="dxa"/>
            <w:shd w:val="clear" w:color="auto" w:fill="B4C6E7" w:themeFill="accent1" w:themeFillTint="66"/>
            <w:vAlign w:val="center"/>
          </w:tcPr>
          <w:p w14:paraId="144CF7A7"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Ensure there are ‘no wrong doors’ and viable support pathways</w:t>
            </w:r>
          </w:p>
          <w:p w14:paraId="67C56F5F"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Maximise accessibility</w:t>
            </w:r>
          </w:p>
          <w:p w14:paraId="1C4E8813"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Ensure Aboriginal cultural safety and self-determination</w:t>
            </w:r>
          </w:p>
        </w:tc>
      </w:tr>
      <w:tr w:rsidR="0062637A" w:rsidRPr="00577412" w14:paraId="7FDEFE13" w14:textId="77777777" w:rsidTr="0062637A">
        <w:tc>
          <w:tcPr>
            <w:tcW w:w="1848" w:type="dxa"/>
            <w:shd w:val="clear" w:color="auto" w:fill="8EAADB" w:themeFill="accent1" w:themeFillTint="99"/>
            <w:vAlign w:val="center"/>
          </w:tcPr>
          <w:p w14:paraId="6C184DB5" w14:textId="77777777" w:rsidR="00577412" w:rsidRPr="00577412" w:rsidRDefault="00577412" w:rsidP="00577412">
            <w:pPr>
              <w:spacing w:before="120" w:after="120"/>
              <w:rPr>
                <w:rFonts w:ascii="Arial" w:eastAsia="MS Gothic" w:hAnsi="Arial"/>
                <w:b/>
                <w:bCs/>
                <w:sz w:val="21"/>
              </w:rPr>
            </w:pPr>
            <w:r w:rsidRPr="00577412">
              <w:rPr>
                <w:rFonts w:ascii="Arial" w:eastAsia="MS Gothic" w:hAnsi="Arial"/>
                <w:b/>
                <w:bCs/>
                <w:sz w:val="21"/>
              </w:rPr>
              <w:t>3. Capability</w:t>
            </w:r>
          </w:p>
        </w:tc>
        <w:tc>
          <w:tcPr>
            <w:tcW w:w="7938" w:type="dxa"/>
            <w:shd w:val="clear" w:color="auto" w:fill="8EAADB" w:themeFill="accent1" w:themeFillTint="99"/>
            <w:vAlign w:val="center"/>
          </w:tcPr>
          <w:p w14:paraId="7B6A0D7D"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Meet both co-occurring needs</w:t>
            </w:r>
          </w:p>
          <w:p w14:paraId="2E94749D"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Take a person-led approach</w:t>
            </w:r>
          </w:p>
          <w:p w14:paraId="104A7CC9"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Promote and support harm reduction</w:t>
            </w:r>
          </w:p>
          <w:p w14:paraId="14A1E504"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Support and involve families and supporters</w:t>
            </w:r>
          </w:p>
          <w:p w14:paraId="21DB948F" w14:textId="77777777" w:rsidR="00577412" w:rsidRPr="00577412" w:rsidRDefault="00577412" w:rsidP="00577412">
            <w:pPr>
              <w:numPr>
                <w:ilvl w:val="0"/>
                <w:numId w:val="1"/>
              </w:numPr>
              <w:spacing w:before="120" w:after="120" w:line="280" w:lineRule="atLeast"/>
              <w:ind w:left="460" w:hanging="425"/>
              <w:rPr>
                <w:rFonts w:ascii="Arial" w:eastAsia="MS Gothic" w:hAnsi="Arial"/>
                <w:sz w:val="21"/>
              </w:rPr>
            </w:pPr>
            <w:r w:rsidRPr="00577412">
              <w:rPr>
                <w:rFonts w:ascii="Arial" w:eastAsia="MS Gothic" w:hAnsi="Arial"/>
                <w:sz w:val="21"/>
              </w:rPr>
              <w:t>Collaborate and learn</w:t>
            </w:r>
          </w:p>
        </w:tc>
      </w:tr>
      <w:tr w:rsidR="0062637A" w:rsidRPr="00577412" w14:paraId="6AB1D14F" w14:textId="77777777" w:rsidTr="0062637A">
        <w:tc>
          <w:tcPr>
            <w:tcW w:w="1848" w:type="dxa"/>
            <w:shd w:val="clear" w:color="auto" w:fill="2F5496" w:themeFill="accent1" w:themeFillShade="BF"/>
            <w:vAlign w:val="center"/>
          </w:tcPr>
          <w:p w14:paraId="28C60DB9" w14:textId="77777777" w:rsidR="00577412" w:rsidRPr="00577412" w:rsidRDefault="00577412" w:rsidP="00577412">
            <w:pPr>
              <w:spacing w:before="120" w:after="120"/>
              <w:rPr>
                <w:rFonts w:ascii="Arial" w:eastAsia="MS Gothic" w:hAnsi="Arial"/>
                <w:b/>
                <w:bCs/>
                <w:color w:val="FFFFFF" w:themeColor="background1"/>
                <w:sz w:val="21"/>
              </w:rPr>
            </w:pPr>
            <w:r w:rsidRPr="00577412">
              <w:rPr>
                <w:rFonts w:ascii="Arial" w:eastAsia="MS Gothic" w:hAnsi="Arial"/>
                <w:b/>
                <w:bCs/>
                <w:color w:val="FFFFFF" w:themeColor="background1"/>
                <w:sz w:val="21"/>
              </w:rPr>
              <w:t>4. Participation</w:t>
            </w:r>
          </w:p>
        </w:tc>
        <w:tc>
          <w:tcPr>
            <w:tcW w:w="7938" w:type="dxa"/>
            <w:shd w:val="clear" w:color="auto" w:fill="2F5496" w:themeFill="accent1" w:themeFillShade="BF"/>
            <w:vAlign w:val="center"/>
          </w:tcPr>
          <w:p w14:paraId="51093E8F" w14:textId="77777777" w:rsidR="00577412" w:rsidRPr="00577412" w:rsidRDefault="00577412" w:rsidP="00577412">
            <w:pPr>
              <w:numPr>
                <w:ilvl w:val="0"/>
                <w:numId w:val="1"/>
              </w:numPr>
              <w:spacing w:before="120" w:after="120" w:line="280" w:lineRule="atLeast"/>
              <w:ind w:left="460" w:hanging="425"/>
              <w:rPr>
                <w:rFonts w:ascii="Arial" w:eastAsia="MS Gothic" w:hAnsi="Arial"/>
                <w:color w:val="FFFFFF" w:themeColor="background1"/>
                <w:sz w:val="21"/>
              </w:rPr>
            </w:pPr>
            <w:r w:rsidRPr="00577412">
              <w:rPr>
                <w:rFonts w:ascii="Arial" w:eastAsia="MS Gothic" w:hAnsi="Arial"/>
                <w:color w:val="FFFFFF" w:themeColor="background1"/>
                <w:sz w:val="21"/>
              </w:rPr>
              <w:t>Create meaningful participation and leadership opportunities</w:t>
            </w:r>
          </w:p>
        </w:tc>
      </w:tr>
    </w:tbl>
    <w:p w14:paraId="0378F14A" w14:textId="77777777" w:rsidR="00DD1765" w:rsidRDefault="00577412" w:rsidP="00DD1765">
      <w:pPr>
        <w:spacing w:before="240" w:after="240" w:line="280" w:lineRule="atLeast"/>
        <w:ind w:left="-142" w:right="-142"/>
        <w:outlineLvl w:val="1"/>
        <w:rPr>
          <w:rFonts w:ascii="Arial" w:eastAsia="MS Gothic" w:hAnsi="Arial" w:cs="Arial"/>
          <w:bCs/>
          <w:color w:val="0D0D0D" w:themeColor="text1" w:themeTint="F2"/>
          <w:kern w:val="32"/>
          <w:sz w:val="21"/>
          <w:szCs w:val="21"/>
          <w:lang w:eastAsia="en-AU"/>
        </w:rPr>
      </w:pPr>
      <w:r w:rsidRPr="00577412">
        <w:rPr>
          <w:rFonts w:ascii="Arial" w:eastAsia="MS Gothic" w:hAnsi="Arial" w:cs="Arial"/>
          <w:bCs/>
          <w:color w:val="0D0D0D" w:themeColor="text1" w:themeTint="F2"/>
          <w:kern w:val="32"/>
          <w:sz w:val="21"/>
          <w:szCs w:val="21"/>
          <w:lang w:eastAsia="en-AU"/>
        </w:rPr>
        <w:t>Service providers are expected to implement the principles and expectations when supporting people with co-occurring mental illness and substance use or addiction</w:t>
      </w:r>
      <w:r w:rsidR="008F0E15">
        <w:rPr>
          <w:rFonts w:ascii="Arial" w:eastAsia="MS Gothic" w:hAnsi="Arial" w:cs="Arial"/>
          <w:bCs/>
          <w:color w:val="0D0D0D" w:themeColor="text1" w:themeTint="F2"/>
          <w:kern w:val="32"/>
          <w:sz w:val="21"/>
          <w:szCs w:val="21"/>
          <w:lang w:eastAsia="en-AU"/>
        </w:rPr>
        <w:t xml:space="preserve"> and their families and supporters.</w:t>
      </w:r>
      <w:r w:rsidRPr="00577412">
        <w:rPr>
          <w:rFonts w:ascii="Arial" w:eastAsia="MS Gothic" w:hAnsi="Arial" w:cs="Arial"/>
          <w:bCs/>
          <w:color w:val="0D0D0D" w:themeColor="text1" w:themeTint="F2"/>
          <w:kern w:val="32"/>
          <w:sz w:val="21"/>
          <w:szCs w:val="21"/>
          <w:lang w:eastAsia="en-AU"/>
        </w:rPr>
        <w:t xml:space="preserve"> Services are encouraged to consider </w:t>
      </w:r>
      <w:r w:rsidRPr="00577412">
        <w:rPr>
          <w:rFonts w:ascii="Arial" w:eastAsia="MS Gothic" w:hAnsi="Arial" w:cs="Arial"/>
          <w:b/>
          <w:color w:val="0D0D0D" w:themeColor="text1" w:themeTint="F2"/>
          <w:kern w:val="32"/>
          <w:sz w:val="21"/>
          <w:szCs w:val="21"/>
          <w:lang w:eastAsia="en-AU"/>
        </w:rPr>
        <w:t>identifying leaders</w:t>
      </w:r>
      <w:r w:rsidRPr="00577412">
        <w:rPr>
          <w:rFonts w:ascii="Arial" w:eastAsia="MS Gothic" w:hAnsi="Arial" w:cs="Arial"/>
          <w:bCs/>
          <w:color w:val="0D0D0D" w:themeColor="text1" w:themeTint="F2"/>
          <w:kern w:val="32"/>
          <w:sz w:val="21"/>
          <w:szCs w:val="21"/>
          <w:lang w:eastAsia="en-AU"/>
        </w:rPr>
        <w:t xml:space="preserve"> to drive change and build collective ownership and responsibility for integrated practice, </w:t>
      </w:r>
      <w:r w:rsidRPr="00577412">
        <w:rPr>
          <w:rFonts w:ascii="Arial" w:eastAsia="MS Gothic" w:hAnsi="Arial" w:cs="Arial"/>
          <w:b/>
          <w:color w:val="0D0D0D" w:themeColor="text1" w:themeTint="F2"/>
          <w:kern w:val="32"/>
          <w:sz w:val="21"/>
          <w:szCs w:val="21"/>
          <w:lang w:eastAsia="en-AU"/>
        </w:rPr>
        <w:t>incorporating the principles and expectations</w:t>
      </w:r>
      <w:r w:rsidRPr="00577412">
        <w:rPr>
          <w:rFonts w:ascii="Arial" w:eastAsia="MS Gothic" w:hAnsi="Arial" w:cs="Arial"/>
          <w:bCs/>
          <w:color w:val="0D0D0D" w:themeColor="text1" w:themeTint="F2"/>
          <w:kern w:val="32"/>
          <w:sz w:val="21"/>
          <w:szCs w:val="21"/>
          <w:lang w:eastAsia="en-AU"/>
        </w:rPr>
        <w:t xml:space="preserve"> into existing policies, plans, models of care and processes, and developing </w:t>
      </w:r>
      <w:r w:rsidRPr="00577412">
        <w:rPr>
          <w:rFonts w:ascii="Arial" w:eastAsia="MS Gothic" w:hAnsi="Arial" w:cs="Arial"/>
          <w:b/>
          <w:color w:val="0D0D0D" w:themeColor="text1" w:themeTint="F2"/>
          <w:kern w:val="32"/>
          <w:sz w:val="21"/>
          <w:szCs w:val="21"/>
          <w:lang w:eastAsia="en-AU"/>
        </w:rPr>
        <w:t>staged implementation plans</w:t>
      </w:r>
      <w:r w:rsidRPr="00577412">
        <w:rPr>
          <w:rFonts w:ascii="Arial" w:eastAsia="MS Gothic" w:hAnsi="Arial" w:cs="Arial"/>
          <w:bCs/>
          <w:color w:val="0D0D0D" w:themeColor="text1" w:themeTint="F2"/>
          <w:kern w:val="32"/>
          <w:sz w:val="21"/>
          <w:szCs w:val="21"/>
          <w:lang w:eastAsia="en-AU"/>
        </w:rPr>
        <w:t xml:space="preserve"> by which programs and services become more integrated care </w:t>
      </w:r>
      <w:r w:rsidR="00D703DF" w:rsidRPr="00577412">
        <w:rPr>
          <w:rFonts w:ascii="Arial" w:eastAsia="MS Gothic" w:hAnsi="Arial" w:cs="Arial"/>
          <w:bCs/>
          <w:color w:val="0D0D0D" w:themeColor="text1" w:themeTint="F2"/>
          <w:kern w:val="32"/>
          <w:sz w:val="21"/>
          <w:szCs w:val="21"/>
          <w:lang w:eastAsia="en-AU"/>
        </w:rPr>
        <w:t>capable,</w:t>
      </w:r>
      <w:r w:rsidR="002506A2">
        <w:rPr>
          <w:rFonts w:ascii="Arial" w:eastAsia="MS Gothic" w:hAnsi="Arial" w:cs="Arial"/>
          <w:bCs/>
          <w:color w:val="0D0D0D" w:themeColor="text1" w:themeTint="F2"/>
          <w:kern w:val="32"/>
          <w:sz w:val="21"/>
          <w:szCs w:val="21"/>
          <w:lang w:eastAsia="en-AU"/>
        </w:rPr>
        <w:t xml:space="preserve"> </w:t>
      </w:r>
      <w:r w:rsidRPr="00577412">
        <w:rPr>
          <w:rFonts w:ascii="Arial" w:eastAsia="MS Gothic" w:hAnsi="Arial" w:cs="Arial"/>
          <w:bCs/>
          <w:color w:val="0D0D0D" w:themeColor="text1" w:themeTint="F2"/>
          <w:kern w:val="32"/>
          <w:sz w:val="21"/>
          <w:szCs w:val="21"/>
          <w:lang w:eastAsia="en-AU"/>
        </w:rPr>
        <w:t xml:space="preserve">aligned with the principles and expectations of the </w:t>
      </w:r>
      <w:r w:rsidR="00D703DF">
        <w:rPr>
          <w:rFonts w:ascii="Arial" w:eastAsia="MS Gothic" w:hAnsi="Arial" w:cs="Arial"/>
          <w:bCs/>
          <w:i/>
          <w:iCs/>
          <w:color w:val="0D0D0D" w:themeColor="text1" w:themeTint="F2"/>
          <w:kern w:val="32"/>
          <w:sz w:val="21"/>
          <w:szCs w:val="21"/>
          <w:lang w:eastAsia="en-AU"/>
        </w:rPr>
        <w:t xml:space="preserve">Guidance. </w:t>
      </w:r>
      <w:r w:rsidR="00421A87">
        <w:rPr>
          <w:rFonts w:ascii="Arial" w:eastAsia="MS Gothic" w:hAnsi="Arial" w:cs="Arial"/>
          <w:bCs/>
          <w:color w:val="0D0D0D" w:themeColor="text1" w:themeTint="F2"/>
          <w:kern w:val="32"/>
          <w:sz w:val="21"/>
          <w:szCs w:val="21"/>
          <w:lang w:eastAsia="en-AU"/>
        </w:rPr>
        <w:t xml:space="preserve"> </w:t>
      </w:r>
    </w:p>
    <w:p w14:paraId="171D4645" w14:textId="1B2F5FBF" w:rsidR="00577412" w:rsidRPr="00DD1765" w:rsidRDefault="00D24462" w:rsidP="00DD1765">
      <w:pPr>
        <w:spacing w:before="240" w:after="240" w:line="280" w:lineRule="atLeast"/>
        <w:ind w:left="-142" w:right="-142"/>
        <w:outlineLvl w:val="1"/>
        <w:rPr>
          <w:rFonts w:ascii="Arial" w:eastAsia="MS Gothic" w:hAnsi="Arial" w:cs="Arial"/>
          <w:bCs/>
          <w:color w:val="0D0D0D" w:themeColor="text1" w:themeTint="F2"/>
          <w:kern w:val="32"/>
          <w:sz w:val="21"/>
          <w:szCs w:val="21"/>
          <w:lang w:eastAsia="en-AU"/>
        </w:rPr>
      </w:pPr>
      <w:r>
        <w:rPr>
          <w:rFonts w:ascii="Arial" w:eastAsia="MS Gothic" w:hAnsi="Arial" w:cs="Arial"/>
          <w:bCs/>
          <w:color w:val="0D0D0D" w:themeColor="text1" w:themeTint="F2"/>
          <w:kern w:val="32"/>
          <w:sz w:val="21"/>
          <w:szCs w:val="21"/>
          <w:lang w:eastAsia="en-AU"/>
        </w:rPr>
        <w:lastRenderedPageBreak/>
        <w:t>The Guidance</w:t>
      </w:r>
      <w:r w:rsidR="00577412" w:rsidRPr="00577412">
        <w:rPr>
          <w:rFonts w:ascii="Arial" w:eastAsia="MS Gothic" w:hAnsi="Arial" w:cs="Arial"/>
          <w:bCs/>
          <w:color w:val="0D0D0D" w:themeColor="text1" w:themeTint="F2"/>
          <w:kern w:val="32"/>
          <w:sz w:val="21"/>
          <w:szCs w:val="21"/>
          <w:lang w:eastAsia="en-AU"/>
        </w:rPr>
        <w:t>, which provides more information and context about Victoria’s approach to integrated treatment, care and support, is available on the</w:t>
      </w:r>
      <w:r w:rsidR="00577412" w:rsidRPr="00577412">
        <w:rPr>
          <w:rFonts w:ascii="Arial" w:eastAsia="Times" w:hAnsi="Arial" w:cs="Arial"/>
          <w:bCs/>
          <w:color w:val="0D0D0D" w:themeColor="text1" w:themeTint="F2"/>
          <w:kern w:val="32"/>
          <w:sz w:val="21"/>
          <w:szCs w:val="21"/>
          <w:lang w:eastAsia="en-AU"/>
        </w:rPr>
        <w:t xml:space="preserve"> </w:t>
      </w:r>
      <w:hyperlink r:id="rId11" w:history="1">
        <w:r w:rsidR="00577412" w:rsidRPr="00577412">
          <w:rPr>
            <w:rFonts w:ascii="Arial" w:eastAsia="Times" w:hAnsi="Arial" w:cs="Arial"/>
            <w:bCs/>
            <w:color w:val="0563C1" w:themeColor="hyperlink"/>
            <w:kern w:val="32"/>
            <w:sz w:val="21"/>
            <w:szCs w:val="21"/>
            <w:u w:val="single"/>
            <w:lang w:eastAsia="en-AU"/>
          </w:rPr>
          <w:t>Department of Health's website</w:t>
        </w:r>
      </w:hyperlink>
      <w:r w:rsidR="003A07D1">
        <w:rPr>
          <w:rFonts w:ascii="Arial" w:eastAsia="MS Gothic" w:hAnsi="Arial" w:cs="Arial"/>
          <w:bCs/>
          <w:color w:val="0D0D0D" w:themeColor="text1" w:themeTint="F2"/>
          <w:kern w:val="32"/>
          <w:sz w:val="21"/>
          <w:szCs w:val="21"/>
          <w:lang w:eastAsia="en-AU"/>
        </w:rPr>
        <w:t xml:space="preserve"> </w:t>
      </w:r>
      <w:r w:rsidR="003A07D1" w:rsidRPr="003A07D1">
        <w:rPr>
          <w:rFonts w:ascii="Arial" w:hAnsi="Arial" w:cs="Arial"/>
          <w:sz w:val="21"/>
          <w:szCs w:val="21"/>
        </w:rPr>
        <w:t>&lt;https://www.health.vic.gov.au/mental-health-reform/recommendation-35&gt;.</w:t>
      </w:r>
      <w:bookmarkEnd w:id="0"/>
    </w:p>
    <w:p w14:paraId="34258562" w14:textId="77777777" w:rsidR="00FB661D" w:rsidRDefault="00FB661D" w:rsidP="00AD5D2E">
      <w:pPr>
        <w:spacing w:before="240" w:after="240" w:line="280" w:lineRule="atLeast"/>
        <w:ind w:left="-142" w:right="-142"/>
        <w:outlineLvl w:val="1"/>
        <w:sectPr w:rsidR="00FB661D" w:rsidSect="00BF0D5D">
          <w:headerReference w:type="even" r:id="rId12"/>
          <w:headerReference w:type="default" r:id="rId13"/>
          <w:footerReference w:type="even" r:id="rId14"/>
          <w:footerReference w:type="default" r:id="rId15"/>
          <w:headerReference w:type="first" r:id="rId16"/>
          <w:footerReference w:type="first" r:id="rId17"/>
          <w:pgSz w:w="11906" w:h="16838"/>
          <w:pgMar w:top="2098" w:right="1252" w:bottom="848" w:left="1298" w:header="708" w:footer="666" w:gutter="0"/>
          <w:cols w:space="708"/>
          <w:docGrid w:linePitch="360"/>
        </w:sectPr>
      </w:pPr>
    </w:p>
    <w:p w14:paraId="0C981F1B" w14:textId="77777777" w:rsidR="00FB3434" w:rsidRDefault="00FB3434" w:rsidP="00FB3434">
      <w:pPr>
        <w:pStyle w:val="Heading2"/>
        <w:ind w:left="-142"/>
      </w:pPr>
      <w:r>
        <w:lastRenderedPageBreak/>
        <w:t xml:space="preserve">Principles and expectations of mental health and wellbeing and AOD services </w:t>
      </w:r>
    </w:p>
    <w:p w14:paraId="7AC50F57" w14:textId="77777777" w:rsidR="00DE607F" w:rsidRDefault="00FB3434" w:rsidP="00FB3434">
      <w:pPr>
        <w:pStyle w:val="Tablecaption"/>
        <w:ind w:left="-142"/>
      </w:pPr>
      <w:r w:rsidRPr="002A3FA8">
        <w:t xml:space="preserve">Principles and expectations of </w:t>
      </w:r>
      <w:r>
        <w:t xml:space="preserve">mental health and wellbeing and AOD </w:t>
      </w:r>
      <w:r w:rsidRPr="002A3FA8">
        <w:t xml:space="preserve">services supporting people </w:t>
      </w:r>
      <w:r>
        <w:t>with</w:t>
      </w:r>
      <w:r w:rsidRPr="002A3FA8">
        <w:t xml:space="preserve"> co-occurring</w:t>
      </w:r>
      <w:r w:rsidRPr="009B4CF6">
        <w:t xml:space="preserve"> mental illness and substance use or addiction</w:t>
      </w:r>
      <w:r>
        <w:t>, and their families and supporters</w:t>
      </w:r>
    </w:p>
    <w:p w14:paraId="42EDF3C0" w14:textId="6175AEF0" w:rsidR="00FB3434" w:rsidRPr="00C07E50" w:rsidRDefault="00FB3434" w:rsidP="00FB3434">
      <w:pPr>
        <w:pStyle w:val="Tablecaption"/>
        <w:ind w:left="-142"/>
      </w:pPr>
      <w:r w:rsidRPr="00DE607F">
        <w:t xml:space="preserve"> </w:t>
      </w:r>
      <w:r w:rsidR="00DE607F" w:rsidRPr="00DE607F">
        <w:rPr>
          <w:b w:val="0"/>
          <w:bCs/>
          <w:szCs w:val="21"/>
        </w:rPr>
        <w:t xml:space="preserve">Note on terminology: </w:t>
      </w:r>
      <w:r w:rsidR="00DE607F" w:rsidRPr="00DE607F">
        <w:rPr>
          <w:szCs w:val="21"/>
        </w:rPr>
        <w:t>‘</w:t>
      </w:r>
      <w:r w:rsidR="00DE607F" w:rsidRPr="00DE607F">
        <w:rPr>
          <w:b w:val="0"/>
          <w:bCs/>
          <w:szCs w:val="21"/>
        </w:rPr>
        <w:t>p</w:t>
      </w:r>
      <w:r w:rsidR="00DE607F" w:rsidRPr="00DE607F">
        <w:rPr>
          <w:b w:val="0"/>
          <w:szCs w:val="21"/>
        </w:rPr>
        <w:t>eople with co-occurring needs</w:t>
      </w:r>
      <w:r w:rsidR="00DE607F" w:rsidRPr="00DE607F">
        <w:rPr>
          <w:szCs w:val="21"/>
        </w:rPr>
        <w:t>’ refers to people experiencing co-occurring mental illness and substance use or addiction.</w:t>
      </w:r>
    </w:p>
    <w:p w14:paraId="64F287B0" w14:textId="77777777" w:rsidR="00FB3434" w:rsidRPr="003842E6" w:rsidRDefault="00FB3434" w:rsidP="00FB3434">
      <w:pPr>
        <w:pStyle w:val="Body"/>
        <w:spacing w:after="0"/>
      </w:pPr>
    </w:p>
    <w:tbl>
      <w:tblPr>
        <w:tblStyle w:val="TableGrid"/>
        <w:tblW w:w="0" w:type="auto"/>
        <w:tblLook w:val="04A0" w:firstRow="1" w:lastRow="0" w:firstColumn="1" w:lastColumn="0" w:noHBand="0" w:noVBand="1"/>
      </w:tblPr>
      <w:tblGrid>
        <w:gridCol w:w="3256"/>
        <w:gridCol w:w="5811"/>
        <w:gridCol w:w="5045"/>
      </w:tblGrid>
      <w:tr w:rsidR="004A4D8C" w:rsidRPr="004A4D8C" w14:paraId="3387AAC4" w14:textId="77777777" w:rsidTr="000251D0">
        <w:trPr>
          <w:tblHeader/>
        </w:trPr>
        <w:tc>
          <w:tcPr>
            <w:tcW w:w="3256" w:type="dxa"/>
            <w:shd w:val="clear" w:color="auto" w:fill="1F3864" w:themeFill="accent1" w:themeFillShade="80"/>
            <w:vAlign w:val="center"/>
          </w:tcPr>
          <w:p w14:paraId="723B77BE" w14:textId="77777777" w:rsidR="004A4D8C" w:rsidRPr="004A4D8C" w:rsidRDefault="004A4D8C" w:rsidP="004A4D8C">
            <w:pPr>
              <w:spacing w:before="60" w:after="60"/>
              <w:rPr>
                <w:rFonts w:ascii="Arial" w:eastAsia="Times" w:hAnsi="Arial"/>
                <w:b/>
                <w:bCs/>
                <w:sz w:val="22"/>
                <w:szCs w:val="22"/>
              </w:rPr>
            </w:pPr>
            <w:r w:rsidRPr="004A4D8C">
              <w:rPr>
                <w:rFonts w:ascii="Arial" w:eastAsia="Times" w:hAnsi="Arial"/>
                <w:b/>
                <w:bCs/>
                <w:sz w:val="22"/>
                <w:szCs w:val="22"/>
              </w:rPr>
              <w:t>Principle</w:t>
            </w:r>
          </w:p>
        </w:tc>
        <w:tc>
          <w:tcPr>
            <w:tcW w:w="5811" w:type="dxa"/>
            <w:shd w:val="clear" w:color="auto" w:fill="1F3864" w:themeFill="accent1" w:themeFillShade="80"/>
            <w:vAlign w:val="center"/>
          </w:tcPr>
          <w:p w14:paraId="6E6DA0AB" w14:textId="77777777" w:rsidR="004A4D8C" w:rsidRPr="004A4D8C" w:rsidRDefault="004A4D8C" w:rsidP="004A4D8C">
            <w:pPr>
              <w:spacing w:before="60" w:after="60"/>
              <w:rPr>
                <w:rFonts w:ascii="Arial" w:eastAsia="Times" w:hAnsi="Arial"/>
                <w:b/>
                <w:bCs/>
                <w:sz w:val="22"/>
                <w:szCs w:val="22"/>
              </w:rPr>
            </w:pPr>
            <w:r w:rsidRPr="004A4D8C">
              <w:rPr>
                <w:rFonts w:ascii="Arial" w:eastAsia="Times" w:hAnsi="Arial"/>
                <w:b/>
                <w:bCs/>
                <w:sz w:val="22"/>
                <w:szCs w:val="22"/>
              </w:rPr>
              <w:t>Shared understanding</w:t>
            </w:r>
          </w:p>
        </w:tc>
        <w:tc>
          <w:tcPr>
            <w:tcW w:w="5045" w:type="dxa"/>
            <w:shd w:val="clear" w:color="auto" w:fill="1F3864" w:themeFill="accent1" w:themeFillShade="80"/>
            <w:vAlign w:val="center"/>
          </w:tcPr>
          <w:p w14:paraId="7EB9A8A4" w14:textId="77777777" w:rsidR="004A4D8C" w:rsidRPr="004A4D8C" w:rsidRDefault="004A4D8C" w:rsidP="004A4D8C">
            <w:pPr>
              <w:spacing w:before="60" w:after="60"/>
              <w:rPr>
                <w:rFonts w:ascii="Arial" w:eastAsia="Times" w:hAnsi="Arial"/>
                <w:b/>
                <w:bCs/>
                <w:sz w:val="22"/>
                <w:szCs w:val="22"/>
              </w:rPr>
            </w:pPr>
            <w:r w:rsidRPr="004A4D8C">
              <w:rPr>
                <w:rFonts w:ascii="Arial" w:eastAsia="Times" w:hAnsi="Arial"/>
                <w:b/>
                <w:bCs/>
                <w:sz w:val="22"/>
                <w:szCs w:val="22"/>
              </w:rPr>
              <w:t>Expectations</w:t>
            </w:r>
          </w:p>
        </w:tc>
      </w:tr>
      <w:tr w:rsidR="004A4D8C" w:rsidRPr="004A4D8C" w14:paraId="6D928C98" w14:textId="77777777" w:rsidTr="00002E40">
        <w:tc>
          <w:tcPr>
            <w:tcW w:w="3256" w:type="dxa"/>
            <w:shd w:val="clear" w:color="auto" w:fill="FFFFFF" w:themeFill="background1"/>
          </w:tcPr>
          <w:p w14:paraId="76AEFF89" w14:textId="77777777" w:rsidR="004A4D8C" w:rsidRPr="004A4D8C" w:rsidRDefault="004A4D8C" w:rsidP="004A4D8C">
            <w:pPr>
              <w:numPr>
                <w:ilvl w:val="0"/>
                <w:numId w:val="7"/>
              </w:numPr>
              <w:spacing w:before="120" w:after="120" w:line="280" w:lineRule="atLeast"/>
              <w:ind w:left="453" w:hanging="425"/>
              <w:rPr>
                <w:rFonts w:ascii="Arial" w:eastAsia="Times" w:hAnsi="Arial"/>
                <w:b/>
                <w:bCs/>
                <w:lang w:val="en-GB"/>
              </w:rPr>
            </w:pPr>
            <w:r w:rsidRPr="004A4D8C">
              <w:rPr>
                <w:rFonts w:ascii="Arial" w:eastAsia="Times" w:hAnsi="Arial"/>
                <w:b/>
                <w:bCs/>
                <w:lang w:val="en-GB"/>
              </w:rPr>
              <w:t>Inclusion</w:t>
            </w:r>
          </w:p>
          <w:p w14:paraId="328E1EE9" w14:textId="77777777" w:rsidR="004A4D8C" w:rsidRPr="004A4D8C" w:rsidRDefault="004A4D8C" w:rsidP="004A4D8C">
            <w:pPr>
              <w:spacing w:after="120"/>
              <w:rPr>
                <w:rFonts w:ascii="Arial" w:eastAsia="Times" w:hAnsi="Arial"/>
                <w:sz w:val="21"/>
              </w:rPr>
            </w:pPr>
            <w:r w:rsidRPr="004A4D8C">
              <w:rPr>
                <w:rFonts w:ascii="Arial" w:eastAsia="Times" w:hAnsi="Arial"/>
                <w:sz w:val="22"/>
                <w:szCs w:val="22"/>
                <w:lang w:val="en-GB"/>
              </w:rPr>
              <w:t>All mental health and wellbeing and AOD services welcome people with co-occurring needs, and their families and supporters</w:t>
            </w:r>
          </w:p>
        </w:tc>
        <w:tc>
          <w:tcPr>
            <w:tcW w:w="5811" w:type="dxa"/>
          </w:tcPr>
          <w:p w14:paraId="1144991A" w14:textId="77777777" w:rsidR="004A4D8C" w:rsidRPr="004A4D8C" w:rsidRDefault="004A4D8C" w:rsidP="004A4D8C">
            <w:pPr>
              <w:spacing w:before="120" w:after="120"/>
              <w:rPr>
                <w:rFonts w:ascii="Arial" w:eastAsia="Times" w:hAnsi="Arial"/>
                <w:sz w:val="21"/>
                <w:lang w:val="en-GB"/>
              </w:rPr>
            </w:pPr>
            <w:r w:rsidRPr="004A4D8C">
              <w:rPr>
                <w:rFonts w:ascii="Arial" w:eastAsia="Times" w:hAnsi="Arial"/>
                <w:sz w:val="21"/>
                <w:lang w:val="en-GB"/>
              </w:rPr>
              <w:t>People with co-occurring needs have a right to enjoy their best possible health and wellbeing, and are entitled to respect, dignity and equity in the provision of treatment, care and support.</w:t>
            </w:r>
          </w:p>
          <w:p w14:paraId="0FB246BA" w14:textId="77777777" w:rsidR="004A4D8C" w:rsidRPr="004A4D8C" w:rsidRDefault="004A4D8C" w:rsidP="004A4D8C">
            <w:pPr>
              <w:spacing w:before="120" w:after="120"/>
              <w:rPr>
                <w:rFonts w:ascii="Arial" w:eastAsia="Times" w:hAnsi="Arial"/>
                <w:sz w:val="21"/>
                <w:lang w:val="en-GB"/>
              </w:rPr>
            </w:pPr>
            <w:r w:rsidRPr="004A4D8C">
              <w:rPr>
                <w:rFonts w:ascii="Arial" w:eastAsia="Times" w:hAnsi="Arial"/>
                <w:sz w:val="21"/>
                <w:lang w:val="en-GB"/>
              </w:rPr>
              <w:t>People with co-occurring needs and their families and supporters may have low trust in services as a result of experiences such as stigma, poor worker knowledge, discrimination, trauma, or involuntary, punitive and custodial interventions (either in service provision or wider community contexts).</w:t>
            </w:r>
          </w:p>
          <w:p w14:paraId="454FFD99" w14:textId="77777777" w:rsidR="004A4D8C" w:rsidRPr="004A4D8C" w:rsidRDefault="004A4D8C" w:rsidP="004A4D8C">
            <w:pPr>
              <w:spacing w:after="120"/>
              <w:rPr>
                <w:rFonts w:ascii="Arial" w:eastAsia="Times" w:hAnsi="Arial"/>
                <w:sz w:val="21"/>
              </w:rPr>
            </w:pPr>
            <w:r w:rsidRPr="004A4D8C">
              <w:rPr>
                <w:rFonts w:ascii="Arial" w:eastAsia="Times" w:hAnsi="Arial"/>
                <w:sz w:val="21"/>
                <w:lang w:val="en-GB"/>
              </w:rPr>
              <w:t>Building and maintaining trust and engagement requires a compassionate, empathetic service response that is relationally-based and fosters hope.</w:t>
            </w:r>
          </w:p>
        </w:tc>
        <w:tc>
          <w:tcPr>
            <w:tcW w:w="5045" w:type="dxa"/>
          </w:tcPr>
          <w:p w14:paraId="28C0C0FB" w14:textId="77777777" w:rsidR="004A4D8C" w:rsidRPr="004A4D8C" w:rsidRDefault="004A4D8C" w:rsidP="004A4D8C">
            <w:pPr>
              <w:numPr>
                <w:ilvl w:val="0"/>
                <w:numId w:val="6"/>
              </w:numPr>
              <w:spacing w:after="120" w:line="280" w:lineRule="atLeast"/>
              <w:rPr>
                <w:rFonts w:ascii="Arial" w:eastAsia="Times" w:hAnsi="Arial"/>
                <w:b/>
                <w:bCs/>
                <w:lang w:val="en-GB"/>
              </w:rPr>
            </w:pPr>
            <w:r w:rsidRPr="004A4D8C">
              <w:rPr>
                <w:rFonts w:ascii="Arial" w:eastAsia="Times" w:hAnsi="Arial"/>
                <w:b/>
                <w:bCs/>
                <w:lang w:val="en-GB"/>
              </w:rPr>
              <w:t>Welcome people with co-occurring needs and their families and supporters.</w:t>
            </w:r>
          </w:p>
          <w:p w14:paraId="05B83454" w14:textId="77777777" w:rsidR="004A4D8C" w:rsidRPr="004A4D8C" w:rsidRDefault="004A4D8C" w:rsidP="004A4D8C">
            <w:pPr>
              <w:spacing w:before="120" w:after="120"/>
              <w:ind w:left="135"/>
              <w:rPr>
                <w:rFonts w:ascii="Arial" w:eastAsia="Times" w:hAnsi="Arial"/>
                <w:lang w:val="en-GB"/>
              </w:rPr>
            </w:pPr>
            <w:r w:rsidRPr="004A4D8C">
              <w:rPr>
                <w:rFonts w:ascii="Arial" w:eastAsia="Times" w:hAnsi="Arial"/>
                <w:lang w:val="en-GB"/>
              </w:rPr>
              <w:t>Take every opportunity to ensure they feel and are safe and feel accepted and free to be themselves.</w:t>
            </w:r>
          </w:p>
          <w:p w14:paraId="06BC3783" w14:textId="77777777" w:rsidR="004A4D8C" w:rsidRPr="004A4D8C" w:rsidRDefault="004A4D8C" w:rsidP="004A4D8C">
            <w:pPr>
              <w:numPr>
                <w:ilvl w:val="0"/>
                <w:numId w:val="6"/>
              </w:numPr>
              <w:spacing w:after="120" w:line="280" w:lineRule="atLeast"/>
              <w:rPr>
                <w:rFonts w:ascii="Arial" w:eastAsia="Times" w:hAnsi="Arial"/>
                <w:b/>
                <w:bCs/>
                <w:lang w:val="en-GB"/>
              </w:rPr>
            </w:pPr>
            <w:r w:rsidRPr="004A4D8C">
              <w:rPr>
                <w:rFonts w:ascii="Arial" w:eastAsia="Times" w:hAnsi="Arial"/>
                <w:b/>
                <w:bCs/>
                <w:lang w:val="en-GB"/>
              </w:rPr>
              <w:t>Offer hope, respect and non-judgement.</w:t>
            </w:r>
          </w:p>
          <w:p w14:paraId="7DAA4A84" w14:textId="77777777" w:rsidR="004A4D8C" w:rsidRPr="004A4D8C" w:rsidRDefault="004A4D8C" w:rsidP="004A4D8C">
            <w:pPr>
              <w:spacing w:before="120" w:after="120"/>
              <w:ind w:left="135"/>
              <w:rPr>
                <w:rFonts w:ascii="Arial" w:eastAsia="Times" w:hAnsi="Arial"/>
                <w:lang w:val="en-GB"/>
              </w:rPr>
            </w:pPr>
            <w:r w:rsidRPr="004A4D8C">
              <w:rPr>
                <w:rFonts w:ascii="Arial" w:eastAsia="Times" w:hAnsi="Arial"/>
                <w:lang w:val="en-GB"/>
              </w:rPr>
              <w:t>Do not judge people for:</w:t>
            </w:r>
          </w:p>
          <w:p w14:paraId="08F9B76C" w14:textId="77777777" w:rsidR="004A4D8C" w:rsidRPr="004A4D8C" w:rsidRDefault="004A4D8C" w:rsidP="004A4D8C">
            <w:pPr>
              <w:numPr>
                <w:ilvl w:val="0"/>
                <w:numId w:val="2"/>
              </w:numPr>
              <w:spacing w:before="120" w:after="120" w:line="280" w:lineRule="atLeast"/>
              <w:rPr>
                <w:rFonts w:ascii="Arial" w:eastAsia="Times" w:hAnsi="Arial"/>
                <w:lang w:val="en-GB"/>
              </w:rPr>
            </w:pPr>
            <w:r w:rsidRPr="004A4D8C">
              <w:rPr>
                <w:rFonts w:ascii="Arial" w:eastAsia="Times" w:hAnsi="Arial"/>
                <w:lang w:val="en-GB"/>
              </w:rPr>
              <w:t>their co-occurring needs, substance use, or mental health symptoms</w:t>
            </w:r>
          </w:p>
          <w:p w14:paraId="6EFE5B4F" w14:textId="77777777" w:rsidR="004A4D8C" w:rsidRPr="004A4D8C" w:rsidRDefault="004A4D8C" w:rsidP="004A4D8C">
            <w:pPr>
              <w:numPr>
                <w:ilvl w:val="0"/>
                <w:numId w:val="2"/>
              </w:numPr>
              <w:spacing w:before="120" w:after="120" w:line="280" w:lineRule="atLeast"/>
              <w:rPr>
                <w:rFonts w:ascii="Arial" w:eastAsia="Times" w:hAnsi="Arial"/>
                <w:lang w:val="en-GB"/>
              </w:rPr>
            </w:pPr>
            <w:r w:rsidRPr="004A4D8C">
              <w:rPr>
                <w:rFonts w:ascii="Arial" w:eastAsia="Times" w:hAnsi="Arial"/>
                <w:lang w:val="en-GB"/>
              </w:rPr>
              <w:t>not following, or circumstances not supporting them to follow, treatment, care and support recommendations</w:t>
            </w:r>
          </w:p>
          <w:p w14:paraId="2F01E4EE" w14:textId="77777777" w:rsidR="004A4D8C" w:rsidRPr="004A4D8C" w:rsidRDefault="004A4D8C" w:rsidP="004A4D8C">
            <w:pPr>
              <w:numPr>
                <w:ilvl w:val="0"/>
                <w:numId w:val="2"/>
              </w:numPr>
              <w:spacing w:before="120" w:after="120" w:line="280" w:lineRule="atLeast"/>
              <w:rPr>
                <w:rFonts w:ascii="Arial" w:eastAsia="Times" w:hAnsi="Arial"/>
                <w:lang w:val="en-GB"/>
              </w:rPr>
            </w:pPr>
            <w:r w:rsidRPr="004A4D8C">
              <w:rPr>
                <w:rFonts w:ascii="Arial" w:eastAsia="Times" w:hAnsi="Arial"/>
                <w:lang w:val="en-GB"/>
              </w:rPr>
              <w:t>their relationship to a person with co-occurring needs</w:t>
            </w:r>
          </w:p>
          <w:p w14:paraId="76B8426B" w14:textId="77777777" w:rsidR="004A4D8C" w:rsidRPr="004A4D8C" w:rsidRDefault="004A4D8C" w:rsidP="004A4D8C">
            <w:pPr>
              <w:spacing w:before="120" w:after="120"/>
              <w:ind w:left="135"/>
              <w:rPr>
                <w:rFonts w:ascii="Arial" w:eastAsia="Times" w:hAnsi="Arial"/>
                <w:lang w:val="en-GB"/>
              </w:rPr>
            </w:pPr>
            <w:r w:rsidRPr="004A4D8C">
              <w:rPr>
                <w:rFonts w:ascii="Arial" w:eastAsia="Times" w:hAnsi="Arial"/>
                <w:lang w:val="en-GB"/>
              </w:rPr>
              <w:t>… or for any related harm or consequence (including contact with the criminal justice system).</w:t>
            </w:r>
          </w:p>
          <w:p w14:paraId="15D8F969" w14:textId="77777777" w:rsidR="004A4D8C" w:rsidRPr="004A4D8C" w:rsidRDefault="004A4D8C" w:rsidP="004A4D8C">
            <w:pPr>
              <w:spacing w:before="120" w:after="120"/>
              <w:ind w:left="135"/>
              <w:rPr>
                <w:rFonts w:ascii="Arial" w:eastAsia="Times" w:hAnsi="Arial"/>
                <w:lang w:val="en-GB"/>
              </w:rPr>
            </w:pPr>
            <w:r w:rsidRPr="004A4D8C">
              <w:rPr>
                <w:rFonts w:ascii="Arial" w:eastAsia="Times" w:hAnsi="Arial"/>
                <w:lang w:val="en-GB"/>
              </w:rPr>
              <w:t>Establish a sense of safety, connection and trust and inspire hope in the possibility for positive change.</w:t>
            </w:r>
          </w:p>
          <w:p w14:paraId="3FE4F268" w14:textId="77777777" w:rsidR="004A4D8C" w:rsidRPr="004A4D8C" w:rsidRDefault="004A4D8C" w:rsidP="004A4D8C">
            <w:pPr>
              <w:spacing w:before="120" w:after="120"/>
              <w:ind w:left="135"/>
              <w:rPr>
                <w:rFonts w:ascii="Arial" w:eastAsia="Times" w:hAnsi="Arial"/>
                <w:lang w:val="en-GB"/>
              </w:rPr>
            </w:pPr>
            <w:r w:rsidRPr="004A4D8C">
              <w:rPr>
                <w:rFonts w:ascii="Arial" w:eastAsia="Times" w:hAnsi="Arial"/>
                <w:lang w:val="en-GB"/>
              </w:rPr>
              <w:lastRenderedPageBreak/>
              <w:t>Proactively and systematically address stigmatising language and practices across all aspects of service delivery.</w:t>
            </w:r>
          </w:p>
          <w:p w14:paraId="4D3461A3" w14:textId="77777777" w:rsidR="004A4D8C" w:rsidRPr="004A4D8C" w:rsidRDefault="004A4D8C" w:rsidP="004A4D8C">
            <w:pPr>
              <w:spacing w:after="120"/>
              <w:rPr>
                <w:rFonts w:ascii="Arial" w:eastAsia="Times" w:hAnsi="Arial"/>
                <w:sz w:val="21"/>
              </w:rPr>
            </w:pPr>
          </w:p>
        </w:tc>
      </w:tr>
      <w:tr w:rsidR="004A4D8C" w:rsidRPr="004A4D8C" w14:paraId="03FAA6BC" w14:textId="77777777" w:rsidTr="00002E40">
        <w:tc>
          <w:tcPr>
            <w:tcW w:w="3256" w:type="dxa"/>
          </w:tcPr>
          <w:p w14:paraId="2A289004" w14:textId="77777777" w:rsidR="004A4D8C" w:rsidRPr="004A4D8C" w:rsidRDefault="004A4D8C" w:rsidP="004A4D8C">
            <w:pPr>
              <w:numPr>
                <w:ilvl w:val="0"/>
                <w:numId w:val="7"/>
              </w:numPr>
              <w:spacing w:after="120" w:line="280" w:lineRule="atLeast"/>
              <w:rPr>
                <w:rFonts w:ascii="Arial" w:eastAsia="Times" w:hAnsi="Arial"/>
                <w:b/>
                <w:bCs/>
                <w:lang w:val="en-GB"/>
              </w:rPr>
            </w:pPr>
            <w:r w:rsidRPr="004A4D8C">
              <w:rPr>
                <w:rFonts w:ascii="Arial" w:eastAsia="Times" w:hAnsi="Arial"/>
                <w:b/>
                <w:bCs/>
                <w:lang w:val="en-GB"/>
              </w:rPr>
              <w:lastRenderedPageBreak/>
              <w:t>Access</w:t>
            </w:r>
          </w:p>
          <w:p w14:paraId="7129B966" w14:textId="77777777" w:rsidR="004A4D8C" w:rsidRPr="004A4D8C" w:rsidRDefault="004A4D8C" w:rsidP="004A4D8C">
            <w:pPr>
              <w:spacing w:after="120"/>
              <w:rPr>
                <w:rFonts w:ascii="Arial" w:eastAsia="Times" w:hAnsi="Arial"/>
                <w:sz w:val="22"/>
                <w:szCs w:val="22"/>
              </w:rPr>
            </w:pPr>
            <w:r w:rsidRPr="004A4D8C">
              <w:rPr>
                <w:rFonts w:ascii="Arial" w:eastAsia="Times" w:hAnsi="Arial"/>
                <w:sz w:val="22"/>
                <w:szCs w:val="22"/>
              </w:rPr>
              <w:t>People with co-occurring needs, and their families and supporters, have equitable access to treatment, care and support</w:t>
            </w:r>
          </w:p>
        </w:tc>
        <w:tc>
          <w:tcPr>
            <w:tcW w:w="5811" w:type="dxa"/>
          </w:tcPr>
          <w:p w14:paraId="68BA76FD" w14:textId="77777777" w:rsidR="004A4D8C" w:rsidRPr="004A4D8C" w:rsidRDefault="004A4D8C" w:rsidP="004A4D8C">
            <w:pPr>
              <w:spacing w:before="120" w:after="120"/>
              <w:rPr>
                <w:rFonts w:ascii="Arial" w:eastAsia="Times" w:hAnsi="Arial" w:cs="Arial"/>
                <w:sz w:val="21"/>
                <w:lang w:val="en-GB"/>
              </w:rPr>
            </w:pPr>
            <w:r w:rsidRPr="004A4D8C">
              <w:rPr>
                <w:rFonts w:ascii="Arial" w:eastAsia="Times" w:hAnsi="Arial" w:cs="Arial"/>
                <w:sz w:val="21"/>
                <w:lang w:val="en-GB"/>
              </w:rPr>
              <w:t>Co-occurring needs are common (the ‘expectation, not the exception’</w:t>
            </w:r>
            <w:r w:rsidRPr="004A4D8C">
              <w:rPr>
                <w:rFonts w:ascii="Arial" w:eastAsia="Times" w:hAnsi="Arial" w:cs="Arial"/>
                <w:sz w:val="21"/>
                <w:vertAlign w:val="superscript"/>
                <w:lang w:val="en-GB"/>
              </w:rPr>
              <w:footnoteReference w:id="2"/>
            </w:r>
            <w:r w:rsidRPr="004A4D8C">
              <w:rPr>
                <w:rFonts w:ascii="Arial" w:eastAsia="Times" w:hAnsi="Arial" w:cs="Arial"/>
                <w:sz w:val="21"/>
                <w:lang w:val="en-GB"/>
              </w:rPr>
              <w:t xml:space="preserve"> for service providers) and should be anticipated as part of core business.</w:t>
            </w:r>
          </w:p>
          <w:p w14:paraId="5473A858" w14:textId="77777777" w:rsidR="004A4D8C" w:rsidRPr="004A4D8C" w:rsidRDefault="004A4D8C" w:rsidP="004A4D8C">
            <w:pPr>
              <w:spacing w:before="120" w:after="120"/>
              <w:rPr>
                <w:rFonts w:ascii="Arial" w:eastAsia="Times" w:hAnsi="Arial" w:cs="Arial"/>
                <w:sz w:val="21"/>
                <w:lang w:val="en-GB"/>
              </w:rPr>
            </w:pPr>
            <w:r w:rsidRPr="004A4D8C">
              <w:rPr>
                <w:rFonts w:ascii="Arial" w:eastAsia="Times" w:hAnsi="Arial" w:cs="Arial"/>
                <w:sz w:val="21"/>
                <w:lang w:val="en-GB"/>
              </w:rPr>
              <w:t>A person’s co-occurring needs should not exclude them from access to treatment, care and support.</w:t>
            </w:r>
          </w:p>
          <w:p w14:paraId="740E090A" w14:textId="77777777" w:rsidR="004A4D8C" w:rsidRPr="004A4D8C" w:rsidRDefault="004A4D8C" w:rsidP="004A4D8C">
            <w:pPr>
              <w:spacing w:before="120" w:after="120"/>
              <w:rPr>
                <w:rFonts w:ascii="Arial" w:eastAsia="Times" w:hAnsi="Arial" w:cs="Arial"/>
                <w:sz w:val="21"/>
                <w:lang w:val="en-GB"/>
              </w:rPr>
            </w:pPr>
            <w:r w:rsidRPr="004A4D8C">
              <w:rPr>
                <w:rFonts w:ascii="Arial" w:eastAsia="Times" w:hAnsi="Arial" w:cs="Arial"/>
                <w:sz w:val="21"/>
                <w:lang w:val="en-GB"/>
              </w:rPr>
              <w:t>A wide range of populations and communities may require tailored approaches to accessing integrated treatment, care and support (and may also be more likely to have co-occurring needs), including:</w:t>
            </w:r>
          </w:p>
          <w:p w14:paraId="597DB300" w14:textId="77777777" w:rsidR="004A4D8C" w:rsidRPr="004A4D8C" w:rsidRDefault="004A4D8C" w:rsidP="004A4D8C">
            <w:pPr>
              <w:numPr>
                <w:ilvl w:val="0"/>
                <w:numId w:val="4"/>
              </w:numPr>
              <w:spacing w:before="120" w:after="120" w:line="280" w:lineRule="atLeast"/>
              <w:rPr>
                <w:rFonts w:ascii="Arial" w:eastAsia="Times" w:hAnsi="Arial" w:cs="Arial"/>
                <w:sz w:val="21"/>
                <w:lang w:val="en-GB"/>
              </w:rPr>
            </w:pPr>
            <w:r w:rsidRPr="004A4D8C">
              <w:rPr>
                <w:rFonts w:ascii="Arial" w:eastAsia="Times" w:hAnsi="Arial" w:cs="Arial"/>
                <w:sz w:val="21"/>
                <w:lang w:val="en-GB"/>
              </w:rPr>
              <w:t>people who have already experienced the negative impact of access inequities</w:t>
            </w:r>
          </w:p>
          <w:p w14:paraId="4648F645" w14:textId="77777777" w:rsidR="004A4D8C" w:rsidRPr="004A4D8C" w:rsidRDefault="004A4D8C" w:rsidP="004A4D8C">
            <w:pPr>
              <w:numPr>
                <w:ilvl w:val="0"/>
                <w:numId w:val="4"/>
              </w:numPr>
              <w:spacing w:before="120" w:after="120" w:line="280" w:lineRule="atLeast"/>
              <w:rPr>
                <w:rFonts w:ascii="Arial" w:eastAsia="Times" w:hAnsi="Arial" w:cs="Arial"/>
                <w:sz w:val="21"/>
                <w:lang w:val="en-GB"/>
              </w:rPr>
            </w:pPr>
            <w:r w:rsidRPr="004A4D8C">
              <w:rPr>
                <w:rFonts w:ascii="Arial" w:eastAsia="Times" w:hAnsi="Arial" w:cs="Arial"/>
                <w:sz w:val="21"/>
                <w:lang w:val="en-GB"/>
              </w:rPr>
              <w:t>Aboriginal people who have disproportionately experienced exclusionary policies and practices</w:t>
            </w:r>
          </w:p>
          <w:p w14:paraId="781C84C9" w14:textId="77777777" w:rsidR="004A4D8C" w:rsidRPr="004A4D8C" w:rsidRDefault="004A4D8C" w:rsidP="004A4D8C">
            <w:pPr>
              <w:numPr>
                <w:ilvl w:val="0"/>
                <w:numId w:val="4"/>
              </w:numPr>
              <w:spacing w:before="120" w:after="120" w:line="280" w:lineRule="atLeast"/>
              <w:rPr>
                <w:rFonts w:ascii="Arial" w:eastAsia="Times" w:hAnsi="Arial" w:cs="Arial"/>
                <w:sz w:val="21"/>
                <w:lang w:val="en-GB"/>
              </w:rPr>
            </w:pPr>
            <w:r w:rsidRPr="004A4D8C">
              <w:rPr>
                <w:rFonts w:ascii="Arial" w:eastAsia="Times" w:hAnsi="Arial" w:cs="Arial"/>
                <w:sz w:val="21"/>
                <w:lang w:val="en-GB"/>
              </w:rPr>
              <w:t>people whose individual circumstances, such as the intensity of their needs, influence their ability to engage with services or maintain engagement with services over long time periods</w:t>
            </w:r>
          </w:p>
          <w:p w14:paraId="791F1D69" w14:textId="77777777" w:rsidR="004A4D8C" w:rsidRPr="004A4D8C" w:rsidRDefault="004A4D8C" w:rsidP="004A4D8C">
            <w:pPr>
              <w:numPr>
                <w:ilvl w:val="0"/>
                <w:numId w:val="4"/>
              </w:numPr>
              <w:spacing w:before="120" w:after="120" w:line="280" w:lineRule="atLeast"/>
              <w:rPr>
                <w:rFonts w:ascii="Arial" w:eastAsia="Times" w:hAnsi="Arial" w:cs="Arial"/>
                <w:sz w:val="21"/>
                <w:lang w:val="en-GB"/>
              </w:rPr>
            </w:pPr>
            <w:r w:rsidRPr="004A4D8C">
              <w:rPr>
                <w:rFonts w:ascii="Arial" w:eastAsia="Times" w:hAnsi="Arial" w:cs="Arial"/>
                <w:sz w:val="21"/>
                <w:lang w:val="en-GB"/>
              </w:rPr>
              <w:t>people who may be at higher risk of suicide.</w:t>
            </w:r>
            <w:r w:rsidRPr="004A4D8C">
              <w:rPr>
                <w:rFonts w:ascii="Arial" w:eastAsia="Times" w:hAnsi="Arial" w:cs="Arial"/>
                <w:sz w:val="21"/>
                <w:vertAlign w:val="superscript"/>
                <w:lang w:val="en-GB"/>
              </w:rPr>
              <w:footnoteReference w:id="3"/>
            </w:r>
          </w:p>
          <w:p w14:paraId="39B831DE" w14:textId="77777777" w:rsidR="004A4D8C" w:rsidRPr="004A4D8C" w:rsidRDefault="004A4D8C" w:rsidP="004A4D8C">
            <w:pPr>
              <w:spacing w:after="120"/>
              <w:rPr>
                <w:rFonts w:ascii="Arial" w:eastAsia="Times" w:hAnsi="Arial"/>
                <w:sz w:val="21"/>
              </w:rPr>
            </w:pPr>
          </w:p>
        </w:tc>
        <w:tc>
          <w:tcPr>
            <w:tcW w:w="5045" w:type="dxa"/>
          </w:tcPr>
          <w:p w14:paraId="6A5DDAB4" w14:textId="77777777" w:rsidR="004A4D8C" w:rsidRPr="004A4D8C" w:rsidRDefault="004A4D8C" w:rsidP="004A4D8C">
            <w:pPr>
              <w:numPr>
                <w:ilvl w:val="0"/>
                <w:numId w:val="6"/>
              </w:numPr>
              <w:spacing w:before="300" w:after="180" w:line="280" w:lineRule="atLeast"/>
              <w:rPr>
                <w:rFonts w:ascii="Arial" w:hAnsi="Arial" w:cs="Arial"/>
                <w:b/>
                <w:bCs/>
                <w:lang w:val="en-GB"/>
              </w:rPr>
            </w:pPr>
            <w:r w:rsidRPr="004A4D8C">
              <w:rPr>
                <w:rFonts w:ascii="Arial" w:eastAsia="Times" w:hAnsi="Arial"/>
                <w:b/>
                <w:bCs/>
                <w:lang w:val="en-GB"/>
              </w:rPr>
              <w:lastRenderedPageBreak/>
              <w:t>Ensure</w:t>
            </w:r>
            <w:r w:rsidRPr="004A4D8C">
              <w:rPr>
                <w:rFonts w:ascii="Arial" w:hAnsi="Arial" w:cs="Arial"/>
                <w:b/>
                <w:bCs/>
                <w:lang w:val="en-GB"/>
              </w:rPr>
              <w:t xml:space="preserve"> there are ‘no wrong doors’</w:t>
            </w:r>
            <w:r w:rsidRPr="004A4D8C">
              <w:rPr>
                <w:rFonts w:ascii="Arial" w:hAnsi="Arial" w:cs="Arial"/>
                <w:b/>
                <w:bCs/>
                <w:vertAlign w:val="superscript"/>
                <w:lang w:val="en-GB"/>
              </w:rPr>
              <w:footnoteReference w:id="4"/>
            </w:r>
            <w:r w:rsidRPr="004A4D8C">
              <w:rPr>
                <w:rFonts w:ascii="Arial" w:hAnsi="Arial" w:cs="Arial"/>
                <w:b/>
                <w:bCs/>
                <w:lang w:val="en-GB"/>
              </w:rPr>
              <w:t xml:space="preserve"> and viable support pathways.</w:t>
            </w:r>
          </w:p>
          <w:p w14:paraId="2D9C090D" w14:textId="77777777" w:rsidR="004A4D8C" w:rsidRPr="004A4D8C" w:rsidRDefault="004A4D8C" w:rsidP="004A4D8C">
            <w:pPr>
              <w:spacing w:before="120" w:after="120"/>
              <w:ind w:left="130"/>
              <w:rPr>
                <w:rFonts w:ascii="Arial" w:eastAsia="Times" w:hAnsi="Arial" w:cs="Arial"/>
                <w:bCs/>
                <w:sz w:val="21"/>
              </w:rPr>
            </w:pPr>
            <w:r w:rsidRPr="004A4D8C">
              <w:rPr>
                <w:rFonts w:ascii="Arial" w:eastAsia="Times" w:hAnsi="Arial" w:cs="Arial"/>
                <w:bCs/>
                <w:sz w:val="21"/>
              </w:rPr>
              <w:t>Ensure people with co-occurring needs, and their families and supporters, have access to integrated treatment, care and support (including harm reduction), no matter which point of entry they have taken.</w:t>
            </w:r>
          </w:p>
          <w:p w14:paraId="56141382" w14:textId="77777777" w:rsidR="004A4D8C" w:rsidRPr="004A4D8C" w:rsidRDefault="004A4D8C" w:rsidP="004A4D8C">
            <w:pPr>
              <w:spacing w:before="120" w:after="120"/>
              <w:ind w:left="130"/>
              <w:rPr>
                <w:rFonts w:ascii="Arial" w:eastAsia="Times" w:hAnsi="Arial" w:cs="Arial"/>
                <w:bCs/>
                <w:sz w:val="21"/>
              </w:rPr>
            </w:pPr>
            <w:r w:rsidRPr="004A4D8C">
              <w:rPr>
                <w:rFonts w:ascii="Arial" w:eastAsia="Times" w:hAnsi="Arial" w:cs="Arial"/>
                <w:bCs/>
                <w:sz w:val="21"/>
              </w:rPr>
              <w:t>Use intake, assessment and referral flexibly and judiciously, ensuring these processes unconditionally welcome people with co-occurring needs and their families and supporters, and result in an increase (rather than a decrease) in access to the services they value.</w:t>
            </w:r>
          </w:p>
          <w:p w14:paraId="5B3D4F9F" w14:textId="77777777" w:rsidR="004A4D8C" w:rsidRPr="004A4D8C" w:rsidRDefault="004A4D8C" w:rsidP="004A4D8C">
            <w:pPr>
              <w:spacing w:before="120" w:after="120"/>
              <w:ind w:left="130"/>
              <w:rPr>
                <w:rFonts w:ascii="Arial" w:eastAsia="Times" w:hAnsi="Arial" w:cs="Arial"/>
                <w:bCs/>
                <w:sz w:val="21"/>
              </w:rPr>
            </w:pPr>
            <w:r w:rsidRPr="004A4D8C">
              <w:rPr>
                <w:rFonts w:ascii="Arial" w:eastAsia="Times" w:hAnsi="Arial" w:cs="Arial"/>
                <w:bCs/>
                <w:sz w:val="21"/>
              </w:rPr>
              <w:t xml:space="preserve">Maximise coordination, effective navigation and continuity of care throughout a person’s experience, especially </w:t>
            </w:r>
            <w:r w:rsidRPr="004A4D8C">
              <w:rPr>
                <w:rFonts w:ascii="Arial" w:eastAsia="Times" w:hAnsi="Arial" w:cs="Arial"/>
                <w:sz w:val="21"/>
              </w:rPr>
              <w:t xml:space="preserve">at </w:t>
            </w:r>
            <w:r w:rsidRPr="004A4D8C">
              <w:rPr>
                <w:rFonts w:ascii="Arial" w:eastAsia="Times" w:hAnsi="Arial" w:cs="Arial"/>
                <w:bCs/>
                <w:sz w:val="21"/>
              </w:rPr>
              <w:t>transition points and for people who may need to engage with services over a long period of time.</w:t>
            </w:r>
          </w:p>
          <w:p w14:paraId="5A246818" w14:textId="77777777" w:rsidR="004A4D8C" w:rsidRPr="004A4D8C" w:rsidRDefault="004A4D8C" w:rsidP="004A4D8C">
            <w:pPr>
              <w:spacing w:before="120" w:after="120"/>
              <w:ind w:left="130"/>
              <w:rPr>
                <w:rFonts w:ascii="Arial" w:eastAsia="Times" w:hAnsi="Arial" w:cs="Arial"/>
                <w:sz w:val="21"/>
              </w:rPr>
            </w:pPr>
            <w:r w:rsidRPr="004A4D8C">
              <w:rPr>
                <w:rFonts w:ascii="Arial" w:eastAsia="Times" w:hAnsi="Arial" w:cs="Arial"/>
                <w:bCs/>
                <w:sz w:val="21"/>
              </w:rPr>
              <w:t xml:space="preserve">When service transition or referral is necessary and the person agrees, ensure the experience is </w:t>
            </w:r>
            <w:r w:rsidRPr="004A4D8C">
              <w:rPr>
                <w:rFonts w:ascii="Arial" w:eastAsia="Times" w:hAnsi="Arial" w:cs="Arial"/>
                <w:bCs/>
                <w:sz w:val="21"/>
              </w:rPr>
              <w:lastRenderedPageBreak/>
              <w:t>proactive, practical and as seamless as possible, minimising the need for people to retell their stories.</w:t>
            </w:r>
          </w:p>
          <w:p w14:paraId="41BA38AF" w14:textId="77777777" w:rsidR="004A4D8C" w:rsidRPr="004A4D8C" w:rsidRDefault="004A4D8C" w:rsidP="004A4D8C">
            <w:pPr>
              <w:numPr>
                <w:ilvl w:val="0"/>
                <w:numId w:val="6"/>
              </w:numPr>
              <w:spacing w:before="300" w:after="180" w:line="280" w:lineRule="atLeast"/>
              <w:rPr>
                <w:rFonts w:ascii="Arial" w:hAnsi="Arial" w:cs="Arial"/>
                <w:b/>
                <w:lang w:val="en-GB"/>
              </w:rPr>
            </w:pPr>
            <w:r w:rsidRPr="004A4D8C">
              <w:rPr>
                <w:rFonts w:ascii="Arial" w:eastAsia="Times" w:hAnsi="Arial"/>
                <w:b/>
                <w:bCs/>
                <w:lang w:val="en-GB"/>
              </w:rPr>
              <w:t>Maximise</w:t>
            </w:r>
            <w:r w:rsidRPr="004A4D8C">
              <w:rPr>
                <w:rFonts w:ascii="Arial" w:hAnsi="Arial" w:cs="Arial"/>
                <w:b/>
                <w:lang w:val="en-GB"/>
              </w:rPr>
              <w:t xml:space="preserve"> accessibility.</w:t>
            </w:r>
          </w:p>
          <w:p w14:paraId="201D74DB" w14:textId="77777777" w:rsidR="004A4D8C" w:rsidRPr="004A4D8C" w:rsidRDefault="004A4D8C" w:rsidP="004A4D8C">
            <w:pPr>
              <w:spacing w:before="120" w:after="120"/>
              <w:ind w:left="130"/>
              <w:rPr>
                <w:rFonts w:ascii="Arial" w:eastAsia="Times" w:hAnsi="Arial" w:cs="Arial"/>
                <w:sz w:val="21"/>
                <w:lang w:val="en-GB"/>
              </w:rPr>
            </w:pPr>
            <w:r w:rsidRPr="004A4D8C">
              <w:rPr>
                <w:rFonts w:ascii="Arial" w:eastAsia="Times" w:hAnsi="Arial" w:cs="Arial"/>
                <w:sz w:val="21"/>
                <w:lang w:val="en-GB"/>
              </w:rPr>
              <w:t>Via local engagement, relationships and research, maximise accessibility, safety and capacity to respond to the specific needs of: women, people from culturally and linguistically diverse backgrounds, older and younger people, the LGBTIQ+ community, gender diverse people, people with disabilities, neurodiverse people, survivors of family violence, and people in contact or at risk of contact with the criminal justice system.</w:t>
            </w:r>
          </w:p>
          <w:p w14:paraId="2518C2E3" w14:textId="77777777" w:rsidR="004A4D8C" w:rsidRPr="004A4D8C" w:rsidRDefault="004A4D8C" w:rsidP="004A4D8C">
            <w:pPr>
              <w:spacing w:before="120" w:after="120"/>
              <w:ind w:left="130"/>
              <w:rPr>
                <w:rFonts w:ascii="Arial" w:eastAsia="Times" w:hAnsi="Arial" w:cs="Arial"/>
                <w:sz w:val="21"/>
                <w:lang w:val="en-GB"/>
              </w:rPr>
            </w:pPr>
            <w:r w:rsidRPr="004A4D8C">
              <w:rPr>
                <w:rFonts w:ascii="Arial" w:eastAsia="Times" w:hAnsi="Arial" w:cs="Arial"/>
                <w:sz w:val="21"/>
                <w:lang w:val="en-GB"/>
              </w:rPr>
              <w:t>Welcome all people and support them as a whole person with unique, often intersecting experiences and needs.</w:t>
            </w:r>
          </w:p>
          <w:p w14:paraId="41F94353" w14:textId="77777777" w:rsidR="004A4D8C" w:rsidRPr="004A4D8C" w:rsidRDefault="004A4D8C" w:rsidP="004A4D8C">
            <w:pPr>
              <w:numPr>
                <w:ilvl w:val="0"/>
                <w:numId w:val="6"/>
              </w:numPr>
              <w:spacing w:before="300" w:after="180" w:line="280" w:lineRule="atLeast"/>
              <w:rPr>
                <w:rFonts w:ascii="Arial" w:hAnsi="Arial" w:cs="Arial"/>
                <w:b/>
                <w:lang w:val="en-GB"/>
              </w:rPr>
            </w:pPr>
            <w:r w:rsidRPr="004A4D8C">
              <w:rPr>
                <w:rFonts w:ascii="Arial" w:eastAsia="Times" w:hAnsi="Arial"/>
                <w:b/>
                <w:bCs/>
                <w:lang w:val="en-GB"/>
              </w:rPr>
              <w:t>Ensure</w:t>
            </w:r>
            <w:r w:rsidRPr="004A4D8C">
              <w:rPr>
                <w:rFonts w:ascii="Arial" w:hAnsi="Arial" w:cs="Arial"/>
                <w:b/>
                <w:lang w:val="en-GB"/>
              </w:rPr>
              <w:t xml:space="preserve"> Aboriginal cultural safety and self-determination.</w:t>
            </w:r>
          </w:p>
          <w:p w14:paraId="12989E39" w14:textId="77777777" w:rsidR="004A4D8C" w:rsidRPr="004A4D8C" w:rsidRDefault="004A4D8C" w:rsidP="004A4D8C">
            <w:pPr>
              <w:spacing w:after="120"/>
              <w:rPr>
                <w:rFonts w:ascii="Arial" w:eastAsia="Times" w:hAnsi="Arial"/>
                <w:sz w:val="21"/>
              </w:rPr>
            </w:pPr>
            <w:r w:rsidRPr="004A4D8C">
              <w:rPr>
                <w:rFonts w:ascii="Arial" w:eastAsia="Times" w:hAnsi="Arial" w:cs="Arial"/>
                <w:sz w:val="21"/>
                <w:lang w:val="en-GB"/>
              </w:rPr>
              <w:t>Build cultural safety to ensure Aboriginal people feel safe to access your service in a manner that validates their identity and experience. This may be underpinned by local or organisational partnerships with Aboriginal community-controlled organisations and Elders, facilitating First Peoples’ right to make decisions on matters that affect their lives and communities.</w:t>
            </w:r>
          </w:p>
        </w:tc>
      </w:tr>
      <w:tr w:rsidR="004A4D8C" w:rsidRPr="004A4D8C" w14:paraId="19851AE4" w14:textId="77777777" w:rsidTr="00002E40">
        <w:tc>
          <w:tcPr>
            <w:tcW w:w="3256" w:type="dxa"/>
          </w:tcPr>
          <w:p w14:paraId="41DB2C59" w14:textId="77777777" w:rsidR="004A4D8C" w:rsidRPr="004A4D8C" w:rsidRDefault="004A4D8C" w:rsidP="004A4D8C">
            <w:pPr>
              <w:numPr>
                <w:ilvl w:val="0"/>
                <w:numId w:val="7"/>
              </w:numPr>
              <w:spacing w:after="120" w:line="280" w:lineRule="atLeast"/>
              <w:rPr>
                <w:rFonts w:ascii="Arial" w:eastAsia="Times" w:hAnsi="Arial"/>
                <w:b/>
                <w:bCs/>
              </w:rPr>
            </w:pPr>
            <w:r w:rsidRPr="004A4D8C">
              <w:rPr>
                <w:rFonts w:ascii="Arial" w:eastAsia="Times" w:hAnsi="Arial"/>
                <w:b/>
                <w:bCs/>
              </w:rPr>
              <w:lastRenderedPageBreak/>
              <w:t>Capability</w:t>
            </w:r>
          </w:p>
          <w:p w14:paraId="10413910" w14:textId="77777777" w:rsidR="004A4D8C" w:rsidRPr="004A4D8C" w:rsidRDefault="004A4D8C" w:rsidP="004A4D8C">
            <w:pPr>
              <w:spacing w:after="120"/>
              <w:rPr>
                <w:rFonts w:ascii="Arial" w:eastAsia="Times" w:hAnsi="Arial"/>
                <w:sz w:val="21"/>
                <w:szCs w:val="21"/>
              </w:rPr>
            </w:pPr>
            <w:r w:rsidRPr="004A4D8C">
              <w:rPr>
                <w:rFonts w:ascii="Arial" w:eastAsia="Times" w:hAnsi="Arial" w:cs="Arial"/>
                <w:sz w:val="21"/>
                <w:szCs w:val="21"/>
                <w:lang w:val="en-GB"/>
              </w:rPr>
              <w:t>Services and workers have the skills, knowledge and attitudes to meet people’s co-occurring needs and the needs of their families and supporters – enabled by individual, practice, organisation and system-level supports</w:t>
            </w:r>
            <w:r w:rsidRPr="004A4D8C">
              <w:rPr>
                <w:rFonts w:ascii="Arial" w:eastAsia="Times" w:hAnsi="Arial" w:cs="Arial"/>
                <w:sz w:val="21"/>
                <w:szCs w:val="21"/>
                <w:vertAlign w:val="superscript"/>
                <w:lang w:val="en-GB"/>
              </w:rPr>
              <w:footnoteReference w:id="5"/>
            </w:r>
          </w:p>
        </w:tc>
        <w:tc>
          <w:tcPr>
            <w:tcW w:w="5811" w:type="dxa"/>
          </w:tcPr>
          <w:p w14:paraId="3136CF6A" w14:textId="77777777" w:rsidR="004A4D8C" w:rsidRPr="004A4D8C" w:rsidRDefault="004A4D8C" w:rsidP="004A4D8C">
            <w:pPr>
              <w:spacing w:before="120" w:after="120"/>
              <w:rPr>
                <w:rFonts w:ascii="Arial" w:eastAsia="Times" w:hAnsi="Arial" w:cs="Arial"/>
                <w:sz w:val="21"/>
              </w:rPr>
            </w:pPr>
            <w:r w:rsidRPr="004A4D8C">
              <w:rPr>
                <w:rFonts w:ascii="Arial" w:eastAsia="Times" w:hAnsi="Arial" w:cs="Arial"/>
                <w:sz w:val="21"/>
                <w:lang w:val="en-GB"/>
              </w:rPr>
              <w:t>Mental health and substance use can influence each other.</w:t>
            </w:r>
            <w:r w:rsidRPr="004A4D8C">
              <w:rPr>
                <w:rFonts w:ascii="Arial" w:eastAsia="Times" w:hAnsi="Arial" w:cs="Arial"/>
                <w:sz w:val="21"/>
                <w:vertAlign w:val="superscript"/>
                <w:lang w:val="en-GB"/>
              </w:rPr>
              <w:t xml:space="preserve"> </w:t>
            </w:r>
            <w:r w:rsidRPr="004A4D8C">
              <w:rPr>
                <w:rFonts w:ascii="Arial" w:eastAsia="Times" w:hAnsi="Arial" w:cs="Arial"/>
                <w:sz w:val="21"/>
                <w:vertAlign w:val="superscript"/>
                <w:lang w:val="en-GB"/>
              </w:rPr>
              <w:footnoteReference w:id="6"/>
            </w:r>
            <w:r w:rsidRPr="004A4D8C">
              <w:rPr>
                <w:rFonts w:ascii="Arial" w:eastAsia="Times" w:hAnsi="Arial" w:cs="Arial"/>
                <w:sz w:val="21"/>
                <w:lang w:val="en-GB"/>
              </w:rPr>
              <w:t xml:space="preserve"> They can create complex interactions and – while individual experiences vary – may significantly exacerbate each other, increasing the risk of poor health and wellbeing. The likelihood of experiencing harm is shaped by a person’s physical, social, economic and policy environment.</w:t>
            </w:r>
            <w:r w:rsidRPr="004A4D8C">
              <w:rPr>
                <w:rFonts w:ascii="Arial" w:eastAsia="Times" w:hAnsi="Arial" w:cs="Arial"/>
                <w:sz w:val="21"/>
                <w:vertAlign w:val="superscript"/>
                <w:lang w:val="en-GB"/>
              </w:rPr>
              <w:footnoteReference w:id="7"/>
            </w:r>
          </w:p>
          <w:p w14:paraId="1EBFDC9E" w14:textId="77777777" w:rsidR="004A4D8C" w:rsidRPr="004A4D8C" w:rsidRDefault="004A4D8C" w:rsidP="004A4D8C">
            <w:pPr>
              <w:spacing w:before="120" w:after="120"/>
              <w:rPr>
                <w:rFonts w:ascii="Arial" w:eastAsia="Times" w:hAnsi="Arial" w:cs="Arial"/>
                <w:sz w:val="21"/>
              </w:rPr>
            </w:pPr>
            <w:r w:rsidRPr="004A4D8C">
              <w:rPr>
                <w:rFonts w:ascii="Arial" w:eastAsia="Times" w:hAnsi="Arial" w:cs="Arial"/>
                <w:sz w:val="21"/>
                <w:lang w:val="en-GB"/>
              </w:rPr>
              <w:t>Treatment, care and support that addresses both mental illness and substance use or addiction in an integrated way can offer benefits for people with co-occurring needs, and their families and supporters, to help them live a life they value and support enjoyment of human rights.</w:t>
            </w:r>
          </w:p>
          <w:p w14:paraId="417F5B56" w14:textId="77777777" w:rsidR="004A4D8C" w:rsidRPr="004A4D8C" w:rsidRDefault="004A4D8C" w:rsidP="004A4D8C">
            <w:pPr>
              <w:spacing w:before="120" w:after="120"/>
              <w:rPr>
                <w:rFonts w:ascii="Arial" w:eastAsia="Times" w:hAnsi="Arial" w:cs="Arial"/>
                <w:sz w:val="21"/>
              </w:rPr>
            </w:pPr>
            <w:r w:rsidRPr="004A4D8C">
              <w:rPr>
                <w:rFonts w:ascii="Arial" w:eastAsia="Times" w:hAnsi="Arial" w:cs="Arial"/>
                <w:sz w:val="21"/>
                <w:lang w:val="en-GB"/>
              </w:rPr>
              <w:t>Even when it also introduces harm or risk, substance use typically offers a range of compelling desirable effects for individuals, including functional and therapeutic benefits and pleasurable rewards.</w:t>
            </w:r>
          </w:p>
          <w:p w14:paraId="4DDFC616" w14:textId="77777777" w:rsidR="004A4D8C" w:rsidRPr="004A4D8C" w:rsidRDefault="004A4D8C" w:rsidP="004A4D8C">
            <w:pPr>
              <w:spacing w:before="120" w:after="120"/>
              <w:rPr>
                <w:rFonts w:ascii="Arial" w:eastAsia="Times" w:hAnsi="Arial" w:cs="Arial"/>
                <w:sz w:val="21"/>
              </w:rPr>
            </w:pPr>
            <w:r w:rsidRPr="004A4D8C">
              <w:rPr>
                <w:rFonts w:ascii="Arial" w:eastAsia="Times" w:hAnsi="Arial" w:cs="Arial"/>
                <w:sz w:val="21"/>
                <w:lang w:val="en-GB"/>
              </w:rPr>
              <w:t>Some people may not wish to reduce or eliminate substance use at a given time, or perhaps ever. Similarly, some people may not wish, or may not be in a position, to access recommended medications or therapies. This does not reduce their, or their families’, entitlement to treatment, care and support; rather, the support provided should match their priorities and preferences at that time.</w:t>
            </w:r>
          </w:p>
          <w:p w14:paraId="1CBF1DA6" w14:textId="77777777" w:rsidR="004A4D8C" w:rsidRPr="004A4D8C" w:rsidRDefault="004A4D8C" w:rsidP="004A4D8C">
            <w:pPr>
              <w:spacing w:after="120"/>
              <w:rPr>
                <w:rFonts w:ascii="Arial" w:eastAsia="Times" w:hAnsi="Arial"/>
                <w:sz w:val="21"/>
              </w:rPr>
            </w:pPr>
            <w:r w:rsidRPr="004A4D8C">
              <w:rPr>
                <w:rFonts w:ascii="Arial" w:eastAsia="Times" w:hAnsi="Arial" w:cs="Arial"/>
                <w:sz w:val="21"/>
                <w:lang w:val="en-GB"/>
              </w:rPr>
              <w:t xml:space="preserve">Families and supporters often experience particular stressors and harms related to the intensity of a person’s co-occurring needs and must have their own needs met for them to continue their varying support roles. They may also </w:t>
            </w:r>
            <w:r w:rsidRPr="004A4D8C">
              <w:rPr>
                <w:rFonts w:ascii="Arial" w:eastAsia="Times" w:hAnsi="Arial" w:cs="Arial"/>
                <w:sz w:val="21"/>
                <w:lang w:val="en-GB"/>
              </w:rPr>
              <w:lastRenderedPageBreak/>
              <w:t>have past experiences of stigma, shame and inadequate system responses to their own or their loved one's needs.</w:t>
            </w:r>
          </w:p>
        </w:tc>
        <w:tc>
          <w:tcPr>
            <w:tcW w:w="5045" w:type="dxa"/>
          </w:tcPr>
          <w:p w14:paraId="6AE1331B" w14:textId="77777777" w:rsidR="004A4D8C" w:rsidRPr="004A4D8C" w:rsidRDefault="004A4D8C" w:rsidP="004A4D8C">
            <w:pPr>
              <w:numPr>
                <w:ilvl w:val="0"/>
                <w:numId w:val="6"/>
              </w:numPr>
              <w:spacing w:before="300" w:after="180" w:line="280" w:lineRule="atLeast"/>
              <w:rPr>
                <w:rFonts w:ascii="Arial" w:hAnsi="Arial" w:cs="Arial"/>
                <w:b/>
                <w:bCs/>
                <w:lang w:val="en-GB"/>
              </w:rPr>
            </w:pPr>
            <w:r w:rsidRPr="004A4D8C">
              <w:rPr>
                <w:rFonts w:ascii="Arial" w:eastAsia="Times" w:hAnsi="Arial"/>
                <w:b/>
                <w:bCs/>
                <w:lang w:val="en-GB"/>
              </w:rPr>
              <w:lastRenderedPageBreak/>
              <w:t>Meet</w:t>
            </w:r>
            <w:r w:rsidRPr="004A4D8C">
              <w:rPr>
                <w:rFonts w:ascii="Arial" w:hAnsi="Arial" w:cs="Arial"/>
                <w:b/>
                <w:bCs/>
                <w:lang w:val="en-GB"/>
              </w:rPr>
              <w:t xml:space="preserve"> both co-occurring needs.</w:t>
            </w:r>
          </w:p>
          <w:p w14:paraId="5C728FCA" w14:textId="77777777" w:rsidR="004A4D8C" w:rsidRPr="004A4D8C" w:rsidRDefault="004A4D8C" w:rsidP="004A4D8C">
            <w:pPr>
              <w:spacing w:before="120" w:after="120"/>
              <w:ind w:left="132"/>
              <w:rPr>
                <w:rFonts w:ascii="Arial" w:eastAsia="Times" w:hAnsi="Arial" w:cs="Arial"/>
                <w:sz w:val="21"/>
              </w:rPr>
            </w:pPr>
            <w:r w:rsidRPr="004A4D8C">
              <w:rPr>
                <w:rFonts w:ascii="Arial" w:eastAsia="Times" w:hAnsi="Arial" w:cs="Arial"/>
                <w:sz w:val="21"/>
                <w:lang w:val="en-GB"/>
              </w:rPr>
              <w:t>Respond to a person’s co-occurring needs in a timely and coordinated way, consistent with their priorities and preferences, using trauma-informed practices.</w:t>
            </w:r>
          </w:p>
          <w:p w14:paraId="32031153" w14:textId="77777777" w:rsidR="004A4D8C" w:rsidRPr="004A4D8C" w:rsidRDefault="004A4D8C" w:rsidP="004A4D8C">
            <w:pPr>
              <w:spacing w:before="120" w:after="120"/>
              <w:ind w:left="132"/>
              <w:rPr>
                <w:rFonts w:ascii="Arial" w:eastAsia="Times" w:hAnsi="Arial" w:cs="Arial"/>
                <w:sz w:val="21"/>
              </w:rPr>
            </w:pPr>
            <w:r w:rsidRPr="004A4D8C">
              <w:rPr>
                <w:rFonts w:ascii="Arial" w:eastAsia="Times" w:hAnsi="Arial" w:cs="Arial"/>
                <w:sz w:val="21"/>
                <w:lang w:val="en-GB"/>
              </w:rPr>
              <w:t>Offer evidence-informed integrated treatment, care and support options that are:</w:t>
            </w:r>
          </w:p>
          <w:p w14:paraId="3ABC67EE" w14:textId="77777777" w:rsidR="004A4D8C" w:rsidRPr="004A4D8C" w:rsidRDefault="004A4D8C" w:rsidP="004A4D8C">
            <w:pPr>
              <w:numPr>
                <w:ilvl w:val="0"/>
                <w:numId w:val="5"/>
              </w:numPr>
              <w:spacing w:before="120" w:after="120" w:line="280" w:lineRule="atLeast"/>
              <w:rPr>
                <w:rFonts w:ascii="Arial" w:eastAsia="Times" w:hAnsi="Arial" w:cs="Arial"/>
                <w:sz w:val="21"/>
              </w:rPr>
            </w:pPr>
            <w:r w:rsidRPr="004A4D8C">
              <w:rPr>
                <w:rFonts w:ascii="Arial" w:eastAsia="Times" w:hAnsi="Arial" w:cs="Arial"/>
                <w:sz w:val="21"/>
                <w:lang w:val="en-GB"/>
              </w:rPr>
              <w:t>inclusive of biological, psychosocial, peer-based support and family-inclusive offerings (for example, talking therapies, care coordination, harm reduction, single session family work, group-based peer support and mutual aid, and/or medication)</w:t>
            </w:r>
          </w:p>
          <w:p w14:paraId="68EBF9F0" w14:textId="77777777" w:rsidR="004A4D8C" w:rsidRPr="004A4D8C" w:rsidRDefault="004A4D8C" w:rsidP="004A4D8C">
            <w:pPr>
              <w:numPr>
                <w:ilvl w:val="0"/>
                <w:numId w:val="5"/>
              </w:numPr>
              <w:spacing w:before="120" w:after="120" w:line="280" w:lineRule="atLeast"/>
              <w:rPr>
                <w:rFonts w:ascii="Arial" w:eastAsia="Times" w:hAnsi="Arial" w:cs="Arial"/>
                <w:sz w:val="21"/>
              </w:rPr>
            </w:pPr>
            <w:r w:rsidRPr="004A4D8C">
              <w:rPr>
                <w:rFonts w:ascii="Arial" w:eastAsia="Times" w:hAnsi="Arial" w:cs="Arial"/>
                <w:sz w:val="21"/>
                <w:lang w:val="en-GB"/>
              </w:rPr>
              <w:t>responsive to all substances (including poly-substance use) and routes of administration (including injecting)</w:t>
            </w:r>
          </w:p>
          <w:p w14:paraId="3FE05C48" w14:textId="77777777" w:rsidR="004A4D8C" w:rsidRPr="004A4D8C" w:rsidRDefault="004A4D8C" w:rsidP="004A4D8C">
            <w:pPr>
              <w:numPr>
                <w:ilvl w:val="0"/>
                <w:numId w:val="5"/>
              </w:numPr>
              <w:spacing w:before="120" w:after="120" w:line="280" w:lineRule="atLeast"/>
              <w:rPr>
                <w:rFonts w:ascii="Arial" w:eastAsia="Times" w:hAnsi="Arial" w:cs="Arial"/>
                <w:sz w:val="21"/>
              </w:rPr>
            </w:pPr>
            <w:r w:rsidRPr="004A4D8C">
              <w:rPr>
                <w:rFonts w:ascii="Arial" w:eastAsia="Times" w:hAnsi="Arial" w:cs="Arial"/>
                <w:sz w:val="21"/>
                <w:lang w:val="en-GB"/>
              </w:rPr>
              <w:t>appropriate to the person’s age, development, stage of change, and risk and protective factors</w:t>
            </w:r>
          </w:p>
          <w:p w14:paraId="1D4105CF" w14:textId="77777777" w:rsidR="004A4D8C" w:rsidRPr="004A4D8C" w:rsidRDefault="004A4D8C" w:rsidP="004A4D8C">
            <w:pPr>
              <w:numPr>
                <w:ilvl w:val="0"/>
                <w:numId w:val="5"/>
              </w:numPr>
              <w:spacing w:before="120" w:after="120" w:line="280" w:lineRule="atLeast"/>
              <w:rPr>
                <w:rFonts w:ascii="Arial" w:eastAsia="Times" w:hAnsi="Arial" w:cs="Arial"/>
                <w:sz w:val="21"/>
              </w:rPr>
            </w:pPr>
            <w:r w:rsidRPr="004A4D8C">
              <w:rPr>
                <w:rFonts w:ascii="Arial" w:eastAsia="Times" w:hAnsi="Arial" w:cs="Arial"/>
                <w:sz w:val="21"/>
                <w:lang w:val="en-GB"/>
              </w:rPr>
              <w:lastRenderedPageBreak/>
              <w:t>informed by the person’s self-determined identity, experiences, and any other relevant social and cultural factors</w:t>
            </w:r>
          </w:p>
          <w:p w14:paraId="62888CE5" w14:textId="77777777" w:rsidR="004A4D8C" w:rsidRPr="004A4D8C" w:rsidRDefault="004A4D8C" w:rsidP="004A4D8C">
            <w:pPr>
              <w:numPr>
                <w:ilvl w:val="0"/>
                <w:numId w:val="5"/>
              </w:numPr>
              <w:spacing w:before="120" w:after="120" w:line="280" w:lineRule="atLeast"/>
              <w:rPr>
                <w:rFonts w:ascii="Arial" w:eastAsia="Times" w:hAnsi="Arial" w:cs="Arial"/>
                <w:sz w:val="21"/>
              </w:rPr>
            </w:pPr>
            <w:r w:rsidRPr="004A4D8C">
              <w:rPr>
                <w:rFonts w:ascii="Arial" w:eastAsia="Times" w:hAnsi="Arial" w:cs="Arial"/>
                <w:sz w:val="21"/>
                <w:lang w:val="en-GB"/>
              </w:rPr>
              <w:t>for Aboriginal people, aligned with Aboriginal concepts of social and emotional wellbeing</w:t>
            </w:r>
            <w:r w:rsidRPr="004A4D8C">
              <w:rPr>
                <w:rFonts w:ascii="Arial" w:eastAsia="Times" w:hAnsi="Arial" w:cs="Arial"/>
                <w:sz w:val="21"/>
                <w:vertAlign w:val="superscript"/>
                <w:lang w:val="en-GB"/>
              </w:rPr>
              <w:footnoteReference w:id="8"/>
            </w:r>
          </w:p>
          <w:p w14:paraId="2B921DF6" w14:textId="77777777" w:rsidR="004A4D8C" w:rsidRPr="004A4D8C" w:rsidRDefault="004A4D8C" w:rsidP="004A4D8C">
            <w:pPr>
              <w:numPr>
                <w:ilvl w:val="0"/>
                <w:numId w:val="5"/>
              </w:numPr>
              <w:spacing w:before="120" w:after="120" w:line="280" w:lineRule="atLeast"/>
              <w:rPr>
                <w:rFonts w:ascii="Arial" w:eastAsia="Times" w:hAnsi="Arial" w:cs="Arial"/>
                <w:sz w:val="21"/>
              </w:rPr>
            </w:pPr>
            <w:r w:rsidRPr="004A4D8C">
              <w:rPr>
                <w:rFonts w:ascii="Arial" w:eastAsia="Times" w:hAnsi="Arial" w:cs="Arial"/>
                <w:sz w:val="21"/>
                <w:lang w:val="en-GB"/>
              </w:rPr>
              <w:t xml:space="preserve">provided via a diversity of delivery modes and disciplines, including lived and living experience workforces.  </w:t>
            </w:r>
          </w:p>
          <w:p w14:paraId="1F942802" w14:textId="77777777" w:rsidR="004A4D8C" w:rsidRPr="004A4D8C" w:rsidRDefault="004A4D8C" w:rsidP="004A4D8C">
            <w:pPr>
              <w:numPr>
                <w:ilvl w:val="0"/>
                <w:numId w:val="6"/>
              </w:numPr>
              <w:spacing w:before="300" w:after="180" w:line="280" w:lineRule="atLeast"/>
              <w:rPr>
                <w:rFonts w:ascii="Arial" w:hAnsi="Arial" w:cs="Arial"/>
                <w:b/>
                <w:bCs/>
                <w:lang w:val="en-GB"/>
              </w:rPr>
            </w:pPr>
            <w:r w:rsidRPr="004A4D8C">
              <w:rPr>
                <w:rFonts w:ascii="Arial" w:eastAsia="Times" w:hAnsi="Arial"/>
                <w:b/>
                <w:bCs/>
                <w:lang w:val="en-GB"/>
              </w:rPr>
              <w:t>Take</w:t>
            </w:r>
            <w:r w:rsidRPr="004A4D8C">
              <w:rPr>
                <w:rFonts w:ascii="Arial" w:hAnsi="Arial" w:cs="Arial"/>
                <w:b/>
                <w:bCs/>
                <w:lang w:val="en-GB"/>
              </w:rPr>
              <w:t xml:space="preserve"> a person-led approach.</w:t>
            </w:r>
          </w:p>
          <w:p w14:paraId="11CF8CB3" w14:textId="77777777" w:rsidR="004A4D8C" w:rsidRPr="004A4D8C" w:rsidRDefault="004A4D8C" w:rsidP="004A4D8C">
            <w:pPr>
              <w:spacing w:before="120" w:after="120"/>
              <w:ind w:left="132"/>
              <w:rPr>
                <w:rFonts w:ascii="Arial" w:eastAsia="Times" w:hAnsi="Arial" w:cs="Arial"/>
                <w:sz w:val="21"/>
                <w:lang w:val="en-GB"/>
              </w:rPr>
            </w:pPr>
            <w:r w:rsidRPr="004A4D8C">
              <w:rPr>
                <w:rFonts w:ascii="Arial" w:eastAsia="Times" w:hAnsi="Arial" w:cs="Arial"/>
                <w:sz w:val="21"/>
                <w:lang w:val="en-GB"/>
              </w:rPr>
              <w:t>Take active steps to understand how a person self-defines their experiences, including why they may use substances and the extent and interaction of their co-occurring needs. Focus on a person’s strengths and work with them where they are (not where you think they should, or could, be), being prepared for these circumstances to change often.</w:t>
            </w:r>
          </w:p>
          <w:p w14:paraId="62557CCD" w14:textId="77777777" w:rsidR="004A4D8C" w:rsidRPr="004A4D8C" w:rsidRDefault="004A4D8C" w:rsidP="004A4D8C">
            <w:pPr>
              <w:spacing w:before="120" w:after="120"/>
              <w:ind w:left="132"/>
              <w:rPr>
                <w:rFonts w:ascii="Arial" w:eastAsia="Times" w:hAnsi="Arial" w:cs="Arial"/>
                <w:sz w:val="21"/>
                <w:lang w:val="en-GB"/>
              </w:rPr>
            </w:pPr>
            <w:r w:rsidRPr="004A4D8C">
              <w:rPr>
                <w:rFonts w:ascii="Arial" w:eastAsia="Times" w:hAnsi="Arial" w:cs="Arial"/>
                <w:sz w:val="21"/>
                <w:lang w:val="en-GB"/>
              </w:rPr>
              <w:t>Support people to determine their own goals, needs, strengths and preferences. Empower them to access information and make decisions about their treatment, care and support and make positive changes, including learning new skills to help them meet their goals.</w:t>
            </w:r>
          </w:p>
          <w:p w14:paraId="04A1B325" w14:textId="77777777" w:rsidR="004A4D8C" w:rsidRPr="004A4D8C" w:rsidRDefault="004A4D8C" w:rsidP="004A4D8C">
            <w:pPr>
              <w:numPr>
                <w:ilvl w:val="0"/>
                <w:numId w:val="6"/>
              </w:numPr>
              <w:spacing w:before="300" w:after="180" w:line="280" w:lineRule="atLeast"/>
              <w:rPr>
                <w:rFonts w:ascii="Arial" w:hAnsi="Arial" w:cs="Arial"/>
                <w:b/>
                <w:lang w:val="en-GB"/>
              </w:rPr>
            </w:pPr>
            <w:r w:rsidRPr="004A4D8C">
              <w:rPr>
                <w:rFonts w:ascii="Arial" w:hAnsi="Arial" w:cs="Arial"/>
                <w:b/>
                <w:lang w:val="en-GB"/>
              </w:rPr>
              <w:t xml:space="preserve">Promote </w:t>
            </w:r>
            <w:r w:rsidRPr="004A4D8C">
              <w:rPr>
                <w:rFonts w:ascii="Arial" w:eastAsia="Times" w:hAnsi="Arial"/>
                <w:b/>
                <w:bCs/>
                <w:lang w:val="en-GB"/>
              </w:rPr>
              <w:t>and</w:t>
            </w:r>
            <w:r w:rsidRPr="004A4D8C">
              <w:rPr>
                <w:rFonts w:ascii="Arial" w:hAnsi="Arial" w:cs="Arial"/>
                <w:b/>
                <w:lang w:val="en-GB"/>
              </w:rPr>
              <w:t xml:space="preserve"> support harm reduction. </w:t>
            </w:r>
          </w:p>
          <w:p w14:paraId="4A6250C8" w14:textId="77777777" w:rsidR="004A4D8C" w:rsidRPr="004A4D8C" w:rsidRDefault="004A4D8C" w:rsidP="004A4D8C">
            <w:pPr>
              <w:spacing w:before="120" w:after="120"/>
              <w:ind w:left="132"/>
              <w:rPr>
                <w:rFonts w:ascii="Arial" w:eastAsia="Times" w:hAnsi="Arial" w:cs="Arial"/>
                <w:sz w:val="21"/>
                <w:lang w:val="en-GB"/>
              </w:rPr>
            </w:pPr>
            <w:r w:rsidRPr="004A4D8C">
              <w:rPr>
                <w:rFonts w:ascii="Arial" w:eastAsia="Times" w:hAnsi="Arial" w:cs="Arial"/>
                <w:sz w:val="21"/>
                <w:lang w:val="en-GB"/>
              </w:rPr>
              <w:lastRenderedPageBreak/>
              <w:t>Approach mental illness and substance use from a health and wellbeing and strengths-based perspective. Provide practical opportunities to promote wellbeing and reduce associated risks, especially where a person with co-occurring needs continues to use substances, for example safer consumption practices and overdose prevention.</w:t>
            </w:r>
          </w:p>
          <w:p w14:paraId="38C1E74B" w14:textId="77777777" w:rsidR="004A4D8C" w:rsidRPr="004A4D8C" w:rsidRDefault="004A4D8C" w:rsidP="004A4D8C">
            <w:pPr>
              <w:numPr>
                <w:ilvl w:val="0"/>
                <w:numId w:val="6"/>
              </w:numPr>
              <w:spacing w:before="300" w:after="180" w:line="280" w:lineRule="atLeast"/>
              <w:rPr>
                <w:rFonts w:ascii="Arial" w:hAnsi="Arial" w:cs="Arial"/>
                <w:b/>
                <w:lang w:val="en-GB"/>
              </w:rPr>
            </w:pPr>
            <w:r w:rsidRPr="004A4D8C">
              <w:rPr>
                <w:rFonts w:ascii="Arial" w:eastAsia="Times" w:hAnsi="Arial"/>
                <w:b/>
                <w:bCs/>
                <w:lang w:val="en-GB"/>
              </w:rPr>
              <w:t>Support</w:t>
            </w:r>
            <w:r w:rsidRPr="004A4D8C">
              <w:rPr>
                <w:rFonts w:ascii="Arial" w:hAnsi="Arial" w:cs="Arial"/>
                <w:b/>
                <w:lang w:val="en-GB"/>
              </w:rPr>
              <w:t xml:space="preserve"> and involve families and supporters. </w:t>
            </w:r>
          </w:p>
          <w:p w14:paraId="01D2EB89" w14:textId="77777777" w:rsidR="004A4D8C" w:rsidRPr="004A4D8C" w:rsidRDefault="004A4D8C" w:rsidP="004A4D8C">
            <w:pPr>
              <w:spacing w:before="120" w:after="120"/>
              <w:ind w:left="132"/>
              <w:rPr>
                <w:rFonts w:ascii="Arial" w:eastAsia="Times" w:hAnsi="Arial" w:cs="Arial"/>
                <w:sz w:val="21"/>
                <w:lang w:val="en-GB"/>
              </w:rPr>
            </w:pPr>
            <w:r w:rsidRPr="004A4D8C">
              <w:rPr>
                <w:rFonts w:ascii="Arial" w:eastAsia="Times" w:hAnsi="Arial" w:cs="Arial"/>
                <w:sz w:val="21"/>
                <w:lang w:val="en-GB"/>
              </w:rPr>
              <w:t xml:space="preserve">Listen to, </w:t>
            </w:r>
            <w:r w:rsidRPr="004A4D8C">
              <w:rPr>
                <w:rFonts w:ascii="Arial" w:eastAsia="Times" w:hAnsi="Arial" w:cs="Arial"/>
                <w:sz w:val="21"/>
                <w:szCs w:val="21"/>
                <w:lang w:val="en-GB"/>
              </w:rPr>
              <w:t xml:space="preserve">recognise and respond to the needs of families and supporters, </w:t>
            </w:r>
            <w:r w:rsidRPr="004A4D8C">
              <w:rPr>
                <w:rFonts w:ascii="Arial" w:eastAsia="Times" w:hAnsi="Arial"/>
                <w:color w:val="000000" w:themeColor="text1"/>
                <w:sz w:val="21"/>
                <w:szCs w:val="21"/>
              </w:rPr>
              <w:t xml:space="preserve">understanding their relationship of care with the person with co-occurring needs and aligning with the principles and obligations in the </w:t>
            </w:r>
            <w:r w:rsidRPr="004A4D8C">
              <w:rPr>
                <w:rFonts w:ascii="Arial" w:eastAsia="Times" w:hAnsi="Arial"/>
                <w:i/>
                <w:color w:val="000000" w:themeColor="text1"/>
                <w:sz w:val="21"/>
                <w:szCs w:val="21"/>
              </w:rPr>
              <w:t>Carers Recognition Act</w:t>
            </w:r>
            <w:r w:rsidRPr="004A4D8C">
              <w:rPr>
                <w:rFonts w:ascii="Arial" w:eastAsia="Times" w:hAnsi="Arial"/>
                <w:color w:val="000000" w:themeColor="text1"/>
                <w:sz w:val="21"/>
                <w:szCs w:val="21"/>
              </w:rPr>
              <w:t xml:space="preserve"> </w:t>
            </w:r>
            <w:r w:rsidRPr="004A4D8C">
              <w:rPr>
                <w:rFonts w:ascii="Arial" w:eastAsia="Times" w:hAnsi="Arial"/>
                <w:i/>
                <w:iCs/>
                <w:color w:val="000000" w:themeColor="text1"/>
                <w:sz w:val="21"/>
                <w:szCs w:val="21"/>
              </w:rPr>
              <w:t>2012</w:t>
            </w:r>
            <w:r w:rsidRPr="004A4D8C">
              <w:rPr>
                <w:rFonts w:ascii="Arial" w:eastAsia="Times" w:hAnsi="Arial"/>
                <w:color w:val="000000" w:themeColor="text1"/>
                <w:sz w:val="21"/>
                <w:szCs w:val="21"/>
              </w:rPr>
              <w:t xml:space="preserve"> (Vic)</w:t>
            </w:r>
            <w:r w:rsidRPr="004A4D8C">
              <w:rPr>
                <w:rFonts w:ascii="Arial" w:eastAsia="Times" w:hAnsi="Arial" w:cs="Arial"/>
                <w:sz w:val="21"/>
                <w:szCs w:val="21"/>
                <w:lang w:val="en-GB"/>
              </w:rPr>
              <w:t>. This may include providing practical self-care strategies, information about co-occurring needs and linkages to support services and</w:t>
            </w:r>
            <w:r w:rsidRPr="004A4D8C">
              <w:rPr>
                <w:rFonts w:ascii="Arial" w:eastAsia="Times" w:hAnsi="Arial" w:cs="Arial"/>
                <w:sz w:val="21"/>
                <w:lang w:val="en-GB"/>
              </w:rPr>
              <w:t xml:space="preserve"> programs (both internal and external to your organisation).</w:t>
            </w:r>
          </w:p>
          <w:p w14:paraId="13A29E98" w14:textId="77777777" w:rsidR="004A4D8C" w:rsidRPr="004A4D8C" w:rsidRDefault="004A4D8C" w:rsidP="004A4D8C">
            <w:pPr>
              <w:spacing w:before="120" w:after="120"/>
              <w:ind w:left="132"/>
              <w:rPr>
                <w:rFonts w:ascii="Arial" w:eastAsia="Times" w:hAnsi="Arial" w:cs="Arial"/>
                <w:sz w:val="21"/>
                <w:lang w:val="en-GB"/>
              </w:rPr>
            </w:pPr>
            <w:r w:rsidRPr="004A4D8C">
              <w:rPr>
                <w:rFonts w:ascii="Arial" w:eastAsia="Times" w:hAnsi="Arial" w:cs="Arial"/>
                <w:sz w:val="21"/>
                <w:lang w:val="en-GB"/>
              </w:rPr>
              <w:t xml:space="preserve">Proactively involve families and supporters in decision-making and information-sharing about the person with co-occurring needs’ treatment, care and support, consistent with the person’s preferences. Check in regularly with the person with co-occurring needs to ensure that family and </w:t>
            </w:r>
            <w:r w:rsidRPr="004A4D8C">
              <w:rPr>
                <w:rFonts w:ascii="Arial" w:eastAsia="Times" w:hAnsi="Arial" w:cs="Arial"/>
                <w:sz w:val="21"/>
                <w:lang w:val="en-GB"/>
              </w:rPr>
              <w:lastRenderedPageBreak/>
              <w:t>supporter involvement reflects their current preferences.</w:t>
            </w:r>
            <w:r w:rsidRPr="004A4D8C">
              <w:rPr>
                <w:rFonts w:ascii="Arial" w:eastAsia="Times" w:hAnsi="Arial" w:cs="Arial"/>
                <w:sz w:val="21"/>
                <w:vertAlign w:val="superscript"/>
                <w:lang w:val="en-GB"/>
              </w:rPr>
              <w:footnoteReference w:id="9"/>
            </w:r>
          </w:p>
          <w:p w14:paraId="60AAED0F" w14:textId="77777777" w:rsidR="004A4D8C" w:rsidRPr="004A4D8C" w:rsidRDefault="004A4D8C" w:rsidP="004A4D8C">
            <w:pPr>
              <w:numPr>
                <w:ilvl w:val="0"/>
                <w:numId w:val="6"/>
              </w:numPr>
              <w:spacing w:before="300" w:after="180" w:line="280" w:lineRule="atLeast"/>
              <w:rPr>
                <w:rFonts w:ascii="Arial" w:hAnsi="Arial" w:cs="Arial"/>
                <w:b/>
                <w:lang w:val="en-GB"/>
              </w:rPr>
            </w:pPr>
            <w:r w:rsidRPr="004A4D8C">
              <w:rPr>
                <w:rFonts w:ascii="Arial" w:eastAsia="Times" w:hAnsi="Arial"/>
                <w:b/>
                <w:bCs/>
                <w:lang w:val="en-GB"/>
              </w:rPr>
              <w:t>Collaborate</w:t>
            </w:r>
            <w:r w:rsidRPr="004A4D8C">
              <w:rPr>
                <w:rFonts w:ascii="Arial" w:hAnsi="Arial" w:cs="Arial"/>
                <w:b/>
                <w:lang w:val="en-GB"/>
              </w:rPr>
              <w:t xml:space="preserve"> and learn. </w:t>
            </w:r>
          </w:p>
          <w:p w14:paraId="18554001" w14:textId="77777777" w:rsidR="004A4D8C" w:rsidRPr="004A4D8C" w:rsidRDefault="004A4D8C" w:rsidP="004A4D8C">
            <w:pPr>
              <w:spacing w:after="120"/>
              <w:ind w:left="122"/>
              <w:rPr>
                <w:rFonts w:ascii="Arial" w:eastAsia="Times" w:hAnsi="Arial"/>
                <w:sz w:val="21"/>
              </w:rPr>
            </w:pPr>
            <w:r w:rsidRPr="004A4D8C">
              <w:rPr>
                <w:rFonts w:ascii="Arial" w:eastAsia="Times" w:hAnsi="Arial" w:cs="Arial"/>
                <w:sz w:val="21"/>
                <w:lang w:val="en-GB"/>
              </w:rPr>
              <w:t>In collaboration with people with lived and living experience, implement sustainable local strategies to increase cross-sector collaboration, communication, learning and development to continuously improve support for people with co-occurring needs and families and supporters.</w:t>
            </w:r>
            <w:r w:rsidRPr="004A4D8C">
              <w:rPr>
                <w:rFonts w:ascii="Arial" w:eastAsia="Times" w:hAnsi="Arial" w:cs="Arial"/>
                <w:sz w:val="21"/>
                <w:lang w:val="en-GB"/>
              </w:rPr>
              <w:footnoteReference w:id="10"/>
            </w:r>
          </w:p>
        </w:tc>
      </w:tr>
      <w:tr w:rsidR="004A4D8C" w:rsidRPr="004A4D8C" w14:paraId="593BB6FA" w14:textId="77777777" w:rsidTr="00002E40">
        <w:tc>
          <w:tcPr>
            <w:tcW w:w="3256" w:type="dxa"/>
          </w:tcPr>
          <w:p w14:paraId="22655CF8" w14:textId="77777777" w:rsidR="004A4D8C" w:rsidRPr="004A4D8C" w:rsidRDefault="004A4D8C" w:rsidP="004A4D8C">
            <w:pPr>
              <w:numPr>
                <w:ilvl w:val="0"/>
                <w:numId w:val="7"/>
              </w:numPr>
              <w:spacing w:after="120" w:line="280" w:lineRule="atLeast"/>
              <w:rPr>
                <w:rFonts w:ascii="Arial" w:eastAsia="Times" w:hAnsi="Arial"/>
                <w:b/>
                <w:bCs/>
              </w:rPr>
            </w:pPr>
            <w:r w:rsidRPr="004A4D8C">
              <w:rPr>
                <w:rFonts w:ascii="Arial" w:eastAsia="Times" w:hAnsi="Arial"/>
                <w:b/>
                <w:bCs/>
              </w:rPr>
              <w:lastRenderedPageBreak/>
              <w:t>Participation</w:t>
            </w:r>
          </w:p>
          <w:p w14:paraId="25AC5C27" w14:textId="77777777" w:rsidR="004A4D8C" w:rsidRPr="004A4D8C" w:rsidRDefault="004A4D8C" w:rsidP="004A4D8C">
            <w:pPr>
              <w:spacing w:after="120"/>
              <w:rPr>
                <w:rFonts w:ascii="Arial" w:eastAsia="Times" w:hAnsi="Arial"/>
                <w:sz w:val="21"/>
                <w:szCs w:val="21"/>
              </w:rPr>
            </w:pPr>
            <w:r w:rsidRPr="004A4D8C">
              <w:rPr>
                <w:rFonts w:ascii="Arial" w:eastAsia="Times" w:hAnsi="Arial"/>
                <w:sz w:val="21"/>
                <w:szCs w:val="21"/>
              </w:rPr>
              <w:t>People with co-occurring needs and their families and supporters are empowered to influence and improve the services that work to support them</w:t>
            </w:r>
          </w:p>
        </w:tc>
        <w:tc>
          <w:tcPr>
            <w:tcW w:w="5811" w:type="dxa"/>
          </w:tcPr>
          <w:p w14:paraId="605817A3" w14:textId="77777777" w:rsidR="004A4D8C" w:rsidRPr="004A4D8C" w:rsidRDefault="004A4D8C" w:rsidP="004A4D8C">
            <w:pPr>
              <w:spacing w:before="120" w:after="120"/>
              <w:rPr>
                <w:rFonts w:ascii="Arial" w:eastAsia="Times" w:hAnsi="Arial"/>
                <w:sz w:val="21"/>
                <w:lang w:val="en-GB"/>
              </w:rPr>
            </w:pPr>
            <w:r w:rsidRPr="004A4D8C">
              <w:rPr>
                <w:rFonts w:ascii="Arial" w:eastAsia="Times" w:hAnsi="Arial"/>
                <w:sz w:val="21"/>
                <w:lang w:val="en-GB"/>
              </w:rPr>
              <w:t>People with co-occurring needs – as well as their families and supporters – have distinct lived and living experiences which have inherent value and should be considered as expertise.</w:t>
            </w:r>
          </w:p>
          <w:p w14:paraId="2E8FAF64" w14:textId="77777777" w:rsidR="004A4D8C" w:rsidRPr="004A4D8C" w:rsidRDefault="004A4D8C" w:rsidP="004A4D8C">
            <w:pPr>
              <w:spacing w:before="120" w:after="120"/>
              <w:rPr>
                <w:rFonts w:ascii="Arial" w:eastAsia="Times" w:hAnsi="Arial"/>
                <w:sz w:val="21"/>
                <w:lang w:val="en-GB"/>
              </w:rPr>
            </w:pPr>
            <w:r w:rsidRPr="004A4D8C">
              <w:rPr>
                <w:rFonts w:ascii="Arial" w:eastAsia="Times" w:hAnsi="Arial"/>
                <w:sz w:val="21"/>
                <w:lang w:val="en-GB"/>
              </w:rPr>
              <w:t>Respecting, listening to, and acting on these experiences and expertise can improve service delivery and outcomes of treatment, care and support – especially during times of service and system reform.</w:t>
            </w:r>
          </w:p>
          <w:p w14:paraId="59486DBD" w14:textId="77777777" w:rsidR="004A4D8C" w:rsidRPr="004A4D8C" w:rsidRDefault="004A4D8C" w:rsidP="004A4D8C">
            <w:pPr>
              <w:spacing w:before="120" w:after="120"/>
              <w:rPr>
                <w:rFonts w:ascii="Arial" w:eastAsia="Times" w:hAnsi="Arial" w:cs="Arial"/>
                <w:sz w:val="21"/>
                <w:lang w:val="en-GB"/>
              </w:rPr>
            </w:pPr>
            <w:r w:rsidRPr="004A4D8C">
              <w:rPr>
                <w:rFonts w:ascii="Arial" w:eastAsia="Times" w:hAnsi="Arial"/>
                <w:sz w:val="21"/>
                <w:lang w:val="en-GB"/>
              </w:rPr>
              <w:t>People’s individual circumstances and experiences of stigma, shame, trauma and/or criminalisation may impact their ability to meaningfully engage and participate.</w:t>
            </w:r>
          </w:p>
        </w:tc>
        <w:tc>
          <w:tcPr>
            <w:tcW w:w="5045" w:type="dxa"/>
          </w:tcPr>
          <w:p w14:paraId="4AA6C067" w14:textId="77777777" w:rsidR="004A4D8C" w:rsidRPr="004A4D8C" w:rsidRDefault="004A4D8C" w:rsidP="004A4D8C">
            <w:pPr>
              <w:numPr>
                <w:ilvl w:val="0"/>
                <w:numId w:val="6"/>
              </w:numPr>
              <w:spacing w:before="300" w:after="180" w:line="280" w:lineRule="atLeast"/>
              <w:rPr>
                <w:rFonts w:ascii="Arial" w:eastAsia="Times" w:hAnsi="Arial"/>
                <w:b/>
                <w:bCs/>
                <w:lang w:val="en-GB"/>
              </w:rPr>
            </w:pPr>
            <w:r w:rsidRPr="004A4D8C">
              <w:rPr>
                <w:rFonts w:ascii="Arial" w:eastAsia="Times" w:hAnsi="Arial"/>
                <w:b/>
                <w:bCs/>
                <w:lang w:val="en-GB"/>
              </w:rPr>
              <w:t>Create meaningful participation and leadership opportunities.</w:t>
            </w:r>
          </w:p>
          <w:p w14:paraId="7A3019F6" w14:textId="77777777" w:rsidR="004A4D8C" w:rsidRPr="004A4D8C" w:rsidRDefault="004A4D8C" w:rsidP="004A4D8C">
            <w:pPr>
              <w:spacing w:before="120" w:after="60"/>
              <w:ind w:left="135"/>
              <w:rPr>
                <w:rFonts w:ascii="Arial" w:eastAsia="Times" w:hAnsi="Arial"/>
                <w:sz w:val="21"/>
                <w:lang w:val="en-GB"/>
              </w:rPr>
            </w:pPr>
            <w:r w:rsidRPr="004A4D8C">
              <w:rPr>
                <w:rFonts w:ascii="Arial" w:eastAsia="Times" w:hAnsi="Arial"/>
                <w:sz w:val="21"/>
                <w:lang w:val="en-GB"/>
              </w:rPr>
              <w:t>Provide opportunities for participation and leadership in service design, development, delivery and evaluation – including connections with allied health, social and other services (noting that different participation approaches will be required to meet people’s individual needs and circumstances). This may include co-production processes and the employment of the lived and living experience workforces.</w:t>
            </w:r>
          </w:p>
          <w:p w14:paraId="2260FDD0" w14:textId="77777777" w:rsidR="004A4D8C" w:rsidRPr="004A4D8C" w:rsidRDefault="004A4D8C" w:rsidP="004A4D8C">
            <w:pPr>
              <w:spacing w:before="120" w:after="60"/>
              <w:ind w:left="135"/>
              <w:rPr>
                <w:rFonts w:ascii="Arial" w:eastAsia="Times" w:hAnsi="Arial"/>
                <w:sz w:val="21"/>
                <w:lang w:val="en-GB"/>
              </w:rPr>
            </w:pPr>
            <w:r w:rsidRPr="004A4D8C">
              <w:rPr>
                <w:rFonts w:ascii="Arial" w:eastAsia="Times" w:hAnsi="Arial"/>
                <w:sz w:val="21"/>
                <w:lang w:val="en-GB"/>
              </w:rPr>
              <w:t xml:space="preserve">Create regular and accessible opportunities to ask people with co-occurring needs and their families and supporters, who may not be engaged with treatment, care and support, what they may want </w:t>
            </w:r>
            <w:r w:rsidRPr="004A4D8C">
              <w:rPr>
                <w:rFonts w:ascii="Arial" w:eastAsia="Times" w:hAnsi="Arial"/>
                <w:sz w:val="21"/>
                <w:lang w:val="en-GB"/>
              </w:rPr>
              <w:lastRenderedPageBreak/>
              <w:t>from your service. Listen to their answers and take meaningful action. This may include sharing results with the Department of Health or other commissioning bodies.</w:t>
            </w:r>
          </w:p>
          <w:p w14:paraId="7DF5C962" w14:textId="77777777" w:rsidR="004A4D8C" w:rsidRPr="004A4D8C" w:rsidRDefault="004A4D8C" w:rsidP="004A4D8C">
            <w:pPr>
              <w:spacing w:before="120" w:after="60"/>
              <w:ind w:left="135"/>
              <w:rPr>
                <w:rFonts w:ascii="Arial" w:eastAsia="Times" w:hAnsi="Arial"/>
                <w:sz w:val="21"/>
                <w:lang w:val="en-GB"/>
              </w:rPr>
            </w:pPr>
            <w:r w:rsidRPr="004A4D8C">
              <w:rPr>
                <w:rFonts w:ascii="Arial" w:hAnsi="Arial"/>
                <w:sz w:val="21"/>
                <w:lang w:val="en-GB"/>
              </w:rPr>
              <w:t>Partner and communicate with a diversity of peer-based lived and living experience organisations that consist of, support and represent people with co-occurring needs, and their families and supporters and the lived and living experience workforces.</w:t>
            </w:r>
          </w:p>
        </w:tc>
      </w:tr>
    </w:tbl>
    <w:p w14:paraId="62E770C1" w14:textId="77777777" w:rsidR="004A4D8C" w:rsidRPr="004A4D8C" w:rsidRDefault="004A4D8C" w:rsidP="004A4D8C">
      <w:pPr>
        <w:spacing w:after="120" w:line="280" w:lineRule="atLeast"/>
        <w:rPr>
          <w:rFonts w:ascii="Arial" w:eastAsia="Times" w:hAnsi="Arial" w:cs="Times New Roman"/>
          <w:sz w:val="21"/>
          <w:szCs w:val="20"/>
        </w:rPr>
      </w:pPr>
    </w:p>
    <w:p w14:paraId="63DD9772" w14:textId="77777777" w:rsidR="004A4D8C" w:rsidRPr="004A4D8C" w:rsidRDefault="004A4D8C" w:rsidP="004A4D8C">
      <w:pPr>
        <w:spacing w:line="280" w:lineRule="atLeast"/>
        <w:rPr>
          <w:rFonts w:ascii="Arial" w:eastAsia="Times" w:hAnsi="Arial" w:cs="Times New Roman"/>
          <w:sz w:val="21"/>
          <w:szCs w:val="20"/>
        </w:rPr>
      </w:pPr>
    </w:p>
    <w:p w14:paraId="4707C981" w14:textId="77777777" w:rsidR="004A4D8C" w:rsidRPr="004A4D8C" w:rsidRDefault="004A4D8C" w:rsidP="004A4D8C">
      <w:pPr>
        <w:spacing w:after="120" w:line="280" w:lineRule="atLeast"/>
        <w:rPr>
          <w:rFonts w:ascii="Arial" w:eastAsia="Times New Roman" w:hAnsi="Arial" w:cs="Times New Roman"/>
          <w:sz w:val="21"/>
          <w:szCs w:val="20"/>
        </w:rPr>
      </w:pPr>
    </w:p>
    <w:p w14:paraId="7464504E" w14:textId="4D326304" w:rsidR="00E7289A" w:rsidRDefault="00E7289A" w:rsidP="00E7289A">
      <w:pPr>
        <w:spacing w:before="240" w:after="200" w:line="300" w:lineRule="atLeast"/>
      </w:pPr>
    </w:p>
    <w:p w14:paraId="210D6B6B" w14:textId="1ADEAEFB" w:rsidR="002C6EB0" w:rsidRDefault="002C6EB0" w:rsidP="00E7289A">
      <w:pPr>
        <w:spacing w:before="240" w:after="200" w:line="300" w:lineRule="atLeast"/>
      </w:pPr>
    </w:p>
    <w:p w14:paraId="6BEB951E" w14:textId="47C49A1B" w:rsidR="002C6EB0" w:rsidRDefault="002C6EB0" w:rsidP="00E7289A">
      <w:pPr>
        <w:spacing w:before="240" w:after="200" w:line="300" w:lineRule="atLeast"/>
      </w:pPr>
    </w:p>
    <w:p w14:paraId="5C58E189" w14:textId="58D13BE8" w:rsidR="002C6EB0" w:rsidRDefault="002C6EB0" w:rsidP="00E7289A">
      <w:pPr>
        <w:spacing w:before="240" w:after="200" w:line="300" w:lineRule="atLeast"/>
      </w:pPr>
    </w:p>
    <w:p w14:paraId="6DF405C6" w14:textId="458E7C9C" w:rsidR="002C6EB0" w:rsidRDefault="002C6EB0" w:rsidP="00E7289A">
      <w:pPr>
        <w:spacing w:before="240" w:after="200" w:line="300" w:lineRule="atLeast"/>
      </w:pPr>
    </w:p>
    <w:p w14:paraId="064F33EF" w14:textId="225C516F" w:rsidR="002C6EB0" w:rsidRDefault="002C6EB0" w:rsidP="00E7289A">
      <w:pPr>
        <w:spacing w:before="240" w:after="200" w:line="300" w:lineRule="atLeast"/>
      </w:pPr>
      <w:r>
        <w:rPr>
          <w:noProof/>
        </w:rPr>
        <w:lastRenderedPageBreak/>
        <mc:AlternateContent>
          <mc:Choice Requires="wps">
            <w:drawing>
              <wp:inline distT="0" distB="0" distL="0" distR="0" wp14:anchorId="4AACD635" wp14:editId="78999C11">
                <wp:extent cx="9144000" cy="23241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324100"/>
                        </a:xfrm>
                        <a:prstGeom prst="rect">
                          <a:avLst/>
                        </a:prstGeom>
                        <a:solidFill>
                          <a:srgbClr val="FFFFFF"/>
                        </a:solidFill>
                        <a:ln w="9525">
                          <a:solidFill>
                            <a:srgbClr val="000000"/>
                          </a:solidFill>
                          <a:miter lim="800000"/>
                          <a:headEnd/>
                          <a:tailEnd/>
                        </a:ln>
                      </wps:spPr>
                      <wps:txbx>
                        <w:txbxContent>
                          <w:p w14:paraId="57ADACAB" w14:textId="6E40FA61" w:rsidR="002C6EB0" w:rsidRPr="000B5F6C" w:rsidRDefault="002C6EB0" w:rsidP="002C6EB0">
                            <w:pPr>
                              <w:spacing w:before="240" w:after="200" w:line="300" w:lineRule="atLeast"/>
                              <w:rPr>
                                <w:rFonts w:ascii="Arial" w:eastAsia="Times" w:hAnsi="Arial" w:cs="Arial"/>
                              </w:rPr>
                            </w:pPr>
                            <w:r w:rsidRPr="5F9D1904">
                              <w:rPr>
                                <w:rFonts w:ascii="Arial" w:eastAsia="Times" w:hAnsi="Arial" w:cs="Arial"/>
                              </w:rPr>
                              <w:t xml:space="preserve">To receive this document in another format, </w:t>
                            </w:r>
                            <w:hyperlink r:id="rId18">
                              <w:r w:rsidRPr="5F9D1904">
                                <w:rPr>
                                  <w:rStyle w:val="Hyperlink"/>
                                  <w:rFonts w:ascii="Arial" w:eastAsia="Times" w:hAnsi="Arial" w:cs="Arial"/>
                                </w:rPr>
                                <w:t>email</w:t>
                              </w:r>
                            </w:hyperlink>
                            <w:r w:rsidRPr="5F9D1904">
                              <w:rPr>
                                <w:rFonts w:ascii="Arial" w:eastAsia="Times" w:hAnsi="Arial" w:cs="Arial"/>
                                <w:color w:val="004C97"/>
                              </w:rPr>
                              <w:t xml:space="preserve"> &lt;</w:t>
                            </w:r>
                            <w:r w:rsidRPr="5F9D1904">
                              <w:rPr>
                                <w:rFonts w:ascii="Arial" w:eastAsia="Times" w:hAnsi="Arial" w:cs="Arial"/>
                              </w:rPr>
                              <w:t>aod.enquiries@health.vic.gov.au&gt;.</w:t>
                            </w:r>
                          </w:p>
                          <w:p w14:paraId="3CC6064C" w14:textId="77777777" w:rsidR="002C6EB0" w:rsidRPr="000B5F6C" w:rsidRDefault="002C6EB0" w:rsidP="002C6EB0">
                            <w:pPr>
                              <w:spacing w:after="60" w:line="270" w:lineRule="atLeast"/>
                              <w:rPr>
                                <w:rFonts w:ascii="Arial" w:eastAsia="Times" w:hAnsi="Arial" w:cs="Arial"/>
                                <w:color w:val="000000"/>
                                <w:sz w:val="20"/>
                              </w:rPr>
                            </w:pPr>
                            <w:r w:rsidRPr="000B5F6C">
                              <w:rPr>
                                <w:rFonts w:ascii="Arial" w:eastAsia="Times" w:hAnsi="Arial" w:cs="Arial"/>
                                <w:color w:val="000000"/>
                                <w:sz w:val="20"/>
                              </w:rPr>
                              <w:t>Authorised and published by the Victorian Government, 1 Treasury Place, Melbourne.</w:t>
                            </w:r>
                          </w:p>
                          <w:p w14:paraId="13EC53D9" w14:textId="77777777" w:rsidR="002C6EB0" w:rsidRPr="000B5F6C" w:rsidRDefault="002C6EB0" w:rsidP="002C6EB0">
                            <w:pPr>
                              <w:spacing w:after="60" w:line="270" w:lineRule="atLeast"/>
                              <w:rPr>
                                <w:rFonts w:ascii="Arial" w:eastAsia="Times" w:hAnsi="Arial" w:cs="Arial"/>
                                <w:color w:val="000000"/>
                                <w:sz w:val="20"/>
                              </w:rPr>
                            </w:pPr>
                            <w:r w:rsidRPr="5F9D1904">
                              <w:rPr>
                                <w:rFonts w:ascii="Arial" w:eastAsia="Times" w:hAnsi="Arial" w:cs="Arial"/>
                                <w:color w:val="000000" w:themeColor="text1"/>
                                <w:sz w:val="20"/>
                                <w:szCs w:val="20"/>
                              </w:rPr>
                              <w:t xml:space="preserve">© State of Victoria, Australia, Department of </w:t>
                            </w:r>
                            <w:r w:rsidRPr="5F9D1904">
                              <w:rPr>
                                <w:rFonts w:ascii="Arial" w:eastAsia="Times" w:hAnsi="Arial" w:cs="Arial"/>
                                <w:sz w:val="20"/>
                                <w:szCs w:val="20"/>
                              </w:rPr>
                              <w:t>Health, July 2022</w:t>
                            </w:r>
                          </w:p>
                          <w:p w14:paraId="6C59752F" w14:textId="77777777" w:rsidR="002C6EB0" w:rsidRDefault="002C6EB0" w:rsidP="002C6EB0">
                            <w:pPr>
                              <w:spacing w:after="60" w:line="270" w:lineRule="atLeast"/>
                              <w:rPr>
                                <w:rFonts w:ascii="Arial" w:eastAsia="Times" w:hAnsi="Arial" w:cs="Arial"/>
                                <w:sz w:val="20"/>
                                <w:szCs w:val="20"/>
                              </w:rPr>
                            </w:pPr>
                            <w:r w:rsidRPr="5F9D1904">
                              <w:rPr>
                                <w:rFonts w:ascii="Arial" w:eastAsia="Times" w:hAnsi="Arial" w:cs="Arial"/>
                                <w:b/>
                                <w:bCs/>
                                <w:sz w:val="20"/>
                                <w:szCs w:val="20"/>
                              </w:rPr>
                              <w:t>ISBN</w:t>
                            </w:r>
                            <w:r w:rsidRPr="5F9D1904">
                              <w:rPr>
                                <w:rFonts w:ascii="Arial" w:eastAsia="Times" w:hAnsi="Arial" w:cs="Arial"/>
                                <w:sz w:val="20"/>
                                <w:szCs w:val="20"/>
                              </w:rPr>
                              <w:t xml:space="preserve"> 978-1-76096-915-8 </w:t>
                            </w:r>
                            <w:r w:rsidRPr="5F9D1904">
                              <w:rPr>
                                <w:rFonts w:ascii="Arial" w:eastAsia="Times" w:hAnsi="Arial" w:cs="Arial"/>
                                <w:b/>
                                <w:bCs/>
                                <w:sz w:val="20"/>
                                <w:szCs w:val="20"/>
                              </w:rPr>
                              <w:t>(pdf/online/MS word)</w:t>
                            </w:r>
                          </w:p>
                          <w:p w14:paraId="3EF1859C" w14:textId="77777777" w:rsidR="002C6EB0" w:rsidRPr="000B5F6C" w:rsidRDefault="002C6EB0" w:rsidP="002C6EB0">
                            <w:pPr>
                              <w:spacing w:after="60" w:line="270" w:lineRule="atLeast"/>
                              <w:rPr>
                                <w:rFonts w:ascii="Arial" w:eastAsia="Times" w:hAnsi="Arial" w:cs="Arial"/>
                                <w:color w:val="000000"/>
                                <w:sz w:val="20"/>
                              </w:rPr>
                            </w:pPr>
                            <w:bookmarkStart w:id="1" w:name="_Hlk62746129"/>
                            <w:r w:rsidRPr="000B5F6C">
                              <w:rPr>
                                <w:rFonts w:ascii="Arial" w:eastAsia="Times" w:hAnsi="Arial" w:cs="Arial"/>
                                <w:color w:val="000000"/>
                                <w:sz w:val="20"/>
                              </w:rPr>
                              <w:t xml:space="preserve">Except where otherwise indicated, the images in this document show models and illustrative settings only, and do not necessarily depict actual services, facilities or recipients of services. </w:t>
                            </w:r>
                          </w:p>
                          <w:p w14:paraId="529F7D20" w14:textId="77777777" w:rsidR="002C6EB0" w:rsidRPr="000B5F6C" w:rsidRDefault="002C6EB0" w:rsidP="002C6EB0">
                            <w:pPr>
                              <w:spacing w:after="60" w:line="270" w:lineRule="atLeast"/>
                              <w:rPr>
                                <w:rFonts w:ascii="Arial" w:eastAsia="Times" w:hAnsi="Arial" w:cs="Arial"/>
                                <w:color w:val="000000"/>
                                <w:sz w:val="20"/>
                              </w:rPr>
                            </w:pPr>
                            <w:r w:rsidRPr="000B5F6C">
                              <w:rPr>
                                <w:rFonts w:ascii="Arial" w:eastAsia="Times" w:hAnsi="Arial" w:cs="Arial"/>
                                <w:color w:val="000000"/>
                                <w:sz w:val="20"/>
                              </w:rPr>
                              <w:t>In this document, ‘Aboriginal’ refers to both Aboriginal and Torres Strait Islander people. ‘Indigenous’ or ‘Koori/Koorie’ is retained when part of the title of a report, program or quotation.</w:t>
                            </w:r>
                          </w:p>
                          <w:p w14:paraId="4B900B18" w14:textId="77777777" w:rsidR="002C6EB0" w:rsidRPr="000B5F6C" w:rsidRDefault="002C6EB0" w:rsidP="002C6EB0">
                            <w:pPr>
                              <w:spacing w:after="60" w:line="270" w:lineRule="atLeast"/>
                              <w:rPr>
                                <w:rFonts w:ascii="Arial" w:eastAsia="Times" w:hAnsi="Arial" w:cs="Arial"/>
                                <w:color w:val="004C97"/>
                                <w:sz w:val="20"/>
                                <w:szCs w:val="20"/>
                              </w:rPr>
                            </w:pPr>
                            <w:r w:rsidRPr="5F9D1904">
                              <w:rPr>
                                <w:rFonts w:ascii="Arial" w:eastAsia="Times" w:hAnsi="Arial" w:cs="Arial"/>
                                <w:color w:val="000000" w:themeColor="text1"/>
                                <w:sz w:val="20"/>
                                <w:szCs w:val="20"/>
                              </w:rPr>
                              <w:t xml:space="preserve">Available at the </w:t>
                            </w:r>
                            <w:hyperlink r:id="rId19">
                              <w:r w:rsidRPr="5F9D1904">
                                <w:rPr>
                                  <w:rStyle w:val="Hyperlink"/>
                                  <w:rFonts w:ascii="Arial" w:eastAsia="Times" w:hAnsi="Arial" w:cs="Arial"/>
                                  <w:sz w:val="20"/>
                                  <w:szCs w:val="20"/>
                                </w:rPr>
                                <w:t>Department of Health website</w:t>
                              </w:r>
                            </w:hyperlink>
                            <w:r w:rsidRPr="5F9D1904">
                              <w:rPr>
                                <w:rFonts w:ascii="Arial" w:eastAsia="Times" w:hAnsi="Arial" w:cs="Arial"/>
                                <w:color w:val="000000" w:themeColor="text1"/>
                                <w:sz w:val="20"/>
                                <w:szCs w:val="20"/>
                              </w:rPr>
                              <w:t xml:space="preserve"> &lt;https://www.health.vic.gov.au/mental-health-reform/recommendation-35&gt; </w:t>
                            </w:r>
                            <w:bookmarkEnd w:id="1"/>
                          </w:p>
                          <w:p w14:paraId="7B9FA364" w14:textId="4EDC233F" w:rsidR="002C6EB0" w:rsidRDefault="002C6EB0"/>
                          <w:p w14:paraId="4AD403CE" w14:textId="77777777" w:rsidR="002C6EB0" w:rsidRDefault="002C6EB0"/>
                        </w:txbxContent>
                      </wps:txbx>
                      <wps:bodyPr rot="0" vert="horz" wrap="square" lIns="91440" tIns="45720" rIns="91440" bIns="45720" anchor="t" anchorCtr="0">
                        <a:noAutofit/>
                      </wps:bodyPr>
                    </wps:wsp>
                  </a:graphicData>
                </a:graphic>
              </wp:inline>
            </w:drawing>
          </mc:Choice>
          <mc:Fallback>
            <w:pict>
              <v:shapetype w14:anchorId="4AACD635" id="_x0000_t202" coordsize="21600,21600" o:spt="202" path="m,l,21600r21600,l21600,xe">
                <v:stroke joinstyle="miter"/>
                <v:path gradientshapeok="t" o:connecttype="rect"/>
              </v:shapetype>
              <v:shape id="Text Box 2" o:spid="_x0000_s1026" type="#_x0000_t202" style="width:10in;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">
                <v:textbox>
                  <w:txbxContent>
                    <w:p w14:paraId="57ADACAB" w14:textId="6E40FA61" w:rsidR="002C6EB0" w:rsidRPr="000B5F6C" w:rsidRDefault="002C6EB0" w:rsidP="002C6EB0">
                      <w:pPr>
                        <w:spacing w:before="240" w:after="200" w:line="300" w:lineRule="atLeast"/>
                        <w:rPr>
                          <w:rFonts w:ascii="Arial" w:eastAsia="Times" w:hAnsi="Arial" w:cs="Arial"/>
                        </w:rPr>
                      </w:pPr>
                      <w:r w:rsidRPr="5F9D1904">
                        <w:rPr>
                          <w:rFonts w:ascii="Arial" w:eastAsia="Times" w:hAnsi="Arial" w:cs="Arial"/>
                        </w:rPr>
                        <w:t xml:space="preserve">To receive this document in another format, </w:t>
                      </w:r>
                      <w:hyperlink r:id="rId20">
                        <w:r w:rsidRPr="5F9D1904">
                          <w:rPr>
                            <w:rStyle w:val="Hyperlink"/>
                            <w:rFonts w:ascii="Arial" w:eastAsia="Times" w:hAnsi="Arial" w:cs="Arial"/>
                          </w:rPr>
                          <w:t>email</w:t>
                        </w:r>
                      </w:hyperlink>
                      <w:r w:rsidRPr="5F9D1904">
                        <w:rPr>
                          <w:rFonts w:ascii="Arial" w:eastAsia="Times" w:hAnsi="Arial" w:cs="Arial"/>
                          <w:color w:val="004C97"/>
                        </w:rPr>
                        <w:t xml:space="preserve"> &lt;</w:t>
                      </w:r>
                      <w:r w:rsidRPr="5F9D1904">
                        <w:rPr>
                          <w:rFonts w:ascii="Arial" w:eastAsia="Times" w:hAnsi="Arial" w:cs="Arial"/>
                        </w:rPr>
                        <w:t>aod.enquiries@health.vic.gov.au&gt;.</w:t>
                      </w:r>
                    </w:p>
                    <w:p w14:paraId="3CC6064C" w14:textId="77777777" w:rsidR="002C6EB0" w:rsidRPr="000B5F6C" w:rsidRDefault="002C6EB0" w:rsidP="002C6EB0">
                      <w:pPr>
                        <w:spacing w:after="60" w:line="270" w:lineRule="atLeast"/>
                        <w:rPr>
                          <w:rFonts w:ascii="Arial" w:eastAsia="Times" w:hAnsi="Arial" w:cs="Arial"/>
                          <w:color w:val="000000"/>
                          <w:sz w:val="20"/>
                        </w:rPr>
                      </w:pPr>
                      <w:r w:rsidRPr="000B5F6C">
                        <w:rPr>
                          <w:rFonts w:ascii="Arial" w:eastAsia="Times" w:hAnsi="Arial" w:cs="Arial"/>
                          <w:color w:val="000000"/>
                          <w:sz w:val="20"/>
                        </w:rPr>
                        <w:t>Authorised and published by the Victorian Government, 1 Treasury Place, Melbourne.</w:t>
                      </w:r>
                    </w:p>
                    <w:p w14:paraId="13EC53D9" w14:textId="77777777" w:rsidR="002C6EB0" w:rsidRPr="000B5F6C" w:rsidRDefault="002C6EB0" w:rsidP="002C6EB0">
                      <w:pPr>
                        <w:spacing w:after="60" w:line="270" w:lineRule="atLeast"/>
                        <w:rPr>
                          <w:rFonts w:ascii="Arial" w:eastAsia="Times" w:hAnsi="Arial" w:cs="Arial"/>
                          <w:color w:val="000000"/>
                          <w:sz w:val="20"/>
                        </w:rPr>
                      </w:pPr>
                      <w:r w:rsidRPr="5F9D1904">
                        <w:rPr>
                          <w:rFonts w:ascii="Arial" w:eastAsia="Times" w:hAnsi="Arial" w:cs="Arial"/>
                          <w:color w:val="000000" w:themeColor="text1"/>
                          <w:sz w:val="20"/>
                          <w:szCs w:val="20"/>
                        </w:rPr>
                        <w:t xml:space="preserve">© State of Victoria, Australia, Department of </w:t>
                      </w:r>
                      <w:r w:rsidRPr="5F9D1904">
                        <w:rPr>
                          <w:rFonts w:ascii="Arial" w:eastAsia="Times" w:hAnsi="Arial" w:cs="Arial"/>
                          <w:sz w:val="20"/>
                          <w:szCs w:val="20"/>
                        </w:rPr>
                        <w:t>Health, July 2022</w:t>
                      </w:r>
                    </w:p>
                    <w:p w14:paraId="6C59752F" w14:textId="77777777" w:rsidR="002C6EB0" w:rsidRDefault="002C6EB0" w:rsidP="002C6EB0">
                      <w:pPr>
                        <w:spacing w:after="60" w:line="270" w:lineRule="atLeast"/>
                        <w:rPr>
                          <w:rFonts w:ascii="Arial" w:eastAsia="Times" w:hAnsi="Arial" w:cs="Arial"/>
                          <w:sz w:val="20"/>
                          <w:szCs w:val="20"/>
                        </w:rPr>
                      </w:pPr>
                      <w:r w:rsidRPr="5F9D1904">
                        <w:rPr>
                          <w:rFonts w:ascii="Arial" w:eastAsia="Times" w:hAnsi="Arial" w:cs="Arial"/>
                          <w:b/>
                          <w:bCs/>
                          <w:sz w:val="20"/>
                          <w:szCs w:val="20"/>
                        </w:rPr>
                        <w:t>ISBN</w:t>
                      </w:r>
                      <w:r w:rsidRPr="5F9D1904">
                        <w:rPr>
                          <w:rFonts w:ascii="Arial" w:eastAsia="Times" w:hAnsi="Arial" w:cs="Arial"/>
                          <w:sz w:val="20"/>
                          <w:szCs w:val="20"/>
                        </w:rPr>
                        <w:t xml:space="preserve"> 978-1-76096-915-8 </w:t>
                      </w:r>
                      <w:r w:rsidRPr="5F9D1904">
                        <w:rPr>
                          <w:rFonts w:ascii="Arial" w:eastAsia="Times" w:hAnsi="Arial" w:cs="Arial"/>
                          <w:b/>
                          <w:bCs/>
                          <w:sz w:val="20"/>
                          <w:szCs w:val="20"/>
                        </w:rPr>
                        <w:t>(pdf/online/MS word)</w:t>
                      </w:r>
                    </w:p>
                    <w:p w14:paraId="3EF1859C" w14:textId="77777777" w:rsidR="002C6EB0" w:rsidRPr="000B5F6C" w:rsidRDefault="002C6EB0" w:rsidP="002C6EB0">
                      <w:pPr>
                        <w:spacing w:after="60" w:line="270" w:lineRule="atLeast"/>
                        <w:rPr>
                          <w:rFonts w:ascii="Arial" w:eastAsia="Times" w:hAnsi="Arial" w:cs="Arial"/>
                          <w:color w:val="000000"/>
                          <w:sz w:val="20"/>
                        </w:rPr>
                      </w:pPr>
                      <w:bookmarkStart w:id="2" w:name="_Hlk62746129"/>
                      <w:r w:rsidRPr="000B5F6C">
                        <w:rPr>
                          <w:rFonts w:ascii="Arial" w:eastAsia="Times" w:hAnsi="Arial" w:cs="Arial"/>
                          <w:color w:val="000000"/>
                          <w:sz w:val="20"/>
                        </w:rPr>
                        <w:t xml:space="preserve">Except where otherwise indicated, the images in this document show models and illustrative settings only, and do not necessarily depict actual services, facilities or recipients of services. </w:t>
                      </w:r>
                    </w:p>
                    <w:p w14:paraId="529F7D20" w14:textId="77777777" w:rsidR="002C6EB0" w:rsidRPr="000B5F6C" w:rsidRDefault="002C6EB0" w:rsidP="002C6EB0">
                      <w:pPr>
                        <w:spacing w:after="60" w:line="270" w:lineRule="atLeast"/>
                        <w:rPr>
                          <w:rFonts w:ascii="Arial" w:eastAsia="Times" w:hAnsi="Arial" w:cs="Arial"/>
                          <w:color w:val="000000"/>
                          <w:sz w:val="20"/>
                        </w:rPr>
                      </w:pPr>
                      <w:r w:rsidRPr="000B5F6C">
                        <w:rPr>
                          <w:rFonts w:ascii="Arial" w:eastAsia="Times" w:hAnsi="Arial" w:cs="Arial"/>
                          <w:color w:val="000000"/>
                          <w:sz w:val="20"/>
                        </w:rPr>
                        <w:t>In this document, ‘Aboriginal’ refers to both Aboriginal and Torres Strait Islander people. ‘Indigenous’ or ‘Koori/Koorie’ is retained when part of the title of a report, program or quotation.</w:t>
                      </w:r>
                    </w:p>
                    <w:p w14:paraId="4B900B18" w14:textId="77777777" w:rsidR="002C6EB0" w:rsidRPr="000B5F6C" w:rsidRDefault="002C6EB0" w:rsidP="002C6EB0">
                      <w:pPr>
                        <w:spacing w:after="60" w:line="270" w:lineRule="atLeast"/>
                        <w:rPr>
                          <w:rFonts w:ascii="Arial" w:eastAsia="Times" w:hAnsi="Arial" w:cs="Arial"/>
                          <w:color w:val="004C97"/>
                          <w:sz w:val="20"/>
                          <w:szCs w:val="20"/>
                        </w:rPr>
                      </w:pPr>
                      <w:r w:rsidRPr="5F9D1904">
                        <w:rPr>
                          <w:rFonts w:ascii="Arial" w:eastAsia="Times" w:hAnsi="Arial" w:cs="Arial"/>
                          <w:color w:val="000000" w:themeColor="text1"/>
                          <w:sz w:val="20"/>
                          <w:szCs w:val="20"/>
                        </w:rPr>
                        <w:t xml:space="preserve">Available at the </w:t>
                      </w:r>
                      <w:hyperlink r:id="rId21">
                        <w:r w:rsidRPr="5F9D1904">
                          <w:rPr>
                            <w:rStyle w:val="Hyperlink"/>
                            <w:rFonts w:ascii="Arial" w:eastAsia="Times" w:hAnsi="Arial" w:cs="Arial"/>
                            <w:sz w:val="20"/>
                            <w:szCs w:val="20"/>
                          </w:rPr>
                          <w:t>Department of Health website</w:t>
                        </w:r>
                      </w:hyperlink>
                      <w:r w:rsidRPr="5F9D1904">
                        <w:rPr>
                          <w:rFonts w:ascii="Arial" w:eastAsia="Times" w:hAnsi="Arial" w:cs="Arial"/>
                          <w:color w:val="000000" w:themeColor="text1"/>
                          <w:sz w:val="20"/>
                          <w:szCs w:val="20"/>
                        </w:rPr>
                        <w:t xml:space="preserve"> &lt;https://www.health.vic.gov.au/mental-health-reform/recommendation-35&gt; </w:t>
                      </w:r>
                      <w:bookmarkEnd w:id="2"/>
                    </w:p>
                    <w:p w14:paraId="7B9FA364" w14:textId="4EDC233F" w:rsidR="002C6EB0" w:rsidRDefault="002C6EB0"/>
                    <w:p w14:paraId="4AD403CE" w14:textId="77777777" w:rsidR="002C6EB0" w:rsidRDefault="002C6EB0"/>
                  </w:txbxContent>
                </v:textbox>
                <w10:anchorlock/>
              </v:shape>
            </w:pict>
          </mc:Fallback>
        </mc:AlternateContent>
      </w:r>
    </w:p>
    <w:sectPr w:rsidR="002C6EB0" w:rsidSect="00FB3434">
      <w:headerReference w:type="default" r:id="rId22"/>
      <w:pgSz w:w="16838" w:h="11906" w:orient="landscape"/>
      <w:pgMar w:top="1440" w:right="848" w:bottom="1156" w:left="1247"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D8C9" w14:textId="77777777" w:rsidR="004E6830" w:rsidRDefault="004E6830" w:rsidP="00577412">
      <w:r>
        <w:separator/>
      </w:r>
    </w:p>
  </w:endnote>
  <w:endnote w:type="continuationSeparator" w:id="0">
    <w:p w14:paraId="26E1766F" w14:textId="77777777" w:rsidR="004E6830" w:rsidRDefault="004E6830" w:rsidP="00577412">
      <w:r>
        <w:continuationSeparator/>
      </w:r>
    </w:p>
  </w:endnote>
  <w:endnote w:type="continuationNotice" w:id="1">
    <w:p w14:paraId="5A0172AE" w14:textId="77777777" w:rsidR="004E6830" w:rsidRDefault="004E6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87B8" w14:textId="3FF34858" w:rsidR="00577412" w:rsidRDefault="00577412" w:rsidP="00DF6B66">
    <w:pPr>
      <w:pStyle w:val="Footer"/>
      <w:framePr w:wrap="none" w:vAnchor="text" w:hAnchor="margin" w:y="1"/>
      <w:rPr>
        <w:rStyle w:val="PageNumber"/>
      </w:rPr>
    </w:pPr>
  </w:p>
  <w:p w14:paraId="38F1256B" w14:textId="77777777" w:rsidR="00577412" w:rsidRDefault="00577412" w:rsidP="00DF6B6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C45713C" w14:textId="77777777" w:rsidR="00577412" w:rsidRDefault="00577412" w:rsidP="00DF6B6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C0C3" w14:textId="6DFA4071" w:rsidR="00057683" w:rsidRDefault="002C6EB0">
    <w:pPr>
      <w:pStyle w:val="Footer"/>
      <w:jc w:val="right"/>
    </w:pPr>
    <w:r>
      <w:rPr>
        <w:noProof/>
      </w:rPr>
      <mc:AlternateContent>
        <mc:Choice Requires="wps">
          <w:drawing>
            <wp:inline distT="0" distB="0" distL="0" distR="0" wp14:anchorId="34873087" wp14:editId="6B80FAD5">
              <wp:extent cx="7772400" cy="502285"/>
              <wp:effectExtent l="0" t="0" r="0" b="12065"/>
              <wp:docPr id="1" name="MSIPCM09554a21a51401e9a1b251a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7AC0D" w14:textId="1766389D" w:rsidR="002C6EB0" w:rsidRPr="00F54963" w:rsidRDefault="00F54963" w:rsidP="00F54963">
                          <w:pPr>
                            <w:jc w:val="center"/>
                            <w:rPr>
                              <w:rFonts w:ascii="Arial Black" w:hAnsi="Arial Black"/>
                              <w:color w:val="000000"/>
                              <w:sz w:val="20"/>
                            </w:rPr>
                          </w:pPr>
                          <w:r w:rsidRPr="00F549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4873087" id="_x0000_t202" coordsize="21600,21600" o:spt="202" path="m,l,21600r21600,l21600,xe">
              <v:stroke joinstyle="miter"/>
              <v:path gradientshapeok="t" o:connecttype="rect"/>
            </v:shapetype>
            <v:shape id="MSIPCM09554a21a51401e9a1b251a0" o:spid="_x0000_s1027" type="#_x0000_t202" alt="{&quot;HashCode&quot;:904758361,&quot;Height&quot;:9999999.0,&quot;Width&quot;:9999999.0,&quot;Placement&quot;:&quot;Footer&quot;,&quot;Index&quot;:&quot;Primary&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" filled="f" stroked="f" strokeweight=".5pt">
              <v:textbox inset=",0,,0">
                <w:txbxContent>
                  <w:p w14:paraId="3B07AC0D" w14:textId="1766389D" w:rsidR="002C6EB0" w:rsidRPr="00F54963" w:rsidRDefault="00F54963" w:rsidP="00F54963">
                    <w:pPr>
                      <w:jc w:val="center"/>
                      <w:rPr>
                        <w:rFonts w:ascii="Arial Black" w:hAnsi="Arial Black"/>
                        <w:color w:val="000000"/>
                        <w:sz w:val="20"/>
                      </w:rPr>
                    </w:pPr>
                    <w:r w:rsidRPr="00F54963">
                      <w:rPr>
                        <w:rFonts w:ascii="Arial Black" w:hAnsi="Arial Black"/>
                        <w:color w:val="000000"/>
                        <w:sz w:val="20"/>
                      </w:rPr>
                      <w:t>OFFICIAL</w:t>
                    </w:r>
                  </w:p>
                </w:txbxContent>
              </v:textbox>
              <w10:anchorlock/>
            </v:shape>
          </w:pict>
        </mc:Fallback>
      </mc:AlternateContent>
    </w:r>
    <w:sdt>
      <w:sdtPr>
        <w:id w:val="-1495337336"/>
        <w:docPartObj>
          <w:docPartGallery w:val="Page Numbers (Bottom of Page)"/>
          <w:docPartUnique/>
        </w:docPartObj>
      </w:sdtPr>
      <w:sdtEndPr>
        <w:rPr>
          <w:noProof/>
        </w:rPr>
      </w:sdtEndPr>
      <w:sdtContent>
        <w:r w:rsidR="00057683">
          <w:fldChar w:fldCharType="begin"/>
        </w:r>
        <w:r w:rsidR="00057683">
          <w:instrText xml:space="preserve"> PAGE   \* MERGEFORMAT </w:instrText>
        </w:r>
        <w:r w:rsidR="00057683">
          <w:fldChar w:fldCharType="separate"/>
        </w:r>
        <w:r w:rsidR="00057683">
          <w:rPr>
            <w:noProof/>
          </w:rPr>
          <w:t>2</w:t>
        </w:r>
        <w:r w:rsidR="00057683">
          <w:rPr>
            <w:noProof/>
          </w:rPr>
          <w:fldChar w:fldCharType="end"/>
        </w:r>
      </w:sdtContent>
    </w:sdt>
  </w:p>
  <w:p w14:paraId="46A35895" w14:textId="44B0EB03" w:rsidR="00577412" w:rsidRPr="00BE77E8" w:rsidRDefault="00057683" w:rsidP="00AD5D2E">
    <w:pPr>
      <w:pStyle w:val="Footer"/>
      <w:ind w:right="360"/>
      <w:rPr>
        <w:b/>
        <w:bCs/>
        <w:sz w:val="16"/>
        <w:szCs w:val="16"/>
      </w:rPr>
    </w:pPr>
    <w:r w:rsidRPr="00BE77E8">
      <w:rPr>
        <w:b/>
        <w:bCs/>
        <w:sz w:val="16"/>
        <w:szCs w:val="16"/>
      </w:rPr>
      <w:t xml:space="preserve">Summary: Integrated treatment, care and support </w:t>
    </w:r>
    <w:r w:rsidR="00DE607F">
      <w:rPr>
        <w:b/>
        <w:bCs/>
        <w:sz w:val="16"/>
        <w:szCs w:val="16"/>
      </w:rPr>
      <w:t>guidance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9042" w14:textId="77777777" w:rsidR="00F54963" w:rsidRDefault="00F5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047E" w14:textId="77777777" w:rsidR="004E6830" w:rsidRDefault="004E6830" w:rsidP="00577412">
      <w:r>
        <w:separator/>
      </w:r>
    </w:p>
  </w:footnote>
  <w:footnote w:type="continuationSeparator" w:id="0">
    <w:p w14:paraId="65A5252F" w14:textId="77777777" w:rsidR="004E6830" w:rsidRDefault="004E6830" w:rsidP="00577412">
      <w:r>
        <w:continuationSeparator/>
      </w:r>
    </w:p>
  </w:footnote>
  <w:footnote w:type="continuationNotice" w:id="1">
    <w:p w14:paraId="3C1A19B9" w14:textId="77777777" w:rsidR="004E6830" w:rsidRDefault="004E6830"/>
  </w:footnote>
  <w:footnote w:id="2">
    <w:p w14:paraId="38033401" w14:textId="77777777" w:rsidR="004A4D8C" w:rsidRPr="004D002F" w:rsidRDefault="004A4D8C" w:rsidP="004A4D8C">
      <w:pPr>
        <w:autoSpaceDE w:val="0"/>
        <w:autoSpaceDN w:val="0"/>
        <w:adjustRightInd w:val="0"/>
        <w:rPr>
          <w:rFonts w:ascii="Segoe UI" w:hAnsi="Segoe UI" w:cs="Segoe UI"/>
          <w:szCs w:val="21"/>
        </w:rPr>
      </w:pPr>
      <w:r w:rsidRPr="004D002F">
        <w:rPr>
          <w:rStyle w:val="FootnoteReference"/>
          <w:rFonts w:cs="Arial"/>
          <w:sz w:val="16"/>
          <w:szCs w:val="16"/>
        </w:rPr>
        <w:footnoteRef/>
      </w:r>
      <w:r w:rsidRPr="004D002F">
        <w:rPr>
          <w:rStyle w:val="FootnoteReference"/>
          <w:rFonts w:cs="Arial"/>
          <w:sz w:val="16"/>
          <w:szCs w:val="16"/>
        </w:rPr>
        <w:t xml:space="preserve"> </w:t>
      </w:r>
      <w:r>
        <w:rPr>
          <w:rFonts w:ascii="Segoe UI" w:hAnsi="Segoe UI" w:cs="Segoe UI"/>
          <w:color w:val="000000"/>
          <w:sz w:val="16"/>
          <w:szCs w:val="16"/>
        </w:rPr>
        <w:t xml:space="preserve">Minkoff and Cline, "Developing Welcoming Systems for Individuals with Co-Occurring Disorders: The Role of the Comprehensive Continuous Integrated System of Care Model", </w:t>
      </w:r>
      <w:r>
        <w:rPr>
          <w:rFonts w:ascii="Segoe UI" w:hAnsi="Segoe UI" w:cs="Segoe UI"/>
          <w:i/>
          <w:iCs/>
          <w:color w:val="000000"/>
          <w:sz w:val="16"/>
          <w:szCs w:val="16"/>
        </w:rPr>
        <w:t>Journal of Dual Diagnosis</w:t>
      </w:r>
      <w:r>
        <w:rPr>
          <w:rFonts w:ascii="Segoe UI" w:hAnsi="Segoe UI" w:cs="Segoe UI"/>
          <w:color w:val="000000"/>
          <w:sz w:val="16"/>
          <w:szCs w:val="16"/>
        </w:rPr>
        <w:t xml:space="preserve">, 1.1 (2005), 65–89, p. 71. </w:t>
      </w:r>
    </w:p>
  </w:footnote>
  <w:footnote w:id="3">
    <w:p w14:paraId="6DEED4D7" w14:textId="77777777" w:rsidR="004A4D8C" w:rsidRPr="00B35BD5" w:rsidRDefault="004A4D8C" w:rsidP="004A4D8C">
      <w:pPr>
        <w:pStyle w:val="FootnoteText"/>
        <w:spacing w:before="0" w:after="40" w:line="240" w:lineRule="auto"/>
        <w:rPr>
          <w:sz w:val="16"/>
        </w:rPr>
      </w:pPr>
      <w:r w:rsidRPr="00B35BD5">
        <w:rPr>
          <w:rStyle w:val="FootnoteReference"/>
          <w:sz w:val="16"/>
        </w:rPr>
        <w:footnoteRef/>
      </w:r>
      <w:r w:rsidRPr="00B35BD5">
        <w:rPr>
          <w:sz w:val="16"/>
        </w:rPr>
        <w:t xml:space="preserve"> For example, people living in rural and remote communities, veterans and people working in higher-risk industries (agricultural workers and construction workers, police, emergency services and workers in the transport industry).</w:t>
      </w:r>
    </w:p>
  </w:footnote>
  <w:footnote w:id="4">
    <w:p w14:paraId="7E682B12" w14:textId="77777777" w:rsidR="004A4D8C" w:rsidRPr="00B35BD5" w:rsidRDefault="004A4D8C" w:rsidP="004A4D8C">
      <w:pPr>
        <w:spacing w:after="40"/>
        <w:rPr>
          <w:rFonts w:cs="Arial"/>
          <w:sz w:val="16"/>
          <w:szCs w:val="16"/>
        </w:rPr>
      </w:pPr>
      <w:r w:rsidRPr="00B35BD5">
        <w:rPr>
          <w:rStyle w:val="FootnoteReference"/>
          <w:rFonts w:cs="Arial"/>
          <w:sz w:val="16"/>
          <w:szCs w:val="16"/>
        </w:rPr>
        <w:footnoteRef/>
      </w:r>
      <w:r w:rsidRPr="00B35BD5">
        <w:rPr>
          <w:rFonts w:cs="Arial"/>
          <w:sz w:val="16"/>
          <w:szCs w:val="16"/>
        </w:rPr>
        <w:t xml:space="preserve"> See </w:t>
      </w:r>
      <w:r w:rsidRPr="00837C13">
        <w:rPr>
          <w:rFonts w:cs="Arial"/>
          <w:b/>
          <w:bCs/>
          <w:sz w:val="16"/>
          <w:szCs w:val="16"/>
        </w:rPr>
        <w:t>appendix A</w:t>
      </w:r>
      <w:r w:rsidRPr="00B35BD5">
        <w:rPr>
          <w:rFonts w:cs="Arial"/>
          <w:sz w:val="16"/>
          <w:szCs w:val="16"/>
        </w:rPr>
        <w:t xml:space="preserve"> for a definition of a ‘no wrong door approach.’ </w:t>
      </w:r>
    </w:p>
  </w:footnote>
  <w:footnote w:id="5">
    <w:p w14:paraId="7D495230" w14:textId="77777777" w:rsidR="004A4D8C" w:rsidRPr="00B35BD5" w:rsidRDefault="004A4D8C" w:rsidP="004A4D8C">
      <w:pPr>
        <w:spacing w:after="40"/>
        <w:rPr>
          <w:rFonts w:cs="Arial"/>
          <w:color w:val="000000" w:themeColor="text1"/>
          <w:sz w:val="16"/>
          <w:szCs w:val="16"/>
        </w:rPr>
      </w:pPr>
      <w:r w:rsidRPr="00B35BD5">
        <w:rPr>
          <w:rStyle w:val="FootnoteReference"/>
          <w:rFonts w:cs="Arial"/>
          <w:color w:val="000000" w:themeColor="text1"/>
          <w:sz w:val="16"/>
          <w:szCs w:val="16"/>
        </w:rPr>
        <w:footnoteRef/>
      </w:r>
      <w:r w:rsidRPr="00B35BD5">
        <w:rPr>
          <w:rFonts w:cs="Arial"/>
          <w:color w:val="000000" w:themeColor="text1"/>
          <w:sz w:val="16"/>
          <w:szCs w:val="16"/>
        </w:rPr>
        <w:t xml:space="preserve"> This capability could be held by held by a single worker, a team of workers in a multidisciplinary team or organisations from different disciplines and settings working collaboratively to deliver integrated </w:t>
      </w:r>
      <w:r>
        <w:rPr>
          <w:rFonts w:cs="Arial"/>
          <w:color w:val="000000" w:themeColor="text1"/>
          <w:sz w:val="16"/>
          <w:szCs w:val="16"/>
        </w:rPr>
        <w:t xml:space="preserve">treatment, care and </w:t>
      </w:r>
      <w:r w:rsidRPr="00B35BD5">
        <w:rPr>
          <w:rFonts w:cs="Arial"/>
          <w:color w:val="000000" w:themeColor="text1"/>
          <w:sz w:val="16"/>
          <w:szCs w:val="16"/>
        </w:rPr>
        <w:t>support.</w:t>
      </w:r>
    </w:p>
  </w:footnote>
  <w:footnote w:id="6">
    <w:p w14:paraId="00E2F700" w14:textId="77777777" w:rsidR="004A4D8C" w:rsidRPr="00B35BD5" w:rsidRDefault="004A4D8C" w:rsidP="004A4D8C">
      <w:pPr>
        <w:spacing w:after="40"/>
        <w:rPr>
          <w:rFonts w:cs="Arial"/>
          <w:color w:val="000000" w:themeColor="text1"/>
          <w:sz w:val="16"/>
          <w:szCs w:val="16"/>
        </w:rPr>
      </w:pPr>
      <w:r w:rsidRPr="00B35BD5">
        <w:rPr>
          <w:rStyle w:val="FootnoteReference"/>
          <w:rFonts w:cs="Arial"/>
          <w:color w:val="000000" w:themeColor="text1"/>
          <w:sz w:val="16"/>
          <w:szCs w:val="16"/>
        </w:rPr>
        <w:footnoteRef/>
      </w:r>
      <w:r w:rsidRPr="00B35BD5">
        <w:rPr>
          <w:rFonts w:cs="Arial"/>
          <w:color w:val="000000" w:themeColor="text1"/>
          <w:sz w:val="16"/>
          <w:szCs w:val="16"/>
        </w:rPr>
        <w:t xml:space="preserve"> </w:t>
      </w:r>
      <w:r w:rsidRPr="00B35BD5">
        <w:rPr>
          <w:rFonts w:eastAsia="+mn-ea" w:cs="Arial"/>
          <w:color w:val="000000" w:themeColor="text1"/>
          <w:kern w:val="24"/>
          <w:sz w:val="16"/>
          <w:szCs w:val="16"/>
          <w:lang w:val="en-GB"/>
        </w:rPr>
        <w:t>Mental illness and substance use are complex human phenomena, requiring an ongoing global research effort to further advance our understanding of causes, mechanisms, effective service offerings, and opportunities to protect and enhance human health and wellbeing.</w:t>
      </w:r>
    </w:p>
  </w:footnote>
  <w:footnote w:id="7">
    <w:p w14:paraId="1E2A5C58" w14:textId="77777777" w:rsidR="004A4D8C" w:rsidRPr="00B35BD5" w:rsidRDefault="004A4D8C" w:rsidP="004A4D8C">
      <w:pPr>
        <w:spacing w:after="40"/>
        <w:rPr>
          <w:rFonts w:cs="Arial"/>
          <w:color w:val="000000" w:themeColor="text1"/>
          <w:sz w:val="16"/>
          <w:szCs w:val="16"/>
        </w:rPr>
      </w:pPr>
      <w:r w:rsidRPr="00B35BD5">
        <w:rPr>
          <w:rStyle w:val="FootnoteReference"/>
          <w:rFonts w:cs="Arial"/>
          <w:color w:val="000000" w:themeColor="text1"/>
          <w:sz w:val="16"/>
          <w:szCs w:val="16"/>
        </w:rPr>
        <w:footnoteRef/>
      </w:r>
      <w:r w:rsidRPr="00B35BD5">
        <w:rPr>
          <w:rFonts w:cs="Arial"/>
          <w:color w:val="000000" w:themeColor="text1"/>
          <w:sz w:val="16"/>
          <w:szCs w:val="16"/>
        </w:rPr>
        <w:t xml:space="preserve"> </w:t>
      </w:r>
      <w:r w:rsidRPr="00B35BD5">
        <w:rPr>
          <w:rFonts w:eastAsia="+mn-ea" w:cs="Arial"/>
          <w:color w:val="000000" w:themeColor="text1"/>
          <w:kern w:val="24"/>
          <w:sz w:val="16"/>
          <w:szCs w:val="16"/>
          <w:lang w:val="en-GB"/>
        </w:rPr>
        <w:t xml:space="preserve">Rhodes, "The ‘risk environment’: a framework for understanding and reducing drug-related harm", </w:t>
      </w:r>
      <w:r w:rsidRPr="00B35BD5">
        <w:rPr>
          <w:rFonts w:eastAsia="+mn-ea" w:cs="Arial"/>
          <w:i/>
          <w:color w:val="000000" w:themeColor="text1"/>
          <w:kern w:val="24"/>
          <w:sz w:val="16"/>
          <w:szCs w:val="16"/>
          <w:lang w:val="en-GB"/>
        </w:rPr>
        <w:t>International Journal of Drug Policy</w:t>
      </w:r>
      <w:r w:rsidRPr="00B35BD5">
        <w:rPr>
          <w:rFonts w:eastAsia="+mn-ea" w:cs="Arial"/>
          <w:color w:val="000000" w:themeColor="text1"/>
          <w:kern w:val="24"/>
          <w:sz w:val="16"/>
          <w:szCs w:val="16"/>
          <w:lang w:val="en-GB"/>
        </w:rPr>
        <w:t>, Volume 13, Issue 2, 2002, Pages 85-94.</w:t>
      </w:r>
    </w:p>
  </w:footnote>
  <w:footnote w:id="8">
    <w:p w14:paraId="5A256F4A" w14:textId="77777777" w:rsidR="004A4D8C" w:rsidRPr="00B35BD5" w:rsidRDefault="004A4D8C" w:rsidP="004A4D8C">
      <w:pPr>
        <w:spacing w:after="40"/>
        <w:rPr>
          <w:rFonts w:cs="Arial"/>
          <w:color w:val="000000" w:themeColor="text1"/>
          <w:sz w:val="16"/>
          <w:szCs w:val="16"/>
        </w:rPr>
      </w:pPr>
      <w:r w:rsidRPr="00B35BD5">
        <w:rPr>
          <w:rStyle w:val="FootnoteReference"/>
          <w:rFonts w:cs="Arial"/>
          <w:color w:val="000000" w:themeColor="text1"/>
          <w:sz w:val="16"/>
          <w:szCs w:val="16"/>
        </w:rPr>
        <w:footnoteRef/>
      </w:r>
      <w:r w:rsidRPr="00B35BD5">
        <w:rPr>
          <w:rFonts w:cs="Arial"/>
          <w:color w:val="000000" w:themeColor="text1"/>
          <w:sz w:val="16"/>
          <w:szCs w:val="16"/>
        </w:rPr>
        <w:t xml:space="preserve"> See</w:t>
      </w:r>
      <w:r w:rsidRPr="00B35BD5" w:rsidDel="00A135CA">
        <w:rPr>
          <w:rFonts w:cs="Arial"/>
          <w:color w:val="000000" w:themeColor="text1"/>
          <w:sz w:val="16"/>
          <w:szCs w:val="16"/>
        </w:rPr>
        <w:t xml:space="preserve"> </w:t>
      </w:r>
      <w:r w:rsidRPr="00FB0224">
        <w:rPr>
          <w:rFonts w:cs="Arial"/>
          <w:b/>
          <w:bCs/>
          <w:color w:val="000000" w:themeColor="text1"/>
          <w:sz w:val="16"/>
          <w:szCs w:val="16"/>
        </w:rPr>
        <w:t>appendix A</w:t>
      </w:r>
      <w:r>
        <w:rPr>
          <w:rFonts w:cs="Arial"/>
          <w:color w:val="000000" w:themeColor="text1"/>
          <w:sz w:val="16"/>
          <w:szCs w:val="16"/>
        </w:rPr>
        <w:t xml:space="preserve"> </w:t>
      </w:r>
      <w:r w:rsidRPr="00B35BD5">
        <w:rPr>
          <w:rFonts w:cs="Arial"/>
          <w:color w:val="000000" w:themeColor="text1"/>
          <w:sz w:val="16"/>
          <w:szCs w:val="16"/>
        </w:rPr>
        <w:t>for a definition of ‘social emotional wellbeing</w:t>
      </w:r>
      <w:r>
        <w:rPr>
          <w:rFonts w:cs="Arial"/>
          <w:color w:val="000000" w:themeColor="text1"/>
          <w:sz w:val="16"/>
          <w:szCs w:val="16"/>
        </w:rPr>
        <w:t>.</w:t>
      </w:r>
      <w:r w:rsidRPr="00B35BD5">
        <w:rPr>
          <w:rFonts w:cs="Arial"/>
          <w:color w:val="000000" w:themeColor="text1"/>
          <w:sz w:val="16"/>
          <w:szCs w:val="16"/>
        </w:rPr>
        <w:t>’</w:t>
      </w:r>
    </w:p>
  </w:footnote>
  <w:footnote w:id="9">
    <w:p w14:paraId="692B4E9F" w14:textId="77777777" w:rsidR="004A4D8C" w:rsidRPr="00E24DBE" w:rsidRDefault="004A4D8C" w:rsidP="004A4D8C">
      <w:pPr>
        <w:pStyle w:val="FootnoteText"/>
        <w:spacing w:before="0" w:after="40" w:line="240" w:lineRule="auto"/>
        <w:rPr>
          <w:sz w:val="16"/>
        </w:rPr>
      </w:pPr>
      <w:r w:rsidRPr="00E24DBE">
        <w:rPr>
          <w:rStyle w:val="FootnoteReference"/>
          <w:sz w:val="16"/>
        </w:rPr>
        <w:footnoteRef/>
      </w:r>
      <w:r w:rsidRPr="00E24DBE">
        <w:rPr>
          <w:sz w:val="16"/>
        </w:rPr>
        <w:t xml:space="preserve"> The Victorian Office of the Chief Psychiatrist publishes the </w:t>
      </w:r>
      <w:r w:rsidRPr="00E24DBE">
        <w:rPr>
          <w:i/>
          <w:sz w:val="16"/>
        </w:rPr>
        <w:t xml:space="preserve">Working together with families and carers </w:t>
      </w:r>
      <w:r w:rsidRPr="00E24DBE">
        <w:rPr>
          <w:sz w:val="16"/>
        </w:rPr>
        <w:t xml:space="preserve">guideline. While this resource is specific to Victoria’s publicly funded clinical mental health and wellbeing services, it may be useful for a range of mental health and wellbeing </w:t>
      </w:r>
      <w:r>
        <w:rPr>
          <w:sz w:val="16"/>
        </w:rPr>
        <w:t xml:space="preserve">and AOD </w:t>
      </w:r>
      <w:r w:rsidRPr="00E24DBE">
        <w:rPr>
          <w:sz w:val="16"/>
        </w:rPr>
        <w:t>services providing support to people with</w:t>
      </w:r>
      <w:r>
        <w:rPr>
          <w:sz w:val="16"/>
        </w:rPr>
        <w:t xml:space="preserve"> co-occurring</w:t>
      </w:r>
      <w:r w:rsidRPr="00E24DBE">
        <w:rPr>
          <w:sz w:val="16"/>
        </w:rPr>
        <w:t xml:space="preserve"> needs </w:t>
      </w:r>
      <w:r w:rsidRPr="0031230F">
        <w:rPr>
          <w:color w:val="000000" w:themeColor="text1"/>
          <w:sz w:val="16"/>
        </w:rPr>
        <w:t>&lt;</w:t>
      </w:r>
      <w:hyperlink r:id="rId1" w:history="1">
        <w:r w:rsidRPr="0031230F">
          <w:rPr>
            <w:rStyle w:val="Hyperlink"/>
            <w:color w:val="000000" w:themeColor="text1"/>
            <w:sz w:val="16"/>
          </w:rPr>
          <w:t>https://www.health.vic.gov.au/key-staff/working-together-with-families-and-carers</w:t>
        </w:r>
      </w:hyperlink>
      <w:r w:rsidRPr="0031230F">
        <w:rPr>
          <w:rStyle w:val="Hyperlink"/>
          <w:color w:val="000000" w:themeColor="text1"/>
          <w:sz w:val="16"/>
        </w:rPr>
        <w:t>&gt;</w:t>
      </w:r>
    </w:p>
  </w:footnote>
  <w:footnote w:id="10">
    <w:p w14:paraId="3D741F1A" w14:textId="77777777" w:rsidR="004A4D8C" w:rsidRPr="00B35BD5" w:rsidRDefault="004A4D8C" w:rsidP="004A4D8C">
      <w:pPr>
        <w:spacing w:after="40"/>
        <w:rPr>
          <w:rFonts w:cs="Arial"/>
          <w:color w:val="000000" w:themeColor="text1"/>
          <w:sz w:val="16"/>
          <w:szCs w:val="16"/>
        </w:rPr>
      </w:pPr>
      <w:r w:rsidRPr="00B35BD5">
        <w:rPr>
          <w:rStyle w:val="FootnoteReference"/>
          <w:rFonts w:cs="Arial"/>
          <w:color w:val="000000" w:themeColor="text1"/>
          <w:sz w:val="16"/>
          <w:szCs w:val="16"/>
        </w:rPr>
        <w:footnoteRef/>
      </w:r>
      <w:r w:rsidRPr="00B35BD5">
        <w:rPr>
          <w:rFonts w:cs="Arial"/>
          <w:color w:val="000000" w:themeColor="text1"/>
          <w:sz w:val="16"/>
          <w:szCs w:val="16"/>
        </w:rPr>
        <w:t xml:space="preserve"> See </w:t>
      </w:r>
      <w:r w:rsidRPr="00511866">
        <w:rPr>
          <w:rFonts w:cs="Arial"/>
          <w:b/>
          <w:bCs/>
          <w:color w:val="000000" w:themeColor="text1"/>
          <w:sz w:val="16"/>
          <w:szCs w:val="16"/>
        </w:rPr>
        <w:t>section 5</w:t>
      </w:r>
      <w:r w:rsidRPr="00B35BD5">
        <w:rPr>
          <w:rFonts w:cs="Arial"/>
          <w:color w:val="000000" w:themeColor="text1"/>
          <w:sz w:val="16"/>
          <w:szCs w:val="16"/>
        </w:rPr>
        <w:t xml:space="preserve"> of the Guidance for further information on opportunities for cross-sector collaboration.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7189" w14:textId="77777777" w:rsidR="00F54963" w:rsidRDefault="00F5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D0F7" w14:textId="77777777" w:rsidR="00577412" w:rsidRDefault="00577412">
    <w:pPr>
      <w:pStyle w:val="Header"/>
    </w:pPr>
    <w:r>
      <w:rPr>
        <w:noProof/>
      </w:rPr>
      <w:drawing>
        <wp:anchor distT="0" distB="0" distL="114300" distR="114300" simplePos="0" relativeHeight="251658240" behindDoc="1" locked="1" layoutInCell="1" allowOverlap="0" wp14:anchorId="6E07FC3D" wp14:editId="43649816">
          <wp:simplePos x="0" y="0"/>
          <wp:positionH relativeFrom="page">
            <wp:posOffset>2540</wp:posOffset>
          </wp:positionH>
          <wp:positionV relativeFrom="page">
            <wp:posOffset>4445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CB10" w14:textId="77777777" w:rsidR="00F54963" w:rsidRDefault="00F549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35EA" w14:textId="23E0E60A" w:rsidR="00FB661D" w:rsidRDefault="00FB6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A18"/>
    <w:multiLevelType w:val="hybridMultilevel"/>
    <w:tmpl w:val="B584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14574"/>
    <w:multiLevelType w:val="hybridMultilevel"/>
    <w:tmpl w:val="6F28E49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 w15:restartNumberingAfterBreak="0">
    <w:nsid w:val="188A2197"/>
    <w:multiLevelType w:val="hybridMultilevel"/>
    <w:tmpl w:val="009242D8"/>
    <w:lvl w:ilvl="0" w:tplc="0C09000F">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140F2E"/>
    <w:multiLevelType w:val="hybridMultilevel"/>
    <w:tmpl w:val="1C6E07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576" w:hanging="360"/>
      </w:pPr>
    </w:lvl>
    <w:lvl w:ilvl="2" w:tplc="0809001B" w:tentative="1">
      <w:start w:val="1"/>
      <w:numFmt w:val="lowerRoman"/>
      <w:lvlText w:val="%3."/>
      <w:lvlJc w:val="right"/>
      <w:pPr>
        <w:ind w:left="2296" w:hanging="180"/>
      </w:pPr>
    </w:lvl>
    <w:lvl w:ilvl="3" w:tplc="0809000F" w:tentative="1">
      <w:start w:val="1"/>
      <w:numFmt w:val="decimal"/>
      <w:lvlText w:val="%4."/>
      <w:lvlJc w:val="left"/>
      <w:pPr>
        <w:ind w:left="3016" w:hanging="360"/>
      </w:pPr>
    </w:lvl>
    <w:lvl w:ilvl="4" w:tplc="08090019" w:tentative="1">
      <w:start w:val="1"/>
      <w:numFmt w:val="lowerLetter"/>
      <w:lvlText w:val="%5."/>
      <w:lvlJc w:val="left"/>
      <w:pPr>
        <w:ind w:left="3736" w:hanging="360"/>
      </w:pPr>
    </w:lvl>
    <w:lvl w:ilvl="5" w:tplc="0809001B" w:tentative="1">
      <w:start w:val="1"/>
      <w:numFmt w:val="lowerRoman"/>
      <w:lvlText w:val="%6."/>
      <w:lvlJc w:val="right"/>
      <w:pPr>
        <w:ind w:left="4456" w:hanging="180"/>
      </w:pPr>
    </w:lvl>
    <w:lvl w:ilvl="6" w:tplc="0809000F" w:tentative="1">
      <w:start w:val="1"/>
      <w:numFmt w:val="decimal"/>
      <w:lvlText w:val="%7."/>
      <w:lvlJc w:val="left"/>
      <w:pPr>
        <w:ind w:left="5176" w:hanging="360"/>
      </w:pPr>
    </w:lvl>
    <w:lvl w:ilvl="7" w:tplc="08090019" w:tentative="1">
      <w:start w:val="1"/>
      <w:numFmt w:val="lowerLetter"/>
      <w:lvlText w:val="%8."/>
      <w:lvlJc w:val="left"/>
      <w:pPr>
        <w:ind w:left="5896" w:hanging="360"/>
      </w:pPr>
    </w:lvl>
    <w:lvl w:ilvl="8" w:tplc="0809001B" w:tentative="1">
      <w:start w:val="1"/>
      <w:numFmt w:val="lowerRoman"/>
      <w:lvlText w:val="%9."/>
      <w:lvlJc w:val="right"/>
      <w:pPr>
        <w:ind w:left="6616" w:hanging="180"/>
      </w:pPr>
    </w:lvl>
  </w:abstractNum>
  <w:abstractNum w:abstractNumId="4" w15:restartNumberingAfterBreak="0">
    <w:nsid w:val="60EE440C"/>
    <w:multiLevelType w:val="hybridMultilevel"/>
    <w:tmpl w:val="EFBE04D0"/>
    <w:lvl w:ilvl="0" w:tplc="FF16A05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CC469E"/>
    <w:multiLevelType w:val="hybridMultilevel"/>
    <w:tmpl w:val="9FF4C92E"/>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6" w15:restartNumberingAfterBreak="0">
    <w:nsid w:val="6F9C0476"/>
    <w:multiLevelType w:val="hybridMultilevel"/>
    <w:tmpl w:val="A8266BAA"/>
    <w:lvl w:ilvl="0" w:tplc="619AA8A8">
      <w:start w:val="1"/>
      <w:numFmt w:val="upp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12"/>
    <w:rsid w:val="00014EFB"/>
    <w:rsid w:val="000251D0"/>
    <w:rsid w:val="00046727"/>
    <w:rsid w:val="00057683"/>
    <w:rsid w:val="0008041A"/>
    <w:rsid w:val="0009532D"/>
    <w:rsid w:val="000B5F6C"/>
    <w:rsid w:val="000D119C"/>
    <w:rsid w:val="000D557F"/>
    <w:rsid w:val="001047FC"/>
    <w:rsid w:val="001B201A"/>
    <w:rsid w:val="001D5294"/>
    <w:rsid w:val="002018E4"/>
    <w:rsid w:val="00233AD1"/>
    <w:rsid w:val="002506A2"/>
    <w:rsid w:val="002670C9"/>
    <w:rsid w:val="00275AEA"/>
    <w:rsid w:val="002B22A3"/>
    <w:rsid w:val="002B4456"/>
    <w:rsid w:val="002C6EB0"/>
    <w:rsid w:val="002E6E5D"/>
    <w:rsid w:val="002F7EFF"/>
    <w:rsid w:val="00323B71"/>
    <w:rsid w:val="0035746E"/>
    <w:rsid w:val="00357782"/>
    <w:rsid w:val="003A07D1"/>
    <w:rsid w:val="003A6E44"/>
    <w:rsid w:val="00421A87"/>
    <w:rsid w:val="0043743A"/>
    <w:rsid w:val="004502C9"/>
    <w:rsid w:val="00453AE9"/>
    <w:rsid w:val="0046580C"/>
    <w:rsid w:val="004A4D8C"/>
    <w:rsid w:val="004E6830"/>
    <w:rsid w:val="004F227F"/>
    <w:rsid w:val="00500F66"/>
    <w:rsid w:val="00515A64"/>
    <w:rsid w:val="00530EC3"/>
    <w:rsid w:val="00551FA3"/>
    <w:rsid w:val="00577412"/>
    <w:rsid w:val="005A30B6"/>
    <w:rsid w:val="005A69FF"/>
    <w:rsid w:val="005B6DBD"/>
    <w:rsid w:val="005B707D"/>
    <w:rsid w:val="005D1B91"/>
    <w:rsid w:val="005F5F39"/>
    <w:rsid w:val="0062637A"/>
    <w:rsid w:val="00643C07"/>
    <w:rsid w:val="00657838"/>
    <w:rsid w:val="00657FC5"/>
    <w:rsid w:val="00696B82"/>
    <w:rsid w:val="006B578F"/>
    <w:rsid w:val="007C6420"/>
    <w:rsid w:val="00813CE7"/>
    <w:rsid w:val="00832CC7"/>
    <w:rsid w:val="00860EBF"/>
    <w:rsid w:val="00876D14"/>
    <w:rsid w:val="008966CA"/>
    <w:rsid w:val="008D6282"/>
    <w:rsid w:val="008F0E15"/>
    <w:rsid w:val="00935231"/>
    <w:rsid w:val="00942312"/>
    <w:rsid w:val="00964CDB"/>
    <w:rsid w:val="00A15027"/>
    <w:rsid w:val="00A25E77"/>
    <w:rsid w:val="00A64C31"/>
    <w:rsid w:val="00AD0099"/>
    <w:rsid w:val="00AD5D2E"/>
    <w:rsid w:val="00B002F3"/>
    <w:rsid w:val="00B83203"/>
    <w:rsid w:val="00B942DA"/>
    <w:rsid w:val="00BA16BD"/>
    <w:rsid w:val="00BC103B"/>
    <w:rsid w:val="00BD662D"/>
    <w:rsid w:val="00BE6CBC"/>
    <w:rsid w:val="00BE77E8"/>
    <w:rsid w:val="00BF0D5D"/>
    <w:rsid w:val="00C03F90"/>
    <w:rsid w:val="00C226EA"/>
    <w:rsid w:val="00C5674F"/>
    <w:rsid w:val="00CC4421"/>
    <w:rsid w:val="00CF125C"/>
    <w:rsid w:val="00D0605E"/>
    <w:rsid w:val="00D24462"/>
    <w:rsid w:val="00D703DF"/>
    <w:rsid w:val="00D95C4A"/>
    <w:rsid w:val="00DD1765"/>
    <w:rsid w:val="00DE607F"/>
    <w:rsid w:val="00DE7FF5"/>
    <w:rsid w:val="00DF6B66"/>
    <w:rsid w:val="00E056B9"/>
    <w:rsid w:val="00E057AD"/>
    <w:rsid w:val="00E5650B"/>
    <w:rsid w:val="00E7289A"/>
    <w:rsid w:val="00F24583"/>
    <w:rsid w:val="00F4013E"/>
    <w:rsid w:val="00F54963"/>
    <w:rsid w:val="00F70FE3"/>
    <w:rsid w:val="00FB3434"/>
    <w:rsid w:val="00FB661D"/>
    <w:rsid w:val="00FB6E7B"/>
    <w:rsid w:val="00FC2A1F"/>
    <w:rsid w:val="00FE0C94"/>
    <w:rsid w:val="00FE1F66"/>
    <w:rsid w:val="13E06C74"/>
    <w:rsid w:val="2C06EA35"/>
    <w:rsid w:val="5F9D1904"/>
    <w:rsid w:val="5FCAADFE"/>
    <w:rsid w:val="68198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4A580"/>
  <w15:chartTrackingRefBased/>
  <w15:docId w15:val="{0D421DF1-4CFF-4BA9-A06F-D0F62E56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3434"/>
    <w:pPr>
      <w:keepNext/>
      <w:keepLines/>
      <w:spacing w:before="360" w:after="120" w:line="340" w:lineRule="atLeast"/>
      <w:outlineLvl w:val="1"/>
    </w:pPr>
    <w:rPr>
      <w:rFonts w:ascii="Arial" w:eastAsia="Times New Roman" w:hAnsi="Arial" w:cs="Arial"/>
      <w:b/>
      <w:color w:val="53565A"/>
      <w:sz w:val="32"/>
      <w:szCs w:val="28"/>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7412"/>
    <w:pPr>
      <w:tabs>
        <w:tab w:val="center" w:pos="4513"/>
        <w:tab w:val="right" w:pos="9026"/>
      </w:tabs>
    </w:pPr>
  </w:style>
  <w:style w:type="character" w:customStyle="1" w:styleId="FooterChar">
    <w:name w:val="Footer Char"/>
    <w:basedOn w:val="DefaultParagraphFont"/>
    <w:link w:val="Footer"/>
    <w:uiPriority w:val="99"/>
    <w:rsid w:val="00577412"/>
  </w:style>
  <w:style w:type="table" w:styleId="TableGrid">
    <w:name w:val="Table Grid"/>
    <w:basedOn w:val="TableNormal"/>
    <w:uiPriority w:val="39"/>
    <w:rsid w:val="00577412"/>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77412"/>
    <w:rPr>
      <w:sz w:val="18"/>
    </w:rPr>
  </w:style>
  <w:style w:type="paragraph" w:styleId="Header">
    <w:name w:val="header"/>
    <w:basedOn w:val="Normal"/>
    <w:link w:val="HeaderChar"/>
    <w:uiPriority w:val="99"/>
    <w:unhideWhenUsed/>
    <w:rsid w:val="00577412"/>
    <w:pPr>
      <w:tabs>
        <w:tab w:val="center" w:pos="4513"/>
        <w:tab w:val="right" w:pos="9026"/>
      </w:tabs>
    </w:pPr>
    <w:rPr>
      <w:rFonts w:ascii="Arial" w:eastAsia="Times New Roman" w:hAnsi="Arial" w:cs="Times New Roman"/>
      <w:sz w:val="21"/>
      <w:szCs w:val="20"/>
    </w:rPr>
  </w:style>
  <w:style w:type="character" w:customStyle="1" w:styleId="HeaderChar">
    <w:name w:val="Header Char"/>
    <w:basedOn w:val="DefaultParagraphFont"/>
    <w:link w:val="Header"/>
    <w:uiPriority w:val="99"/>
    <w:rsid w:val="00577412"/>
    <w:rPr>
      <w:rFonts w:ascii="Arial" w:eastAsia="Times New Roman" w:hAnsi="Arial" w:cs="Times New Roman"/>
      <w:sz w:val="21"/>
      <w:szCs w:val="20"/>
    </w:rPr>
  </w:style>
  <w:style w:type="character" w:customStyle="1" w:styleId="Heading2Char">
    <w:name w:val="Heading 2 Char"/>
    <w:basedOn w:val="DefaultParagraphFont"/>
    <w:link w:val="Heading2"/>
    <w:uiPriority w:val="9"/>
    <w:rsid w:val="00FB3434"/>
    <w:rPr>
      <w:rFonts w:ascii="Arial" w:eastAsia="Times New Roman" w:hAnsi="Arial" w:cs="Arial"/>
      <w:b/>
      <w:color w:val="53565A"/>
      <w:sz w:val="32"/>
      <w:szCs w:val="28"/>
    </w:rPr>
  </w:style>
  <w:style w:type="paragraph" w:customStyle="1" w:styleId="Body">
    <w:name w:val="Body"/>
    <w:link w:val="BodyChar"/>
    <w:qFormat/>
    <w:rsid w:val="00FB3434"/>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FB3434"/>
    <w:rPr>
      <w:rFonts w:ascii="Arial" w:eastAsia="Times" w:hAnsi="Arial" w:cs="Times New Roman"/>
      <w:sz w:val="21"/>
      <w:szCs w:val="20"/>
    </w:rPr>
  </w:style>
  <w:style w:type="paragraph" w:customStyle="1" w:styleId="Tabletext">
    <w:name w:val="Table text"/>
    <w:uiPriority w:val="3"/>
    <w:qFormat/>
    <w:rsid w:val="00FB3434"/>
    <w:pPr>
      <w:spacing w:before="80" w:after="60"/>
    </w:pPr>
    <w:rPr>
      <w:rFonts w:ascii="Arial" w:eastAsia="Times New Roman" w:hAnsi="Arial" w:cs="Times New Roman"/>
      <w:sz w:val="21"/>
      <w:szCs w:val="20"/>
    </w:rPr>
  </w:style>
  <w:style w:type="paragraph" w:customStyle="1" w:styleId="Tablecaption">
    <w:name w:val="Table caption"/>
    <w:next w:val="Body"/>
    <w:uiPriority w:val="3"/>
    <w:qFormat/>
    <w:rsid w:val="00FB3434"/>
    <w:pPr>
      <w:keepNext/>
      <w:keepLines/>
      <w:spacing w:before="240" w:after="120" w:line="250" w:lineRule="atLeast"/>
    </w:pPr>
    <w:rPr>
      <w:rFonts w:ascii="Arial" w:eastAsia="Times New Roman" w:hAnsi="Arial" w:cs="Times New Roman"/>
      <w:b/>
      <w:sz w:val="21"/>
      <w:szCs w:val="20"/>
    </w:rPr>
  </w:style>
  <w:style w:type="character" w:styleId="FootnoteReference">
    <w:name w:val="footnote reference"/>
    <w:uiPriority w:val="99"/>
    <w:rsid w:val="00FB3434"/>
    <w:rPr>
      <w:vertAlign w:val="superscript"/>
    </w:rPr>
  </w:style>
  <w:style w:type="paragraph" w:customStyle="1" w:styleId="Tablecolhead">
    <w:name w:val="Table col head"/>
    <w:basedOn w:val="Normal"/>
    <w:uiPriority w:val="3"/>
    <w:qFormat/>
    <w:rsid w:val="00FB3434"/>
    <w:rPr>
      <w:rFonts w:ascii="Arial" w:eastAsia="Times" w:hAnsi="Arial" w:cs="Arial"/>
      <w:b/>
      <w:bCs/>
      <w:sz w:val="21"/>
      <w:szCs w:val="20"/>
      <w:lang w:eastAsia="en-AU"/>
    </w:rPr>
  </w:style>
  <w:style w:type="paragraph" w:styleId="FootnoteText">
    <w:name w:val="footnote text"/>
    <w:basedOn w:val="Normal"/>
    <w:link w:val="FootnoteTextChar"/>
    <w:uiPriority w:val="99"/>
    <w:rsid w:val="00FB3434"/>
    <w:pPr>
      <w:spacing w:before="60" w:after="60" w:line="220" w:lineRule="atLeast"/>
    </w:pPr>
    <w:rPr>
      <w:rFonts w:ascii="Arial" w:eastAsia="MS Gothic" w:hAnsi="Arial" w:cs="Arial"/>
      <w:sz w:val="18"/>
      <w:szCs w:val="16"/>
    </w:rPr>
  </w:style>
  <w:style w:type="character" w:customStyle="1" w:styleId="FootnoteTextChar">
    <w:name w:val="Footnote Text Char"/>
    <w:basedOn w:val="DefaultParagraphFont"/>
    <w:link w:val="FootnoteText"/>
    <w:uiPriority w:val="99"/>
    <w:rsid w:val="00FB3434"/>
    <w:rPr>
      <w:rFonts w:ascii="Arial" w:eastAsia="MS Gothic" w:hAnsi="Arial" w:cs="Arial"/>
      <w:sz w:val="18"/>
      <w:szCs w:val="16"/>
    </w:rPr>
  </w:style>
  <w:style w:type="character" w:styleId="Hyperlink">
    <w:name w:val="Hyperlink"/>
    <w:basedOn w:val="DefaultParagraphFont"/>
    <w:uiPriority w:val="99"/>
    <w:unhideWhenUsed/>
    <w:rsid w:val="00FB3434"/>
    <w:rPr>
      <w:color w:val="0563C1" w:themeColor="hyperlink"/>
      <w:u w:val="single"/>
    </w:rPr>
  </w:style>
  <w:style w:type="character" w:styleId="UnresolvedMention">
    <w:name w:val="Unresolved Mention"/>
    <w:basedOn w:val="DefaultParagraphFont"/>
    <w:uiPriority w:val="99"/>
    <w:semiHidden/>
    <w:unhideWhenUsed/>
    <w:rsid w:val="00233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od.enquiries@health.vic.gov.au" TargetMode="External"/><Relationship Id="rId3" Type="http://schemas.openxmlformats.org/officeDocument/2006/relationships/customXml" Target="../customXml/item3.xml"/><Relationship Id="rId21" Type="http://schemas.openxmlformats.org/officeDocument/2006/relationships/hyperlink" Target="https://www.health.vic.gov.au/mental-health-reform/recommendation-3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od.enqui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vic.gov.au/mental-health-reform/recommendation-3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mental-health-reform/recommendation-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key-staff/working-together-with-families-and-car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128E601376F4A8A1094F65DDBB912" ma:contentTypeVersion="14" ma:contentTypeDescription="Create a new document." ma:contentTypeScope="" ma:versionID="3eadc9093e2263e0eacd33ac161ae7a1">
  <xsd:schema xmlns:xsd="http://www.w3.org/2001/XMLSchema" xmlns:xs="http://www.w3.org/2001/XMLSchema" xmlns:p="http://schemas.microsoft.com/office/2006/metadata/properties" xmlns:ns2="b925f5df-2d77-4b6c-b140-1d264ede52f0" xmlns:ns3="a9b83ac1-199c-4d17-97b9-ffb3e903f8c7" xmlns:ns4="5ce0f2b5-5be5-4508-bce9-d7011ece0659" targetNamespace="http://schemas.microsoft.com/office/2006/metadata/properties" ma:root="true" ma:fieldsID="da2b3c4e33288151a0f44cfc8adecdbb" ns2:_="" ns3:_="" ns4:_="">
    <xsd:import namespace="b925f5df-2d77-4b6c-b140-1d264ede52f0"/>
    <xsd:import namespace="a9b83ac1-199c-4d17-97b9-ffb3e903f8c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5f5df-2d77-4b6c-b140-1d264ede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83ac1-199c-4d17-97b9-ffb3e903f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080841d-5501-4141-984e-08d87fb20646}" ma:internalName="TaxCatchAll" ma:showField="CatchAllData" ma:web="a9b83ac1-199c-4d17-97b9-ffb3e903f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925f5df-2d77-4b6c-b140-1d264ede52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36F40-BE5B-419D-B8E1-EE73B1994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5f5df-2d77-4b6c-b140-1d264ede52f0"/>
    <ds:schemaRef ds:uri="a9b83ac1-199c-4d17-97b9-ffb3e903f8c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725EE-ED54-4140-B261-4F629965B15A}">
  <ds:schemaRefs>
    <ds:schemaRef ds:uri="http://schemas.microsoft.com/office/2006/metadata/properties"/>
    <ds:schemaRef ds:uri="http://schemas.microsoft.com/office/infopath/2007/PartnerControls"/>
    <ds:schemaRef ds:uri="5ce0f2b5-5be5-4508-bce9-d7011ece0659"/>
    <ds:schemaRef ds:uri="b925f5df-2d77-4b6c-b140-1d264ede52f0"/>
  </ds:schemaRefs>
</ds:datastoreItem>
</file>

<file path=customXml/itemProps3.xml><?xml version="1.0" encoding="utf-8"?>
<ds:datastoreItem xmlns:ds="http://schemas.openxmlformats.org/officeDocument/2006/customXml" ds:itemID="{9D8B4EBD-2D60-4555-A9F4-5941A2263B94}">
  <ds:schemaRefs>
    <ds:schemaRef ds:uri="http://schemas.openxmlformats.org/officeDocument/2006/bibliography"/>
  </ds:schemaRefs>
</ds:datastoreItem>
</file>

<file path=customXml/itemProps4.xml><?xml version="1.0" encoding="utf-8"?>
<ds:datastoreItem xmlns:ds="http://schemas.openxmlformats.org/officeDocument/2006/customXml" ds:itemID="{60AD2D45-43DA-4E83-967B-F30C618BC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Integrated treatment, care and support guidance</dc:title>
  <dc:subject/>
  <dc:creator>Tom Lyons (Health)</dc:creator>
  <cp:keywords/>
  <dc:description/>
  <cp:lastModifiedBy>Sarah Bell</cp:lastModifiedBy>
  <cp:revision>78</cp:revision>
  <dcterms:created xsi:type="dcterms:W3CDTF">2022-07-01T23:56:00Z</dcterms:created>
  <dcterms:modified xsi:type="dcterms:W3CDTF">2022-07-13T00:37:00Z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0x01010092D128E601376F4A8A1094F65DDBB912</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2022-07-13T00:37:34Z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7b2ac04c-fded-466f-9c7f-d69a6ae068c8</vt:lpwstr>
  </property>
  <property fmtid="{D5CDD505-2E9C-101B-9397-08002B2CF9AE}" pid="10" name="MSIP_Label_43e64453-338c-4f93-8a4d-0039a0a41f2a_ContentBits">
    <vt:lpwstr>2</vt:lpwstr>
  </property>
</Properties>
</file>