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1E7C" w14:textId="77777777" w:rsidR="0074696E" w:rsidRPr="004C6EEE" w:rsidRDefault="00FC7FB6" w:rsidP="00EC40D5">
      <w:pPr>
        <w:pStyle w:val="Sectionbreakfirstpage"/>
      </w:pPr>
      <w:r>
        <w:drawing>
          <wp:anchor distT="0" distB="0" distL="114300" distR="114300" simplePos="0" relativeHeight="251658240" behindDoc="1" locked="1" layoutInCell="1" allowOverlap="1" wp14:anchorId="5EFCC0C4" wp14:editId="7F7F01AC">
            <wp:simplePos x="0" y="0"/>
            <wp:positionH relativeFrom="page">
              <wp:posOffset>0</wp:posOffset>
            </wp:positionH>
            <wp:positionV relativeFrom="page">
              <wp:posOffset>0</wp:posOffset>
            </wp:positionV>
            <wp:extent cx="7560000" cy="1728000"/>
            <wp:effectExtent l="0" t="0" r="3175"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728000"/>
                    </a:xfrm>
                    <a:prstGeom prst="rect">
                      <a:avLst/>
                    </a:prstGeom>
                  </pic:spPr>
                </pic:pic>
              </a:graphicData>
            </a:graphic>
            <wp14:sizeRelH relativeFrom="margin">
              <wp14:pctWidth>0</wp14:pctWidth>
            </wp14:sizeRelH>
            <wp14:sizeRelV relativeFrom="margin">
              <wp14:pctHeight>0</wp14:pctHeight>
            </wp14:sizeRelV>
          </wp:anchor>
        </w:drawing>
      </w:r>
    </w:p>
    <w:p w14:paraId="0A3021F0"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008E420B">
        <w:tc>
          <w:tcPr>
            <w:tcW w:w="0" w:type="auto"/>
            <w:tcMar>
              <w:top w:w="1588" w:type="dxa"/>
              <w:left w:w="0" w:type="dxa"/>
              <w:right w:w="0" w:type="dxa"/>
            </w:tcMar>
          </w:tcPr>
          <w:p w14:paraId="7392B213" w14:textId="0E79F3A0" w:rsidR="003B5733" w:rsidRPr="003B5733" w:rsidRDefault="008E420B" w:rsidP="003B5733">
            <w:pPr>
              <w:pStyle w:val="Documenttitle"/>
            </w:pPr>
            <w:r w:rsidRPr="008E420B">
              <w:t>Non-Admitted Multidisciplinary Case Conferences</w:t>
            </w:r>
          </w:p>
        </w:tc>
      </w:tr>
      <w:tr w:rsidR="003B5733" w14:paraId="1E97BDFA" w14:textId="77777777" w:rsidTr="008E420B">
        <w:tc>
          <w:tcPr>
            <w:tcW w:w="0" w:type="auto"/>
          </w:tcPr>
          <w:p w14:paraId="23D4323B" w14:textId="4F21CEBC" w:rsidR="003B5733" w:rsidRPr="00A1389F" w:rsidRDefault="008E420B" w:rsidP="005F44C0">
            <w:pPr>
              <w:pStyle w:val="Documentsubtitle"/>
            </w:pPr>
            <w:r w:rsidRPr="008E420B">
              <w:t>Reporting Guidelines</w:t>
            </w:r>
          </w:p>
        </w:tc>
      </w:tr>
      <w:tr w:rsidR="003B5733" w14:paraId="01A0A997" w14:textId="77777777" w:rsidTr="008E420B">
        <w:tc>
          <w:tcPr>
            <w:tcW w:w="0" w:type="auto"/>
          </w:tcPr>
          <w:p w14:paraId="3E5FF0AB" w14:textId="77777777" w:rsidR="003B5733" w:rsidRDefault="001065D9" w:rsidP="005F44C0">
            <w:pPr>
              <w:pStyle w:val="Bannermarking"/>
            </w:pPr>
            <w:fldSimple w:instr="FILLIN  &quot;Type the protective marking&quot; \d OFFICIAL \o  \* MERGEFORMAT">
              <w:r w:rsidR="00274726">
                <w:t>OFFICIAL</w:t>
              </w:r>
            </w:fldSimple>
          </w:p>
        </w:tc>
      </w:tr>
    </w:tbl>
    <w:p w14:paraId="33035F31" w14:textId="77777777" w:rsidR="008E420B" w:rsidRPr="008E420B" w:rsidRDefault="008E420B" w:rsidP="008E420B">
      <w:pPr>
        <w:keepNext/>
        <w:keepLines/>
        <w:spacing w:before="480" w:after="200" w:line="330" w:lineRule="atLeast"/>
        <w:rPr>
          <w:b/>
          <w:color w:val="53565A"/>
          <w:sz w:val="29"/>
          <w:szCs w:val="28"/>
        </w:rPr>
      </w:pPr>
      <w:r w:rsidRPr="008E420B">
        <w:rPr>
          <w:b/>
          <w:color w:val="53565A"/>
          <w:sz w:val="29"/>
          <w:szCs w:val="28"/>
        </w:rPr>
        <w:t>Contents</w:t>
      </w:r>
    </w:p>
    <w:p w14:paraId="632DF294" w14:textId="0226A74F" w:rsidR="001065D9" w:rsidRDefault="008E420B">
      <w:pPr>
        <w:pStyle w:val="TOC1"/>
        <w:rPr>
          <w:rFonts w:asciiTheme="minorHAnsi" w:eastAsiaTheme="minorEastAsia" w:hAnsiTheme="minorHAnsi" w:cstheme="minorBidi"/>
          <w:b w:val="0"/>
          <w:sz w:val="22"/>
          <w:szCs w:val="22"/>
          <w:lang w:eastAsia="en-AU"/>
        </w:rPr>
      </w:pPr>
      <w:r w:rsidRPr="008E420B">
        <w:fldChar w:fldCharType="begin"/>
      </w:r>
      <w:r w:rsidRPr="008E420B">
        <w:instrText xml:space="preserve"> TOC \h \z \t "Heading 1,1,Heading 2,2" </w:instrText>
      </w:r>
      <w:r w:rsidRPr="008E420B">
        <w:fldChar w:fldCharType="separate"/>
      </w:r>
      <w:hyperlink w:anchor="_Toc97733549" w:history="1">
        <w:r w:rsidR="001065D9" w:rsidRPr="00564A9C">
          <w:rPr>
            <w:rStyle w:val="Hyperlink"/>
          </w:rPr>
          <w:t>Introduction</w:t>
        </w:r>
        <w:r w:rsidR="001065D9">
          <w:rPr>
            <w:webHidden/>
          </w:rPr>
          <w:tab/>
        </w:r>
        <w:r w:rsidR="001065D9">
          <w:rPr>
            <w:webHidden/>
          </w:rPr>
          <w:fldChar w:fldCharType="begin"/>
        </w:r>
        <w:r w:rsidR="001065D9">
          <w:rPr>
            <w:webHidden/>
          </w:rPr>
          <w:instrText xml:space="preserve"> PAGEREF _Toc97733549 \h </w:instrText>
        </w:r>
        <w:r w:rsidR="001065D9">
          <w:rPr>
            <w:webHidden/>
          </w:rPr>
        </w:r>
        <w:r w:rsidR="001065D9">
          <w:rPr>
            <w:webHidden/>
          </w:rPr>
          <w:fldChar w:fldCharType="separate"/>
        </w:r>
        <w:r w:rsidR="001065D9">
          <w:rPr>
            <w:webHidden/>
          </w:rPr>
          <w:t>1</w:t>
        </w:r>
        <w:r w:rsidR="001065D9">
          <w:rPr>
            <w:webHidden/>
          </w:rPr>
          <w:fldChar w:fldCharType="end"/>
        </w:r>
      </w:hyperlink>
    </w:p>
    <w:p w14:paraId="74BFF22A" w14:textId="6AC6F0C4" w:rsidR="001065D9" w:rsidRDefault="00785A64">
      <w:pPr>
        <w:pStyle w:val="TOC1"/>
        <w:rPr>
          <w:rFonts w:asciiTheme="minorHAnsi" w:eastAsiaTheme="minorEastAsia" w:hAnsiTheme="minorHAnsi" w:cstheme="minorBidi"/>
          <w:b w:val="0"/>
          <w:sz w:val="22"/>
          <w:szCs w:val="22"/>
          <w:lang w:eastAsia="en-AU"/>
        </w:rPr>
      </w:pPr>
      <w:hyperlink w:anchor="_Toc97733550" w:history="1">
        <w:r w:rsidR="001065D9" w:rsidRPr="00564A9C">
          <w:rPr>
            <w:rStyle w:val="Hyperlink"/>
          </w:rPr>
          <w:t>Background</w:t>
        </w:r>
        <w:r w:rsidR="001065D9">
          <w:rPr>
            <w:webHidden/>
          </w:rPr>
          <w:tab/>
        </w:r>
        <w:r w:rsidR="001065D9">
          <w:rPr>
            <w:webHidden/>
          </w:rPr>
          <w:fldChar w:fldCharType="begin"/>
        </w:r>
        <w:r w:rsidR="001065D9">
          <w:rPr>
            <w:webHidden/>
          </w:rPr>
          <w:instrText xml:space="preserve"> PAGEREF _Toc97733550 \h </w:instrText>
        </w:r>
        <w:r w:rsidR="001065D9">
          <w:rPr>
            <w:webHidden/>
          </w:rPr>
        </w:r>
        <w:r w:rsidR="001065D9">
          <w:rPr>
            <w:webHidden/>
          </w:rPr>
          <w:fldChar w:fldCharType="separate"/>
        </w:r>
        <w:r w:rsidR="001065D9">
          <w:rPr>
            <w:webHidden/>
          </w:rPr>
          <w:t>2</w:t>
        </w:r>
        <w:r w:rsidR="001065D9">
          <w:rPr>
            <w:webHidden/>
          </w:rPr>
          <w:fldChar w:fldCharType="end"/>
        </w:r>
      </w:hyperlink>
    </w:p>
    <w:p w14:paraId="02BA280D" w14:textId="436DFCAD" w:rsidR="001065D9" w:rsidRDefault="00785A64">
      <w:pPr>
        <w:pStyle w:val="TOC1"/>
        <w:rPr>
          <w:rFonts w:asciiTheme="minorHAnsi" w:eastAsiaTheme="minorEastAsia" w:hAnsiTheme="minorHAnsi" w:cstheme="minorBidi"/>
          <w:b w:val="0"/>
          <w:sz w:val="22"/>
          <w:szCs w:val="22"/>
          <w:lang w:eastAsia="en-AU"/>
        </w:rPr>
      </w:pPr>
      <w:hyperlink w:anchor="_Toc97733551" w:history="1">
        <w:r w:rsidR="001065D9" w:rsidRPr="00564A9C">
          <w:rPr>
            <w:rStyle w:val="Hyperlink"/>
          </w:rPr>
          <w:t>MDCC definition and counting rules</w:t>
        </w:r>
        <w:r w:rsidR="001065D9">
          <w:rPr>
            <w:webHidden/>
          </w:rPr>
          <w:tab/>
        </w:r>
        <w:r w:rsidR="001065D9">
          <w:rPr>
            <w:webHidden/>
          </w:rPr>
          <w:fldChar w:fldCharType="begin"/>
        </w:r>
        <w:r w:rsidR="001065D9">
          <w:rPr>
            <w:webHidden/>
          </w:rPr>
          <w:instrText xml:space="preserve"> PAGEREF _Toc97733551 \h </w:instrText>
        </w:r>
        <w:r w:rsidR="001065D9">
          <w:rPr>
            <w:webHidden/>
          </w:rPr>
        </w:r>
        <w:r w:rsidR="001065D9">
          <w:rPr>
            <w:webHidden/>
          </w:rPr>
          <w:fldChar w:fldCharType="separate"/>
        </w:r>
        <w:r w:rsidR="001065D9">
          <w:rPr>
            <w:webHidden/>
          </w:rPr>
          <w:t>2</w:t>
        </w:r>
        <w:r w:rsidR="001065D9">
          <w:rPr>
            <w:webHidden/>
          </w:rPr>
          <w:fldChar w:fldCharType="end"/>
        </w:r>
      </w:hyperlink>
    </w:p>
    <w:p w14:paraId="3A9F38B0" w14:textId="0A67BD02" w:rsidR="001065D9" w:rsidRDefault="00785A64">
      <w:pPr>
        <w:pStyle w:val="TOC2"/>
        <w:rPr>
          <w:rFonts w:asciiTheme="minorHAnsi" w:eastAsiaTheme="minorEastAsia" w:hAnsiTheme="minorHAnsi" w:cstheme="minorBidi"/>
          <w:sz w:val="22"/>
          <w:szCs w:val="22"/>
          <w:lang w:eastAsia="en-AU"/>
        </w:rPr>
      </w:pPr>
      <w:hyperlink w:anchor="_Toc97733552" w:history="1">
        <w:r w:rsidR="001065D9" w:rsidRPr="00564A9C">
          <w:rPr>
            <w:rStyle w:val="Hyperlink"/>
          </w:rPr>
          <w:t>Definition</w:t>
        </w:r>
        <w:r w:rsidR="001065D9">
          <w:rPr>
            <w:webHidden/>
          </w:rPr>
          <w:tab/>
        </w:r>
        <w:r w:rsidR="001065D9">
          <w:rPr>
            <w:webHidden/>
          </w:rPr>
          <w:fldChar w:fldCharType="begin"/>
        </w:r>
        <w:r w:rsidR="001065D9">
          <w:rPr>
            <w:webHidden/>
          </w:rPr>
          <w:instrText xml:space="preserve"> PAGEREF _Toc97733552 \h </w:instrText>
        </w:r>
        <w:r w:rsidR="001065D9">
          <w:rPr>
            <w:webHidden/>
          </w:rPr>
        </w:r>
        <w:r w:rsidR="001065D9">
          <w:rPr>
            <w:webHidden/>
          </w:rPr>
          <w:fldChar w:fldCharType="separate"/>
        </w:r>
        <w:r w:rsidR="001065D9">
          <w:rPr>
            <w:webHidden/>
          </w:rPr>
          <w:t>2</w:t>
        </w:r>
        <w:r w:rsidR="001065D9">
          <w:rPr>
            <w:webHidden/>
          </w:rPr>
          <w:fldChar w:fldCharType="end"/>
        </w:r>
      </w:hyperlink>
    </w:p>
    <w:p w14:paraId="094E9A19" w14:textId="4B5D4D74" w:rsidR="001065D9" w:rsidRDefault="00785A64">
      <w:pPr>
        <w:pStyle w:val="TOC2"/>
        <w:rPr>
          <w:rFonts w:asciiTheme="minorHAnsi" w:eastAsiaTheme="minorEastAsia" w:hAnsiTheme="minorHAnsi" w:cstheme="minorBidi"/>
          <w:sz w:val="22"/>
          <w:szCs w:val="22"/>
          <w:lang w:eastAsia="en-AU"/>
        </w:rPr>
      </w:pPr>
      <w:hyperlink w:anchor="_Toc97733553" w:history="1">
        <w:r w:rsidR="001065D9" w:rsidRPr="00564A9C">
          <w:rPr>
            <w:rStyle w:val="Hyperlink"/>
          </w:rPr>
          <w:t>Counting rules</w:t>
        </w:r>
        <w:r w:rsidR="001065D9">
          <w:rPr>
            <w:webHidden/>
          </w:rPr>
          <w:tab/>
        </w:r>
        <w:r w:rsidR="001065D9">
          <w:rPr>
            <w:webHidden/>
          </w:rPr>
          <w:fldChar w:fldCharType="begin"/>
        </w:r>
        <w:r w:rsidR="001065D9">
          <w:rPr>
            <w:webHidden/>
          </w:rPr>
          <w:instrText xml:space="preserve"> PAGEREF _Toc97733553 \h </w:instrText>
        </w:r>
        <w:r w:rsidR="001065D9">
          <w:rPr>
            <w:webHidden/>
          </w:rPr>
        </w:r>
        <w:r w:rsidR="001065D9">
          <w:rPr>
            <w:webHidden/>
          </w:rPr>
          <w:fldChar w:fldCharType="separate"/>
        </w:r>
        <w:r w:rsidR="001065D9">
          <w:rPr>
            <w:webHidden/>
          </w:rPr>
          <w:t>2</w:t>
        </w:r>
        <w:r w:rsidR="001065D9">
          <w:rPr>
            <w:webHidden/>
          </w:rPr>
          <w:fldChar w:fldCharType="end"/>
        </w:r>
      </w:hyperlink>
    </w:p>
    <w:p w14:paraId="277A799D" w14:textId="79C37136" w:rsidR="001065D9" w:rsidRDefault="00785A64">
      <w:pPr>
        <w:pStyle w:val="TOC2"/>
        <w:rPr>
          <w:rFonts w:asciiTheme="minorHAnsi" w:eastAsiaTheme="minorEastAsia" w:hAnsiTheme="minorHAnsi" w:cstheme="minorBidi"/>
          <w:sz w:val="22"/>
          <w:szCs w:val="22"/>
          <w:lang w:eastAsia="en-AU"/>
        </w:rPr>
      </w:pPr>
      <w:hyperlink w:anchor="_Toc97733554" w:history="1">
        <w:r w:rsidR="001065D9" w:rsidRPr="00564A9C">
          <w:rPr>
            <w:rStyle w:val="Hyperlink"/>
          </w:rPr>
          <w:t>Tier 2 class</w:t>
        </w:r>
        <w:r w:rsidR="001065D9">
          <w:rPr>
            <w:webHidden/>
          </w:rPr>
          <w:tab/>
        </w:r>
        <w:r w:rsidR="001065D9">
          <w:rPr>
            <w:webHidden/>
          </w:rPr>
          <w:fldChar w:fldCharType="begin"/>
        </w:r>
        <w:r w:rsidR="001065D9">
          <w:rPr>
            <w:webHidden/>
          </w:rPr>
          <w:instrText xml:space="preserve"> PAGEREF _Toc97733554 \h </w:instrText>
        </w:r>
        <w:r w:rsidR="001065D9">
          <w:rPr>
            <w:webHidden/>
          </w:rPr>
        </w:r>
        <w:r w:rsidR="001065D9">
          <w:rPr>
            <w:webHidden/>
          </w:rPr>
          <w:fldChar w:fldCharType="separate"/>
        </w:r>
        <w:r w:rsidR="001065D9">
          <w:rPr>
            <w:webHidden/>
          </w:rPr>
          <w:t>4</w:t>
        </w:r>
        <w:r w:rsidR="001065D9">
          <w:rPr>
            <w:webHidden/>
          </w:rPr>
          <w:fldChar w:fldCharType="end"/>
        </w:r>
      </w:hyperlink>
    </w:p>
    <w:p w14:paraId="20984F48" w14:textId="523A1469" w:rsidR="001065D9" w:rsidRDefault="00785A64">
      <w:pPr>
        <w:pStyle w:val="TOC1"/>
        <w:rPr>
          <w:rFonts w:asciiTheme="minorHAnsi" w:eastAsiaTheme="minorEastAsia" w:hAnsiTheme="minorHAnsi" w:cstheme="minorBidi"/>
          <w:b w:val="0"/>
          <w:sz w:val="22"/>
          <w:szCs w:val="22"/>
          <w:lang w:eastAsia="en-AU"/>
        </w:rPr>
      </w:pPr>
      <w:hyperlink w:anchor="_Toc97733555" w:history="1">
        <w:r w:rsidR="001065D9" w:rsidRPr="00564A9C">
          <w:rPr>
            <w:rStyle w:val="Hyperlink"/>
          </w:rPr>
          <w:t>Reporting</w:t>
        </w:r>
        <w:r w:rsidR="001065D9">
          <w:rPr>
            <w:webHidden/>
          </w:rPr>
          <w:tab/>
        </w:r>
        <w:r w:rsidR="001065D9">
          <w:rPr>
            <w:webHidden/>
          </w:rPr>
          <w:fldChar w:fldCharType="begin"/>
        </w:r>
        <w:r w:rsidR="001065D9">
          <w:rPr>
            <w:webHidden/>
          </w:rPr>
          <w:instrText xml:space="preserve"> PAGEREF _Toc97733555 \h </w:instrText>
        </w:r>
        <w:r w:rsidR="001065D9">
          <w:rPr>
            <w:webHidden/>
          </w:rPr>
        </w:r>
        <w:r w:rsidR="001065D9">
          <w:rPr>
            <w:webHidden/>
          </w:rPr>
          <w:fldChar w:fldCharType="separate"/>
        </w:r>
        <w:r w:rsidR="001065D9">
          <w:rPr>
            <w:webHidden/>
          </w:rPr>
          <w:t>5</w:t>
        </w:r>
        <w:r w:rsidR="001065D9">
          <w:rPr>
            <w:webHidden/>
          </w:rPr>
          <w:fldChar w:fldCharType="end"/>
        </w:r>
      </w:hyperlink>
    </w:p>
    <w:p w14:paraId="0E264F6E" w14:textId="30BFF336" w:rsidR="001065D9" w:rsidRDefault="00785A64">
      <w:pPr>
        <w:pStyle w:val="TOC2"/>
        <w:rPr>
          <w:rFonts w:asciiTheme="minorHAnsi" w:eastAsiaTheme="minorEastAsia" w:hAnsiTheme="minorHAnsi" w:cstheme="minorBidi"/>
          <w:sz w:val="22"/>
          <w:szCs w:val="22"/>
          <w:lang w:eastAsia="en-AU"/>
        </w:rPr>
      </w:pPr>
      <w:hyperlink w:anchor="_Toc97733556" w:history="1">
        <w:r w:rsidR="001065D9" w:rsidRPr="00564A9C">
          <w:rPr>
            <w:rStyle w:val="Hyperlink"/>
          </w:rPr>
          <w:t>Specialist clinics</w:t>
        </w:r>
        <w:r w:rsidR="001065D9">
          <w:rPr>
            <w:webHidden/>
          </w:rPr>
          <w:tab/>
        </w:r>
        <w:r w:rsidR="001065D9">
          <w:rPr>
            <w:webHidden/>
          </w:rPr>
          <w:fldChar w:fldCharType="begin"/>
        </w:r>
        <w:r w:rsidR="001065D9">
          <w:rPr>
            <w:webHidden/>
          </w:rPr>
          <w:instrText xml:space="preserve"> PAGEREF _Toc97733556 \h </w:instrText>
        </w:r>
        <w:r w:rsidR="001065D9">
          <w:rPr>
            <w:webHidden/>
          </w:rPr>
        </w:r>
        <w:r w:rsidR="001065D9">
          <w:rPr>
            <w:webHidden/>
          </w:rPr>
          <w:fldChar w:fldCharType="separate"/>
        </w:r>
        <w:r w:rsidR="001065D9">
          <w:rPr>
            <w:webHidden/>
          </w:rPr>
          <w:t>5</w:t>
        </w:r>
        <w:r w:rsidR="001065D9">
          <w:rPr>
            <w:webHidden/>
          </w:rPr>
          <w:fldChar w:fldCharType="end"/>
        </w:r>
      </w:hyperlink>
    </w:p>
    <w:p w14:paraId="6EC1F35E" w14:textId="5ADAC9D0" w:rsidR="001065D9" w:rsidRDefault="00785A64">
      <w:pPr>
        <w:pStyle w:val="TOC2"/>
        <w:rPr>
          <w:rFonts w:asciiTheme="minorHAnsi" w:eastAsiaTheme="minorEastAsia" w:hAnsiTheme="minorHAnsi" w:cstheme="minorBidi"/>
          <w:sz w:val="22"/>
          <w:szCs w:val="22"/>
          <w:lang w:eastAsia="en-AU"/>
        </w:rPr>
      </w:pPr>
      <w:hyperlink w:anchor="_Toc97733557" w:history="1">
        <w:r w:rsidR="001065D9" w:rsidRPr="00564A9C">
          <w:rPr>
            <w:rStyle w:val="Hyperlink"/>
          </w:rPr>
          <w:t>Other non-admitted programs</w:t>
        </w:r>
        <w:r w:rsidR="001065D9">
          <w:rPr>
            <w:webHidden/>
          </w:rPr>
          <w:tab/>
        </w:r>
        <w:r w:rsidR="001065D9">
          <w:rPr>
            <w:webHidden/>
          </w:rPr>
          <w:fldChar w:fldCharType="begin"/>
        </w:r>
        <w:r w:rsidR="001065D9">
          <w:rPr>
            <w:webHidden/>
          </w:rPr>
          <w:instrText xml:space="preserve"> PAGEREF _Toc97733557 \h </w:instrText>
        </w:r>
        <w:r w:rsidR="001065D9">
          <w:rPr>
            <w:webHidden/>
          </w:rPr>
        </w:r>
        <w:r w:rsidR="001065D9">
          <w:rPr>
            <w:webHidden/>
          </w:rPr>
          <w:fldChar w:fldCharType="separate"/>
        </w:r>
        <w:r w:rsidR="001065D9">
          <w:rPr>
            <w:webHidden/>
          </w:rPr>
          <w:t>5</w:t>
        </w:r>
        <w:r w:rsidR="001065D9">
          <w:rPr>
            <w:webHidden/>
          </w:rPr>
          <w:fldChar w:fldCharType="end"/>
        </w:r>
      </w:hyperlink>
    </w:p>
    <w:p w14:paraId="21A25722" w14:textId="5D4911E8" w:rsidR="001065D9" w:rsidRDefault="00785A64">
      <w:pPr>
        <w:pStyle w:val="TOC2"/>
        <w:rPr>
          <w:rFonts w:asciiTheme="minorHAnsi" w:eastAsiaTheme="minorEastAsia" w:hAnsiTheme="minorHAnsi" w:cstheme="minorBidi"/>
          <w:sz w:val="22"/>
          <w:szCs w:val="22"/>
          <w:lang w:eastAsia="en-AU"/>
        </w:rPr>
      </w:pPr>
      <w:hyperlink w:anchor="_Toc97733558" w:history="1">
        <w:r w:rsidR="001065D9" w:rsidRPr="00564A9C">
          <w:rPr>
            <w:rStyle w:val="Hyperlink"/>
          </w:rPr>
          <w:t>VINAH</w:t>
        </w:r>
        <w:r w:rsidR="001065D9">
          <w:rPr>
            <w:webHidden/>
          </w:rPr>
          <w:tab/>
        </w:r>
        <w:r w:rsidR="001065D9">
          <w:rPr>
            <w:webHidden/>
          </w:rPr>
          <w:fldChar w:fldCharType="begin"/>
        </w:r>
        <w:r w:rsidR="001065D9">
          <w:rPr>
            <w:webHidden/>
          </w:rPr>
          <w:instrText xml:space="preserve"> PAGEREF _Toc97733558 \h </w:instrText>
        </w:r>
        <w:r w:rsidR="001065D9">
          <w:rPr>
            <w:webHidden/>
          </w:rPr>
        </w:r>
        <w:r w:rsidR="001065D9">
          <w:rPr>
            <w:webHidden/>
          </w:rPr>
          <w:fldChar w:fldCharType="separate"/>
        </w:r>
        <w:r w:rsidR="001065D9">
          <w:rPr>
            <w:webHidden/>
          </w:rPr>
          <w:t>6</w:t>
        </w:r>
        <w:r w:rsidR="001065D9">
          <w:rPr>
            <w:webHidden/>
          </w:rPr>
          <w:fldChar w:fldCharType="end"/>
        </w:r>
      </w:hyperlink>
    </w:p>
    <w:p w14:paraId="6BF58219" w14:textId="5C7B6033" w:rsidR="001065D9" w:rsidRDefault="00785A64">
      <w:pPr>
        <w:pStyle w:val="TOC2"/>
        <w:rPr>
          <w:rFonts w:asciiTheme="minorHAnsi" w:eastAsiaTheme="minorEastAsia" w:hAnsiTheme="minorHAnsi" w:cstheme="minorBidi"/>
          <w:sz w:val="22"/>
          <w:szCs w:val="22"/>
          <w:lang w:eastAsia="en-AU"/>
        </w:rPr>
      </w:pPr>
      <w:hyperlink w:anchor="_Toc97733559" w:history="1">
        <w:r w:rsidR="001065D9" w:rsidRPr="00564A9C">
          <w:rPr>
            <w:rStyle w:val="Hyperlink"/>
          </w:rPr>
          <w:t>Non-Admitted Data Collection (NADC)</w:t>
        </w:r>
        <w:r w:rsidR="001065D9">
          <w:rPr>
            <w:webHidden/>
          </w:rPr>
          <w:tab/>
        </w:r>
        <w:r w:rsidR="001065D9">
          <w:rPr>
            <w:webHidden/>
          </w:rPr>
          <w:fldChar w:fldCharType="begin"/>
        </w:r>
        <w:r w:rsidR="001065D9">
          <w:rPr>
            <w:webHidden/>
          </w:rPr>
          <w:instrText xml:space="preserve"> PAGEREF _Toc97733559 \h </w:instrText>
        </w:r>
        <w:r w:rsidR="001065D9">
          <w:rPr>
            <w:webHidden/>
          </w:rPr>
        </w:r>
        <w:r w:rsidR="001065D9">
          <w:rPr>
            <w:webHidden/>
          </w:rPr>
          <w:fldChar w:fldCharType="separate"/>
        </w:r>
        <w:r w:rsidR="001065D9">
          <w:rPr>
            <w:webHidden/>
          </w:rPr>
          <w:t>6</w:t>
        </w:r>
        <w:r w:rsidR="001065D9">
          <w:rPr>
            <w:webHidden/>
          </w:rPr>
          <w:fldChar w:fldCharType="end"/>
        </w:r>
      </w:hyperlink>
    </w:p>
    <w:p w14:paraId="448CF59D" w14:textId="294E3826" w:rsidR="001065D9" w:rsidRDefault="00785A64">
      <w:pPr>
        <w:pStyle w:val="TOC2"/>
        <w:rPr>
          <w:rFonts w:asciiTheme="minorHAnsi" w:eastAsiaTheme="minorEastAsia" w:hAnsiTheme="minorHAnsi" w:cstheme="minorBidi"/>
          <w:sz w:val="22"/>
          <w:szCs w:val="22"/>
          <w:lang w:eastAsia="en-AU"/>
        </w:rPr>
      </w:pPr>
      <w:hyperlink w:anchor="_Toc97733560" w:history="1">
        <w:r w:rsidR="001065D9" w:rsidRPr="00564A9C">
          <w:rPr>
            <w:rStyle w:val="Hyperlink"/>
          </w:rPr>
          <w:t>QOOL-Vic</w:t>
        </w:r>
        <w:r w:rsidR="001065D9">
          <w:rPr>
            <w:webHidden/>
          </w:rPr>
          <w:tab/>
        </w:r>
        <w:r w:rsidR="001065D9">
          <w:rPr>
            <w:webHidden/>
          </w:rPr>
          <w:fldChar w:fldCharType="begin"/>
        </w:r>
        <w:r w:rsidR="001065D9">
          <w:rPr>
            <w:webHidden/>
          </w:rPr>
          <w:instrText xml:space="preserve"> PAGEREF _Toc97733560 \h </w:instrText>
        </w:r>
        <w:r w:rsidR="001065D9">
          <w:rPr>
            <w:webHidden/>
          </w:rPr>
        </w:r>
        <w:r w:rsidR="001065D9">
          <w:rPr>
            <w:webHidden/>
          </w:rPr>
          <w:fldChar w:fldCharType="separate"/>
        </w:r>
        <w:r w:rsidR="001065D9">
          <w:rPr>
            <w:webHidden/>
          </w:rPr>
          <w:t>7</w:t>
        </w:r>
        <w:r w:rsidR="001065D9">
          <w:rPr>
            <w:webHidden/>
          </w:rPr>
          <w:fldChar w:fldCharType="end"/>
        </w:r>
      </w:hyperlink>
    </w:p>
    <w:p w14:paraId="6EB75DAD" w14:textId="3CC1A767" w:rsidR="001065D9" w:rsidRDefault="00785A64">
      <w:pPr>
        <w:pStyle w:val="TOC2"/>
        <w:rPr>
          <w:rFonts w:asciiTheme="minorHAnsi" w:eastAsiaTheme="minorEastAsia" w:hAnsiTheme="minorHAnsi" w:cstheme="minorBidi"/>
          <w:sz w:val="22"/>
          <w:szCs w:val="22"/>
          <w:lang w:eastAsia="en-AU"/>
        </w:rPr>
      </w:pPr>
      <w:hyperlink w:anchor="_Toc97733561" w:history="1">
        <w:r w:rsidR="001065D9" w:rsidRPr="00564A9C">
          <w:rPr>
            <w:rStyle w:val="Hyperlink"/>
          </w:rPr>
          <w:t>AIMS</w:t>
        </w:r>
        <w:r w:rsidR="001065D9">
          <w:rPr>
            <w:webHidden/>
          </w:rPr>
          <w:tab/>
        </w:r>
        <w:r w:rsidR="001065D9">
          <w:rPr>
            <w:webHidden/>
          </w:rPr>
          <w:fldChar w:fldCharType="begin"/>
        </w:r>
        <w:r w:rsidR="001065D9">
          <w:rPr>
            <w:webHidden/>
          </w:rPr>
          <w:instrText xml:space="preserve"> PAGEREF _Toc97733561 \h </w:instrText>
        </w:r>
        <w:r w:rsidR="001065D9">
          <w:rPr>
            <w:webHidden/>
          </w:rPr>
        </w:r>
        <w:r w:rsidR="001065D9">
          <w:rPr>
            <w:webHidden/>
          </w:rPr>
          <w:fldChar w:fldCharType="separate"/>
        </w:r>
        <w:r w:rsidR="001065D9">
          <w:rPr>
            <w:webHidden/>
          </w:rPr>
          <w:t>7</w:t>
        </w:r>
        <w:r w:rsidR="001065D9">
          <w:rPr>
            <w:webHidden/>
          </w:rPr>
          <w:fldChar w:fldCharType="end"/>
        </w:r>
      </w:hyperlink>
    </w:p>
    <w:p w14:paraId="0B91A74B" w14:textId="67A8C5AE" w:rsidR="001065D9" w:rsidRDefault="00785A64">
      <w:pPr>
        <w:pStyle w:val="TOC1"/>
        <w:rPr>
          <w:rFonts w:asciiTheme="minorHAnsi" w:eastAsiaTheme="minorEastAsia" w:hAnsiTheme="minorHAnsi" w:cstheme="minorBidi"/>
          <w:b w:val="0"/>
          <w:sz w:val="22"/>
          <w:szCs w:val="22"/>
          <w:lang w:eastAsia="en-AU"/>
        </w:rPr>
      </w:pPr>
      <w:hyperlink w:anchor="_Toc97733562" w:history="1">
        <w:r w:rsidR="001065D9" w:rsidRPr="00564A9C">
          <w:rPr>
            <w:rStyle w:val="Hyperlink"/>
          </w:rPr>
          <w:t>Further information</w:t>
        </w:r>
        <w:r w:rsidR="001065D9">
          <w:rPr>
            <w:webHidden/>
          </w:rPr>
          <w:tab/>
        </w:r>
        <w:r w:rsidR="001065D9">
          <w:rPr>
            <w:webHidden/>
          </w:rPr>
          <w:fldChar w:fldCharType="begin"/>
        </w:r>
        <w:r w:rsidR="001065D9">
          <w:rPr>
            <w:webHidden/>
          </w:rPr>
          <w:instrText xml:space="preserve"> PAGEREF _Toc97733562 \h </w:instrText>
        </w:r>
        <w:r w:rsidR="001065D9">
          <w:rPr>
            <w:webHidden/>
          </w:rPr>
        </w:r>
        <w:r w:rsidR="001065D9">
          <w:rPr>
            <w:webHidden/>
          </w:rPr>
          <w:fldChar w:fldCharType="separate"/>
        </w:r>
        <w:r w:rsidR="001065D9">
          <w:rPr>
            <w:webHidden/>
          </w:rPr>
          <w:t>7</w:t>
        </w:r>
        <w:r w:rsidR="001065D9">
          <w:rPr>
            <w:webHidden/>
          </w:rPr>
          <w:fldChar w:fldCharType="end"/>
        </w:r>
      </w:hyperlink>
    </w:p>
    <w:p w14:paraId="07B4CE7F" w14:textId="6DCB9C05" w:rsidR="008E420B" w:rsidRPr="008E420B" w:rsidRDefault="008E420B" w:rsidP="008E420B">
      <w:pPr>
        <w:keepNext/>
        <w:keepLines/>
        <w:spacing w:before="320" w:after="200" w:line="440" w:lineRule="atLeast"/>
        <w:outlineLvl w:val="0"/>
        <w:rPr>
          <w:rFonts w:eastAsia="MS Gothic" w:cs="Arial"/>
          <w:bCs/>
          <w:color w:val="201547"/>
          <w:kern w:val="32"/>
          <w:sz w:val="40"/>
          <w:szCs w:val="40"/>
        </w:rPr>
        <w:sectPr w:rsidR="008E420B" w:rsidRPr="008E420B" w:rsidSect="00E62622">
          <w:headerReference w:type="default" r:id="rId18"/>
          <w:type w:val="continuous"/>
          <w:pgSz w:w="11906" w:h="16838" w:code="9"/>
          <w:pgMar w:top="1418" w:right="851" w:bottom="1418" w:left="851" w:header="851" w:footer="851" w:gutter="0"/>
          <w:cols w:space="340"/>
          <w:titlePg/>
          <w:docGrid w:linePitch="360"/>
        </w:sectPr>
      </w:pPr>
      <w:r w:rsidRPr="008E420B">
        <w:rPr>
          <w:rFonts w:eastAsia="MS Gothic" w:cs="Arial"/>
          <w:bCs/>
          <w:color w:val="201547"/>
          <w:kern w:val="32"/>
          <w:sz w:val="40"/>
          <w:szCs w:val="40"/>
        </w:rPr>
        <w:fldChar w:fldCharType="end"/>
      </w:r>
    </w:p>
    <w:p w14:paraId="3E6289F8" w14:textId="77777777" w:rsidR="008E420B" w:rsidRPr="008E420B" w:rsidRDefault="008E420B" w:rsidP="008E420B">
      <w:pPr>
        <w:pStyle w:val="Heading1"/>
      </w:pPr>
      <w:bookmarkStart w:id="0" w:name="_Toc97733549"/>
      <w:r w:rsidRPr="008E420B">
        <w:t>Introduction</w:t>
      </w:r>
      <w:bookmarkEnd w:id="0"/>
      <w:r w:rsidRPr="008E420B">
        <w:t xml:space="preserve"> </w:t>
      </w:r>
    </w:p>
    <w:p w14:paraId="6553D2E5" w14:textId="2681AEEE" w:rsidR="008E420B" w:rsidRPr="008E420B" w:rsidRDefault="008E420B" w:rsidP="008E420B">
      <w:pPr>
        <w:rPr>
          <w:rFonts w:eastAsia="Times"/>
        </w:rPr>
      </w:pPr>
      <w:r w:rsidRPr="0DF4BEF5">
        <w:rPr>
          <w:rFonts w:eastAsia="Times"/>
        </w:rPr>
        <w:t>From 2021-22, the department is required to report patient level data for all non-admitted multidisciplinary case conferences where the patient is not present, to the Independent Hospital Pricing Authority (IHPA)</w:t>
      </w:r>
      <w:bookmarkStart w:id="1" w:name="_Int_KCg4yiuA"/>
      <w:r w:rsidRPr="0DF4BEF5">
        <w:rPr>
          <w:rFonts w:eastAsia="Times"/>
        </w:rPr>
        <w:t xml:space="preserve">. </w:t>
      </w:r>
      <w:bookmarkEnd w:id="1"/>
      <w:r w:rsidRPr="0DF4BEF5">
        <w:rPr>
          <w:rFonts w:eastAsia="Times"/>
        </w:rPr>
        <w:t xml:space="preserve">Health services were made aware of the requirement to report patient level MDCC data for non-admitted patients through </w:t>
      </w:r>
      <w:bookmarkStart w:id="2" w:name="_Int_Ay8QhuVf"/>
      <w:r w:rsidRPr="0DF4BEF5">
        <w:rPr>
          <w:rFonts w:eastAsia="Times"/>
        </w:rPr>
        <w:t>VINAH</w:t>
      </w:r>
      <w:bookmarkEnd w:id="2"/>
      <w:r w:rsidRPr="0DF4BEF5">
        <w:rPr>
          <w:rFonts w:eastAsia="Times"/>
        </w:rPr>
        <w:t xml:space="preserve"> in the </w:t>
      </w:r>
      <w:r w:rsidRPr="0DF4BEF5">
        <w:rPr>
          <w:rFonts w:eastAsia="Times"/>
          <w:i/>
          <w:iCs/>
        </w:rPr>
        <w:t xml:space="preserve">Specification for Revisions to the Victorian Integrated Non-Admitted Health Dataset for 1 July 2021 Part B </w:t>
      </w:r>
      <w:r w:rsidRPr="0DF4BEF5">
        <w:rPr>
          <w:rFonts w:eastAsia="Times"/>
        </w:rPr>
        <w:t>published in December 2020.</w:t>
      </w:r>
    </w:p>
    <w:p w14:paraId="5BCE994B" w14:textId="77777777" w:rsidR="008E420B" w:rsidRPr="008E420B" w:rsidRDefault="008E420B" w:rsidP="008E420B">
      <w:pPr>
        <w:spacing w:before="100" w:beforeAutospacing="1" w:after="100" w:afterAutospacing="1" w:line="240" w:lineRule="auto"/>
        <w:ind w:right="680"/>
        <w:rPr>
          <w:rFonts w:cs="Arial"/>
        </w:rPr>
      </w:pPr>
      <w:r w:rsidRPr="008E420B">
        <w:rPr>
          <w:rFonts w:cs="Arial"/>
        </w:rPr>
        <w:t>These guidelines have been developed to provide health services with a detailed overview of the MDCC reporting requirements.</w:t>
      </w:r>
    </w:p>
    <w:p w14:paraId="1FDBC6FD" w14:textId="77777777" w:rsidR="008E420B" w:rsidRPr="008E420B" w:rsidRDefault="008E420B" w:rsidP="008E420B">
      <w:pPr>
        <w:pStyle w:val="Heading1"/>
      </w:pPr>
      <w:bookmarkStart w:id="3" w:name="_Toc97733550"/>
      <w:r w:rsidRPr="008E420B">
        <w:lastRenderedPageBreak/>
        <w:t>Background</w:t>
      </w:r>
      <w:bookmarkEnd w:id="3"/>
    </w:p>
    <w:p w14:paraId="4D6D8B3C" w14:textId="60B5F937" w:rsidR="008E420B" w:rsidRPr="008E420B" w:rsidRDefault="008E420B" w:rsidP="0DF4BEF5">
      <w:pPr>
        <w:spacing w:before="100" w:beforeAutospacing="1" w:after="100" w:afterAutospacing="1" w:line="240" w:lineRule="auto"/>
        <w:ind w:right="680"/>
        <w:rPr>
          <w:rFonts w:cs="Arial"/>
        </w:rPr>
      </w:pPr>
      <w:r w:rsidRPr="48132EA3">
        <w:rPr>
          <w:rFonts w:cs="Arial"/>
        </w:rPr>
        <w:t xml:space="preserve">Multidisciplinary case conferences (MDCC) are also known as multidisciplinary team meetings and multidisciplinary meetings (MDM). </w:t>
      </w:r>
      <w:bookmarkStart w:id="4" w:name="_Int_l4zIYqeM"/>
      <w:r w:rsidRPr="48132EA3">
        <w:rPr>
          <w:rFonts w:cs="Arial"/>
        </w:rPr>
        <w:t>For the purpose of</w:t>
      </w:r>
      <w:bookmarkEnd w:id="4"/>
      <w:r w:rsidRPr="48132EA3">
        <w:rPr>
          <w:rFonts w:cs="Arial"/>
        </w:rPr>
        <w:t xml:space="preserve"> this document, the term MDCC will refer to non</w:t>
      </w:r>
      <w:r w:rsidR="0000160D">
        <w:rPr>
          <w:rFonts w:cs="Arial"/>
        </w:rPr>
        <w:noBreakHyphen/>
      </w:r>
      <w:r w:rsidRPr="48132EA3">
        <w:rPr>
          <w:rFonts w:cs="Arial"/>
        </w:rPr>
        <w:t>admitted MDCC where the patient is not present.</w:t>
      </w:r>
    </w:p>
    <w:p w14:paraId="7E8366E4" w14:textId="77777777" w:rsidR="008E420B" w:rsidRPr="008E420B" w:rsidRDefault="008E420B" w:rsidP="008E420B">
      <w:pPr>
        <w:spacing w:before="100" w:beforeAutospacing="1" w:after="100" w:afterAutospacing="1" w:line="240" w:lineRule="auto"/>
        <w:ind w:right="680"/>
        <w:rPr>
          <w:rFonts w:cs="Arial"/>
        </w:rPr>
      </w:pPr>
      <w:r w:rsidRPr="008E420B">
        <w:rPr>
          <w:rFonts w:cs="Arial"/>
        </w:rPr>
        <w:t>These guidelines provide guidance for reporting non-admitted MDCC activity where the patient (or relative or representative) is not present. Case conferences and care coordination activities where the patient is present are not considered to be MDCC for the purpose of reporting and should be reported as direct non-admitted activity.</w:t>
      </w:r>
    </w:p>
    <w:p w14:paraId="120F40D3" w14:textId="77777777" w:rsidR="008E420B" w:rsidRPr="008E420B" w:rsidRDefault="008E420B" w:rsidP="008E420B">
      <w:pPr>
        <w:pStyle w:val="Heading1"/>
      </w:pPr>
      <w:bookmarkStart w:id="5" w:name="_Toc97733551"/>
      <w:r w:rsidRPr="008E420B">
        <w:t>MDCC definition and counting rules</w:t>
      </w:r>
      <w:bookmarkEnd w:id="5"/>
    </w:p>
    <w:p w14:paraId="6E36AC33" w14:textId="77777777" w:rsidR="008E420B" w:rsidRPr="008E420B" w:rsidRDefault="008E420B" w:rsidP="0DF4BEF5">
      <w:pPr>
        <w:spacing w:before="100" w:beforeAutospacing="1" w:after="100" w:afterAutospacing="1" w:line="240" w:lineRule="auto"/>
        <w:ind w:right="680"/>
        <w:rPr>
          <w:rFonts w:cs="Arial"/>
        </w:rPr>
      </w:pPr>
      <w:r w:rsidRPr="0DF4BEF5">
        <w:rPr>
          <w:rFonts w:cs="Arial"/>
        </w:rPr>
        <w:t xml:space="preserve">The </w:t>
      </w:r>
      <w:r w:rsidRPr="0DF4BEF5">
        <w:rPr>
          <w:rFonts w:cs="Arial"/>
          <w:i/>
          <w:iCs/>
        </w:rPr>
        <w:t xml:space="preserve">Tier 2 Non-Admitted Services Compendium 2021-22, Version 7.0 </w:t>
      </w:r>
      <w:r w:rsidRPr="0DF4BEF5">
        <w:rPr>
          <w:rFonts w:cs="Arial"/>
        </w:rPr>
        <w:t xml:space="preserve">provides definitions and counting rules for </w:t>
      </w:r>
      <w:bookmarkStart w:id="6" w:name="_Int_Azcrlkka"/>
      <w:r w:rsidRPr="0DF4BEF5">
        <w:rPr>
          <w:rFonts w:cs="Arial"/>
        </w:rPr>
        <w:t>MDCCs</w:t>
      </w:r>
      <w:bookmarkEnd w:id="6"/>
      <w:r w:rsidRPr="0DF4BEF5">
        <w:rPr>
          <w:rFonts w:cs="Arial"/>
        </w:rPr>
        <w:t>. These are summarised below.</w:t>
      </w:r>
    </w:p>
    <w:p w14:paraId="427920A8" w14:textId="77777777" w:rsidR="008E420B" w:rsidRPr="008E420B" w:rsidRDefault="008E420B" w:rsidP="008E420B">
      <w:pPr>
        <w:pStyle w:val="Heading2"/>
      </w:pPr>
      <w:bookmarkStart w:id="7" w:name="_Toc97733552"/>
      <w:r w:rsidRPr="008E420B">
        <w:t>Definition</w:t>
      </w:r>
      <w:bookmarkEnd w:id="7"/>
    </w:p>
    <w:p w14:paraId="3BE697E3" w14:textId="77777777" w:rsidR="008E420B" w:rsidRPr="008E420B" w:rsidRDefault="008E420B" w:rsidP="008E420B">
      <w:pPr>
        <w:spacing w:before="100" w:beforeAutospacing="1" w:after="100" w:afterAutospacing="1" w:line="240" w:lineRule="auto"/>
        <w:ind w:right="680"/>
      </w:pPr>
      <w:r w:rsidRPr="008E420B">
        <w:t>A MDCC where the patient is not present is a meeting/discussion held concurrently between healthcare providers from different professions or specialisations, arranged in advance, to discuss a patient in detail and to coordinate care. The meeting may involve discussion of an individual patient or multiple patients. A MDCC ensures that a patient’s multidisciplinary care needs are met through a planned and coordinated approach.</w:t>
      </w:r>
    </w:p>
    <w:p w14:paraId="185DA48D" w14:textId="77777777" w:rsidR="008E420B" w:rsidRPr="008E420B" w:rsidRDefault="008E420B" w:rsidP="008E420B">
      <w:pPr>
        <w:rPr>
          <w:rFonts w:eastAsia="Times"/>
        </w:rPr>
      </w:pPr>
      <w:r w:rsidRPr="008E420B">
        <w:rPr>
          <w:rFonts w:eastAsia="Times"/>
        </w:rPr>
        <w:t>MDCC exclude the following:</w:t>
      </w:r>
    </w:p>
    <w:p w14:paraId="5B7E7AD4" w14:textId="77777777" w:rsidR="008E420B" w:rsidRPr="008E420B" w:rsidRDefault="008E420B" w:rsidP="008E420B">
      <w:pPr>
        <w:numPr>
          <w:ilvl w:val="0"/>
          <w:numId w:val="7"/>
        </w:numPr>
        <w:spacing w:after="40"/>
        <w:rPr>
          <w:rFonts w:eastAsia="Times"/>
        </w:rPr>
      </w:pPr>
      <w:r w:rsidRPr="008E420B">
        <w:rPr>
          <w:rFonts w:eastAsia="Times"/>
        </w:rPr>
        <w:t>Staggered conversations between the patient’s care clinicians</w:t>
      </w:r>
    </w:p>
    <w:p w14:paraId="1E3B0D68" w14:textId="77777777" w:rsidR="008E420B" w:rsidRPr="008E420B" w:rsidRDefault="008E420B" w:rsidP="008E420B">
      <w:pPr>
        <w:numPr>
          <w:ilvl w:val="0"/>
          <w:numId w:val="7"/>
        </w:numPr>
        <w:spacing w:after="40"/>
        <w:rPr>
          <w:rFonts w:eastAsia="Times"/>
        </w:rPr>
      </w:pPr>
      <w:r w:rsidRPr="008E420B">
        <w:rPr>
          <w:rFonts w:eastAsia="Times"/>
        </w:rPr>
        <w:t>email conversations between a group of clinicians</w:t>
      </w:r>
    </w:p>
    <w:p w14:paraId="5A7E01F5" w14:textId="77777777" w:rsidR="008E420B" w:rsidRPr="008E420B" w:rsidRDefault="008E420B" w:rsidP="008E420B">
      <w:pPr>
        <w:numPr>
          <w:ilvl w:val="0"/>
          <w:numId w:val="7"/>
        </w:numPr>
        <w:spacing w:after="40"/>
        <w:rPr>
          <w:rFonts w:eastAsia="Times"/>
          <w:b/>
          <w:bCs/>
        </w:rPr>
      </w:pPr>
      <w:r w:rsidRPr="008E420B">
        <w:rPr>
          <w:rFonts w:eastAsia="Times"/>
        </w:rPr>
        <w:t xml:space="preserve">case conferences not meeting the definition of MDCC </w:t>
      </w:r>
    </w:p>
    <w:p w14:paraId="2F1DF02B" w14:textId="38B4B846" w:rsidR="008E420B" w:rsidRPr="008E420B" w:rsidRDefault="008E420B" w:rsidP="008E420B">
      <w:pPr>
        <w:numPr>
          <w:ilvl w:val="0"/>
          <w:numId w:val="7"/>
        </w:numPr>
        <w:spacing w:after="40"/>
        <w:rPr>
          <w:rFonts w:eastAsia="Times"/>
          <w:b/>
          <w:bCs/>
        </w:rPr>
      </w:pPr>
      <w:r w:rsidRPr="008E420B">
        <w:rPr>
          <w:rFonts w:eastAsia="Times"/>
        </w:rPr>
        <w:t xml:space="preserve">case management and care coordination, </w:t>
      </w:r>
      <w:r w:rsidR="00430681">
        <w:rPr>
          <w:rFonts w:eastAsia="Times"/>
        </w:rPr>
        <w:t>and</w:t>
      </w:r>
    </w:p>
    <w:p w14:paraId="3F33C8FF" w14:textId="03BFBF51" w:rsidR="00A34C95" w:rsidRPr="00A34C95" w:rsidRDefault="008E420B" w:rsidP="008E420B">
      <w:pPr>
        <w:numPr>
          <w:ilvl w:val="0"/>
          <w:numId w:val="7"/>
        </w:numPr>
        <w:spacing w:after="40"/>
        <w:rPr>
          <w:rFonts w:eastAsia="Times" w:cstheme="minorHAnsi"/>
        </w:rPr>
      </w:pPr>
      <w:r w:rsidRPr="008E420B">
        <w:rPr>
          <w:rFonts w:eastAsia="Times"/>
        </w:rPr>
        <w:t>any contact or service event where the patient, carer or relative is present</w:t>
      </w:r>
      <w:r w:rsidR="00430681">
        <w:rPr>
          <w:rFonts w:eastAsia="Times"/>
        </w:rPr>
        <w:t>.</w:t>
      </w:r>
    </w:p>
    <w:p w14:paraId="739B9613" w14:textId="77777777" w:rsidR="008E420B" w:rsidRPr="008E420B" w:rsidRDefault="008E420B" w:rsidP="008E420B">
      <w:pPr>
        <w:pStyle w:val="Heading2"/>
      </w:pPr>
      <w:bookmarkStart w:id="8" w:name="_Toc97733553"/>
      <w:r w:rsidRPr="008E420B">
        <w:t>Counting rules</w:t>
      </w:r>
      <w:bookmarkEnd w:id="8"/>
    </w:p>
    <w:p w14:paraId="32D9571B" w14:textId="77777777" w:rsidR="008E420B" w:rsidRPr="008E420B" w:rsidRDefault="008E420B" w:rsidP="008E420B">
      <w:pPr>
        <w:pStyle w:val="Heading3"/>
      </w:pPr>
      <w:r w:rsidRPr="008E420B">
        <w:t>Attendance of health care providers</w:t>
      </w:r>
    </w:p>
    <w:p w14:paraId="56EF788E" w14:textId="77777777" w:rsidR="008E420B" w:rsidRPr="008E420B" w:rsidRDefault="008E420B" w:rsidP="008E420B">
      <w:pPr>
        <w:spacing w:after="40"/>
        <w:rPr>
          <w:rFonts w:eastAsia="Times"/>
        </w:rPr>
      </w:pPr>
      <w:r w:rsidRPr="0DF4BEF5">
        <w:rPr>
          <w:rFonts w:eastAsia="Times"/>
        </w:rPr>
        <w:t xml:space="preserve">A MDCC must involve </w:t>
      </w:r>
      <w:r w:rsidRPr="0DF4BEF5">
        <w:rPr>
          <w:rFonts w:eastAsia="Times"/>
          <w:b/>
          <w:bCs/>
        </w:rPr>
        <w:t>three or more healthcare providers who have direct care responsibilities</w:t>
      </w:r>
      <w:r w:rsidRPr="0DF4BEF5">
        <w:rPr>
          <w:rFonts w:eastAsia="Times"/>
        </w:rPr>
        <w:t xml:space="preserve"> for the patient discussed. The healthcare providers may be of the same profession (medical, nursing, </w:t>
      </w:r>
      <w:bookmarkStart w:id="9" w:name="_Int_4rA7HV0T"/>
      <w:r w:rsidRPr="0DF4BEF5">
        <w:rPr>
          <w:rFonts w:eastAsia="Times"/>
        </w:rPr>
        <w:t>midwifery</w:t>
      </w:r>
      <w:bookmarkEnd w:id="9"/>
      <w:r w:rsidRPr="0DF4BEF5">
        <w:rPr>
          <w:rFonts w:eastAsia="Times"/>
        </w:rPr>
        <w:t xml:space="preserve"> or allied health), however, they must each have a different speciality so that the care provided by each provider is unique. Alternatively, the healthcare providers may be of different professions (medical, nursing, </w:t>
      </w:r>
      <w:bookmarkStart w:id="10" w:name="_Int_dc1Fvwmb"/>
      <w:r w:rsidRPr="0DF4BEF5">
        <w:rPr>
          <w:rFonts w:eastAsia="Times"/>
        </w:rPr>
        <w:t>midwifery</w:t>
      </w:r>
      <w:bookmarkEnd w:id="10"/>
      <w:r w:rsidRPr="0DF4BEF5">
        <w:rPr>
          <w:rFonts w:eastAsia="Times"/>
        </w:rPr>
        <w:t xml:space="preserve"> or allied health) but of the same specialty (for example, oncologist, oncology registered nurse, physiotherapist).</w:t>
      </w:r>
    </w:p>
    <w:p w14:paraId="3BF0BFF2" w14:textId="73A23C72" w:rsidR="008E420B" w:rsidRPr="008E420B" w:rsidRDefault="008E420B" w:rsidP="008E420B">
      <w:pPr>
        <w:keepLines/>
        <w:spacing w:after="40"/>
        <w:rPr>
          <w:rFonts w:eastAsia="Times"/>
        </w:rPr>
      </w:pPr>
      <w:r w:rsidRPr="008E420B">
        <w:rPr>
          <w:rFonts w:eastAsia="Times"/>
        </w:rPr>
        <w:lastRenderedPageBreak/>
        <w:t>Health care providers without direct care responsibilities frequently attend MDCC for valid reasons</w:t>
      </w:r>
      <w:bookmarkStart w:id="11" w:name="_Int_NqQTWfem"/>
      <w:r w:rsidRPr="008E420B">
        <w:rPr>
          <w:rFonts w:eastAsia="Times"/>
        </w:rPr>
        <w:t xml:space="preserve">. </w:t>
      </w:r>
      <w:bookmarkEnd w:id="11"/>
      <w:r w:rsidRPr="008E420B">
        <w:rPr>
          <w:rFonts w:eastAsia="Times"/>
        </w:rPr>
        <w:t>Junior staff/team members attending for educational purposes and team colleagues attending for hand-over or on call</w:t>
      </w:r>
      <w:r w:rsidRPr="008E420B">
        <w:rPr>
          <w:rFonts w:eastAsia="Times"/>
        </w:rPr>
        <w:noBreakHyphen/>
        <w:t xml:space="preserve"> purposes are not considered to have direct care responsibilities. Attendance of health care providers without direct care responsibilities should not erroneously result in the meeting fulfilling the criteria for a MDCC</w:t>
      </w:r>
      <w:r w:rsidRPr="008E420B">
        <w:rPr>
          <w:rFonts w:eastAsia="Times"/>
          <w:vertAlign w:val="superscript"/>
        </w:rPr>
        <w:footnoteReference w:id="1"/>
      </w:r>
      <w:r w:rsidRPr="008E420B">
        <w:rPr>
          <w:rFonts w:eastAsia="Times"/>
        </w:rPr>
        <w:t>.</w:t>
      </w:r>
    </w:p>
    <w:p w14:paraId="1E007105" w14:textId="77777777" w:rsidR="008E420B" w:rsidRPr="008E420B" w:rsidRDefault="008E420B" w:rsidP="008E420B">
      <w:pPr>
        <w:spacing w:after="40"/>
        <w:rPr>
          <w:rFonts w:eastAsia="Times"/>
        </w:rPr>
      </w:pPr>
      <w:r w:rsidRPr="008E420B">
        <w:rPr>
          <w:rFonts w:eastAsia="Times"/>
          <w:b/>
          <w:bCs/>
        </w:rPr>
        <w:t xml:space="preserve">One MDCC is reported for each patient discussed at the MDCC, </w:t>
      </w:r>
      <w:r w:rsidRPr="008E420B">
        <w:rPr>
          <w:rFonts w:eastAsia="Times"/>
        </w:rPr>
        <w:t>regardless of the number of providers present.</w:t>
      </w:r>
    </w:p>
    <w:p w14:paraId="11FC98F2" w14:textId="31501722" w:rsidR="008E420B" w:rsidRPr="008E420B" w:rsidRDefault="008E420B" w:rsidP="008E420B">
      <w:pPr>
        <w:spacing w:after="40"/>
        <w:rPr>
          <w:rFonts w:eastAsia="Times"/>
        </w:rPr>
      </w:pPr>
      <w:r w:rsidRPr="0DF4BEF5">
        <w:rPr>
          <w:rFonts w:eastAsia="Times"/>
        </w:rPr>
        <w:t xml:space="preserve">The healthcare providers may attend in person or via </w:t>
      </w:r>
      <w:bookmarkStart w:id="12" w:name="_Int_HqBH0lg4"/>
      <w:r w:rsidRPr="0DF4BEF5">
        <w:rPr>
          <w:rFonts w:eastAsia="Times"/>
        </w:rPr>
        <w:t>ICT</w:t>
      </w:r>
      <w:bookmarkEnd w:id="12"/>
      <w:r w:rsidRPr="0DF4BEF5">
        <w:rPr>
          <w:rFonts w:eastAsia="Times"/>
        </w:rPr>
        <w:t xml:space="preserve">. Only </w:t>
      </w:r>
      <w:r w:rsidRPr="0DF4BEF5">
        <w:rPr>
          <w:rFonts w:eastAsia="Times"/>
          <w:b/>
          <w:bCs/>
        </w:rPr>
        <w:t>one MDCC is reported, regardless of the number of sites involved</w:t>
      </w:r>
      <w:r w:rsidRPr="0DF4BEF5">
        <w:rPr>
          <w:rFonts w:eastAsia="Times"/>
        </w:rPr>
        <w:t xml:space="preserve">. The most appropriate site to report the MDCC should be based on where </w:t>
      </w:r>
      <w:bookmarkStart w:id="13" w:name="_Int_JaR6ovt6"/>
      <w:r w:rsidRPr="0DF4BEF5">
        <w:rPr>
          <w:rFonts w:eastAsia="Times"/>
        </w:rPr>
        <w:t>the majority of</w:t>
      </w:r>
      <w:bookmarkEnd w:id="13"/>
      <w:r w:rsidRPr="0DF4BEF5">
        <w:rPr>
          <w:rFonts w:eastAsia="Times"/>
        </w:rPr>
        <w:t xml:space="preserve"> providers and services are located</w:t>
      </w:r>
      <w:bookmarkStart w:id="14" w:name="_Int_iIkdrch6"/>
      <w:r w:rsidRPr="0DF4BEF5">
        <w:rPr>
          <w:rFonts w:eastAsia="Times"/>
        </w:rPr>
        <w:t xml:space="preserve">. </w:t>
      </w:r>
      <w:bookmarkEnd w:id="14"/>
      <w:r w:rsidR="009A19AF" w:rsidRPr="0DF4BEF5">
        <w:rPr>
          <w:rFonts w:eastAsia="Times"/>
        </w:rPr>
        <w:t xml:space="preserve">For MDCC reported through QOOL-Vic, the MDCC is reported </w:t>
      </w:r>
      <w:r w:rsidR="00C97150" w:rsidRPr="0DF4BEF5">
        <w:rPr>
          <w:rFonts w:eastAsia="Times"/>
        </w:rPr>
        <w:t>at the site coordinating the MDCC.</w:t>
      </w:r>
    </w:p>
    <w:p w14:paraId="2284445F" w14:textId="77777777" w:rsidR="008E420B" w:rsidRPr="008E420B" w:rsidRDefault="008E420B" w:rsidP="008E420B">
      <w:pPr>
        <w:pStyle w:val="Heading3"/>
      </w:pPr>
      <w:r w:rsidRPr="008E420B">
        <w:t>Documentation</w:t>
      </w:r>
    </w:p>
    <w:p w14:paraId="473FBCCA" w14:textId="77777777" w:rsidR="008E420B" w:rsidRPr="008E420B" w:rsidRDefault="008E420B" w:rsidP="008E420B">
      <w:pPr>
        <w:spacing w:after="40"/>
        <w:rPr>
          <w:rFonts w:eastAsia="Times" w:cs="Arial"/>
        </w:rPr>
      </w:pPr>
      <w:r w:rsidRPr="008E420B">
        <w:rPr>
          <w:rFonts w:eastAsia="Times"/>
        </w:rPr>
        <w:t>For each patient discussed; a multidisciplinary management plan must be in place or developed at the MDCC, and one participating healthcare provider must record the following items in each patient’s clinical record:</w:t>
      </w:r>
    </w:p>
    <w:p w14:paraId="733A67C6" w14:textId="77777777" w:rsidR="008E420B" w:rsidRPr="008E420B" w:rsidRDefault="008E420B" w:rsidP="008E420B">
      <w:pPr>
        <w:numPr>
          <w:ilvl w:val="0"/>
          <w:numId w:val="7"/>
        </w:numPr>
        <w:spacing w:after="40"/>
        <w:rPr>
          <w:rFonts w:eastAsia="Times"/>
        </w:rPr>
      </w:pPr>
      <w:r w:rsidRPr="008E420B">
        <w:rPr>
          <w:rFonts w:eastAsia="Times"/>
          <w:bCs/>
        </w:rPr>
        <w:t>The name of the MDCC,</w:t>
      </w:r>
      <w:r w:rsidRPr="008E420B">
        <w:rPr>
          <w:rFonts w:eastAsia="Times"/>
          <w:b/>
          <w:bCs/>
          <w:color w:val="FF0000"/>
        </w:rPr>
        <w:t xml:space="preserve"> </w:t>
      </w:r>
      <w:r w:rsidRPr="008E420B">
        <w:rPr>
          <w:rFonts w:eastAsia="Times"/>
        </w:rPr>
        <w:t xml:space="preserve">the date </w:t>
      </w:r>
      <w:r w:rsidRPr="008E420B">
        <w:rPr>
          <w:rFonts w:eastAsia="Times"/>
          <w:bCs/>
        </w:rPr>
        <w:t>of the MDCC</w:t>
      </w:r>
      <w:r w:rsidRPr="008E420B">
        <w:rPr>
          <w:rFonts w:eastAsia="Times"/>
        </w:rPr>
        <w:t xml:space="preserve">, and the start and end times (or duration) at which the patient was discussed during the case conference. </w:t>
      </w:r>
    </w:p>
    <w:p w14:paraId="22AC0154" w14:textId="77777777" w:rsidR="008E420B" w:rsidRPr="008E420B" w:rsidRDefault="008E420B" w:rsidP="008E420B">
      <w:pPr>
        <w:numPr>
          <w:ilvl w:val="0"/>
          <w:numId w:val="7"/>
        </w:numPr>
        <w:spacing w:after="40"/>
        <w:rPr>
          <w:rFonts w:eastAsia="Times"/>
        </w:rPr>
      </w:pPr>
      <w:r w:rsidRPr="008E420B">
        <w:rPr>
          <w:rFonts w:eastAsia="Times"/>
        </w:rPr>
        <w:t xml:space="preserve">The names of the participants involved in the discussion relating to the patient and their designations/clinical backgrounds </w:t>
      </w:r>
    </w:p>
    <w:p w14:paraId="3BBBCAA8" w14:textId="77777777" w:rsidR="008E420B" w:rsidRPr="008E420B" w:rsidRDefault="008E420B" w:rsidP="008E420B">
      <w:pPr>
        <w:numPr>
          <w:ilvl w:val="0"/>
          <w:numId w:val="7"/>
        </w:numPr>
        <w:spacing w:after="40"/>
        <w:rPr>
          <w:rFonts w:eastAsia="Times"/>
        </w:rPr>
      </w:pPr>
      <w:r w:rsidRPr="0DF4BEF5">
        <w:rPr>
          <w:rFonts w:eastAsia="Times"/>
        </w:rPr>
        <w:t xml:space="preserve">A description of the patient’s problems, </w:t>
      </w:r>
      <w:bookmarkStart w:id="15" w:name="_Int_Mwgldh1J"/>
      <w:r w:rsidRPr="0DF4BEF5">
        <w:rPr>
          <w:rFonts w:eastAsia="Times"/>
        </w:rPr>
        <w:t>goals</w:t>
      </w:r>
      <w:bookmarkEnd w:id="15"/>
      <w:r w:rsidRPr="0DF4BEF5">
        <w:rPr>
          <w:rFonts w:eastAsia="Times"/>
        </w:rPr>
        <w:t xml:space="preserve"> and strategies relevant to that MDCC, and </w:t>
      </w:r>
    </w:p>
    <w:p w14:paraId="2E5A7263" w14:textId="77777777" w:rsidR="008E420B" w:rsidRPr="008E420B" w:rsidRDefault="008E420B" w:rsidP="008E420B">
      <w:pPr>
        <w:numPr>
          <w:ilvl w:val="0"/>
          <w:numId w:val="7"/>
        </w:numPr>
        <w:spacing w:after="40"/>
        <w:rPr>
          <w:rFonts w:eastAsia="Times"/>
        </w:rPr>
      </w:pPr>
      <w:r w:rsidRPr="008E420B">
        <w:rPr>
          <w:rFonts w:eastAsia="Times"/>
        </w:rPr>
        <w:t>A summary of the outcomes of the MDCC.</w:t>
      </w:r>
    </w:p>
    <w:p w14:paraId="5EE31442" w14:textId="10E119C1" w:rsidR="008E420B" w:rsidRPr="008E420B" w:rsidRDefault="008E420B" w:rsidP="008E420B">
      <w:pPr>
        <w:spacing w:after="40"/>
        <w:rPr>
          <w:rFonts w:eastAsia="Times"/>
        </w:rPr>
      </w:pPr>
      <w:r w:rsidRPr="008E420B">
        <w:rPr>
          <w:rFonts w:eastAsia="Times"/>
        </w:rPr>
        <w:t xml:space="preserve">The format of the multidisciplinary management plan and the clinical record notes should be determined by health services (whilst ensuring to comply with any other relevant standards and requirements such as the </w:t>
      </w:r>
      <w:r w:rsidRPr="0DF4BEF5">
        <w:rPr>
          <w:rFonts w:eastAsia="Times"/>
          <w:i/>
          <w:iCs/>
        </w:rPr>
        <w:t>Victorian cancer multidisciplinary team meeting quality framework</w:t>
      </w:r>
      <w:r w:rsidRPr="0DF4BEF5">
        <w:rPr>
          <w:rFonts w:eastAsia="Times"/>
          <w:i/>
          <w:iCs/>
          <w:vertAlign w:val="superscript"/>
        </w:rPr>
        <w:footnoteReference w:id="2"/>
      </w:r>
      <w:r w:rsidRPr="0DF4BEF5">
        <w:rPr>
          <w:rFonts w:eastAsia="Times"/>
          <w:i/>
          <w:iCs/>
        </w:rPr>
        <w:t xml:space="preserve"> </w:t>
      </w:r>
      <w:r w:rsidRPr="0DF4BEF5">
        <w:rPr>
          <w:rFonts w:eastAsia="Times"/>
        </w:rPr>
        <w:t>and the</w:t>
      </w:r>
      <w:r w:rsidRPr="0DF4BEF5">
        <w:rPr>
          <w:rFonts w:eastAsia="Times"/>
          <w:i/>
          <w:iCs/>
        </w:rPr>
        <w:t xml:space="preserve"> Health Independence Program Guidelines</w:t>
      </w:r>
      <w:r w:rsidRPr="0DF4BEF5">
        <w:rPr>
          <w:rFonts w:eastAsia="Times"/>
          <w:i/>
          <w:iCs/>
          <w:vertAlign w:val="superscript"/>
        </w:rPr>
        <w:footnoteReference w:id="3"/>
      </w:r>
      <w:r w:rsidRPr="0DF4BEF5">
        <w:rPr>
          <w:rFonts w:eastAsia="Times"/>
        </w:rPr>
        <w:t>)</w:t>
      </w:r>
      <w:bookmarkStart w:id="16" w:name="_Int_h5l9bb02"/>
      <w:r w:rsidRPr="008E420B">
        <w:rPr>
          <w:rFonts w:eastAsia="Times"/>
        </w:rPr>
        <w:t xml:space="preserve">. </w:t>
      </w:r>
      <w:bookmarkEnd w:id="16"/>
    </w:p>
    <w:p w14:paraId="488D0F14" w14:textId="77777777" w:rsidR="008E420B" w:rsidRPr="008E420B" w:rsidRDefault="008E420B" w:rsidP="008E420B">
      <w:pPr>
        <w:spacing w:after="40"/>
        <w:rPr>
          <w:rFonts w:eastAsia="Times"/>
          <w:b/>
          <w:bCs/>
        </w:rPr>
      </w:pPr>
      <w:r w:rsidRPr="008E420B">
        <w:rPr>
          <w:rFonts w:eastAsia="Times"/>
          <w:b/>
          <w:bCs/>
        </w:rPr>
        <w:t>The MDCC cannot be reported if the required documentation has not been completed.</w:t>
      </w:r>
    </w:p>
    <w:p w14:paraId="668849B4" w14:textId="77777777" w:rsidR="008E420B" w:rsidRPr="008E420B" w:rsidRDefault="008E420B" w:rsidP="008E420B">
      <w:pPr>
        <w:pStyle w:val="Heading3"/>
      </w:pPr>
      <w:r w:rsidRPr="008E420B">
        <w:t>Patient attending specialist clinic on same day</w:t>
      </w:r>
    </w:p>
    <w:p w14:paraId="15807D9F" w14:textId="77777777" w:rsidR="008E420B" w:rsidRPr="008E420B" w:rsidRDefault="008E420B" w:rsidP="008E420B">
      <w:pPr>
        <w:spacing w:after="40"/>
        <w:rPr>
          <w:rFonts w:eastAsia="Times"/>
        </w:rPr>
      </w:pPr>
      <w:r w:rsidRPr="008E420B">
        <w:rPr>
          <w:rFonts w:eastAsia="Times"/>
        </w:rPr>
        <w:t>When a patient’s care is discussed at a MDCC occurring immediately prior to, or immediately following, a specialist outpatient clinic attended by the patient, the specialist clinic attendance and the MDCC should both be reported against their respective Clinic Identifier.</w:t>
      </w:r>
    </w:p>
    <w:p w14:paraId="7D600092" w14:textId="77777777" w:rsidR="008E420B" w:rsidRPr="008E420B" w:rsidRDefault="008E420B" w:rsidP="008E420B">
      <w:pPr>
        <w:pStyle w:val="Heading3"/>
      </w:pPr>
      <w:r w:rsidRPr="008E420B">
        <w:t>Patient care discussed at multiple MDCCs on the same day</w:t>
      </w:r>
    </w:p>
    <w:p w14:paraId="6702C9A3" w14:textId="77777777" w:rsidR="008E420B" w:rsidRPr="008E420B" w:rsidRDefault="008E420B" w:rsidP="008E420B">
      <w:pPr>
        <w:spacing w:after="40"/>
        <w:rPr>
          <w:rFonts w:eastAsia="Times"/>
        </w:rPr>
      </w:pPr>
      <w:r w:rsidRPr="008E420B">
        <w:rPr>
          <w:rFonts w:eastAsia="Times"/>
        </w:rPr>
        <w:t>For multiple MDCCs to be counted for the same patient on a given day, the patient’s care must have been discussed in separate MDCCs, with each MDCC having had a different and unique focus on the patient’s issues and each separate MDCC documented in the patient’s clinical record.</w:t>
      </w:r>
    </w:p>
    <w:p w14:paraId="70FE61EE" w14:textId="77777777" w:rsidR="008E420B" w:rsidRPr="008E420B" w:rsidRDefault="008E420B" w:rsidP="008E420B">
      <w:pPr>
        <w:pStyle w:val="Heading3"/>
      </w:pPr>
      <w:r w:rsidRPr="008E420B">
        <w:lastRenderedPageBreak/>
        <w:t>Funding arrangements</w:t>
      </w:r>
    </w:p>
    <w:p w14:paraId="69FFE0FE" w14:textId="4256DDCB" w:rsidR="008E420B" w:rsidRPr="008E420B" w:rsidRDefault="008E420B" w:rsidP="008E420B">
      <w:pPr>
        <w:keepNext/>
        <w:keepLines/>
        <w:rPr>
          <w:rFonts w:eastAsia="Times"/>
        </w:rPr>
      </w:pPr>
      <w:r w:rsidRPr="0DF4BEF5">
        <w:rPr>
          <w:rFonts w:eastAsia="Times"/>
        </w:rPr>
        <w:t xml:space="preserve">As the MDCC is reported once for the patient, this can only have a single </w:t>
      </w:r>
      <w:r w:rsidRPr="0DF4BEF5">
        <w:rPr>
          <w:rFonts w:eastAsia="Times"/>
          <w:i/>
          <w:iCs/>
        </w:rPr>
        <w:t>Account Class</w:t>
      </w:r>
      <w:bookmarkStart w:id="17" w:name="_Int_bITSPmhD"/>
      <w:r w:rsidRPr="0DF4BEF5">
        <w:rPr>
          <w:rFonts w:eastAsia="Times"/>
        </w:rPr>
        <w:t xml:space="preserve">. </w:t>
      </w:r>
      <w:bookmarkEnd w:id="17"/>
      <w:r w:rsidRPr="0DF4BEF5">
        <w:rPr>
          <w:rFonts w:eastAsia="Times"/>
        </w:rPr>
        <w:t xml:space="preserve">The </w:t>
      </w:r>
      <w:r w:rsidRPr="0DF4BEF5">
        <w:rPr>
          <w:rFonts w:eastAsia="Times"/>
          <w:i/>
          <w:iCs/>
        </w:rPr>
        <w:t>Account Class</w:t>
      </w:r>
      <w:r w:rsidRPr="0DF4BEF5">
        <w:rPr>
          <w:rFonts w:eastAsia="Times"/>
        </w:rPr>
        <w:t xml:space="preserve"> for the patient’s MDCC should be based on an eligible patient’s informed financial consent and patient election for the related consultation. </w:t>
      </w:r>
    </w:p>
    <w:p w14:paraId="18676218" w14:textId="77777777" w:rsidR="008E420B" w:rsidRPr="008E420B" w:rsidRDefault="008E420B" w:rsidP="008E420B">
      <w:pPr>
        <w:keepNext/>
        <w:keepLines/>
        <w:rPr>
          <w:rFonts w:eastAsia="Times"/>
        </w:rPr>
      </w:pPr>
      <w:r w:rsidRPr="0DF4BEF5">
        <w:rPr>
          <w:rFonts w:eastAsia="Times"/>
        </w:rPr>
        <w:t xml:space="preserve">If the Account Class is reported as public, no participating health service provider at that health service may bill </w:t>
      </w:r>
      <w:bookmarkStart w:id="18" w:name="_Int_Jsj79Iq7"/>
      <w:r w:rsidRPr="0DF4BEF5">
        <w:rPr>
          <w:rFonts w:eastAsia="Times"/>
        </w:rPr>
        <w:t>MBS</w:t>
      </w:r>
      <w:bookmarkEnd w:id="18"/>
      <w:r w:rsidRPr="0DF4BEF5">
        <w:rPr>
          <w:rFonts w:eastAsia="Times"/>
        </w:rPr>
        <w:t xml:space="preserve"> for their participation in the MDCC.</w:t>
      </w:r>
    </w:p>
    <w:p w14:paraId="512AE2D2" w14:textId="77777777" w:rsidR="008E420B" w:rsidRPr="008E420B" w:rsidRDefault="008E420B" w:rsidP="008E420B">
      <w:pPr>
        <w:keepNext/>
        <w:keepLines/>
        <w:rPr>
          <w:rFonts w:eastAsia="Times"/>
        </w:rPr>
      </w:pPr>
      <w:r w:rsidRPr="008E420B">
        <w:rPr>
          <w:rFonts w:eastAsia="Times"/>
        </w:rPr>
        <w:t>If the Account Class is reported as private, clinicians participating in the private MDCC and billing MBS for this, must ensure they have fulfilled the service requirements as specified in the item descriptor, and the services provided are eligible for Medicare benefits to be paid.</w:t>
      </w:r>
    </w:p>
    <w:p w14:paraId="754C83A7" w14:textId="77777777" w:rsidR="008E420B" w:rsidRPr="008E420B" w:rsidRDefault="008E420B" w:rsidP="008E420B">
      <w:pPr>
        <w:rPr>
          <w:rFonts w:eastAsia="Times"/>
        </w:rPr>
      </w:pPr>
      <w:r w:rsidRPr="008E420B">
        <w:rPr>
          <w:rFonts w:eastAsia="Times"/>
        </w:rPr>
        <w:t xml:space="preserve">A participating health service provider from another health service who bills MBS for their participation in the MDCC must ensure that all MBS requirements are met, including obtaining appropriate patient consent. </w:t>
      </w:r>
    </w:p>
    <w:p w14:paraId="1363970E" w14:textId="77777777" w:rsidR="008E420B" w:rsidRPr="008E420B" w:rsidRDefault="008E420B" w:rsidP="008E420B">
      <w:pPr>
        <w:pStyle w:val="Heading2"/>
      </w:pPr>
      <w:bookmarkStart w:id="19" w:name="_Toc97733554"/>
      <w:r w:rsidRPr="008E420B">
        <w:t>Tier 2 class</w:t>
      </w:r>
      <w:bookmarkEnd w:id="19"/>
    </w:p>
    <w:p w14:paraId="6EA6B173" w14:textId="77777777" w:rsidR="008E420B" w:rsidRPr="008E420B" w:rsidRDefault="008E420B" w:rsidP="008E420B">
      <w:pPr>
        <w:rPr>
          <w:rFonts w:eastAsia="Times"/>
        </w:rPr>
      </w:pPr>
      <w:r w:rsidRPr="008E420B">
        <w:rPr>
          <w:rFonts w:eastAsia="Times"/>
        </w:rPr>
        <w:t>There are two Tier 2 classes for MDCC. MDCC clinics must be registered against one of these Tier 2 classes.</w:t>
      </w:r>
    </w:p>
    <w:p w14:paraId="0BF27FEB" w14:textId="77777777" w:rsidR="008E420B" w:rsidRPr="008E420B" w:rsidRDefault="008E420B" w:rsidP="008E420B">
      <w:pPr>
        <w:pStyle w:val="Heading3"/>
      </w:pPr>
      <w:r w:rsidRPr="008E420B">
        <w:t>Medical consultation</w:t>
      </w:r>
    </w:p>
    <w:p w14:paraId="712206A7" w14:textId="77777777" w:rsidR="008E420B" w:rsidRPr="008E420B" w:rsidRDefault="008E420B" w:rsidP="008E420B">
      <w:pPr>
        <w:rPr>
          <w:rFonts w:eastAsia="Times"/>
          <w:lang w:eastAsia="en-AU"/>
        </w:rPr>
      </w:pPr>
      <w:r w:rsidRPr="008E420B">
        <w:rPr>
          <w:rFonts w:eastAsia="Times"/>
          <w:lang w:eastAsia="en-AU"/>
        </w:rPr>
        <w:t>20.56 Multidisciplinary case conference - patient not present</w:t>
      </w:r>
    </w:p>
    <w:p w14:paraId="41661BEB" w14:textId="77777777" w:rsidR="008E420B" w:rsidRPr="008E420B" w:rsidRDefault="008E420B" w:rsidP="008E420B">
      <w:pPr>
        <w:rPr>
          <w:rFonts w:eastAsia="Times"/>
        </w:rPr>
      </w:pPr>
      <w:r w:rsidRPr="008E420B">
        <w:rPr>
          <w:rFonts w:eastAsia="Times"/>
        </w:rPr>
        <w:t>A multidisciplinary case conference (MDCC) where the patient is not present is a meeting or a discussion held concurrently between health care providers from different professions or specialisations, arranged in advance, to discuss a patient in detail, and to coordinate care. The meeting may involve discussion of an individual patient or multiple patients. A multidisciplinary case conference ensures that a patient’s multidisciplinary care needs are met through a planned and coordinated approach.</w:t>
      </w:r>
    </w:p>
    <w:p w14:paraId="0549EBE7" w14:textId="77777777" w:rsidR="008E420B" w:rsidRPr="008E420B" w:rsidRDefault="008E420B" w:rsidP="008E420B">
      <w:pPr>
        <w:ind w:left="1440" w:hanging="1440"/>
        <w:rPr>
          <w:rFonts w:eastAsia="Arial"/>
        </w:rPr>
      </w:pPr>
      <w:r w:rsidRPr="0DF4BEF5">
        <w:rPr>
          <w:rFonts w:eastAsia="Times"/>
          <w:i/>
          <w:iCs/>
        </w:rPr>
        <w:t xml:space="preserve">Inclusions: </w:t>
      </w:r>
      <w:r>
        <w:tab/>
      </w:r>
      <w:r w:rsidRPr="0DF4BEF5">
        <w:rPr>
          <w:rFonts w:eastAsia="Arial"/>
        </w:rPr>
        <w:t xml:space="preserve">MDCCs where </w:t>
      </w:r>
      <w:bookmarkStart w:id="20" w:name="_Int_Ywhaj578"/>
      <w:r w:rsidRPr="0DF4BEF5">
        <w:rPr>
          <w:rFonts w:eastAsia="Arial"/>
        </w:rPr>
        <w:t>the majority of</w:t>
      </w:r>
      <w:bookmarkEnd w:id="20"/>
      <w:r w:rsidRPr="0DF4BEF5">
        <w:rPr>
          <w:rFonts w:eastAsia="Arial"/>
        </w:rPr>
        <w:t xml:space="preserve"> the health care providers participating in the MDCC are medical officers or nurse practitioners. </w:t>
      </w:r>
    </w:p>
    <w:p w14:paraId="7FEBB51C" w14:textId="77777777" w:rsidR="008E420B" w:rsidRPr="008E420B" w:rsidRDefault="008E420B" w:rsidP="008E420B">
      <w:pPr>
        <w:ind w:left="1440" w:hanging="1440"/>
        <w:rPr>
          <w:rFonts w:eastAsia="Arial"/>
          <w:b/>
          <w:bCs/>
        </w:rPr>
      </w:pPr>
      <w:r w:rsidRPr="0DF4BEF5">
        <w:rPr>
          <w:rFonts w:eastAsia="Times"/>
          <w:i/>
          <w:iCs/>
        </w:rPr>
        <w:t>Exclusions:</w:t>
      </w:r>
      <w:r>
        <w:tab/>
      </w:r>
      <w:r w:rsidRPr="0DF4BEF5">
        <w:rPr>
          <w:rFonts w:eastAsia="Arial"/>
        </w:rPr>
        <w:t xml:space="preserve">MDCCs where </w:t>
      </w:r>
      <w:bookmarkStart w:id="21" w:name="_Int_wu0bCwmf"/>
      <w:r w:rsidRPr="0DF4BEF5">
        <w:rPr>
          <w:rFonts w:eastAsia="Arial"/>
        </w:rPr>
        <w:t>the majority of</w:t>
      </w:r>
      <w:bookmarkEnd w:id="21"/>
      <w:r w:rsidRPr="0DF4BEF5">
        <w:rPr>
          <w:rFonts w:eastAsia="Arial"/>
        </w:rPr>
        <w:t xml:space="preserve"> health care providers participating are allied health or nurse professionals (40.62).</w:t>
      </w:r>
    </w:p>
    <w:p w14:paraId="108FFC38" w14:textId="77777777" w:rsidR="008E420B" w:rsidRPr="008E420B" w:rsidRDefault="008E420B" w:rsidP="008E420B">
      <w:pPr>
        <w:pStyle w:val="Heading3"/>
      </w:pPr>
      <w:r w:rsidRPr="008E420B">
        <w:t>Allied health and/or clinical nurse specialist interventions</w:t>
      </w:r>
    </w:p>
    <w:p w14:paraId="7ECBAC5C" w14:textId="77777777" w:rsidR="008E420B" w:rsidRPr="008E420B" w:rsidRDefault="008E420B" w:rsidP="008E420B">
      <w:pPr>
        <w:rPr>
          <w:rFonts w:eastAsia="Times"/>
          <w:lang w:eastAsia="en-AU"/>
        </w:rPr>
      </w:pPr>
      <w:r w:rsidRPr="008E420B">
        <w:rPr>
          <w:rFonts w:eastAsia="Times"/>
          <w:lang w:eastAsia="en-AU"/>
        </w:rPr>
        <w:t>40.62 Multidisciplinary case conference - patient not present</w:t>
      </w:r>
    </w:p>
    <w:p w14:paraId="66A03237" w14:textId="77777777" w:rsidR="008E420B" w:rsidRPr="008E420B" w:rsidRDefault="008E420B" w:rsidP="008E420B">
      <w:pPr>
        <w:rPr>
          <w:rFonts w:eastAsia="Times"/>
        </w:rPr>
      </w:pPr>
      <w:r w:rsidRPr="008E420B">
        <w:rPr>
          <w:rFonts w:eastAsia="Times"/>
        </w:rPr>
        <w:t>A multidisciplinary case conference (MDCC) where the patient is not present is a meeting or a discussion held concurrently between health care providers from different professions or specialisations, arranged in advance, to discuss a patient in detail, and to coordinate care. The meeting may involve discussion of an individual patient or multiple patients. A multidisciplinary case conference ensures that a patient’s multidisciplinary care needs are met through a planned and coordinated approach.</w:t>
      </w:r>
    </w:p>
    <w:p w14:paraId="2AB35E4B" w14:textId="77777777" w:rsidR="008E420B" w:rsidRPr="008E420B" w:rsidRDefault="008E420B" w:rsidP="0DF4BEF5">
      <w:pPr>
        <w:ind w:left="1440" w:hanging="1440"/>
        <w:rPr>
          <w:rFonts w:eastAsia="Times"/>
        </w:rPr>
      </w:pPr>
      <w:r w:rsidRPr="0DF4BEF5">
        <w:rPr>
          <w:rFonts w:eastAsia="Times"/>
          <w:i/>
          <w:iCs/>
        </w:rPr>
        <w:t>Inclusions:</w:t>
      </w:r>
      <w:r>
        <w:tab/>
      </w:r>
      <w:r w:rsidRPr="0DF4BEF5">
        <w:rPr>
          <w:rFonts w:eastAsia="Arial"/>
        </w:rPr>
        <w:t xml:space="preserve">MDCCs where </w:t>
      </w:r>
      <w:bookmarkStart w:id="22" w:name="_Int_7XOq0BuX"/>
      <w:r w:rsidRPr="0DF4BEF5">
        <w:rPr>
          <w:rFonts w:eastAsia="Arial"/>
        </w:rPr>
        <w:t>the majority of</w:t>
      </w:r>
      <w:bookmarkEnd w:id="22"/>
      <w:r w:rsidRPr="0DF4BEF5">
        <w:rPr>
          <w:rFonts w:eastAsia="Arial"/>
        </w:rPr>
        <w:t xml:space="preserve"> the health care providers participating in the MDCC are allied health or nurse professionals.</w:t>
      </w:r>
    </w:p>
    <w:p w14:paraId="3E3535D1" w14:textId="77777777" w:rsidR="008E420B" w:rsidRPr="008E420B" w:rsidRDefault="008E420B" w:rsidP="0DF4BEF5">
      <w:pPr>
        <w:ind w:left="1440" w:hanging="1440"/>
        <w:rPr>
          <w:rFonts w:eastAsia="Arial"/>
        </w:rPr>
      </w:pPr>
      <w:r w:rsidRPr="0DF4BEF5">
        <w:rPr>
          <w:rFonts w:eastAsia="Times"/>
          <w:i/>
          <w:iCs/>
        </w:rPr>
        <w:t>Exclusions:</w:t>
      </w:r>
      <w:r>
        <w:tab/>
      </w:r>
      <w:r w:rsidRPr="0DF4BEF5">
        <w:rPr>
          <w:rFonts w:eastAsia="Arial"/>
        </w:rPr>
        <w:t xml:space="preserve">MDCCs where </w:t>
      </w:r>
      <w:bookmarkStart w:id="23" w:name="_Int_OVepC6R5"/>
      <w:r w:rsidRPr="0DF4BEF5">
        <w:rPr>
          <w:rFonts w:eastAsia="Arial"/>
        </w:rPr>
        <w:t>the majority of</w:t>
      </w:r>
      <w:bookmarkEnd w:id="23"/>
      <w:r w:rsidRPr="0DF4BEF5">
        <w:rPr>
          <w:rFonts w:eastAsia="Arial"/>
        </w:rPr>
        <w:t xml:space="preserve"> health care providers participating are medical officers or nurse practitioners (20.56).</w:t>
      </w:r>
    </w:p>
    <w:p w14:paraId="1A5E7336" w14:textId="77777777" w:rsidR="008E420B" w:rsidRPr="008E420B" w:rsidRDefault="008E420B" w:rsidP="008E420B">
      <w:pPr>
        <w:pStyle w:val="Heading1"/>
      </w:pPr>
      <w:bookmarkStart w:id="24" w:name="_Toc97733555"/>
      <w:r w:rsidRPr="008E420B">
        <w:lastRenderedPageBreak/>
        <w:t>Reporting</w:t>
      </w:r>
      <w:bookmarkEnd w:id="24"/>
    </w:p>
    <w:p w14:paraId="3476A1C1" w14:textId="2400419A" w:rsidR="008E420B" w:rsidRPr="008E420B" w:rsidRDefault="008E420B" w:rsidP="008E420B">
      <w:pPr>
        <w:keepNext/>
        <w:keepLines/>
        <w:rPr>
          <w:rFonts w:eastAsia="Times"/>
        </w:rPr>
      </w:pPr>
      <w:r w:rsidRPr="0DF4BEF5">
        <w:rPr>
          <w:rFonts w:eastAsia="Times"/>
        </w:rPr>
        <w:t xml:space="preserve">MDCC data can currently be reported to the department in VINAH (patient level), NADC (patient level) and </w:t>
      </w:r>
      <w:bookmarkStart w:id="25" w:name="_Int_TJVjzW5o"/>
      <w:r w:rsidRPr="0DF4BEF5">
        <w:rPr>
          <w:rFonts w:eastAsia="Times"/>
        </w:rPr>
        <w:t>AIMS</w:t>
      </w:r>
      <w:bookmarkEnd w:id="25"/>
      <w:r w:rsidRPr="0DF4BEF5">
        <w:rPr>
          <w:rFonts w:eastAsia="Times"/>
        </w:rPr>
        <w:t xml:space="preserve"> (aggregate)</w:t>
      </w:r>
      <w:bookmarkStart w:id="26" w:name="_Int_uI70KROT"/>
      <w:r w:rsidRPr="0DF4BEF5">
        <w:rPr>
          <w:rFonts w:eastAsia="Times"/>
        </w:rPr>
        <w:t xml:space="preserve">. </w:t>
      </w:r>
      <w:bookmarkEnd w:id="26"/>
      <w:r w:rsidRPr="0DF4BEF5">
        <w:rPr>
          <w:rFonts w:eastAsia="Times"/>
        </w:rPr>
        <w:t>Additionally, the department is working to develop extracts of NADC data directly from Queensland Oncology On-Line Victoria (QOOL-Vic) for health services that are using this software and request to use this method for reporting oncology MDCC.</w:t>
      </w:r>
    </w:p>
    <w:p w14:paraId="4628395D" w14:textId="77777777" w:rsidR="008E420B" w:rsidRPr="008E420B" w:rsidRDefault="008E420B" w:rsidP="008E420B">
      <w:pPr>
        <w:pStyle w:val="Heading2"/>
      </w:pPr>
      <w:bookmarkStart w:id="27" w:name="_Toc97733556"/>
      <w:r w:rsidRPr="008E420B">
        <w:t>Specialist clinics</w:t>
      </w:r>
      <w:bookmarkEnd w:id="27"/>
      <w:r w:rsidRPr="008E420B">
        <w:t xml:space="preserve"> </w:t>
      </w:r>
    </w:p>
    <w:p w14:paraId="102D6CDF" w14:textId="772397DD" w:rsidR="008E420B" w:rsidRPr="008E420B" w:rsidRDefault="008E420B" w:rsidP="008E420B">
      <w:pPr>
        <w:rPr>
          <w:rFonts w:eastAsia="Times"/>
        </w:rPr>
      </w:pPr>
      <w:r w:rsidRPr="0DF4BEF5">
        <w:rPr>
          <w:rFonts w:eastAsia="Times"/>
        </w:rPr>
        <w:t>To enable reporting of MDCC for specialist clinics, health services should register clinics for MDCC in the Non-Admitted Clinic Management System (NACMS)</w:t>
      </w:r>
      <w:bookmarkStart w:id="28" w:name="_Int_UCFkyLRw"/>
      <w:r w:rsidRPr="0DF4BEF5">
        <w:rPr>
          <w:rFonts w:eastAsia="Times"/>
        </w:rPr>
        <w:t xml:space="preserve">. </w:t>
      </w:r>
      <w:bookmarkEnd w:id="28"/>
      <w:r w:rsidRPr="0DF4BEF5">
        <w:rPr>
          <w:rFonts w:eastAsia="Times"/>
        </w:rPr>
        <w:t>This will provide the Clinic Identifier used for MDCC reporting through AIMS S10, VINAH and the Non-Admitted Data Collection (NADC).</w:t>
      </w:r>
    </w:p>
    <w:p w14:paraId="39B65073" w14:textId="77777777" w:rsidR="008E420B" w:rsidRPr="008E420B" w:rsidRDefault="008E420B" w:rsidP="008E420B">
      <w:pPr>
        <w:rPr>
          <w:rFonts w:eastAsia="Times"/>
        </w:rPr>
      </w:pPr>
      <w:r w:rsidRPr="008E420B">
        <w:rPr>
          <w:rFonts w:eastAsia="Times"/>
        </w:rPr>
        <w:t>When registering MDCC clinics in NACMS, it is important to note the Inclusion and Exclusion notes for Tier 2 classes 20.56 and 40.62.  A MDCC clinic registered as Tier 2:</w:t>
      </w:r>
    </w:p>
    <w:p w14:paraId="2239106A" w14:textId="77777777" w:rsidR="008E420B" w:rsidRPr="008E420B" w:rsidRDefault="008E420B" w:rsidP="008E420B">
      <w:pPr>
        <w:numPr>
          <w:ilvl w:val="0"/>
          <w:numId w:val="7"/>
        </w:numPr>
        <w:spacing w:after="40"/>
        <w:rPr>
          <w:rFonts w:eastAsia="Times"/>
        </w:rPr>
      </w:pPr>
      <w:r w:rsidRPr="0DF4BEF5">
        <w:rPr>
          <w:rFonts w:eastAsia="Times"/>
        </w:rPr>
        <w:t>20.56—</w:t>
      </w:r>
      <w:bookmarkStart w:id="29" w:name="_Int_PTiY610I"/>
      <w:r w:rsidRPr="0DF4BEF5">
        <w:rPr>
          <w:rFonts w:eastAsia="Times"/>
          <w:b/>
          <w:bCs/>
        </w:rPr>
        <w:t>the majority of</w:t>
      </w:r>
      <w:bookmarkEnd w:id="29"/>
      <w:r w:rsidRPr="0DF4BEF5">
        <w:rPr>
          <w:rFonts w:eastAsia="Times"/>
          <w:b/>
          <w:bCs/>
        </w:rPr>
        <w:t xml:space="preserve"> the health care providers</w:t>
      </w:r>
      <w:r w:rsidRPr="0DF4BEF5">
        <w:rPr>
          <w:rFonts w:eastAsia="Times"/>
        </w:rPr>
        <w:t xml:space="preserve"> participating in the MDCC are medical officers or nurse practitioners</w:t>
      </w:r>
    </w:p>
    <w:p w14:paraId="023774AC" w14:textId="77777777" w:rsidR="008E420B" w:rsidRPr="008E420B" w:rsidRDefault="008E420B" w:rsidP="008E420B">
      <w:pPr>
        <w:numPr>
          <w:ilvl w:val="0"/>
          <w:numId w:val="7"/>
        </w:numPr>
        <w:spacing w:after="40"/>
        <w:rPr>
          <w:rFonts w:eastAsia="Times"/>
        </w:rPr>
      </w:pPr>
      <w:r w:rsidRPr="0DF4BEF5">
        <w:rPr>
          <w:rFonts w:eastAsia="Times"/>
        </w:rPr>
        <w:t>40.62—</w:t>
      </w:r>
      <w:bookmarkStart w:id="30" w:name="_Int_lUO4K2rc"/>
      <w:r w:rsidRPr="0DF4BEF5">
        <w:rPr>
          <w:rFonts w:eastAsia="Times"/>
          <w:b/>
          <w:bCs/>
        </w:rPr>
        <w:t>the majority of</w:t>
      </w:r>
      <w:bookmarkEnd w:id="30"/>
      <w:r w:rsidRPr="0DF4BEF5">
        <w:rPr>
          <w:rFonts w:eastAsia="Times"/>
          <w:b/>
          <w:bCs/>
        </w:rPr>
        <w:t xml:space="preserve"> the health care providers</w:t>
      </w:r>
      <w:r w:rsidRPr="0DF4BEF5">
        <w:rPr>
          <w:rFonts w:eastAsia="Times"/>
        </w:rPr>
        <w:t xml:space="preserve"> participating in the MDCC are allied health or nurse professionals.</w:t>
      </w:r>
    </w:p>
    <w:p w14:paraId="2483ACDF" w14:textId="77777777" w:rsidR="008E420B" w:rsidRPr="008E420B" w:rsidRDefault="008E420B" w:rsidP="008E420B">
      <w:pPr>
        <w:rPr>
          <w:rFonts w:eastAsia="Times"/>
        </w:rPr>
      </w:pPr>
      <w:r w:rsidRPr="0DF4BEF5">
        <w:rPr>
          <w:rFonts w:eastAsia="Times"/>
        </w:rPr>
        <w:t xml:space="preserve">The presence of a single medical officer or nurse practitioner does not determine allocation to the medical consultation Tier 2. Instead, the Tier 2 class should be determined based on whether </w:t>
      </w:r>
      <w:bookmarkStart w:id="31" w:name="_Int_d0KHYRsw"/>
      <w:r w:rsidRPr="0DF4BEF5">
        <w:rPr>
          <w:rFonts w:eastAsia="Times"/>
        </w:rPr>
        <w:t>the majority of</w:t>
      </w:r>
      <w:bookmarkEnd w:id="31"/>
      <w:r w:rsidRPr="0DF4BEF5">
        <w:rPr>
          <w:rFonts w:eastAsia="Times"/>
        </w:rPr>
        <w:t xml:space="preserve"> health care providers participating in the MDCC are medical/nurse practitioners or allied health/nurse professionals.</w:t>
      </w:r>
    </w:p>
    <w:p w14:paraId="6A8BBE4E" w14:textId="77777777" w:rsidR="008E420B" w:rsidRPr="008E420B" w:rsidRDefault="008E420B" w:rsidP="008E420B">
      <w:pPr>
        <w:rPr>
          <w:rFonts w:eastAsia="Times"/>
        </w:rPr>
      </w:pPr>
      <w:r w:rsidRPr="008E420B">
        <w:rPr>
          <w:rFonts w:eastAsia="Times"/>
        </w:rPr>
        <w:t xml:space="preserve">Activity at all specialist clinics must be reported at the campus registered for that clinic on NACMS. </w:t>
      </w:r>
    </w:p>
    <w:p w14:paraId="0E109845" w14:textId="06CEE7B4" w:rsidR="008E420B" w:rsidRPr="008E420B" w:rsidRDefault="008E420B" w:rsidP="008E420B">
      <w:pPr>
        <w:pStyle w:val="Heading2"/>
      </w:pPr>
      <w:bookmarkStart w:id="32" w:name="_Toc97733557"/>
      <w:r w:rsidRPr="008E420B">
        <w:t>Other non-admitted</w:t>
      </w:r>
      <w:r>
        <w:t xml:space="preserve"> </w:t>
      </w:r>
      <w:r w:rsidRPr="008E420B">
        <w:t>programs</w:t>
      </w:r>
      <w:bookmarkEnd w:id="32"/>
    </w:p>
    <w:p w14:paraId="2DAE520E" w14:textId="77777777" w:rsidR="008E420B" w:rsidRPr="008E420B" w:rsidRDefault="008E420B" w:rsidP="008E420B">
      <w:pPr>
        <w:rPr>
          <w:rFonts w:eastAsia="Times"/>
        </w:rPr>
      </w:pPr>
      <w:r w:rsidRPr="008E420B">
        <w:rPr>
          <w:rFonts w:eastAsia="Times"/>
        </w:rPr>
        <w:t>Subacute programs in scope for MDCC reporting include contacts under the following Episode Programs:</w:t>
      </w:r>
    </w:p>
    <w:p w14:paraId="138EA567" w14:textId="77777777" w:rsidR="008E420B" w:rsidRPr="008E420B" w:rsidRDefault="008E420B" w:rsidP="008E420B">
      <w:pPr>
        <w:numPr>
          <w:ilvl w:val="0"/>
          <w:numId w:val="7"/>
        </w:numPr>
        <w:spacing w:after="40"/>
        <w:rPr>
          <w:rFonts w:eastAsia="Times"/>
        </w:rPr>
      </w:pPr>
      <w:r w:rsidRPr="008E420B">
        <w:rPr>
          <w:rFonts w:eastAsia="Times"/>
        </w:rPr>
        <w:t xml:space="preserve">Family Choice Program </w:t>
      </w:r>
    </w:p>
    <w:p w14:paraId="626C0A60" w14:textId="77777777" w:rsidR="008E420B" w:rsidRPr="008E420B" w:rsidRDefault="008E420B" w:rsidP="008E420B">
      <w:pPr>
        <w:numPr>
          <w:ilvl w:val="0"/>
          <w:numId w:val="7"/>
        </w:numPr>
        <w:spacing w:after="40"/>
        <w:rPr>
          <w:rFonts w:eastAsia="Times"/>
        </w:rPr>
      </w:pPr>
      <w:r w:rsidRPr="008E420B">
        <w:rPr>
          <w:rFonts w:eastAsia="Times"/>
        </w:rPr>
        <w:t xml:space="preserve">Hospital Admission Risk Program </w:t>
      </w:r>
    </w:p>
    <w:p w14:paraId="65D6FA49" w14:textId="77777777" w:rsidR="008E420B" w:rsidRPr="008E420B" w:rsidRDefault="008E420B" w:rsidP="008E420B">
      <w:pPr>
        <w:numPr>
          <w:ilvl w:val="0"/>
          <w:numId w:val="7"/>
        </w:numPr>
        <w:spacing w:after="40"/>
        <w:rPr>
          <w:rFonts w:eastAsia="Times"/>
        </w:rPr>
      </w:pPr>
      <w:r w:rsidRPr="008E420B">
        <w:rPr>
          <w:rFonts w:eastAsia="Times"/>
        </w:rPr>
        <w:t xml:space="preserve">Post-acute Care </w:t>
      </w:r>
    </w:p>
    <w:p w14:paraId="034CB490" w14:textId="77777777" w:rsidR="008E420B" w:rsidRPr="008E420B" w:rsidRDefault="008E420B" w:rsidP="008E420B">
      <w:pPr>
        <w:numPr>
          <w:ilvl w:val="0"/>
          <w:numId w:val="7"/>
        </w:numPr>
        <w:spacing w:after="40"/>
        <w:rPr>
          <w:rFonts w:eastAsia="Times"/>
        </w:rPr>
      </w:pPr>
      <w:r w:rsidRPr="008E420B">
        <w:rPr>
          <w:rFonts w:eastAsia="Times"/>
        </w:rPr>
        <w:t xml:space="preserve">Community Palliative Care </w:t>
      </w:r>
    </w:p>
    <w:p w14:paraId="30B7BD53" w14:textId="77777777" w:rsidR="008E420B" w:rsidRPr="008E420B" w:rsidRDefault="008E420B" w:rsidP="008E420B">
      <w:pPr>
        <w:numPr>
          <w:ilvl w:val="0"/>
          <w:numId w:val="7"/>
        </w:numPr>
        <w:spacing w:after="40"/>
        <w:rPr>
          <w:rFonts w:eastAsia="Times"/>
        </w:rPr>
      </w:pPr>
      <w:r w:rsidRPr="008E420B">
        <w:rPr>
          <w:rFonts w:eastAsia="Times"/>
        </w:rPr>
        <w:t xml:space="preserve">Residential In-Reach </w:t>
      </w:r>
    </w:p>
    <w:p w14:paraId="13E6D7CC" w14:textId="77777777" w:rsidR="008E420B" w:rsidRPr="008E420B" w:rsidRDefault="008E420B" w:rsidP="008E420B">
      <w:pPr>
        <w:numPr>
          <w:ilvl w:val="0"/>
          <w:numId w:val="7"/>
        </w:numPr>
        <w:spacing w:after="40"/>
        <w:rPr>
          <w:rFonts w:eastAsia="Times"/>
        </w:rPr>
      </w:pPr>
      <w:r w:rsidRPr="008E420B">
        <w:rPr>
          <w:rFonts w:eastAsia="Times"/>
        </w:rPr>
        <w:t xml:space="preserve">Subacute Care Services </w:t>
      </w:r>
    </w:p>
    <w:p w14:paraId="19F171E5" w14:textId="77777777" w:rsidR="008E420B" w:rsidRPr="008E420B" w:rsidRDefault="008E420B" w:rsidP="008E420B">
      <w:pPr>
        <w:numPr>
          <w:ilvl w:val="0"/>
          <w:numId w:val="7"/>
        </w:numPr>
        <w:spacing w:after="40"/>
        <w:rPr>
          <w:rFonts w:eastAsia="Times"/>
        </w:rPr>
      </w:pPr>
      <w:r w:rsidRPr="008E420B">
        <w:rPr>
          <w:rFonts w:eastAsia="Times"/>
        </w:rPr>
        <w:t>Victorian Artificial Limb program</w:t>
      </w:r>
    </w:p>
    <w:p w14:paraId="5EAB2E4A" w14:textId="77777777" w:rsidR="008E420B" w:rsidRPr="008E420B" w:rsidRDefault="008E420B" w:rsidP="008E420B">
      <w:pPr>
        <w:numPr>
          <w:ilvl w:val="0"/>
          <w:numId w:val="7"/>
        </w:numPr>
        <w:spacing w:after="40"/>
        <w:rPr>
          <w:rFonts w:eastAsia="Times"/>
        </w:rPr>
      </w:pPr>
      <w:r w:rsidRPr="008E420B">
        <w:rPr>
          <w:rFonts w:eastAsia="Times"/>
        </w:rPr>
        <w:t>Victorian HIV Service</w:t>
      </w:r>
    </w:p>
    <w:p w14:paraId="681BAD63" w14:textId="77777777" w:rsidR="008E420B" w:rsidRPr="008E420B" w:rsidRDefault="008E420B" w:rsidP="008E420B">
      <w:pPr>
        <w:numPr>
          <w:ilvl w:val="0"/>
          <w:numId w:val="7"/>
        </w:numPr>
        <w:spacing w:after="40"/>
        <w:rPr>
          <w:rFonts w:eastAsia="Times"/>
        </w:rPr>
      </w:pPr>
      <w:r w:rsidRPr="008E420B">
        <w:rPr>
          <w:rFonts w:eastAsia="Times"/>
        </w:rPr>
        <w:t>Victorian Respiratory Support Service.</w:t>
      </w:r>
    </w:p>
    <w:p w14:paraId="08D7AD5F" w14:textId="77777777" w:rsidR="008E420B" w:rsidRPr="008E420B" w:rsidRDefault="008E420B" w:rsidP="008E420B">
      <w:pPr>
        <w:tabs>
          <w:tab w:val="left" w:pos="6180"/>
        </w:tabs>
      </w:pPr>
    </w:p>
    <w:p w14:paraId="5522D965" w14:textId="77777777" w:rsidR="008E420B" w:rsidRPr="008E420B" w:rsidRDefault="008E420B" w:rsidP="008E420B">
      <w:r w:rsidRPr="008E420B">
        <w:t>MDCC are not in scope (and are therefore not reported) for the following Episode Programs:</w:t>
      </w:r>
    </w:p>
    <w:p w14:paraId="34FAE743" w14:textId="77777777" w:rsidR="008E420B" w:rsidRPr="008E420B" w:rsidRDefault="008E420B" w:rsidP="008E420B">
      <w:pPr>
        <w:numPr>
          <w:ilvl w:val="0"/>
          <w:numId w:val="7"/>
        </w:numPr>
        <w:spacing w:after="40"/>
        <w:rPr>
          <w:rFonts w:eastAsia="Times"/>
        </w:rPr>
      </w:pPr>
      <w:r w:rsidRPr="008E420B">
        <w:rPr>
          <w:rFonts w:eastAsia="Times"/>
        </w:rPr>
        <w:t>Hospital Based Palliative Care Consultancy Team</w:t>
      </w:r>
    </w:p>
    <w:p w14:paraId="1886BA94" w14:textId="77777777" w:rsidR="008E420B" w:rsidRPr="008E420B" w:rsidRDefault="008E420B" w:rsidP="008E420B">
      <w:pPr>
        <w:numPr>
          <w:ilvl w:val="0"/>
          <w:numId w:val="7"/>
        </w:numPr>
        <w:spacing w:after="40"/>
        <w:rPr>
          <w:rFonts w:eastAsia="Times"/>
        </w:rPr>
      </w:pPr>
      <w:r w:rsidRPr="008E420B">
        <w:rPr>
          <w:rFonts w:eastAsia="Times"/>
        </w:rPr>
        <w:t>Home based dialysis</w:t>
      </w:r>
    </w:p>
    <w:p w14:paraId="03B06CF4" w14:textId="77777777" w:rsidR="008E420B" w:rsidRPr="008E420B" w:rsidRDefault="008E420B" w:rsidP="008E420B">
      <w:pPr>
        <w:numPr>
          <w:ilvl w:val="0"/>
          <w:numId w:val="7"/>
        </w:numPr>
        <w:spacing w:after="40"/>
        <w:rPr>
          <w:rFonts w:eastAsia="Times"/>
        </w:rPr>
      </w:pPr>
      <w:r w:rsidRPr="008E420B">
        <w:rPr>
          <w:rFonts w:eastAsia="Times"/>
        </w:rPr>
        <w:t>Home Enteral Nutrition</w:t>
      </w:r>
    </w:p>
    <w:p w14:paraId="22506E10" w14:textId="77777777" w:rsidR="008E420B" w:rsidRPr="008E420B" w:rsidRDefault="008E420B" w:rsidP="008E420B">
      <w:pPr>
        <w:numPr>
          <w:ilvl w:val="0"/>
          <w:numId w:val="7"/>
        </w:numPr>
        <w:spacing w:after="40"/>
        <w:rPr>
          <w:rFonts w:eastAsia="Times"/>
        </w:rPr>
      </w:pPr>
      <w:r w:rsidRPr="008E420B">
        <w:rPr>
          <w:rFonts w:eastAsia="Times"/>
        </w:rPr>
        <w:t>Transitional Care Program</w:t>
      </w:r>
    </w:p>
    <w:p w14:paraId="029B0FBE" w14:textId="77777777" w:rsidR="008E420B" w:rsidRPr="008E420B" w:rsidRDefault="008E420B" w:rsidP="008E420B">
      <w:pPr>
        <w:numPr>
          <w:ilvl w:val="0"/>
          <w:numId w:val="7"/>
        </w:numPr>
        <w:spacing w:after="40"/>
        <w:rPr>
          <w:rFonts w:eastAsia="Times"/>
        </w:rPr>
      </w:pPr>
      <w:r w:rsidRPr="008E420B">
        <w:rPr>
          <w:rFonts w:eastAsia="Times"/>
        </w:rPr>
        <w:t>Total Parenteral Nutrition (home delivered).</w:t>
      </w:r>
    </w:p>
    <w:p w14:paraId="11B79AC8" w14:textId="77777777" w:rsidR="008E420B" w:rsidRPr="008E420B" w:rsidRDefault="008E420B" w:rsidP="008E420B">
      <w:pPr>
        <w:rPr>
          <w:rFonts w:eastAsia="Times"/>
        </w:rPr>
      </w:pPr>
      <w:r w:rsidRPr="008E420B">
        <w:rPr>
          <w:rFonts w:eastAsia="Times"/>
        </w:rPr>
        <w:t>For subacute services, the Tier 2 class is determined by the health professional/s providing the service. No clinic registration is required.</w:t>
      </w:r>
    </w:p>
    <w:p w14:paraId="4BB9AB52" w14:textId="77777777" w:rsidR="008E420B" w:rsidRPr="008E420B" w:rsidRDefault="008E420B" w:rsidP="008E420B">
      <w:pPr>
        <w:pStyle w:val="Heading2"/>
      </w:pPr>
      <w:bookmarkStart w:id="33" w:name="_Toc97733558"/>
      <w:r w:rsidRPr="008E420B">
        <w:lastRenderedPageBreak/>
        <w:t>VINAH</w:t>
      </w:r>
      <w:bookmarkEnd w:id="33"/>
    </w:p>
    <w:p w14:paraId="2CEE5044" w14:textId="2CECE21A" w:rsidR="008E420B" w:rsidRPr="008E420B" w:rsidRDefault="008E420B" w:rsidP="008E420B">
      <w:pPr>
        <w:keepNext/>
        <w:keepLines/>
        <w:spacing w:after="40"/>
        <w:rPr>
          <w:rFonts w:eastAsia="Times"/>
        </w:rPr>
      </w:pPr>
      <w:r w:rsidRPr="0DF4BEF5">
        <w:rPr>
          <w:rFonts w:eastAsia="Times"/>
        </w:rPr>
        <w:t>The following combination of data is required for reporting MDCC contacts in VINAH</w:t>
      </w:r>
      <w:bookmarkStart w:id="34" w:name="_Int_PC1VG1cl"/>
      <w:r w:rsidRPr="0DF4BEF5">
        <w:rPr>
          <w:rFonts w:eastAsia="Times"/>
        </w:rPr>
        <w:t xml:space="preserve">. </w:t>
      </w:r>
      <w:bookmarkEnd w:id="34"/>
      <w:r w:rsidRPr="0DF4BEF5">
        <w:rPr>
          <w:rFonts w:eastAsia="Times"/>
        </w:rPr>
        <w:t xml:space="preserve">For specialist clinics, report the </w:t>
      </w:r>
      <w:r w:rsidRPr="0DF4BEF5">
        <w:rPr>
          <w:rFonts w:eastAsia="Times"/>
          <w:i/>
          <w:iCs/>
        </w:rPr>
        <w:t>Contact Clinic Identifier</w:t>
      </w:r>
      <w:r w:rsidRPr="0DF4BEF5">
        <w:rPr>
          <w:rFonts w:eastAsia="Times"/>
        </w:rPr>
        <w:t xml:space="preserve"> for the registered MDCC clinic. </w:t>
      </w:r>
    </w:p>
    <w:p w14:paraId="4D8A149F" w14:textId="77777777" w:rsidR="008E420B" w:rsidRPr="008E420B" w:rsidRDefault="008E420B" w:rsidP="008E420B">
      <w:pPr>
        <w:keepNext/>
        <w:keepLines/>
        <w:spacing w:after="40"/>
        <w:ind w:left="284" w:hanging="284"/>
        <w:rPr>
          <w:rFonts w:eastAsia="Times"/>
        </w:rPr>
      </w:pPr>
    </w:p>
    <w:tbl>
      <w:tblPr>
        <w:tblStyle w:val="TableGrid"/>
        <w:tblW w:w="0" w:type="auto"/>
        <w:tblLook w:val="04A0" w:firstRow="1" w:lastRow="0" w:firstColumn="1" w:lastColumn="0" w:noHBand="0" w:noVBand="1"/>
      </w:tblPr>
      <w:tblGrid>
        <w:gridCol w:w="3567"/>
        <w:gridCol w:w="823"/>
        <w:gridCol w:w="5804"/>
      </w:tblGrid>
      <w:tr w:rsidR="008E420B" w:rsidRPr="008E420B" w14:paraId="11FF7108" w14:textId="77777777" w:rsidTr="0DF4BEF5">
        <w:tc>
          <w:tcPr>
            <w:tcW w:w="3567" w:type="dxa"/>
          </w:tcPr>
          <w:p w14:paraId="45460262" w14:textId="77777777" w:rsidR="008E420B" w:rsidRPr="008E420B" w:rsidRDefault="008E420B" w:rsidP="008E420B">
            <w:pPr>
              <w:keepNext/>
              <w:keepLines/>
              <w:spacing w:before="80" w:after="60" w:line="240" w:lineRule="auto"/>
              <w:rPr>
                <w:b/>
                <w:color w:val="53565A"/>
              </w:rPr>
            </w:pPr>
            <w:r w:rsidRPr="008E420B">
              <w:rPr>
                <w:b/>
                <w:color w:val="53565A"/>
              </w:rPr>
              <w:t>Data item</w:t>
            </w:r>
          </w:p>
        </w:tc>
        <w:tc>
          <w:tcPr>
            <w:tcW w:w="823" w:type="dxa"/>
          </w:tcPr>
          <w:p w14:paraId="29D655A6" w14:textId="77777777" w:rsidR="008E420B" w:rsidRPr="008E420B" w:rsidRDefault="008E420B" w:rsidP="008E420B">
            <w:pPr>
              <w:keepNext/>
              <w:keepLines/>
              <w:spacing w:before="80" w:after="60" w:line="240" w:lineRule="auto"/>
              <w:jc w:val="center"/>
              <w:rPr>
                <w:b/>
                <w:color w:val="53565A"/>
              </w:rPr>
            </w:pPr>
            <w:r w:rsidRPr="008E420B">
              <w:rPr>
                <w:b/>
                <w:color w:val="53565A"/>
              </w:rPr>
              <w:t>Code</w:t>
            </w:r>
          </w:p>
        </w:tc>
        <w:tc>
          <w:tcPr>
            <w:tcW w:w="5804" w:type="dxa"/>
          </w:tcPr>
          <w:p w14:paraId="1EA0984C" w14:textId="77777777" w:rsidR="008E420B" w:rsidRPr="008E420B" w:rsidRDefault="008E420B" w:rsidP="008E420B">
            <w:pPr>
              <w:keepNext/>
              <w:keepLines/>
              <w:spacing w:before="80" w:after="60" w:line="240" w:lineRule="auto"/>
              <w:rPr>
                <w:b/>
                <w:color w:val="53565A"/>
              </w:rPr>
            </w:pPr>
            <w:r w:rsidRPr="008E420B">
              <w:rPr>
                <w:b/>
                <w:color w:val="53565A"/>
              </w:rPr>
              <w:t>Description</w:t>
            </w:r>
          </w:p>
        </w:tc>
      </w:tr>
      <w:tr w:rsidR="008E420B" w:rsidRPr="008E420B" w14:paraId="42F2D3D0" w14:textId="77777777" w:rsidTr="0DF4BEF5">
        <w:tc>
          <w:tcPr>
            <w:tcW w:w="3567" w:type="dxa"/>
          </w:tcPr>
          <w:p w14:paraId="0F9FF615" w14:textId="77777777" w:rsidR="008E420B" w:rsidRPr="008E420B" w:rsidRDefault="008E420B" w:rsidP="008E420B">
            <w:pPr>
              <w:keepNext/>
              <w:keepLines/>
              <w:rPr>
                <w:rFonts w:eastAsia="Times"/>
              </w:rPr>
            </w:pPr>
            <w:r w:rsidRPr="008E420B">
              <w:rPr>
                <w:rFonts w:eastAsia="Times"/>
              </w:rPr>
              <w:t>Contact Client Present Status</w:t>
            </w:r>
          </w:p>
        </w:tc>
        <w:tc>
          <w:tcPr>
            <w:tcW w:w="823" w:type="dxa"/>
          </w:tcPr>
          <w:p w14:paraId="06B0439F" w14:textId="77777777" w:rsidR="008E420B" w:rsidRPr="008E420B" w:rsidRDefault="008E420B" w:rsidP="008E420B">
            <w:pPr>
              <w:keepNext/>
              <w:keepLines/>
              <w:jc w:val="center"/>
              <w:rPr>
                <w:rFonts w:eastAsia="Times"/>
              </w:rPr>
            </w:pPr>
            <w:r w:rsidRPr="008E420B">
              <w:rPr>
                <w:rFonts w:eastAsia="Times"/>
              </w:rPr>
              <w:t>31</w:t>
            </w:r>
          </w:p>
        </w:tc>
        <w:tc>
          <w:tcPr>
            <w:tcW w:w="5804" w:type="dxa"/>
          </w:tcPr>
          <w:p w14:paraId="331EE2E2" w14:textId="77777777" w:rsidR="008E420B" w:rsidRPr="008E420B" w:rsidRDefault="008E420B" w:rsidP="008E420B">
            <w:pPr>
              <w:keepNext/>
              <w:keepLines/>
              <w:rPr>
                <w:rFonts w:eastAsia="Times"/>
              </w:rPr>
            </w:pPr>
            <w:r w:rsidRPr="008E420B">
              <w:rPr>
                <w:rFonts w:eastAsia="Times"/>
                <w:szCs w:val="21"/>
              </w:rPr>
              <w:t>Patient/Client/Carer(s)/Relative(s) not present: Indirect contact</w:t>
            </w:r>
          </w:p>
        </w:tc>
      </w:tr>
      <w:tr w:rsidR="008E420B" w:rsidRPr="008E420B" w14:paraId="7BACA98F" w14:textId="77777777" w:rsidTr="0DF4BEF5">
        <w:tc>
          <w:tcPr>
            <w:tcW w:w="3567" w:type="dxa"/>
          </w:tcPr>
          <w:p w14:paraId="78B4B8FD" w14:textId="77777777" w:rsidR="008E420B" w:rsidRPr="008E420B" w:rsidRDefault="008E420B" w:rsidP="008E420B">
            <w:pPr>
              <w:rPr>
                <w:rFonts w:eastAsia="Times"/>
              </w:rPr>
            </w:pPr>
            <w:r w:rsidRPr="008E420B">
              <w:rPr>
                <w:rFonts w:eastAsia="Times"/>
              </w:rPr>
              <w:t>Contact Clinic Identifier</w:t>
            </w:r>
          </w:p>
        </w:tc>
        <w:tc>
          <w:tcPr>
            <w:tcW w:w="823" w:type="dxa"/>
          </w:tcPr>
          <w:p w14:paraId="4829A75D" w14:textId="77777777" w:rsidR="008E420B" w:rsidRPr="008E420B" w:rsidRDefault="008E420B" w:rsidP="008E420B">
            <w:pPr>
              <w:jc w:val="center"/>
              <w:rPr>
                <w:rFonts w:eastAsia="Times"/>
              </w:rPr>
            </w:pPr>
          </w:p>
        </w:tc>
        <w:tc>
          <w:tcPr>
            <w:tcW w:w="5804" w:type="dxa"/>
          </w:tcPr>
          <w:p w14:paraId="01067288" w14:textId="77777777" w:rsidR="008E420B" w:rsidRPr="008E420B" w:rsidRDefault="008E420B" w:rsidP="008E420B">
            <w:pPr>
              <w:rPr>
                <w:rFonts w:eastAsia="Times"/>
                <w:i/>
                <w:iCs/>
              </w:rPr>
            </w:pPr>
            <w:r w:rsidRPr="008E420B">
              <w:rPr>
                <w:rFonts w:eastAsia="Times"/>
                <w:i/>
                <w:iCs/>
              </w:rPr>
              <w:t>Report the appropriate MDCC clinic identifier.</w:t>
            </w:r>
          </w:p>
          <w:p w14:paraId="6F64736A" w14:textId="77777777" w:rsidR="008E420B" w:rsidRPr="008E420B" w:rsidRDefault="008E420B" w:rsidP="008E420B">
            <w:pPr>
              <w:rPr>
                <w:rFonts w:eastAsia="Times"/>
              </w:rPr>
            </w:pPr>
            <w:r w:rsidRPr="008E420B">
              <w:rPr>
                <w:rFonts w:eastAsia="Times"/>
                <w:i/>
                <w:iCs/>
              </w:rPr>
              <w:t>Specialist clinics only</w:t>
            </w:r>
          </w:p>
        </w:tc>
      </w:tr>
      <w:tr w:rsidR="008E420B" w:rsidRPr="008E420B" w14:paraId="128C60DE" w14:textId="77777777" w:rsidTr="0DF4BEF5">
        <w:tc>
          <w:tcPr>
            <w:tcW w:w="3567" w:type="dxa"/>
          </w:tcPr>
          <w:p w14:paraId="29F1C8AA" w14:textId="77777777" w:rsidR="008E420B" w:rsidRPr="008E420B" w:rsidRDefault="008E420B" w:rsidP="008E420B">
            <w:pPr>
              <w:rPr>
                <w:rFonts w:eastAsia="Times"/>
              </w:rPr>
            </w:pPr>
            <w:r w:rsidRPr="008E420B">
              <w:rPr>
                <w:rFonts w:eastAsia="Times"/>
              </w:rPr>
              <w:t>Contact Delivery Mode</w:t>
            </w:r>
          </w:p>
        </w:tc>
        <w:tc>
          <w:tcPr>
            <w:tcW w:w="823" w:type="dxa"/>
          </w:tcPr>
          <w:p w14:paraId="3BABE305" w14:textId="77777777" w:rsidR="008E420B" w:rsidRPr="008E420B" w:rsidRDefault="008E420B" w:rsidP="008E420B">
            <w:pPr>
              <w:jc w:val="center"/>
              <w:rPr>
                <w:rFonts w:eastAsia="Times"/>
              </w:rPr>
            </w:pPr>
            <w:r w:rsidRPr="008E420B">
              <w:rPr>
                <w:rFonts w:eastAsia="Times"/>
              </w:rPr>
              <w:t>9</w:t>
            </w:r>
          </w:p>
        </w:tc>
        <w:tc>
          <w:tcPr>
            <w:tcW w:w="5804" w:type="dxa"/>
          </w:tcPr>
          <w:p w14:paraId="4C3118AC" w14:textId="77777777" w:rsidR="008E420B" w:rsidRPr="008E420B" w:rsidRDefault="008E420B" w:rsidP="008E420B">
            <w:pPr>
              <w:rPr>
                <w:rFonts w:eastAsia="Times"/>
              </w:rPr>
            </w:pPr>
            <w:r w:rsidRPr="008E420B">
              <w:rPr>
                <w:rFonts w:eastAsia="Times"/>
              </w:rPr>
              <w:t>Not applicable</w:t>
            </w:r>
          </w:p>
        </w:tc>
      </w:tr>
      <w:tr w:rsidR="008E420B" w:rsidRPr="008E420B" w14:paraId="2BF1B787" w14:textId="77777777" w:rsidTr="0DF4BEF5">
        <w:tc>
          <w:tcPr>
            <w:tcW w:w="3567" w:type="dxa"/>
          </w:tcPr>
          <w:p w14:paraId="2E6CEB15" w14:textId="77777777" w:rsidR="008E420B" w:rsidRPr="008E420B" w:rsidRDefault="008E420B" w:rsidP="008E420B">
            <w:pPr>
              <w:rPr>
                <w:rFonts w:eastAsia="Times"/>
              </w:rPr>
            </w:pPr>
            <w:r w:rsidRPr="008E420B">
              <w:rPr>
                <w:rFonts w:eastAsia="Times"/>
              </w:rPr>
              <w:t>Contact Delivery Setting</w:t>
            </w:r>
          </w:p>
        </w:tc>
        <w:tc>
          <w:tcPr>
            <w:tcW w:w="823" w:type="dxa"/>
          </w:tcPr>
          <w:p w14:paraId="23835494" w14:textId="77777777" w:rsidR="008E420B" w:rsidRPr="008E420B" w:rsidRDefault="008E420B" w:rsidP="008E420B">
            <w:pPr>
              <w:jc w:val="center"/>
              <w:rPr>
                <w:rFonts w:eastAsia="Times"/>
              </w:rPr>
            </w:pPr>
            <w:r w:rsidRPr="008E420B">
              <w:rPr>
                <w:rFonts w:eastAsia="Times"/>
              </w:rPr>
              <w:t>98</w:t>
            </w:r>
          </w:p>
        </w:tc>
        <w:tc>
          <w:tcPr>
            <w:tcW w:w="5804" w:type="dxa"/>
          </w:tcPr>
          <w:p w14:paraId="00508457" w14:textId="77777777" w:rsidR="008E420B" w:rsidRPr="008E420B" w:rsidRDefault="008E420B" w:rsidP="008E420B">
            <w:pPr>
              <w:rPr>
                <w:rFonts w:eastAsia="Times"/>
              </w:rPr>
            </w:pPr>
            <w:r w:rsidRPr="008E420B">
              <w:rPr>
                <w:rFonts w:eastAsia="Times"/>
              </w:rPr>
              <w:t>Not applicable</w:t>
            </w:r>
          </w:p>
        </w:tc>
      </w:tr>
      <w:tr w:rsidR="00430681" w:rsidRPr="008E420B" w14:paraId="3DFA4AE7" w14:textId="77777777" w:rsidTr="0DF4BEF5">
        <w:tc>
          <w:tcPr>
            <w:tcW w:w="3567" w:type="dxa"/>
          </w:tcPr>
          <w:p w14:paraId="23E19386" w14:textId="25E67273" w:rsidR="00430681" w:rsidRPr="008E420B" w:rsidRDefault="003679F0" w:rsidP="008E420B">
            <w:pPr>
              <w:rPr>
                <w:rFonts w:eastAsia="Times"/>
              </w:rPr>
            </w:pPr>
            <w:r>
              <w:rPr>
                <w:rFonts w:eastAsia="Times"/>
              </w:rPr>
              <w:t>Contact Inpatient Flag</w:t>
            </w:r>
          </w:p>
        </w:tc>
        <w:tc>
          <w:tcPr>
            <w:tcW w:w="823" w:type="dxa"/>
          </w:tcPr>
          <w:p w14:paraId="1FE54975" w14:textId="77777777" w:rsidR="00430681" w:rsidRPr="008E420B" w:rsidRDefault="00430681" w:rsidP="008E420B">
            <w:pPr>
              <w:jc w:val="center"/>
              <w:rPr>
                <w:rFonts w:eastAsia="Times"/>
              </w:rPr>
            </w:pPr>
          </w:p>
        </w:tc>
        <w:tc>
          <w:tcPr>
            <w:tcW w:w="5804" w:type="dxa"/>
          </w:tcPr>
          <w:p w14:paraId="3A3FD5CF" w14:textId="2B05F141" w:rsidR="00430681" w:rsidRPr="00B32760" w:rsidRDefault="00D03A98" w:rsidP="008E420B">
            <w:pPr>
              <w:rPr>
                <w:rFonts w:eastAsia="Times"/>
              </w:rPr>
            </w:pPr>
            <w:r w:rsidRPr="1D3E4DD0">
              <w:rPr>
                <w:rFonts w:eastAsia="Times"/>
                <w:i/>
                <w:iCs/>
              </w:rPr>
              <w:t>If the patient</w:t>
            </w:r>
            <w:r w:rsidR="0033483E" w:rsidRPr="1D3E4DD0">
              <w:rPr>
                <w:rFonts w:eastAsia="Times"/>
                <w:i/>
                <w:iCs/>
              </w:rPr>
              <w:t>/client</w:t>
            </w:r>
            <w:r w:rsidRPr="1D3E4DD0">
              <w:rPr>
                <w:rFonts w:eastAsia="Times"/>
                <w:i/>
                <w:iCs/>
              </w:rPr>
              <w:t xml:space="preserve"> is an inpatient at any hospital</w:t>
            </w:r>
            <w:r w:rsidR="00B32760" w:rsidRPr="1D3E4DD0">
              <w:rPr>
                <w:rFonts w:eastAsia="Times"/>
                <w:i/>
                <w:iCs/>
              </w:rPr>
              <w:t xml:space="preserve"> at the time of the MDCC</w:t>
            </w:r>
            <w:r w:rsidRPr="1D3E4DD0">
              <w:rPr>
                <w:rFonts w:eastAsia="Times"/>
                <w:i/>
                <w:iCs/>
              </w:rPr>
              <w:t xml:space="preserve">, the Contact Inpatient </w:t>
            </w:r>
            <w:r w:rsidR="0033483E" w:rsidRPr="1D3E4DD0">
              <w:rPr>
                <w:rFonts w:eastAsia="Times"/>
                <w:i/>
                <w:iCs/>
              </w:rPr>
              <w:t>Flag must be reported as I –Yes (Inpatient/Admitted)</w:t>
            </w:r>
            <w:r w:rsidR="00B32760" w:rsidRPr="1D3E4DD0">
              <w:rPr>
                <w:rFonts w:eastAsia="Times"/>
              </w:rPr>
              <w:t>.</w:t>
            </w:r>
          </w:p>
        </w:tc>
      </w:tr>
      <w:tr w:rsidR="008E420B" w:rsidRPr="008E420B" w14:paraId="754B5C38" w14:textId="77777777" w:rsidTr="0DF4BEF5">
        <w:tc>
          <w:tcPr>
            <w:tcW w:w="3567" w:type="dxa"/>
          </w:tcPr>
          <w:p w14:paraId="731A792D" w14:textId="77777777" w:rsidR="008E420B" w:rsidRPr="008E420B" w:rsidRDefault="008E420B" w:rsidP="008E420B">
            <w:pPr>
              <w:rPr>
                <w:rFonts w:eastAsia="Times"/>
              </w:rPr>
            </w:pPr>
            <w:r w:rsidRPr="008E420B">
              <w:rPr>
                <w:rFonts w:eastAsia="Times"/>
              </w:rPr>
              <w:t>Contact Professional Group</w:t>
            </w:r>
          </w:p>
        </w:tc>
        <w:tc>
          <w:tcPr>
            <w:tcW w:w="823" w:type="dxa"/>
          </w:tcPr>
          <w:p w14:paraId="59A7B858" w14:textId="77777777" w:rsidR="008E420B" w:rsidRPr="008E420B" w:rsidRDefault="008E420B" w:rsidP="008E420B">
            <w:pPr>
              <w:jc w:val="center"/>
              <w:rPr>
                <w:rFonts w:eastAsia="Times"/>
              </w:rPr>
            </w:pPr>
          </w:p>
        </w:tc>
        <w:tc>
          <w:tcPr>
            <w:tcW w:w="5804" w:type="dxa"/>
          </w:tcPr>
          <w:p w14:paraId="1257F1B2" w14:textId="77777777" w:rsidR="008E420B" w:rsidRPr="008E420B" w:rsidRDefault="008E420B" w:rsidP="008E420B">
            <w:pPr>
              <w:rPr>
                <w:rFonts w:eastAsia="Times"/>
                <w:i/>
                <w:iCs/>
              </w:rPr>
            </w:pPr>
            <w:r w:rsidRPr="008E420B">
              <w:rPr>
                <w:rFonts w:eastAsia="Times"/>
                <w:i/>
                <w:iCs/>
              </w:rPr>
              <w:t xml:space="preserve">Report the professional group for each participating health care provider with direct care responsibilities. </w:t>
            </w:r>
          </w:p>
          <w:p w14:paraId="52DFF874" w14:textId="77777777" w:rsidR="008E420B" w:rsidRPr="008E420B" w:rsidRDefault="008E420B" w:rsidP="0DF4BEF5">
            <w:pPr>
              <w:rPr>
                <w:rFonts w:eastAsia="Times"/>
                <w:i/>
                <w:iCs/>
              </w:rPr>
            </w:pPr>
            <w:bookmarkStart w:id="35" w:name="_Int_QLcYoGb4"/>
            <w:r w:rsidRPr="0DF4BEF5">
              <w:rPr>
                <w:rFonts w:eastAsia="Times"/>
                <w:i/>
                <w:iCs/>
              </w:rPr>
              <w:t>In order to</w:t>
            </w:r>
            <w:bookmarkEnd w:id="35"/>
            <w:r w:rsidRPr="0DF4BEF5">
              <w:rPr>
                <w:rFonts w:eastAsia="Times"/>
                <w:i/>
                <w:iCs/>
              </w:rPr>
              <w:t xml:space="preserve"> report a professional group for each provider. codes should be repeated if more than one provider belongs to the same professional group. </w:t>
            </w:r>
          </w:p>
        </w:tc>
      </w:tr>
      <w:tr w:rsidR="008E420B" w:rsidRPr="008E420B" w14:paraId="315587D4" w14:textId="77777777" w:rsidTr="0DF4BEF5">
        <w:tc>
          <w:tcPr>
            <w:tcW w:w="3567" w:type="dxa"/>
          </w:tcPr>
          <w:p w14:paraId="671DC7A1" w14:textId="77777777" w:rsidR="008E420B" w:rsidRPr="008E420B" w:rsidRDefault="008E420B" w:rsidP="008E420B">
            <w:pPr>
              <w:rPr>
                <w:rFonts w:eastAsia="Times"/>
              </w:rPr>
            </w:pPr>
            <w:r w:rsidRPr="008E420B">
              <w:rPr>
                <w:rFonts w:eastAsia="Times"/>
              </w:rPr>
              <w:t>Contact Purpose</w:t>
            </w:r>
          </w:p>
        </w:tc>
        <w:tc>
          <w:tcPr>
            <w:tcW w:w="823" w:type="dxa"/>
          </w:tcPr>
          <w:p w14:paraId="7C804BEB" w14:textId="77777777" w:rsidR="008E420B" w:rsidRPr="008E420B" w:rsidRDefault="008E420B" w:rsidP="008E420B">
            <w:pPr>
              <w:jc w:val="center"/>
              <w:rPr>
                <w:rFonts w:eastAsia="Times"/>
              </w:rPr>
            </w:pPr>
            <w:r w:rsidRPr="008E420B">
              <w:rPr>
                <w:rFonts w:eastAsia="Times"/>
              </w:rPr>
              <w:t>51</w:t>
            </w:r>
          </w:p>
        </w:tc>
        <w:tc>
          <w:tcPr>
            <w:tcW w:w="5804" w:type="dxa"/>
          </w:tcPr>
          <w:p w14:paraId="60ED6DCE" w14:textId="77777777" w:rsidR="008E420B" w:rsidRPr="008E420B" w:rsidRDefault="008E420B" w:rsidP="008E420B">
            <w:pPr>
              <w:rPr>
                <w:rFonts w:eastAsia="Times"/>
              </w:rPr>
            </w:pPr>
            <w:r w:rsidRPr="008E420B">
              <w:rPr>
                <w:rFonts w:eastAsia="Times"/>
              </w:rPr>
              <w:t>Multidisciplinary case conference</w:t>
            </w:r>
          </w:p>
          <w:p w14:paraId="0F9A665C" w14:textId="77777777" w:rsidR="008E420B" w:rsidRPr="008E420B" w:rsidRDefault="008E420B" w:rsidP="008E420B">
            <w:pPr>
              <w:rPr>
                <w:rFonts w:eastAsia="Times"/>
                <w:i/>
                <w:iCs/>
              </w:rPr>
            </w:pPr>
            <w:r w:rsidRPr="008E420B">
              <w:rPr>
                <w:rFonts w:eastAsia="Times"/>
                <w:i/>
                <w:iCs/>
              </w:rPr>
              <w:t>(If this is Specialist Clinics, report a single Contact Purpose code for MDCC only.)</w:t>
            </w:r>
          </w:p>
        </w:tc>
      </w:tr>
      <w:tr w:rsidR="008E420B" w:rsidRPr="008E420B" w14:paraId="220AC058" w14:textId="77777777" w:rsidTr="0DF4BEF5">
        <w:tc>
          <w:tcPr>
            <w:tcW w:w="3567" w:type="dxa"/>
          </w:tcPr>
          <w:p w14:paraId="39489088" w14:textId="77777777" w:rsidR="008E420B" w:rsidRPr="008E420B" w:rsidRDefault="008E420B" w:rsidP="008E420B">
            <w:pPr>
              <w:rPr>
                <w:rFonts w:eastAsia="Times"/>
              </w:rPr>
            </w:pPr>
            <w:r w:rsidRPr="008E420B">
              <w:rPr>
                <w:rFonts w:eastAsia="Times"/>
              </w:rPr>
              <w:t>Contact Session Type</w:t>
            </w:r>
          </w:p>
        </w:tc>
        <w:tc>
          <w:tcPr>
            <w:tcW w:w="823" w:type="dxa"/>
          </w:tcPr>
          <w:p w14:paraId="2FDD73F2" w14:textId="77777777" w:rsidR="008E420B" w:rsidRPr="008E420B" w:rsidRDefault="008E420B" w:rsidP="008E420B">
            <w:pPr>
              <w:jc w:val="center"/>
              <w:rPr>
                <w:rFonts w:eastAsia="Times"/>
              </w:rPr>
            </w:pPr>
            <w:r w:rsidRPr="008E420B">
              <w:rPr>
                <w:rFonts w:eastAsia="Times"/>
              </w:rPr>
              <w:t>3</w:t>
            </w:r>
          </w:p>
        </w:tc>
        <w:tc>
          <w:tcPr>
            <w:tcW w:w="5804" w:type="dxa"/>
          </w:tcPr>
          <w:p w14:paraId="5DB5C9C7" w14:textId="77777777" w:rsidR="008E420B" w:rsidRPr="008E420B" w:rsidRDefault="008E420B" w:rsidP="008E420B">
            <w:pPr>
              <w:rPr>
                <w:rFonts w:eastAsia="Times"/>
              </w:rPr>
            </w:pPr>
            <w:r w:rsidRPr="008E420B">
              <w:rPr>
                <w:rFonts w:eastAsia="Times"/>
              </w:rPr>
              <w:t>Not applicable – Indirect contact</w:t>
            </w:r>
          </w:p>
        </w:tc>
      </w:tr>
    </w:tbl>
    <w:p w14:paraId="1181BCC6" w14:textId="77777777" w:rsidR="008E420B" w:rsidRPr="008E420B" w:rsidRDefault="008E420B" w:rsidP="008E420B">
      <w:pPr>
        <w:pStyle w:val="Heading2"/>
      </w:pPr>
      <w:bookmarkStart w:id="36" w:name="_Toc97733559"/>
      <w:r w:rsidRPr="008E420B">
        <w:t>Non-Admitted Data Collection (NADC)</w:t>
      </w:r>
      <w:bookmarkEnd w:id="36"/>
      <w:r w:rsidRPr="008E420B">
        <w:t xml:space="preserve"> </w:t>
      </w:r>
    </w:p>
    <w:p w14:paraId="3933B260" w14:textId="77777777" w:rsidR="008E420B" w:rsidRPr="008E420B" w:rsidRDefault="008E420B" w:rsidP="008E420B">
      <w:pPr>
        <w:rPr>
          <w:rFonts w:eastAsia="Times"/>
        </w:rPr>
      </w:pPr>
      <w:r w:rsidRPr="008E420B">
        <w:rPr>
          <w:rFonts w:eastAsia="Times"/>
        </w:rPr>
        <w:t>Non-admitted, patient level MDCC data can be reported to NADC by health services that have received approval to report this to NADC.</w:t>
      </w:r>
    </w:p>
    <w:p w14:paraId="0F4EDA6E" w14:textId="77777777" w:rsidR="008E420B" w:rsidRPr="008E420B" w:rsidRDefault="008E420B" w:rsidP="008E420B">
      <w:pPr>
        <w:spacing w:after="40"/>
        <w:rPr>
          <w:rFonts w:eastAsia="Times"/>
        </w:rPr>
      </w:pPr>
      <w:r w:rsidRPr="0DF4BEF5">
        <w:rPr>
          <w:rFonts w:eastAsia="Times"/>
        </w:rPr>
        <w:t xml:space="preserve">For specialist clinics, report the </w:t>
      </w:r>
      <w:r w:rsidRPr="0DF4BEF5">
        <w:rPr>
          <w:rFonts w:eastAsia="Times"/>
          <w:i/>
          <w:iCs/>
        </w:rPr>
        <w:t>Clinic Identifier</w:t>
      </w:r>
      <w:r w:rsidRPr="0DF4BEF5">
        <w:rPr>
          <w:rFonts w:eastAsia="Times"/>
        </w:rPr>
        <w:t xml:space="preserve"> for the registered MDCC clinic. For other programs, request a MDCC clinic identifier through the </w:t>
      </w:r>
      <w:bookmarkStart w:id="37" w:name="_Int_qBtiRN67"/>
      <w:r w:rsidRPr="0DF4BEF5">
        <w:rPr>
          <w:rFonts w:eastAsia="Times"/>
        </w:rPr>
        <w:t>HDSS</w:t>
      </w:r>
      <w:bookmarkEnd w:id="37"/>
      <w:r w:rsidRPr="0DF4BEF5">
        <w:rPr>
          <w:rFonts w:eastAsia="Times"/>
        </w:rPr>
        <w:t xml:space="preserve"> helpdesk.</w:t>
      </w:r>
    </w:p>
    <w:p w14:paraId="5F1E615C" w14:textId="77777777" w:rsidR="008E420B" w:rsidRPr="008E420B" w:rsidRDefault="008E420B" w:rsidP="008E420B">
      <w:pPr>
        <w:rPr>
          <w:rFonts w:eastAsia="Times"/>
        </w:rPr>
      </w:pPr>
      <w:r w:rsidRPr="008E420B">
        <w:rPr>
          <w:rFonts w:eastAsia="Times"/>
        </w:rPr>
        <w:t>The following combination of data is required for reporting non-admitted MDCC service events in NADC.</w:t>
      </w:r>
    </w:p>
    <w:tbl>
      <w:tblPr>
        <w:tblStyle w:val="TableGrid"/>
        <w:tblW w:w="0" w:type="auto"/>
        <w:tblLook w:val="04A0" w:firstRow="1" w:lastRow="0" w:firstColumn="1" w:lastColumn="0" w:noHBand="0" w:noVBand="1"/>
      </w:tblPr>
      <w:tblGrid>
        <w:gridCol w:w="3567"/>
        <w:gridCol w:w="823"/>
        <w:gridCol w:w="5804"/>
      </w:tblGrid>
      <w:tr w:rsidR="008E420B" w:rsidRPr="008E420B" w14:paraId="60B513C4" w14:textId="77777777" w:rsidTr="00D053E1">
        <w:tc>
          <w:tcPr>
            <w:tcW w:w="3567" w:type="dxa"/>
          </w:tcPr>
          <w:p w14:paraId="2B89F77E" w14:textId="77777777" w:rsidR="008E420B" w:rsidRPr="008E420B" w:rsidRDefault="008E420B" w:rsidP="008E420B">
            <w:pPr>
              <w:spacing w:before="80" w:after="60" w:line="240" w:lineRule="auto"/>
              <w:rPr>
                <w:b/>
                <w:color w:val="53565A"/>
              </w:rPr>
            </w:pPr>
            <w:r w:rsidRPr="008E420B">
              <w:rPr>
                <w:b/>
                <w:color w:val="53565A"/>
              </w:rPr>
              <w:t>Data item</w:t>
            </w:r>
          </w:p>
        </w:tc>
        <w:tc>
          <w:tcPr>
            <w:tcW w:w="823" w:type="dxa"/>
          </w:tcPr>
          <w:p w14:paraId="66E853EB" w14:textId="77777777" w:rsidR="008E420B" w:rsidRPr="008E420B" w:rsidRDefault="008E420B" w:rsidP="008E420B">
            <w:pPr>
              <w:spacing w:before="80" w:after="60" w:line="240" w:lineRule="auto"/>
              <w:jc w:val="center"/>
              <w:rPr>
                <w:b/>
                <w:color w:val="53565A"/>
              </w:rPr>
            </w:pPr>
            <w:r w:rsidRPr="008E420B">
              <w:rPr>
                <w:b/>
                <w:color w:val="53565A"/>
              </w:rPr>
              <w:t>Code</w:t>
            </w:r>
          </w:p>
        </w:tc>
        <w:tc>
          <w:tcPr>
            <w:tcW w:w="5804" w:type="dxa"/>
          </w:tcPr>
          <w:p w14:paraId="79E85295" w14:textId="77777777" w:rsidR="008E420B" w:rsidRPr="008E420B" w:rsidRDefault="008E420B" w:rsidP="008E420B">
            <w:pPr>
              <w:spacing w:before="80" w:after="60" w:line="240" w:lineRule="auto"/>
              <w:rPr>
                <w:b/>
                <w:color w:val="53565A"/>
              </w:rPr>
            </w:pPr>
            <w:r w:rsidRPr="008E420B">
              <w:rPr>
                <w:b/>
                <w:color w:val="53565A"/>
              </w:rPr>
              <w:t>Description</w:t>
            </w:r>
          </w:p>
        </w:tc>
      </w:tr>
      <w:tr w:rsidR="008E420B" w:rsidRPr="008E420B" w14:paraId="40884678" w14:textId="77777777" w:rsidTr="00D053E1">
        <w:tc>
          <w:tcPr>
            <w:tcW w:w="3567" w:type="dxa"/>
          </w:tcPr>
          <w:p w14:paraId="1DC426F0" w14:textId="77777777" w:rsidR="008E420B" w:rsidRPr="008E420B" w:rsidRDefault="008E420B" w:rsidP="008E420B">
            <w:pPr>
              <w:rPr>
                <w:rFonts w:eastAsia="Times"/>
              </w:rPr>
            </w:pPr>
            <w:r w:rsidRPr="008E420B">
              <w:rPr>
                <w:rFonts w:eastAsia="Times"/>
              </w:rPr>
              <w:t>Clinic Identifier</w:t>
            </w:r>
          </w:p>
        </w:tc>
        <w:tc>
          <w:tcPr>
            <w:tcW w:w="823" w:type="dxa"/>
          </w:tcPr>
          <w:p w14:paraId="09168BC6" w14:textId="77777777" w:rsidR="008E420B" w:rsidRPr="008E420B" w:rsidRDefault="008E420B" w:rsidP="008E420B">
            <w:pPr>
              <w:jc w:val="center"/>
              <w:rPr>
                <w:rFonts w:eastAsia="Times"/>
              </w:rPr>
            </w:pPr>
          </w:p>
        </w:tc>
        <w:tc>
          <w:tcPr>
            <w:tcW w:w="5804" w:type="dxa"/>
          </w:tcPr>
          <w:p w14:paraId="40FCE274" w14:textId="77777777" w:rsidR="008E420B" w:rsidRPr="008E420B" w:rsidRDefault="008E420B" w:rsidP="008E420B">
            <w:pPr>
              <w:rPr>
                <w:rFonts w:eastAsia="Times"/>
                <w:i/>
                <w:iCs/>
              </w:rPr>
            </w:pPr>
            <w:r w:rsidRPr="008E420B">
              <w:rPr>
                <w:rFonts w:eastAsia="Times"/>
                <w:i/>
                <w:iCs/>
              </w:rPr>
              <w:t>Report the appropriate MDCC Clinic Identifier</w:t>
            </w:r>
          </w:p>
        </w:tc>
      </w:tr>
      <w:tr w:rsidR="008E420B" w:rsidRPr="008E420B" w14:paraId="130C583D" w14:textId="77777777" w:rsidTr="00D053E1">
        <w:tc>
          <w:tcPr>
            <w:tcW w:w="3567" w:type="dxa"/>
          </w:tcPr>
          <w:p w14:paraId="47044AA0" w14:textId="77777777" w:rsidR="008E420B" w:rsidRPr="008E420B" w:rsidRDefault="008E420B" w:rsidP="008E420B">
            <w:pPr>
              <w:rPr>
                <w:rFonts w:eastAsia="Times"/>
              </w:rPr>
            </w:pPr>
            <w:r w:rsidRPr="008E420B">
              <w:rPr>
                <w:rFonts w:eastAsia="Times"/>
              </w:rPr>
              <w:t>Multiple healthcare provider flag</w:t>
            </w:r>
          </w:p>
        </w:tc>
        <w:tc>
          <w:tcPr>
            <w:tcW w:w="823" w:type="dxa"/>
          </w:tcPr>
          <w:p w14:paraId="0AAFBE96" w14:textId="2ED23CA4" w:rsidR="008E420B" w:rsidRPr="008E420B" w:rsidRDefault="00896DC3" w:rsidP="008E420B">
            <w:pPr>
              <w:jc w:val="center"/>
              <w:rPr>
                <w:rFonts w:eastAsia="Times"/>
              </w:rPr>
            </w:pPr>
            <w:r>
              <w:rPr>
                <w:rFonts w:eastAsia="Times"/>
              </w:rPr>
              <w:t>1</w:t>
            </w:r>
          </w:p>
        </w:tc>
        <w:tc>
          <w:tcPr>
            <w:tcW w:w="5804" w:type="dxa"/>
          </w:tcPr>
          <w:p w14:paraId="132F2788" w14:textId="038B9852" w:rsidR="008E420B" w:rsidRPr="008E420B" w:rsidRDefault="00896DC3" w:rsidP="008E420B">
            <w:pPr>
              <w:rPr>
                <w:rFonts w:eastAsia="Times"/>
              </w:rPr>
            </w:pPr>
            <w:r>
              <w:rPr>
                <w:rFonts w:eastAsia="Times"/>
              </w:rPr>
              <w:t>Yes</w:t>
            </w:r>
          </w:p>
        </w:tc>
      </w:tr>
      <w:tr w:rsidR="008E420B" w:rsidRPr="008E420B" w14:paraId="2279CF22" w14:textId="77777777" w:rsidTr="00D053E1">
        <w:tc>
          <w:tcPr>
            <w:tcW w:w="3567" w:type="dxa"/>
          </w:tcPr>
          <w:p w14:paraId="5BA1C8BE" w14:textId="77777777" w:rsidR="008E420B" w:rsidRPr="008E420B" w:rsidRDefault="008E420B" w:rsidP="008E420B">
            <w:pPr>
              <w:rPr>
                <w:rFonts w:eastAsia="Times"/>
              </w:rPr>
            </w:pPr>
            <w:r w:rsidRPr="008E420B">
              <w:rPr>
                <w:rFonts w:eastAsia="Times"/>
              </w:rPr>
              <w:t>Service delivery mode</w:t>
            </w:r>
          </w:p>
        </w:tc>
        <w:tc>
          <w:tcPr>
            <w:tcW w:w="823" w:type="dxa"/>
          </w:tcPr>
          <w:p w14:paraId="689EFDC8" w14:textId="77777777" w:rsidR="008E420B" w:rsidRPr="008E420B" w:rsidRDefault="008E420B" w:rsidP="008E420B">
            <w:pPr>
              <w:jc w:val="center"/>
              <w:rPr>
                <w:rFonts w:eastAsia="Times"/>
              </w:rPr>
            </w:pPr>
            <w:r w:rsidRPr="008E420B">
              <w:rPr>
                <w:rFonts w:eastAsia="Times"/>
              </w:rPr>
              <w:t>7</w:t>
            </w:r>
          </w:p>
        </w:tc>
        <w:tc>
          <w:tcPr>
            <w:tcW w:w="5804" w:type="dxa"/>
          </w:tcPr>
          <w:p w14:paraId="367ADCEA" w14:textId="77777777" w:rsidR="008E420B" w:rsidRPr="008E420B" w:rsidRDefault="008E420B" w:rsidP="008E420B">
            <w:pPr>
              <w:rPr>
                <w:rFonts w:eastAsia="Times"/>
              </w:rPr>
            </w:pPr>
            <w:r w:rsidRPr="008E420B">
              <w:rPr>
                <w:rFonts w:eastAsia="Times"/>
              </w:rPr>
              <w:t>Non-client event</w:t>
            </w:r>
          </w:p>
        </w:tc>
      </w:tr>
      <w:tr w:rsidR="008E420B" w:rsidRPr="008E420B" w14:paraId="40275DDA" w14:textId="77777777" w:rsidTr="00D053E1">
        <w:tc>
          <w:tcPr>
            <w:tcW w:w="3567" w:type="dxa"/>
          </w:tcPr>
          <w:p w14:paraId="360C01D3" w14:textId="77777777" w:rsidR="008E420B" w:rsidRPr="008E420B" w:rsidRDefault="008E420B" w:rsidP="008E420B">
            <w:pPr>
              <w:rPr>
                <w:rFonts w:eastAsia="Times"/>
              </w:rPr>
            </w:pPr>
            <w:r w:rsidRPr="008E420B">
              <w:rPr>
                <w:rFonts w:eastAsia="Times"/>
              </w:rPr>
              <w:t xml:space="preserve">Service delivery setting </w:t>
            </w:r>
          </w:p>
        </w:tc>
        <w:tc>
          <w:tcPr>
            <w:tcW w:w="823" w:type="dxa"/>
          </w:tcPr>
          <w:p w14:paraId="05AED785" w14:textId="77777777" w:rsidR="008E420B" w:rsidRPr="008E420B" w:rsidRDefault="008E420B" w:rsidP="008E420B">
            <w:pPr>
              <w:jc w:val="center"/>
              <w:rPr>
                <w:rFonts w:eastAsia="Times"/>
              </w:rPr>
            </w:pPr>
            <w:r w:rsidRPr="008E420B">
              <w:rPr>
                <w:rFonts w:eastAsia="Times"/>
              </w:rPr>
              <w:t>98</w:t>
            </w:r>
          </w:p>
        </w:tc>
        <w:tc>
          <w:tcPr>
            <w:tcW w:w="5804" w:type="dxa"/>
          </w:tcPr>
          <w:p w14:paraId="1F8EB0F5" w14:textId="77777777" w:rsidR="008E420B" w:rsidRPr="008E420B" w:rsidRDefault="008E420B" w:rsidP="008E420B">
            <w:pPr>
              <w:rPr>
                <w:rFonts w:eastAsia="Times"/>
              </w:rPr>
            </w:pPr>
            <w:r w:rsidRPr="008E420B">
              <w:rPr>
                <w:rFonts w:eastAsia="Times"/>
              </w:rPr>
              <w:t>Not applicable</w:t>
            </w:r>
          </w:p>
        </w:tc>
      </w:tr>
      <w:tr w:rsidR="008E420B" w:rsidRPr="008E420B" w14:paraId="150285B9" w14:textId="77777777" w:rsidTr="00D053E1">
        <w:tc>
          <w:tcPr>
            <w:tcW w:w="3567" w:type="dxa"/>
          </w:tcPr>
          <w:p w14:paraId="41484C89" w14:textId="77777777" w:rsidR="008E420B" w:rsidRPr="008E420B" w:rsidRDefault="008E420B" w:rsidP="008E420B">
            <w:pPr>
              <w:rPr>
                <w:rFonts w:eastAsia="Times"/>
              </w:rPr>
            </w:pPr>
            <w:r w:rsidRPr="008E420B">
              <w:rPr>
                <w:rFonts w:eastAsia="Times"/>
              </w:rPr>
              <w:t>Service Event Provider</w:t>
            </w:r>
          </w:p>
        </w:tc>
        <w:tc>
          <w:tcPr>
            <w:tcW w:w="823" w:type="dxa"/>
          </w:tcPr>
          <w:p w14:paraId="0DAD0388" w14:textId="77777777" w:rsidR="008E420B" w:rsidRPr="008E420B" w:rsidRDefault="008E420B" w:rsidP="008E420B">
            <w:pPr>
              <w:jc w:val="center"/>
              <w:rPr>
                <w:rFonts w:eastAsia="Times"/>
              </w:rPr>
            </w:pPr>
          </w:p>
        </w:tc>
        <w:tc>
          <w:tcPr>
            <w:tcW w:w="5804" w:type="dxa"/>
          </w:tcPr>
          <w:p w14:paraId="416D3121" w14:textId="77777777" w:rsidR="008E420B" w:rsidRPr="008E420B" w:rsidRDefault="008E420B" w:rsidP="008E420B">
            <w:pPr>
              <w:rPr>
                <w:rFonts w:eastAsia="Times"/>
              </w:rPr>
            </w:pPr>
            <w:r w:rsidRPr="008E420B">
              <w:rPr>
                <w:rFonts w:eastAsia="Times"/>
              </w:rPr>
              <w:t>Leave blank</w:t>
            </w:r>
          </w:p>
        </w:tc>
      </w:tr>
      <w:tr w:rsidR="008E420B" w:rsidRPr="008E420B" w14:paraId="1D39D8AF" w14:textId="77777777" w:rsidTr="00D053E1">
        <w:tc>
          <w:tcPr>
            <w:tcW w:w="3567" w:type="dxa"/>
          </w:tcPr>
          <w:p w14:paraId="1CD0CFAB" w14:textId="77777777" w:rsidR="008E420B" w:rsidRPr="008E420B" w:rsidRDefault="008E420B" w:rsidP="008E420B">
            <w:pPr>
              <w:rPr>
                <w:rFonts w:eastAsia="Times"/>
              </w:rPr>
            </w:pPr>
            <w:r w:rsidRPr="008E420B">
              <w:rPr>
                <w:rFonts w:eastAsia="Times"/>
              </w:rPr>
              <w:t>Session type</w:t>
            </w:r>
          </w:p>
        </w:tc>
        <w:tc>
          <w:tcPr>
            <w:tcW w:w="823" w:type="dxa"/>
          </w:tcPr>
          <w:p w14:paraId="11BB9536" w14:textId="77777777" w:rsidR="008E420B" w:rsidRPr="008E420B" w:rsidRDefault="008E420B" w:rsidP="008E420B">
            <w:pPr>
              <w:jc w:val="center"/>
              <w:rPr>
                <w:rFonts w:eastAsia="Times"/>
              </w:rPr>
            </w:pPr>
            <w:r w:rsidRPr="008E420B">
              <w:rPr>
                <w:rFonts w:eastAsia="Times"/>
              </w:rPr>
              <w:t>3</w:t>
            </w:r>
          </w:p>
        </w:tc>
        <w:tc>
          <w:tcPr>
            <w:tcW w:w="5804" w:type="dxa"/>
          </w:tcPr>
          <w:p w14:paraId="6457F409" w14:textId="77777777" w:rsidR="008E420B" w:rsidRPr="008E420B" w:rsidRDefault="008E420B" w:rsidP="008E420B">
            <w:pPr>
              <w:rPr>
                <w:rFonts w:eastAsia="Times"/>
              </w:rPr>
            </w:pPr>
            <w:r w:rsidRPr="008E420B">
              <w:rPr>
                <w:rFonts w:eastAsia="Times"/>
              </w:rPr>
              <w:t>Not applicable – indirect service event</w:t>
            </w:r>
          </w:p>
        </w:tc>
      </w:tr>
    </w:tbl>
    <w:p w14:paraId="4F3A7C21" w14:textId="77777777" w:rsidR="008E420B" w:rsidRPr="008E420B" w:rsidRDefault="008E420B" w:rsidP="008E420B">
      <w:pPr>
        <w:pStyle w:val="Heading2"/>
      </w:pPr>
      <w:bookmarkStart w:id="38" w:name="_Toc97733560"/>
      <w:r w:rsidRPr="008E420B">
        <w:lastRenderedPageBreak/>
        <w:t>QOOL-Vic</w:t>
      </w:r>
      <w:bookmarkEnd w:id="38"/>
    </w:p>
    <w:p w14:paraId="11B8CD91" w14:textId="7CD583D4" w:rsidR="008E420B" w:rsidRPr="008E420B" w:rsidRDefault="008E420B" w:rsidP="008E420B">
      <w:pPr>
        <w:keepLines/>
        <w:rPr>
          <w:rFonts w:eastAsia="Times"/>
        </w:rPr>
      </w:pPr>
      <w:r w:rsidRPr="0DF4BEF5">
        <w:rPr>
          <w:rFonts w:eastAsia="Times"/>
        </w:rPr>
        <w:t>The department is currently developing an option to extract NADC data files directly from QOOL-Vic for nonadmitted oncology MDCC.  Health services can request to undertake their oncology MDCC reporting in this manner, however, must be prepared to work with the department to ensure that data recorded in QOOLVic matches the NADC reporting requirements</w:t>
      </w:r>
      <w:bookmarkStart w:id="39" w:name="_Int_lRaYbAIi"/>
      <w:r w:rsidRPr="0DF4BEF5">
        <w:rPr>
          <w:rFonts w:eastAsia="Times"/>
        </w:rPr>
        <w:t xml:space="preserve">. </w:t>
      </w:r>
      <w:bookmarkEnd w:id="39"/>
      <w:r w:rsidRPr="0DF4BEF5">
        <w:rPr>
          <w:rFonts w:eastAsia="Times"/>
        </w:rPr>
        <w:t>Patient level data for other (non-oncology) MDCC must be reported to either VINAH (preferred) or NADC (with appropriate approvals).</w:t>
      </w:r>
    </w:p>
    <w:p w14:paraId="79B2E367" w14:textId="77777777" w:rsidR="008E420B" w:rsidRPr="008E420B" w:rsidRDefault="008E420B" w:rsidP="008E420B">
      <w:pPr>
        <w:pStyle w:val="Heading2"/>
      </w:pPr>
      <w:bookmarkStart w:id="40" w:name="_Toc97733561"/>
      <w:r w:rsidRPr="008E420B">
        <w:t>AIMS</w:t>
      </w:r>
      <w:bookmarkEnd w:id="40"/>
    </w:p>
    <w:p w14:paraId="5ECADB4E" w14:textId="7B35D84D" w:rsidR="008E420B" w:rsidRPr="008E420B" w:rsidRDefault="008E420B" w:rsidP="008E420B">
      <w:pPr>
        <w:rPr>
          <w:rFonts w:eastAsia="Times"/>
        </w:rPr>
      </w:pPr>
      <w:r w:rsidRPr="0DF4BEF5">
        <w:rPr>
          <w:rFonts w:eastAsia="Times"/>
        </w:rPr>
        <w:t>Non-admitted, aggregate patient service events are reported in the AIMS S10 and S11A forms. MDCC for current inpatients at any hospital and patients who are present in the emergency department are not reported on these forms</w:t>
      </w:r>
      <w:bookmarkStart w:id="41" w:name="_Int_OwnAeUoW"/>
      <w:r w:rsidRPr="0DF4BEF5">
        <w:rPr>
          <w:rFonts w:eastAsia="Times"/>
        </w:rPr>
        <w:t xml:space="preserve">. </w:t>
      </w:r>
      <w:bookmarkEnd w:id="41"/>
    </w:p>
    <w:p w14:paraId="274C26F7" w14:textId="77777777" w:rsidR="008E420B" w:rsidRPr="008E420B" w:rsidRDefault="008E420B" w:rsidP="008E420B">
      <w:r w:rsidRPr="008E420B">
        <w:t>Registered MDCC specialist clinics are listed in the S10 and subacute programs in scope for MDCC reporting are listed on the S11A.</w:t>
      </w:r>
    </w:p>
    <w:p w14:paraId="2F7F8D3A" w14:textId="77777777" w:rsidR="008E420B" w:rsidRPr="008E420B" w:rsidRDefault="008E420B" w:rsidP="008E420B">
      <w:r w:rsidRPr="008E420B">
        <w:t>Record aggregate numbers of MDCC service events calculated in accordance with the counting rules detailed in this document.</w:t>
      </w:r>
    </w:p>
    <w:p w14:paraId="4B59A616" w14:textId="77777777" w:rsidR="008E420B" w:rsidRPr="008E420B" w:rsidRDefault="008E420B" w:rsidP="008E420B">
      <w:r>
        <w:t xml:space="preserve">Where </w:t>
      </w:r>
      <w:bookmarkStart w:id="42" w:name="_Int_W8xfQcHk"/>
      <w:r>
        <w:t>the majority of</w:t>
      </w:r>
      <w:bookmarkEnd w:id="42"/>
      <w:r>
        <w:t xml:space="preserve"> health care providers participating in the MDCC are medical officers or nurse practitioners, then classify this as a medical service event. </w:t>
      </w:r>
    </w:p>
    <w:p w14:paraId="494586CA" w14:textId="77777777" w:rsidR="008E420B" w:rsidRPr="008E420B" w:rsidRDefault="008E420B" w:rsidP="008E420B">
      <w:r>
        <w:t xml:space="preserve">Where </w:t>
      </w:r>
      <w:bookmarkStart w:id="43" w:name="_Int_iE2qfzxI"/>
      <w:r>
        <w:t>the majority of</w:t>
      </w:r>
      <w:bookmarkEnd w:id="43"/>
      <w:r>
        <w:t xml:space="preserve"> health care providers participating in the MDCC are allied health staff, then classify this as a non-medical service event.   </w:t>
      </w:r>
    </w:p>
    <w:p w14:paraId="0B50C356" w14:textId="77777777" w:rsidR="008E420B" w:rsidRPr="008E420B" w:rsidRDefault="008E420B" w:rsidP="008E420B">
      <w:pPr>
        <w:pStyle w:val="Heading1"/>
      </w:pPr>
      <w:bookmarkStart w:id="44" w:name="_Toc97733562"/>
      <w:r w:rsidRPr="008E420B">
        <w:t>Further information</w:t>
      </w:r>
      <w:bookmarkEnd w:id="44"/>
    </w:p>
    <w:p w14:paraId="34626673" w14:textId="77777777" w:rsidR="008E420B" w:rsidRPr="008E420B" w:rsidRDefault="008E420B" w:rsidP="008E420B">
      <w:pPr>
        <w:rPr>
          <w:rFonts w:eastAsia="Times"/>
        </w:rPr>
      </w:pPr>
      <w:r w:rsidRPr="008E420B">
        <w:rPr>
          <w:rFonts w:eastAsia="Times"/>
        </w:rPr>
        <w:t>For further information about Tier 2 and MDCC, refer to:</w:t>
      </w:r>
    </w:p>
    <w:p w14:paraId="3E012A10" w14:textId="25BA01F3" w:rsidR="008E420B" w:rsidRPr="008E420B" w:rsidRDefault="008E420B" w:rsidP="008E420B">
      <w:pPr>
        <w:numPr>
          <w:ilvl w:val="0"/>
          <w:numId w:val="7"/>
        </w:numPr>
        <w:spacing w:after="40"/>
        <w:rPr>
          <w:rFonts w:eastAsia="Times"/>
        </w:rPr>
      </w:pPr>
      <w:r w:rsidRPr="008E420B">
        <w:rPr>
          <w:rFonts w:eastAsia="Times"/>
        </w:rPr>
        <w:t>Tier 2 Non-Admitted Services Definitions Manual, Independent Hospital Pricing Authority</w:t>
      </w:r>
      <w:r w:rsidR="00094A67">
        <w:rPr>
          <w:rFonts w:eastAsia="Times"/>
        </w:rPr>
        <w:t>,</w:t>
      </w:r>
      <w:r w:rsidR="00DB2EDF">
        <w:rPr>
          <w:rFonts w:eastAsia="Times"/>
        </w:rPr>
        <w:t xml:space="preserve"> </w:t>
      </w:r>
      <w:r w:rsidR="00B07C8F">
        <w:rPr>
          <w:rFonts w:eastAsia="Times"/>
        </w:rPr>
        <w:t>(revised annually).</w:t>
      </w:r>
    </w:p>
    <w:p w14:paraId="4DB76AF3" w14:textId="79B4EC30" w:rsidR="008E420B" w:rsidRPr="008E420B" w:rsidRDefault="008E420B" w:rsidP="008E420B">
      <w:pPr>
        <w:numPr>
          <w:ilvl w:val="0"/>
          <w:numId w:val="7"/>
        </w:numPr>
        <w:spacing w:after="40"/>
        <w:rPr>
          <w:rFonts w:eastAsia="Times"/>
        </w:rPr>
      </w:pPr>
      <w:r w:rsidRPr="008E420B">
        <w:rPr>
          <w:rFonts w:eastAsia="Times"/>
        </w:rPr>
        <w:t xml:space="preserve">Tier 2 Non-Admitted Services Compendium, Independent Hospital Pricing Authority </w:t>
      </w:r>
      <w:r w:rsidR="00B07C8F">
        <w:rPr>
          <w:rFonts w:eastAsia="Times"/>
        </w:rPr>
        <w:t>(revised annually)</w:t>
      </w:r>
      <w:r w:rsidRPr="008E420B">
        <w:rPr>
          <w:rFonts w:eastAsia="Times"/>
        </w:rPr>
        <w:t>.</w:t>
      </w:r>
    </w:p>
    <w:p w14:paraId="108EBC87" w14:textId="451AF57B" w:rsidR="008E420B" w:rsidRPr="008E420B" w:rsidRDefault="008E420B" w:rsidP="008E420B">
      <w:pPr>
        <w:rPr>
          <w:rFonts w:eastAsia="Times"/>
        </w:rPr>
      </w:pPr>
      <w:r w:rsidRPr="008E420B">
        <w:rPr>
          <w:rFonts w:eastAsia="Times"/>
        </w:rPr>
        <w:t xml:space="preserve">Both documents available on the </w:t>
      </w:r>
      <w:hyperlink r:id="rId19" w:history="1">
        <w:r w:rsidRPr="008E420B">
          <w:rPr>
            <w:rFonts w:eastAsia="Times"/>
            <w:color w:val="004C97"/>
            <w:u w:val="dotted"/>
          </w:rPr>
          <w:t>IHPA website</w:t>
        </w:r>
      </w:hyperlink>
      <w:r w:rsidRPr="008E420B">
        <w:rPr>
          <w:rFonts w:eastAsia="Times"/>
        </w:rPr>
        <w:t xml:space="preserve"> &lt; </w:t>
      </w:r>
      <w:r w:rsidR="00044FF2" w:rsidRPr="00044FF2">
        <w:rPr>
          <w:rFonts w:eastAsia="Times"/>
        </w:rPr>
        <w:t>https://www.ihpa.gov.au/what-we-do/tier-2-non-admitted-care-services-classification</w:t>
      </w:r>
      <w:r w:rsidRPr="008E420B">
        <w:rPr>
          <w:rFonts w:eastAsia="Times"/>
        </w:rPr>
        <w:t>&gt;</w:t>
      </w:r>
    </w:p>
    <w:p w14:paraId="4EE34F20" w14:textId="77777777" w:rsidR="008E420B" w:rsidRPr="008E420B" w:rsidRDefault="008E420B" w:rsidP="008E420B">
      <w:pPr>
        <w:rPr>
          <w:rFonts w:eastAsia="Times"/>
        </w:rPr>
      </w:pPr>
    </w:p>
    <w:tbl>
      <w:tblPr>
        <w:tblStyle w:val="TableGrid"/>
        <w:tblW w:w="0" w:type="auto"/>
        <w:tblCellMar>
          <w:bottom w:w="108" w:type="dxa"/>
        </w:tblCellMar>
        <w:tblLook w:val="0600" w:firstRow="0" w:lastRow="0" w:firstColumn="0" w:lastColumn="0" w:noHBand="1" w:noVBand="1"/>
      </w:tblPr>
      <w:tblGrid>
        <w:gridCol w:w="10194"/>
      </w:tblGrid>
      <w:tr w:rsidR="008E420B" w:rsidRPr="008E420B" w14:paraId="17AA799F" w14:textId="77777777" w:rsidTr="0DF4BEF5">
        <w:tc>
          <w:tcPr>
            <w:tcW w:w="10194" w:type="dxa"/>
          </w:tcPr>
          <w:p w14:paraId="015F4E6E" w14:textId="77777777" w:rsidR="008E420B" w:rsidRPr="008E420B" w:rsidRDefault="008E420B" w:rsidP="008E420B">
            <w:pPr>
              <w:spacing w:before="240" w:after="200" w:line="300" w:lineRule="atLeast"/>
              <w:rPr>
                <w:rFonts w:eastAsia="Times"/>
                <w:sz w:val="24"/>
                <w:szCs w:val="19"/>
              </w:rPr>
            </w:pPr>
            <w:r w:rsidRPr="008E420B">
              <w:rPr>
                <w:rFonts w:eastAsia="Times"/>
                <w:sz w:val="24"/>
                <w:szCs w:val="19"/>
              </w:rPr>
              <w:t xml:space="preserve">To receive this document in another format, email the </w:t>
            </w:r>
            <w:hyperlink r:id="rId20" w:history="1">
              <w:r w:rsidRPr="008E420B">
                <w:rPr>
                  <w:rFonts w:eastAsia="Times"/>
                  <w:color w:val="004C97"/>
                  <w:sz w:val="24"/>
                  <w:szCs w:val="19"/>
                  <w:u w:val="dotted"/>
                </w:rPr>
                <w:t>HDSS helpdesk</w:t>
              </w:r>
            </w:hyperlink>
            <w:r w:rsidRPr="008E420B">
              <w:rPr>
                <w:rFonts w:eastAsia="Times"/>
                <w:sz w:val="24"/>
                <w:szCs w:val="19"/>
              </w:rPr>
              <w:t xml:space="preserve"> &lt;hdss.helpdesk@health.vic.gov.au&gt;.</w:t>
            </w:r>
          </w:p>
          <w:p w14:paraId="4050703B" w14:textId="77777777" w:rsidR="008E420B" w:rsidRPr="008E420B" w:rsidRDefault="008E420B" w:rsidP="008E420B">
            <w:pPr>
              <w:spacing w:after="60" w:line="270" w:lineRule="atLeast"/>
              <w:rPr>
                <w:rFonts w:eastAsia="Times"/>
                <w:color w:val="000000" w:themeColor="text1"/>
                <w:sz w:val="20"/>
              </w:rPr>
            </w:pPr>
            <w:r w:rsidRPr="008E420B">
              <w:rPr>
                <w:rFonts w:eastAsia="Times"/>
                <w:color w:val="000000" w:themeColor="text1"/>
                <w:sz w:val="20"/>
              </w:rPr>
              <w:t>Authorised and published by the Victorian Government, 1 Treasury Place, Melbourne.</w:t>
            </w:r>
          </w:p>
          <w:p w14:paraId="68EE6FF5" w14:textId="70B80897" w:rsidR="008E420B" w:rsidRPr="008E420B" w:rsidRDefault="008E420B" w:rsidP="0DF4BEF5">
            <w:pPr>
              <w:spacing w:after="60" w:line="270" w:lineRule="atLeast"/>
              <w:rPr>
                <w:rFonts w:eastAsia="Times"/>
                <w:color w:val="000000" w:themeColor="text1"/>
                <w:sz w:val="20"/>
              </w:rPr>
            </w:pPr>
            <w:r w:rsidRPr="0DF4BEF5">
              <w:rPr>
                <w:rFonts w:eastAsia="Times"/>
                <w:color w:val="000000" w:themeColor="text1"/>
                <w:sz w:val="20"/>
              </w:rPr>
              <w:t xml:space="preserve">© State of Victoria, Australia, Department </w:t>
            </w:r>
            <w:r w:rsidRPr="0DF4BEF5">
              <w:rPr>
                <w:rFonts w:eastAsia="Times"/>
                <w:sz w:val="20"/>
              </w:rPr>
              <w:t xml:space="preserve">of Health, </w:t>
            </w:r>
            <w:r w:rsidR="7E3000C6" w:rsidRPr="0DF4BEF5">
              <w:rPr>
                <w:rFonts w:eastAsia="Times"/>
                <w:sz w:val="20"/>
              </w:rPr>
              <w:t>June 2022</w:t>
            </w:r>
          </w:p>
          <w:p w14:paraId="1E49FE38" w14:textId="51DC2503" w:rsidR="008E420B" w:rsidRPr="008E420B" w:rsidRDefault="008E420B" w:rsidP="008E420B">
            <w:pPr>
              <w:spacing w:after="60" w:line="270" w:lineRule="atLeast"/>
              <w:rPr>
                <w:rFonts w:eastAsia="Times"/>
                <w:color w:val="000000" w:themeColor="text1"/>
                <w:sz w:val="20"/>
              </w:rPr>
            </w:pPr>
            <w:r w:rsidRPr="008E420B">
              <w:rPr>
                <w:rFonts w:eastAsia="Times"/>
                <w:color w:val="000000" w:themeColor="text1"/>
                <w:sz w:val="20"/>
              </w:rPr>
              <w:t xml:space="preserve">Available at </w:t>
            </w:r>
            <w:hyperlink r:id="rId21" w:history="1">
              <w:r w:rsidRPr="008E420B">
                <w:rPr>
                  <w:rFonts w:eastAsia="Times"/>
                  <w:color w:val="004C97"/>
                  <w:sz w:val="20"/>
                  <w:u w:val="dotted"/>
                </w:rPr>
                <w:t>Health data standards and systems</w:t>
              </w:r>
            </w:hyperlink>
            <w:r w:rsidRPr="008E420B">
              <w:rPr>
                <w:rFonts w:eastAsia="Times"/>
                <w:color w:val="000000" w:themeColor="text1"/>
                <w:sz w:val="20"/>
              </w:rPr>
              <w:t xml:space="preserve"> &lt;</w:t>
            </w:r>
            <w:r w:rsidR="00785A64" w:rsidRPr="00785A64">
              <w:rPr>
                <w:rFonts w:eastAsia="Times"/>
                <w:color w:val="000000" w:themeColor="text1"/>
                <w:sz w:val="20"/>
              </w:rPr>
              <w:t>https://www.health.vic.gov.au/data-reporting/health-data-standards-and-systems</w:t>
            </w:r>
            <w:r w:rsidRPr="008E420B">
              <w:rPr>
                <w:rFonts w:eastAsia="Times"/>
                <w:color w:val="000000" w:themeColor="text1"/>
                <w:sz w:val="20"/>
              </w:rPr>
              <w:t>&gt;</w:t>
            </w:r>
          </w:p>
        </w:tc>
      </w:tr>
    </w:tbl>
    <w:p w14:paraId="020882FC" w14:textId="77777777" w:rsidR="008E420B" w:rsidRPr="008E420B" w:rsidRDefault="008E420B" w:rsidP="008E420B">
      <w:pPr>
        <w:rPr>
          <w:rFonts w:eastAsia="Times"/>
        </w:rPr>
      </w:pPr>
    </w:p>
    <w:sectPr w:rsidR="008E420B" w:rsidRPr="008E420B" w:rsidSect="008E420B">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3A4CC" w14:textId="77777777" w:rsidR="00AD335A" w:rsidRDefault="00AD335A">
      <w:r>
        <w:separator/>
      </w:r>
    </w:p>
  </w:endnote>
  <w:endnote w:type="continuationSeparator" w:id="0">
    <w:p w14:paraId="004634FF" w14:textId="77777777" w:rsidR="00AD335A" w:rsidRDefault="00AD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8227" w14:textId="77777777" w:rsidR="00785A64" w:rsidRDefault="00785A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EA0A" w14:textId="315752EF" w:rsidR="00E261B3" w:rsidRPr="00F65AA9" w:rsidRDefault="000C21CA" w:rsidP="00F84FA0">
    <w:pPr>
      <w:pStyle w:val="Footer"/>
    </w:pPr>
    <w:r>
      <w:rPr>
        <w:noProof/>
        <w:lang w:eastAsia="en-AU"/>
      </w:rPr>
      <w:drawing>
        <wp:anchor distT="0" distB="0" distL="114300" distR="114300" simplePos="0" relativeHeight="251658752" behindDoc="1" locked="0" layoutInCell="1" allowOverlap="1" wp14:anchorId="292077EA" wp14:editId="3999FE0F">
          <wp:simplePos x="0" y="0"/>
          <wp:positionH relativeFrom="column">
            <wp:posOffset>5301615</wp:posOffset>
          </wp:positionH>
          <wp:positionV relativeFrom="paragraph">
            <wp:posOffset>169545</wp:posOffset>
          </wp:positionV>
          <wp:extent cx="1244600" cy="521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5680" behindDoc="0" locked="0" layoutInCell="0" allowOverlap="1" wp14:anchorId="5A846309" wp14:editId="77D47331">
              <wp:simplePos x="0" y="0"/>
              <wp:positionH relativeFrom="page">
                <wp:posOffset>0</wp:posOffset>
              </wp:positionH>
              <wp:positionV relativeFrom="page">
                <wp:posOffset>10189845</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1E3CA09">
            <v:shapetype id="_x0000_t202" coordsize="21600,21600" o:spt="202" path="m,l,21600r21600,l21600,xe" w14:anchorId="5A846309">
              <v:stroke joinstyle="miter"/>
              <v:path gradientshapeok="t" o:connecttype="rect"/>
            </v:shapetype>
            <v:shape id="MSIPCMc3054336811d08b680b9289e" style="position:absolute;margin-left:0;margin-top:802.35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Cgg+HdrQIAAEUFAAAOAAAA&#10;AAAAAAAAAAAAAC4CAABkcnMvZTJvRG9jLnhtbFBLAQItABQABgAIAAAAIQAvkEiX4AAAAAsBAAAP&#10;AAAAAAAAAAAAAAAAAAcFAABkcnMvZG93bnJldi54bWxQSwUGAAAAAAQABADzAAAAFAYAAAAA&#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7728"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C9B3" w14:textId="77777777" w:rsidR="00E261B3" w:rsidRDefault="00E261B3">
    <w:pPr>
      <w:pStyle w:val="Footer"/>
    </w:pPr>
    <w:r>
      <w:rPr>
        <w:noProof/>
      </w:rPr>
      <mc:AlternateContent>
        <mc:Choice Requires="wps">
          <w:drawing>
            <wp:anchor distT="0" distB="0" distL="114300" distR="114300" simplePos="0" relativeHeight="251656704" behindDoc="0" locked="0" layoutInCell="0" allowOverlap="1" wp14:anchorId="38B4503F" wp14:editId="78775C99">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593117C2">
            <v:shapetype id="_x0000_t202" coordsize="21600,21600" o:spt="202" path="m,l,21600r21600,l21600,xe" w14:anchorId="38B4503F">
              <v:stroke joinstyle="miter"/>
              <v:path gradientshapeok="t" o:connecttype="rect"/>
            </v:shapetype>
            <v:shape id="MSIPCM418f4cbe97f099549309dca7" style="position:absolute;margin-left:0;margin-top:802.35pt;width:595.3pt;height:24.55pt;z-index:25165670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v:textbox inset=",0,,0">
                <w:txbxContent>
                  <w:p w:rsidRPr="00B21F90" w:rsidR="00E261B3" w:rsidP="00B21F90" w:rsidRDefault="00E261B3" w14:paraId="09E77742"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D1655" w14:textId="77777777" w:rsidR="00AD335A" w:rsidRDefault="00AD335A" w:rsidP="002862F1">
      <w:pPr>
        <w:spacing w:before="120"/>
      </w:pPr>
      <w:r>
        <w:separator/>
      </w:r>
    </w:p>
  </w:footnote>
  <w:footnote w:type="continuationSeparator" w:id="0">
    <w:p w14:paraId="592011B2" w14:textId="77777777" w:rsidR="00AD335A" w:rsidRDefault="00AD335A">
      <w:r>
        <w:continuationSeparator/>
      </w:r>
    </w:p>
  </w:footnote>
  <w:footnote w:id="1">
    <w:p w14:paraId="1B95B632" w14:textId="77777777" w:rsidR="008E420B" w:rsidRDefault="008E420B" w:rsidP="008E420B">
      <w:pPr>
        <w:pStyle w:val="FootnoteText"/>
      </w:pPr>
      <w:r>
        <w:rPr>
          <w:rStyle w:val="FootnoteReference"/>
        </w:rPr>
        <w:footnoteRef/>
      </w:r>
      <w:r>
        <w:t xml:space="preserve"> KPMG, 2017, </w:t>
      </w:r>
      <w:r w:rsidRPr="00C4426E">
        <w:rPr>
          <w:i/>
          <w:iCs/>
        </w:rPr>
        <w:t>Counting, Costing and Classifying Non-Admitted Multidisciplinary Case Conferences where the patient is not present</w:t>
      </w:r>
    </w:p>
  </w:footnote>
  <w:footnote w:id="2">
    <w:p w14:paraId="597B5BEE" w14:textId="77777777" w:rsidR="008E420B" w:rsidRDefault="008E420B" w:rsidP="008E420B">
      <w:pPr>
        <w:pStyle w:val="FootnoteText"/>
      </w:pPr>
      <w:r>
        <w:rPr>
          <w:rStyle w:val="FootnoteReference"/>
        </w:rPr>
        <w:footnoteRef/>
      </w:r>
      <w:r>
        <w:t xml:space="preserve"> </w:t>
      </w:r>
      <w:r w:rsidRPr="00722990">
        <w:t xml:space="preserve">Department of Health and Human Services 2019, </w:t>
      </w:r>
      <w:r w:rsidRPr="00722990">
        <w:rPr>
          <w:i/>
          <w:iCs/>
        </w:rPr>
        <w:t>Victorian cancer multidisciplinary team meeting quality framework</w:t>
      </w:r>
      <w:r w:rsidRPr="00722990">
        <w:t xml:space="preserve"> September 2018, State Government of Victoria, Melbourne.</w:t>
      </w:r>
    </w:p>
  </w:footnote>
  <w:footnote w:id="3">
    <w:p w14:paraId="6C829A0B" w14:textId="77777777" w:rsidR="008E420B" w:rsidRDefault="008E420B" w:rsidP="008E420B">
      <w:pPr>
        <w:pStyle w:val="FootnoteText"/>
      </w:pPr>
      <w:r>
        <w:rPr>
          <w:rStyle w:val="FootnoteReference"/>
        </w:rPr>
        <w:footnoteRef/>
      </w:r>
      <w:r>
        <w:t xml:space="preserve"> Department of Human Services 2008, </w:t>
      </w:r>
      <w:r>
        <w:rPr>
          <w:i/>
          <w:iCs/>
        </w:rPr>
        <w:t>Health Independence Guidelines</w:t>
      </w:r>
      <w:r>
        <w:t>, State Government of Victoria, Melbourne.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D2738" w14:textId="77777777" w:rsidR="00785A64" w:rsidRDefault="00785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F60E" w14:textId="3DCB890D"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2FC8B" w14:textId="77777777" w:rsidR="00785A64" w:rsidRDefault="00785A6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C7701" w14:textId="782AD2B8" w:rsidR="008E420B" w:rsidRPr="0051568D" w:rsidRDefault="008E420B" w:rsidP="0011701A">
    <w:pPr>
      <w:pStyle w:val="Header"/>
    </w:pPr>
    <w:r>
      <w:t>Non-Admitted Multidisciplinary Case Conferences Reporting Guidelines</w:t>
    </w:r>
    <w:r w:rsidR="004D4FD3">
      <w:t xml:space="preserve"> V1.</w:t>
    </w:r>
    <w:r w:rsidR="00896DC3">
      <w:t>2</w:t>
    </w:r>
    <w:r w:rsidR="004D4FD3">
      <w:t xml:space="preserve"> </w:t>
    </w:r>
    <w:r w:rsidR="00896DC3">
      <w:t xml:space="preserve">June </w:t>
    </w:r>
    <w:r w:rsidR="004D4FD3">
      <w:t>2022</w:t>
    </w:r>
    <w:r>
      <w:t xml:space="preserve"> </w:t>
    </w:r>
    <w:r>
      <w:ptab w:relativeTo="margin" w:alignment="right" w:leader="none"/>
    </w:r>
    <w:r w:rsidRPr="007E1227">
      <w:rPr>
        <w:b/>
        <w:bCs/>
      </w:rPr>
      <w:fldChar w:fldCharType="begin"/>
    </w:r>
    <w:r w:rsidRPr="007E1227">
      <w:rPr>
        <w:bCs/>
      </w:rPr>
      <w:instrText xml:space="preserve"> PAGE </w:instrText>
    </w:r>
    <w:r w:rsidRPr="007E1227">
      <w:rPr>
        <w:b/>
        <w:bCs/>
      </w:rPr>
      <w:fldChar w:fldCharType="separate"/>
    </w:r>
    <w:r w:rsidRPr="007E1227">
      <w:rPr>
        <w:bCs/>
      </w:rPr>
      <w:t>3</w:t>
    </w:r>
    <w:r w:rsidRPr="007E1227">
      <w:rPr>
        <w:b/>
        <w:bCs/>
      </w:rPr>
      <w:fldChar w:fldCharType="end"/>
    </w:r>
  </w:p>
</w:hdr>
</file>

<file path=word/intelligence2.xml><?xml version="1.0" encoding="utf-8"?>
<int2:intelligence xmlns:int2="http://schemas.microsoft.com/office/intelligence/2020/intelligence">
  <int2:observations>
    <int2:textHash int2:hashCode="bEdFqPaQYy0jqF" int2:id="GRBR0OtN">
      <int2:state int2:type="LegacyProofing" int2:value="Rejected"/>
    </int2:textHash>
    <int2:bookmark int2:bookmarkName="_Int_dc1Fvwmb" int2:invalidationBookmarkName="" int2:hashCode="8msyVH3Vk+CueY" int2:id="a1nQSslE">
      <int2:state int2:type="AugLoop_Text_Critique" int2:value="Rejected"/>
    </int2:bookmark>
    <int2:bookmark int2:bookmarkName="_Int_OwnAeUoW" int2:invalidationBookmarkName="" int2:hashCode="RoHRJMxsS3O6q/" int2:id="Lb3GbF1a"/>
    <int2:bookmark int2:bookmarkName="_Int_lRaYbAIi" int2:invalidationBookmarkName="" int2:hashCode="RoHRJMxsS3O6q/" int2:id="tlsHZOBK"/>
    <int2:bookmark int2:bookmarkName="_Int_PC1VG1cl" int2:invalidationBookmarkName="" int2:hashCode="RoHRJMxsS3O6q/" int2:id="0vhJ9U5p"/>
    <int2:bookmark int2:bookmarkName="_Int_UCFkyLRw" int2:invalidationBookmarkName="" int2:hashCode="RoHRJMxsS3O6q/" int2:id="4SFyXv0k"/>
    <int2:bookmark int2:bookmarkName="_Int_uI70KROT" int2:invalidationBookmarkName="" int2:hashCode="RoHRJMxsS3O6q/" int2:id="H8Z49UTf"/>
    <int2:bookmark int2:bookmarkName="_Int_bITSPmhD" int2:invalidationBookmarkName="" int2:hashCode="RoHRJMxsS3O6q/" int2:id="Yw1r6tFW"/>
    <int2:bookmark int2:bookmarkName="_Int_h5l9bb02" int2:invalidationBookmarkName="" int2:hashCode="RoHRJMxsS3O6q/" int2:id="FcyywHA3"/>
    <int2:bookmark int2:bookmarkName="_Int_Mwgldh1J" int2:invalidationBookmarkName="" int2:hashCode="rSAOZnGpSJTudG" int2:id="FusOrqPT">
      <int2:state int2:type="AugLoop_Text_Critique" int2:value="Rejected"/>
    </int2:bookmark>
    <int2:bookmark int2:bookmarkName="_Int_iIkdrch6" int2:invalidationBookmarkName="" int2:hashCode="RoHRJMxsS3O6q/" int2:id="APg8BU1l"/>
    <int2:bookmark int2:bookmarkName="_Int_NqQTWfem" int2:invalidationBookmarkName="" int2:hashCode="RoHRJMxsS3O6q/" int2:id="y6Bpl1EZ"/>
    <int2:bookmark int2:bookmarkName="_Int_4rA7HV0T" int2:invalidationBookmarkName="" int2:hashCode="8msyVH3Vk+CueY" int2:id="PyE5rJXZ">
      <int2:state int2:type="AugLoop_Text_Critique" int2:value="Rejected"/>
    </int2:bookmark>
    <int2:bookmark int2:bookmarkName="_Int_KCg4yiuA" int2:invalidationBookmarkName="" int2:hashCode="RoHRJMxsS3O6q/" int2:id="cORjwC1d"/>
    <int2:bookmark int2:bookmarkName="_Int_Ay8QhuVf" int2:invalidationBookmarkName="" int2:hashCode="mnfcdAacNxM862" int2:id="cDONrtrD">
      <int2:state int2:type="AugLoop_Acronyms_AcronymsCritique" int2:value="Rejected"/>
    </int2:bookmark>
    <int2:bookmark int2:bookmarkName="_Int_Azcrlkka" int2:invalidationBookmarkName="" int2:hashCode="jnmmXBlgz5kiQ9" int2:id="biScAK1r">
      <int2:state int2:type="AugLoop_Acronyms_AcronymsCritique" int2:value="Rejected"/>
    </int2:bookmark>
    <int2:bookmark int2:bookmarkName="_Int_HqBH0lg4" int2:invalidationBookmarkName="" int2:hashCode="Rk1ARGQtWEO9nm" int2:id="Nvum2gWE">
      <int2:state int2:type="AugLoop_Acronyms_AcronymsCritique" int2:value="Rejected"/>
    </int2:bookmark>
    <int2:bookmark int2:bookmarkName="_Int_Jsj79Iq7" int2:invalidationBookmarkName="" int2:hashCode="o8LLDiIoJQ2YxI" int2:id="fmSxPgfI">
      <int2:state int2:type="AugLoop_Acronyms_AcronymsCritique" int2:value="Rejected"/>
    </int2:bookmark>
    <int2:bookmark int2:bookmarkName="_Int_TJVjzW5o" int2:invalidationBookmarkName="" int2:hashCode="0v6aFCDCZA7q2D" int2:id="9nniqNjl">
      <int2:state int2:type="AugLoop_Acronyms_AcronymsCritique" int2:value="Rejected"/>
    </int2:bookmark>
    <int2:bookmark int2:bookmarkName="_Int_qBtiRN67" int2:invalidationBookmarkName="" int2:hashCode="L+XFZEprlclHUK" int2:id="0ZqodxfZ">
      <int2:state int2:type="AugLoop_Acronyms_AcronymsCritique" int2:value="Rejected"/>
    </int2:bookmark>
    <int2:bookmark int2:bookmarkName="_Int_iE2qfzxI" int2:invalidationBookmarkName="" int2:hashCode="ZD4DPyxyvbq3AT" int2:id="9VBxGFlQ">
      <int2:state int2:type="AugLoop_Text_Critique" int2:value="Rejected"/>
    </int2:bookmark>
    <int2:bookmark int2:bookmarkName="_Int_W8xfQcHk" int2:invalidationBookmarkName="" int2:hashCode="ZD4DPyxyvbq3AT" int2:id="qPvm5XMX">
      <int2:state int2:type="AugLoop_Text_Critique" int2:value="Rejected"/>
    </int2:bookmark>
    <int2:bookmark int2:bookmarkName="_Int_QLcYoGb4" int2:invalidationBookmarkName="" int2:hashCode="3KKjJeR/dxf+gy" int2:id="KeX6QwLD">
      <int2:state int2:type="AugLoop_Text_Critique" int2:value="Rejected"/>
    </int2:bookmark>
    <int2:bookmark int2:bookmarkName="_Int_d0KHYRsw" int2:invalidationBookmarkName="" int2:hashCode="ZD4DPyxyvbq3AT" int2:id="A5lbuQaA">
      <int2:state int2:type="AugLoop_Text_Critique" int2:value="Rejected"/>
    </int2:bookmark>
    <int2:bookmark int2:bookmarkName="_Int_lUO4K2rc" int2:invalidationBookmarkName="" int2:hashCode="ZD4DPyxyvbq3AT" int2:id="fQmDfcHA">
      <int2:state int2:type="AugLoop_Text_Critique" int2:value="Rejected"/>
    </int2:bookmark>
    <int2:bookmark int2:bookmarkName="_Int_PTiY610I" int2:invalidationBookmarkName="" int2:hashCode="ZD4DPyxyvbq3AT" int2:id="4YSBgvuZ">
      <int2:state int2:type="AugLoop_Text_Critique" int2:value="Rejected"/>
    </int2:bookmark>
    <int2:bookmark int2:bookmarkName="_Int_OVepC6R5" int2:invalidationBookmarkName="" int2:hashCode="ZD4DPyxyvbq3AT" int2:id="yF6XWJo5">
      <int2:state int2:type="AugLoop_Text_Critique" int2:value="Rejected"/>
    </int2:bookmark>
    <int2:bookmark int2:bookmarkName="_Int_7XOq0BuX" int2:invalidationBookmarkName="" int2:hashCode="ZD4DPyxyvbq3AT" int2:id="skxgQ4Nb">
      <int2:state int2:type="AugLoop_Text_Critique" int2:value="Rejected"/>
    </int2:bookmark>
    <int2:bookmark int2:bookmarkName="_Int_wu0bCwmf" int2:invalidationBookmarkName="" int2:hashCode="ZD4DPyxyvbq3AT" int2:id="ue7dDw1A">
      <int2:state int2:type="AugLoop_Text_Critique" int2:value="Rejected"/>
    </int2:bookmark>
    <int2:bookmark int2:bookmarkName="_Int_Ywhaj578" int2:invalidationBookmarkName="" int2:hashCode="ZD4DPyxyvbq3AT" int2:id="f431td7n">
      <int2:state int2:type="AugLoop_Text_Critique" int2:value="Rejected"/>
    </int2:bookmark>
    <int2:bookmark int2:bookmarkName="_Int_JaR6ovt6" int2:invalidationBookmarkName="" int2:hashCode="ZD4DPyxyvbq3AT" int2:id="eNk3S7O6">
      <int2:state int2:type="AugLoop_Text_Critique" int2:value="Rejected"/>
    </int2:bookmark>
    <int2:bookmark int2:bookmarkName="_Int_l4zIYqeM" int2:invalidationBookmarkName="" int2:hashCode="hPnRm2HuZsf69b" int2:id="B5ZnriH8">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160D"/>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4FF2"/>
    <w:rsid w:val="0004536B"/>
    <w:rsid w:val="00046B68"/>
    <w:rsid w:val="000527DD"/>
    <w:rsid w:val="000578B2"/>
    <w:rsid w:val="00060959"/>
    <w:rsid w:val="00060C8F"/>
    <w:rsid w:val="0006298A"/>
    <w:rsid w:val="000663CD"/>
    <w:rsid w:val="000733FE"/>
    <w:rsid w:val="00074219"/>
    <w:rsid w:val="00074ED5"/>
    <w:rsid w:val="0008508E"/>
    <w:rsid w:val="00087951"/>
    <w:rsid w:val="0009113B"/>
    <w:rsid w:val="00093402"/>
    <w:rsid w:val="00094A67"/>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21CA"/>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65D9"/>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1459"/>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60EC"/>
    <w:rsid w:val="001D6F59"/>
    <w:rsid w:val="001E0C5D"/>
    <w:rsid w:val="001E2A36"/>
    <w:rsid w:val="001E44DF"/>
    <w:rsid w:val="001E68A5"/>
    <w:rsid w:val="001E6BB0"/>
    <w:rsid w:val="001E7282"/>
    <w:rsid w:val="001F3826"/>
    <w:rsid w:val="001F6E46"/>
    <w:rsid w:val="001F7C91"/>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57069"/>
    <w:rsid w:val="002620BC"/>
    <w:rsid w:val="00262802"/>
    <w:rsid w:val="00263A90"/>
    <w:rsid w:val="00263C1F"/>
    <w:rsid w:val="0026408B"/>
    <w:rsid w:val="00267C3E"/>
    <w:rsid w:val="002709BB"/>
    <w:rsid w:val="0027113F"/>
    <w:rsid w:val="00273BAC"/>
    <w:rsid w:val="00274726"/>
    <w:rsid w:val="002763B3"/>
    <w:rsid w:val="002802E3"/>
    <w:rsid w:val="0028213D"/>
    <w:rsid w:val="00285019"/>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25F1"/>
    <w:rsid w:val="002D5006"/>
    <w:rsid w:val="002D52A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4043"/>
    <w:rsid w:val="00327870"/>
    <w:rsid w:val="0033259D"/>
    <w:rsid w:val="003333D2"/>
    <w:rsid w:val="00333867"/>
    <w:rsid w:val="0033483E"/>
    <w:rsid w:val="003406C6"/>
    <w:rsid w:val="003418CC"/>
    <w:rsid w:val="003459BD"/>
    <w:rsid w:val="00350D38"/>
    <w:rsid w:val="00351B36"/>
    <w:rsid w:val="00357B4E"/>
    <w:rsid w:val="003679F0"/>
    <w:rsid w:val="003716FD"/>
    <w:rsid w:val="0037204B"/>
    <w:rsid w:val="003744CF"/>
    <w:rsid w:val="00374717"/>
    <w:rsid w:val="0037676C"/>
    <w:rsid w:val="00381043"/>
    <w:rsid w:val="003829E5"/>
    <w:rsid w:val="00386109"/>
    <w:rsid w:val="00386944"/>
    <w:rsid w:val="00386F10"/>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46C6"/>
    <w:rsid w:val="004148F9"/>
    <w:rsid w:val="00414D4A"/>
    <w:rsid w:val="0042084E"/>
    <w:rsid w:val="00421EEF"/>
    <w:rsid w:val="00424D65"/>
    <w:rsid w:val="00427B18"/>
    <w:rsid w:val="00430681"/>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D4FD3"/>
    <w:rsid w:val="004E1106"/>
    <w:rsid w:val="004E138F"/>
    <w:rsid w:val="004E4649"/>
    <w:rsid w:val="004E5C2B"/>
    <w:rsid w:val="004E7433"/>
    <w:rsid w:val="004E7992"/>
    <w:rsid w:val="004F00DD"/>
    <w:rsid w:val="004F2133"/>
    <w:rsid w:val="004F5398"/>
    <w:rsid w:val="004F55F1"/>
    <w:rsid w:val="004F6936"/>
    <w:rsid w:val="00503DC6"/>
    <w:rsid w:val="005057B4"/>
    <w:rsid w:val="00506F5D"/>
    <w:rsid w:val="00507653"/>
    <w:rsid w:val="00510C37"/>
    <w:rsid w:val="005126D0"/>
    <w:rsid w:val="0051568D"/>
    <w:rsid w:val="00526AC7"/>
    <w:rsid w:val="00526C1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48E0"/>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D7093"/>
    <w:rsid w:val="006E0541"/>
    <w:rsid w:val="006E138B"/>
    <w:rsid w:val="006F0330"/>
    <w:rsid w:val="006F1FDC"/>
    <w:rsid w:val="006F6B8C"/>
    <w:rsid w:val="007013EF"/>
    <w:rsid w:val="00702744"/>
    <w:rsid w:val="007055BD"/>
    <w:rsid w:val="007173CA"/>
    <w:rsid w:val="007216AA"/>
    <w:rsid w:val="00721AB5"/>
    <w:rsid w:val="00721CFB"/>
    <w:rsid w:val="00721DEF"/>
    <w:rsid w:val="00724A43"/>
    <w:rsid w:val="007273AC"/>
    <w:rsid w:val="00731AD4"/>
    <w:rsid w:val="007346E4"/>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5A64"/>
    <w:rsid w:val="00786F16"/>
    <w:rsid w:val="00791BD7"/>
    <w:rsid w:val="0079244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17658"/>
    <w:rsid w:val="00820141"/>
    <w:rsid w:val="00820E0C"/>
    <w:rsid w:val="00823275"/>
    <w:rsid w:val="0082366F"/>
    <w:rsid w:val="00825CF6"/>
    <w:rsid w:val="008338A2"/>
    <w:rsid w:val="00835FAF"/>
    <w:rsid w:val="00841AA9"/>
    <w:rsid w:val="008474FE"/>
    <w:rsid w:val="00853EE4"/>
    <w:rsid w:val="00855535"/>
    <w:rsid w:val="00857C5A"/>
    <w:rsid w:val="0086255E"/>
    <w:rsid w:val="008633F0"/>
    <w:rsid w:val="00867D9D"/>
    <w:rsid w:val="00872E0A"/>
    <w:rsid w:val="00872F73"/>
    <w:rsid w:val="00873594"/>
    <w:rsid w:val="00875285"/>
    <w:rsid w:val="00884B62"/>
    <w:rsid w:val="0088529C"/>
    <w:rsid w:val="00887903"/>
    <w:rsid w:val="0089270A"/>
    <w:rsid w:val="00893AF6"/>
    <w:rsid w:val="00894BC4"/>
    <w:rsid w:val="00896DC3"/>
    <w:rsid w:val="00897D55"/>
    <w:rsid w:val="008A0DBD"/>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420B"/>
    <w:rsid w:val="008E4376"/>
    <w:rsid w:val="008E7A0A"/>
    <w:rsid w:val="008E7B49"/>
    <w:rsid w:val="008F59F6"/>
    <w:rsid w:val="00900719"/>
    <w:rsid w:val="009017AC"/>
    <w:rsid w:val="00902A9A"/>
    <w:rsid w:val="00904A1C"/>
    <w:rsid w:val="00905030"/>
    <w:rsid w:val="00906490"/>
    <w:rsid w:val="00906F8C"/>
    <w:rsid w:val="009111B2"/>
    <w:rsid w:val="009151F5"/>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9457C"/>
    <w:rsid w:val="009A13D8"/>
    <w:rsid w:val="009A19AF"/>
    <w:rsid w:val="009A279E"/>
    <w:rsid w:val="009A3015"/>
    <w:rsid w:val="009A3490"/>
    <w:rsid w:val="009B0A6F"/>
    <w:rsid w:val="009B0A94"/>
    <w:rsid w:val="009B2AE8"/>
    <w:rsid w:val="009B59E9"/>
    <w:rsid w:val="009B70AA"/>
    <w:rsid w:val="009C5E77"/>
    <w:rsid w:val="009C7A7E"/>
    <w:rsid w:val="009D02E8"/>
    <w:rsid w:val="009D51D0"/>
    <w:rsid w:val="009D5B5D"/>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5D1D"/>
    <w:rsid w:val="00A330BB"/>
    <w:rsid w:val="00A34C95"/>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483D"/>
    <w:rsid w:val="00AA63D4"/>
    <w:rsid w:val="00AB06E8"/>
    <w:rsid w:val="00AB1CD3"/>
    <w:rsid w:val="00AB352F"/>
    <w:rsid w:val="00AC1701"/>
    <w:rsid w:val="00AC274B"/>
    <w:rsid w:val="00AC4764"/>
    <w:rsid w:val="00AC6D36"/>
    <w:rsid w:val="00AD0CBA"/>
    <w:rsid w:val="00AD177A"/>
    <w:rsid w:val="00AD26E2"/>
    <w:rsid w:val="00AD335A"/>
    <w:rsid w:val="00AD6440"/>
    <w:rsid w:val="00AD784C"/>
    <w:rsid w:val="00AE126A"/>
    <w:rsid w:val="00AE1BAE"/>
    <w:rsid w:val="00AE3005"/>
    <w:rsid w:val="00AE3BD5"/>
    <w:rsid w:val="00AE59A0"/>
    <w:rsid w:val="00AE6A68"/>
    <w:rsid w:val="00AF0C57"/>
    <w:rsid w:val="00AF26F3"/>
    <w:rsid w:val="00AF5F04"/>
    <w:rsid w:val="00B00672"/>
    <w:rsid w:val="00B01B4D"/>
    <w:rsid w:val="00B06571"/>
    <w:rsid w:val="00B06821"/>
    <w:rsid w:val="00B068BA"/>
    <w:rsid w:val="00B07C8F"/>
    <w:rsid w:val="00B13851"/>
    <w:rsid w:val="00B13B1C"/>
    <w:rsid w:val="00B14780"/>
    <w:rsid w:val="00B21F90"/>
    <w:rsid w:val="00B22291"/>
    <w:rsid w:val="00B23F9A"/>
    <w:rsid w:val="00B2417B"/>
    <w:rsid w:val="00B24E6F"/>
    <w:rsid w:val="00B26CB5"/>
    <w:rsid w:val="00B2752E"/>
    <w:rsid w:val="00B307CC"/>
    <w:rsid w:val="00B326B7"/>
    <w:rsid w:val="00B32760"/>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17E8"/>
    <w:rsid w:val="00B950BC"/>
    <w:rsid w:val="00B9714C"/>
    <w:rsid w:val="00BA29AD"/>
    <w:rsid w:val="00BA33CF"/>
    <w:rsid w:val="00BA3F8D"/>
    <w:rsid w:val="00BB7A10"/>
    <w:rsid w:val="00BC3E8F"/>
    <w:rsid w:val="00BC60BE"/>
    <w:rsid w:val="00BC6FE1"/>
    <w:rsid w:val="00BC7468"/>
    <w:rsid w:val="00BC7D4F"/>
    <w:rsid w:val="00BC7ED7"/>
    <w:rsid w:val="00BD2850"/>
    <w:rsid w:val="00BE28D2"/>
    <w:rsid w:val="00BE4A64"/>
    <w:rsid w:val="00BE5E43"/>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920EA"/>
    <w:rsid w:val="00C93C3E"/>
    <w:rsid w:val="00C97150"/>
    <w:rsid w:val="00CA12E3"/>
    <w:rsid w:val="00CA1476"/>
    <w:rsid w:val="00CA6611"/>
    <w:rsid w:val="00CA6AE6"/>
    <w:rsid w:val="00CA782F"/>
    <w:rsid w:val="00CB187B"/>
    <w:rsid w:val="00CB2835"/>
    <w:rsid w:val="00CB3285"/>
    <w:rsid w:val="00CB4500"/>
    <w:rsid w:val="00CB7800"/>
    <w:rsid w:val="00CC0C72"/>
    <w:rsid w:val="00CC2BFD"/>
    <w:rsid w:val="00CD2C40"/>
    <w:rsid w:val="00CD3476"/>
    <w:rsid w:val="00CD64DF"/>
    <w:rsid w:val="00CE225F"/>
    <w:rsid w:val="00CF2F50"/>
    <w:rsid w:val="00CF6198"/>
    <w:rsid w:val="00D02919"/>
    <w:rsid w:val="00D03A98"/>
    <w:rsid w:val="00D04C61"/>
    <w:rsid w:val="00D05B8D"/>
    <w:rsid w:val="00D065A2"/>
    <w:rsid w:val="00D079AA"/>
    <w:rsid w:val="00D07F00"/>
    <w:rsid w:val="00D1130F"/>
    <w:rsid w:val="00D17B72"/>
    <w:rsid w:val="00D3185C"/>
    <w:rsid w:val="00D3205F"/>
    <w:rsid w:val="00D3318E"/>
    <w:rsid w:val="00D33E72"/>
    <w:rsid w:val="00D35BD6"/>
    <w:rsid w:val="00D361B5"/>
    <w:rsid w:val="00D411A2"/>
    <w:rsid w:val="00D4606D"/>
    <w:rsid w:val="00D46C92"/>
    <w:rsid w:val="00D50B9C"/>
    <w:rsid w:val="00D52D73"/>
    <w:rsid w:val="00D52E58"/>
    <w:rsid w:val="00D56B20"/>
    <w:rsid w:val="00D578B3"/>
    <w:rsid w:val="00D618F4"/>
    <w:rsid w:val="00D6245A"/>
    <w:rsid w:val="00D714CC"/>
    <w:rsid w:val="00D75EA7"/>
    <w:rsid w:val="00D81ADF"/>
    <w:rsid w:val="00D81F21"/>
    <w:rsid w:val="00D864F2"/>
    <w:rsid w:val="00D943F8"/>
    <w:rsid w:val="00D95470"/>
    <w:rsid w:val="00D96B55"/>
    <w:rsid w:val="00DA2619"/>
    <w:rsid w:val="00DA4239"/>
    <w:rsid w:val="00DA65DE"/>
    <w:rsid w:val="00DB0B61"/>
    <w:rsid w:val="00DB1474"/>
    <w:rsid w:val="00DB2962"/>
    <w:rsid w:val="00DB2EDF"/>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3456"/>
    <w:rsid w:val="00E54950"/>
    <w:rsid w:val="00E56A01"/>
    <w:rsid w:val="00E62622"/>
    <w:rsid w:val="00E629A1"/>
    <w:rsid w:val="00E6794C"/>
    <w:rsid w:val="00E71591"/>
    <w:rsid w:val="00E71CEB"/>
    <w:rsid w:val="00E7474F"/>
    <w:rsid w:val="00E80DE3"/>
    <w:rsid w:val="00E82C55"/>
    <w:rsid w:val="00E83FFB"/>
    <w:rsid w:val="00E8787E"/>
    <w:rsid w:val="00E92AC3"/>
    <w:rsid w:val="00E96CA7"/>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36C5C"/>
    <w:rsid w:val="00F40A70"/>
    <w:rsid w:val="00F43A37"/>
    <w:rsid w:val="00F451AB"/>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4769"/>
    <w:rsid w:val="00FB4CDA"/>
    <w:rsid w:val="00FB6481"/>
    <w:rsid w:val="00FB6D36"/>
    <w:rsid w:val="00FC0965"/>
    <w:rsid w:val="00FC0F81"/>
    <w:rsid w:val="00FC252F"/>
    <w:rsid w:val="00FC395C"/>
    <w:rsid w:val="00FC5E8E"/>
    <w:rsid w:val="00FC7FB6"/>
    <w:rsid w:val="00FD129C"/>
    <w:rsid w:val="00FD3766"/>
    <w:rsid w:val="00FD47C4"/>
    <w:rsid w:val="00FD722A"/>
    <w:rsid w:val="00FE2DCF"/>
    <w:rsid w:val="00FE3FA7"/>
    <w:rsid w:val="00FF2A4E"/>
    <w:rsid w:val="00FF2FCE"/>
    <w:rsid w:val="00FF4F7D"/>
    <w:rsid w:val="00FF54DF"/>
    <w:rsid w:val="00FF6D9D"/>
    <w:rsid w:val="00FF7DD5"/>
    <w:rsid w:val="0C58EE94"/>
    <w:rsid w:val="0DF4BEF5"/>
    <w:rsid w:val="11F32528"/>
    <w:rsid w:val="1D3E4DD0"/>
    <w:rsid w:val="347CAF56"/>
    <w:rsid w:val="48132EA3"/>
    <w:rsid w:val="65A1A2D0"/>
    <w:rsid w:val="7E3000C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59E1BA4"/>
  <w15:docId w15:val="{C6473A15-1896-47D1-82FA-41F29428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numbering" w:customStyle="1" w:styleId="ZZBullets1">
    <w:name w:val="ZZ Bullets1"/>
    <w:rsid w:val="008E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health.vic.gov.au/data-reporting/health-data-standards-and-system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hdss.helpdesk@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hpa.gov.au/what-we-do/tier-2-non-admitted-care-services-classific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 Id="R0d26fcce3b47485c" Type="http://schemas.microsoft.com/office/2020/10/relationships/intelligence" Target="intelligence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ef5d2a5-5e0a-4ee3-8ef3-5bcda44265f1">
      <UserInfo>
        <DisplayName>Louise Shanahan-McKenna (Health)</DisplayName>
        <AccountId>28</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3" ma:contentTypeDescription="Create a new document." ma:contentTypeScope="" ma:versionID="b9ac539a4daf36b5a9f1791f6e8196c6">
  <xsd:schema xmlns:xsd="http://www.w3.org/2001/XMLSchema" xmlns:xs="http://www.w3.org/2001/XMLSchema" xmlns:p="http://schemas.microsoft.com/office/2006/metadata/properties" xmlns:ns2="6371cb4f-6914-47b5-91ad-9d8989e82aef" xmlns:ns3="5ef5d2a5-5e0a-4ee3-8ef3-5bcda44265f1" targetNamespace="http://schemas.microsoft.com/office/2006/metadata/properties" ma:root="true" ma:fieldsID="5c83d80bb63f85f80565e6c63aa2c224" ns2:_="" ns3:_="">
    <xsd:import namespace="6371cb4f-6914-47b5-91ad-9d8989e82aef"/>
    <xsd:import namespace="5ef5d2a5-5e0a-4ee3-8ef3-5bcda44265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ef5d2a5-5e0a-4ee3-8ef3-5bcda44265f1"/>
    <ds:schemaRef ds:uri="6371cb4f-6914-47b5-91ad-9d8989e82aef"/>
    <ds:schemaRef ds:uri="http://www.w3.org/XML/1998/namespace"/>
    <ds:schemaRef ds:uri="http://purl.org/dc/dcmitype/"/>
  </ds:schemaRefs>
</ds:datastoreItem>
</file>

<file path=customXml/itemProps2.xml><?xml version="1.0" encoding="utf-8"?>
<ds:datastoreItem xmlns:ds="http://schemas.openxmlformats.org/officeDocument/2006/customXml" ds:itemID="{1C3BD458-B236-B24A-A168-D787D94B4E04}">
  <ds:schemaRefs>
    <ds:schemaRef ds:uri="http://schemas.openxmlformats.org/officeDocument/2006/bibliography"/>
  </ds:schemaRefs>
</ds:datastoreItem>
</file>

<file path=customXml/itemProps3.xml><?xml version="1.0" encoding="utf-8"?>
<ds:datastoreItem xmlns:ds="http://schemas.openxmlformats.org/officeDocument/2006/customXml" ds:itemID="{7AAA7704-F048-4792-998B-0A77F1333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2385</Words>
  <Characters>13597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Non-Admitted Multidisciplinary Case Conferences Reporting Guidelines V1.2</vt:lpstr>
    </vt:vector>
  </TitlesOfParts>
  <Company>Victoria State Government, Department of Health</Company>
  <LinksUpToDate>false</LinksUpToDate>
  <CharactersWithSpaces>15951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Non-Admitted Multidisciplinary Case Conferences Reporting Guidelines V1.2</dc:title>
  <dc:creator>VAHI</dc:creator>
  <cp:keywords>MDCC, MDM, Multidisciplinary Case Conference, Reporting Guidelines</cp:keywords>
  <cp:lastModifiedBy>Tyler McPherson (Health)</cp:lastModifiedBy>
  <cp:revision>2</cp:revision>
  <cp:lastPrinted>2020-03-30T03:28:00Z</cp:lastPrinted>
  <dcterms:created xsi:type="dcterms:W3CDTF">2022-06-21T04:33:00Z</dcterms:created>
  <dcterms:modified xsi:type="dcterms:W3CDTF">2022-06-21T04:33:00Z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MSIP_Label_43e64453-338c-4f93-8a4d-0039a0a41f2a_Enabled">
    <vt:lpwstr>true</vt:lpwstr>
  </property>
  <property fmtid="{D5CDD505-2E9C-101B-9397-08002B2CF9AE}" pid="13" name="MSIP_Label_43e64453-338c-4f93-8a4d-0039a0a41f2a_SetDate">
    <vt:lpwstr>2022-06-21T04:33:35Z</vt:lpwstr>
  </property>
  <property fmtid="{D5CDD505-2E9C-101B-9397-08002B2CF9AE}" pid="14" name="MSIP_Label_43e64453-338c-4f93-8a4d-0039a0a41f2a_Method">
    <vt:lpwstr>Privileged</vt:lpwstr>
  </property>
  <property fmtid="{D5CDD505-2E9C-101B-9397-08002B2CF9AE}" pid="15" name="MSIP_Label_43e64453-338c-4f93-8a4d-0039a0a41f2a_Name">
    <vt:lpwstr>43e64453-338c-4f93-8a4d-0039a0a41f2a</vt:lpwstr>
  </property>
  <property fmtid="{D5CDD505-2E9C-101B-9397-08002B2CF9AE}" pid="16" name="MSIP_Label_43e64453-338c-4f93-8a4d-0039a0a41f2a_SiteId">
    <vt:lpwstr>c0e0601f-0fac-449c-9c88-a104c4eb9f28</vt:lpwstr>
  </property>
  <property fmtid="{D5CDD505-2E9C-101B-9397-08002B2CF9AE}" pid="17" name="MSIP_Label_43e64453-338c-4f93-8a4d-0039a0a41f2a_ActionId">
    <vt:lpwstr>6f49fba5-5fb5-4db3-a94e-e02c420cd3e5</vt:lpwstr>
  </property>
  <property fmtid="{D5CDD505-2E9C-101B-9397-08002B2CF9AE}" pid="18" name="MSIP_Label_43e64453-338c-4f93-8a4d-0039a0a41f2a_ContentBits">
    <vt:lpwstr>2</vt:lpwstr>
  </property>
</Properties>
</file>