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32B6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48179CE" wp14:editId="062AB9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D3E4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1E6FF872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DB8E951" w14:textId="77777777" w:rsidR="003B5733" w:rsidRDefault="0091098B" w:rsidP="003B5733">
            <w:pPr>
              <w:pStyle w:val="Documenttitle"/>
              <w:rPr>
                <w:sz w:val="44"/>
                <w:szCs w:val="44"/>
              </w:rPr>
            </w:pPr>
            <w:r w:rsidRPr="0091098B">
              <w:rPr>
                <w:sz w:val="44"/>
                <w:szCs w:val="44"/>
              </w:rPr>
              <w:t>Victorian Alcohol and Drug Collection</w:t>
            </w:r>
          </w:p>
          <w:p w14:paraId="618AA1D9" w14:textId="08BC724D" w:rsidR="00B407BC" w:rsidRPr="0091098B" w:rsidRDefault="00B407BC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VADC Bulletin 2021-22</w:t>
            </w:r>
          </w:p>
        </w:tc>
      </w:tr>
      <w:tr w:rsidR="003B5733" w14:paraId="7BC8D8EF" w14:textId="77777777" w:rsidTr="005F44C0">
        <w:tc>
          <w:tcPr>
            <w:tcW w:w="0" w:type="auto"/>
          </w:tcPr>
          <w:p w14:paraId="489AF57F" w14:textId="560B1123" w:rsidR="003B5733" w:rsidRPr="00A1389F" w:rsidRDefault="00B407BC" w:rsidP="005F44C0">
            <w:pPr>
              <w:pStyle w:val="Documentsubtitle"/>
            </w:pPr>
            <w:r>
              <w:t>Edition 1</w:t>
            </w:r>
            <w:r w:rsidR="00A81DE5">
              <w:t>9</w:t>
            </w:r>
            <w:r>
              <w:t>:</w:t>
            </w:r>
            <w:r w:rsidR="006C7ABE">
              <w:t xml:space="preserve">       </w:t>
            </w:r>
            <w:r w:rsidR="00A81DE5">
              <w:t>29</w:t>
            </w:r>
            <w:r>
              <w:t xml:space="preserve"> </w:t>
            </w:r>
            <w:r w:rsidR="00A81DE5">
              <w:t>March</w:t>
            </w:r>
            <w:r>
              <w:t xml:space="preserve"> 202</w:t>
            </w:r>
            <w:r w:rsidR="00860BCE">
              <w:t>2</w:t>
            </w:r>
          </w:p>
        </w:tc>
      </w:tr>
      <w:tr w:rsidR="003B5733" w14:paraId="57CBE7D0" w14:textId="77777777" w:rsidTr="005F44C0">
        <w:tc>
          <w:tcPr>
            <w:tcW w:w="0" w:type="auto"/>
          </w:tcPr>
          <w:p w14:paraId="64A1B206" w14:textId="77777777" w:rsidR="003B5733" w:rsidRDefault="00220EA5" w:rsidP="005F44C0">
            <w:pPr>
              <w:pStyle w:val="Bannermarking"/>
            </w:pPr>
            <w:fldSimple w:instr=" FILLIN  &quot;Type the protective marking&quot; \d OFFICIAL \o  \* MERGEFORMAT ">
              <w:r w:rsidR="00C51A47">
                <w:t>OFFICIAL</w:t>
              </w:r>
            </w:fldSimple>
          </w:p>
          <w:p w14:paraId="2E82EA1B" w14:textId="77777777" w:rsidR="00B407BC" w:rsidRDefault="00B407BC" w:rsidP="005F44C0">
            <w:pPr>
              <w:pStyle w:val="Bannermarking"/>
            </w:pPr>
          </w:p>
          <w:p w14:paraId="27A98A08" w14:textId="16645C51" w:rsidR="00B407BC" w:rsidRPr="00B4619E" w:rsidRDefault="00B407BC" w:rsidP="00B4619E">
            <w:pPr>
              <w:pStyle w:val="DHHSbody"/>
              <w:rPr>
                <w:rFonts w:cs="Arial"/>
                <w:b/>
                <w:sz w:val="21"/>
                <w:szCs w:val="21"/>
              </w:rPr>
            </w:pPr>
            <w:r w:rsidRPr="007E2E2F">
              <w:rPr>
                <w:rFonts w:cs="Arial"/>
                <w:b/>
                <w:sz w:val="21"/>
                <w:szCs w:val="21"/>
              </w:rPr>
              <w:t xml:space="preserve">VADC Bulletins must be read in conjunction with the VADC Data Specification, available here </w:t>
            </w:r>
          </w:p>
          <w:p w14:paraId="633733D2" w14:textId="382976A1" w:rsidR="00B4619E" w:rsidRPr="00B4619E" w:rsidRDefault="002A4510" w:rsidP="00B4619E">
            <w:pPr>
              <w:pStyle w:val="Body"/>
              <w:rPr>
                <w:rFonts w:cs="Arial"/>
                <w:i/>
                <w:iCs/>
              </w:rPr>
            </w:pPr>
            <w:hyperlink r:id="rId15" w:history="1">
              <w:r w:rsidR="00B4619E">
                <w:rPr>
                  <w:rStyle w:val="Hyperlink"/>
                  <w:rFonts w:cs="Arial"/>
                  <w:i/>
                  <w:iCs/>
                </w:rPr>
                <w:t>VADC documentation - health vic</w:t>
              </w:r>
            </w:hyperlink>
          </w:p>
        </w:tc>
      </w:tr>
    </w:tbl>
    <w:p w14:paraId="4488FF50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16F68167" w14:textId="1E86AC4B" w:rsidR="00F42C3D" w:rsidRDefault="00AD784C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99352982" w:history="1">
        <w:r w:rsidR="00F42C3D" w:rsidRPr="00CE4AC5">
          <w:rPr>
            <w:rStyle w:val="Hyperlink"/>
          </w:rPr>
          <w:t>1.</w:t>
        </w:r>
        <w:r w:rsidR="00F42C3D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2C3D" w:rsidRPr="00CE4AC5">
          <w:rPr>
            <w:rStyle w:val="Hyperlink"/>
          </w:rPr>
          <w:t>VADC Specifications for 2022-23</w:t>
        </w:r>
        <w:r w:rsidR="00F42C3D">
          <w:rPr>
            <w:webHidden/>
          </w:rPr>
          <w:tab/>
        </w:r>
        <w:r w:rsidR="00F42C3D">
          <w:rPr>
            <w:webHidden/>
          </w:rPr>
          <w:fldChar w:fldCharType="begin"/>
        </w:r>
        <w:r w:rsidR="00F42C3D">
          <w:rPr>
            <w:webHidden/>
          </w:rPr>
          <w:instrText xml:space="preserve"> PAGEREF _Toc99352982 \h </w:instrText>
        </w:r>
        <w:r w:rsidR="00F42C3D">
          <w:rPr>
            <w:webHidden/>
          </w:rPr>
        </w:r>
        <w:r w:rsidR="00F42C3D">
          <w:rPr>
            <w:webHidden/>
          </w:rPr>
          <w:fldChar w:fldCharType="separate"/>
        </w:r>
        <w:r w:rsidR="00F42C3D">
          <w:rPr>
            <w:webHidden/>
          </w:rPr>
          <w:t>2</w:t>
        </w:r>
        <w:r w:rsidR="00F42C3D">
          <w:rPr>
            <w:webHidden/>
          </w:rPr>
          <w:fldChar w:fldCharType="end"/>
        </w:r>
      </w:hyperlink>
    </w:p>
    <w:p w14:paraId="09CF18B3" w14:textId="1A473CEC" w:rsidR="00F42C3D" w:rsidRDefault="002A4510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9352983" w:history="1">
        <w:r w:rsidR="00F42C3D" w:rsidRPr="00CE4AC5">
          <w:rPr>
            <w:rStyle w:val="Hyperlink"/>
          </w:rPr>
          <w:t>2.</w:t>
        </w:r>
        <w:r w:rsidR="00F42C3D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2C3D" w:rsidRPr="00CE4AC5">
          <w:rPr>
            <w:rStyle w:val="Hyperlink"/>
          </w:rPr>
          <w:t>Clarification on VADC 2022-23 Proposal 13 – Minor change to pseudocode of AOD177</w:t>
        </w:r>
        <w:r w:rsidR="00F42C3D">
          <w:rPr>
            <w:webHidden/>
          </w:rPr>
          <w:tab/>
        </w:r>
        <w:r w:rsidR="00F42C3D">
          <w:rPr>
            <w:webHidden/>
          </w:rPr>
          <w:fldChar w:fldCharType="begin"/>
        </w:r>
        <w:r w:rsidR="00F42C3D">
          <w:rPr>
            <w:webHidden/>
          </w:rPr>
          <w:instrText xml:space="preserve"> PAGEREF _Toc99352983 \h </w:instrText>
        </w:r>
        <w:r w:rsidR="00F42C3D">
          <w:rPr>
            <w:webHidden/>
          </w:rPr>
        </w:r>
        <w:r w:rsidR="00F42C3D">
          <w:rPr>
            <w:webHidden/>
          </w:rPr>
          <w:fldChar w:fldCharType="separate"/>
        </w:r>
        <w:r w:rsidR="00F42C3D">
          <w:rPr>
            <w:webHidden/>
          </w:rPr>
          <w:t>2</w:t>
        </w:r>
        <w:r w:rsidR="00F42C3D">
          <w:rPr>
            <w:webHidden/>
          </w:rPr>
          <w:fldChar w:fldCharType="end"/>
        </w:r>
      </w:hyperlink>
    </w:p>
    <w:p w14:paraId="68F33B0E" w14:textId="6C434090" w:rsidR="00F42C3D" w:rsidRDefault="002A4510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9352984" w:history="1">
        <w:r w:rsidR="00F42C3D" w:rsidRPr="00CE4AC5">
          <w:rPr>
            <w:rStyle w:val="Hyperlink"/>
          </w:rPr>
          <w:t>3.</w:t>
        </w:r>
        <w:r w:rsidR="00F42C3D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2C3D" w:rsidRPr="00CE4AC5">
          <w:rPr>
            <w:rStyle w:val="Hyperlink"/>
          </w:rPr>
          <w:t>Update to legacy mental health terminology</w:t>
        </w:r>
        <w:r w:rsidR="00F42C3D">
          <w:rPr>
            <w:webHidden/>
          </w:rPr>
          <w:tab/>
        </w:r>
        <w:r w:rsidR="00F42C3D">
          <w:rPr>
            <w:webHidden/>
          </w:rPr>
          <w:fldChar w:fldCharType="begin"/>
        </w:r>
        <w:r w:rsidR="00F42C3D">
          <w:rPr>
            <w:webHidden/>
          </w:rPr>
          <w:instrText xml:space="preserve"> PAGEREF _Toc99352984 \h </w:instrText>
        </w:r>
        <w:r w:rsidR="00F42C3D">
          <w:rPr>
            <w:webHidden/>
          </w:rPr>
        </w:r>
        <w:r w:rsidR="00F42C3D">
          <w:rPr>
            <w:webHidden/>
          </w:rPr>
          <w:fldChar w:fldCharType="separate"/>
        </w:r>
        <w:r w:rsidR="00F42C3D">
          <w:rPr>
            <w:webHidden/>
          </w:rPr>
          <w:t>3</w:t>
        </w:r>
        <w:r w:rsidR="00F42C3D">
          <w:rPr>
            <w:webHidden/>
          </w:rPr>
          <w:fldChar w:fldCharType="end"/>
        </w:r>
      </w:hyperlink>
    </w:p>
    <w:p w14:paraId="562D727C" w14:textId="0B0DFEE4" w:rsidR="00F42C3D" w:rsidRDefault="002A4510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9352985" w:history="1">
        <w:r w:rsidR="00F42C3D" w:rsidRPr="00CE4AC5">
          <w:rPr>
            <w:rStyle w:val="Hyperlink"/>
          </w:rPr>
          <w:t>4.</w:t>
        </w:r>
        <w:r w:rsidR="00F42C3D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2C3D" w:rsidRPr="00CE4AC5">
          <w:rPr>
            <w:rStyle w:val="Hyperlink"/>
          </w:rPr>
          <w:t>Update to Guide of Use for ACSO Identifier.</w:t>
        </w:r>
        <w:r w:rsidR="00F42C3D">
          <w:rPr>
            <w:webHidden/>
          </w:rPr>
          <w:tab/>
        </w:r>
        <w:r w:rsidR="00F42C3D">
          <w:rPr>
            <w:webHidden/>
          </w:rPr>
          <w:fldChar w:fldCharType="begin"/>
        </w:r>
        <w:r w:rsidR="00F42C3D">
          <w:rPr>
            <w:webHidden/>
          </w:rPr>
          <w:instrText xml:space="preserve"> PAGEREF _Toc99352985 \h </w:instrText>
        </w:r>
        <w:r w:rsidR="00F42C3D">
          <w:rPr>
            <w:webHidden/>
          </w:rPr>
        </w:r>
        <w:r w:rsidR="00F42C3D">
          <w:rPr>
            <w:webHidden/>
          </w:rPr>
          <w:fldChar w:fldCharType="separate"/>
        </w:r>
        <w:r w:rsidR="00F42C3D">
          <w:rPr>
            <w:webHidden/>
          </w:rPr>
          <w:t>4</w:t>
        </w:r>
        <w:r w:rsidR="00F42C3D">
          <w:rPr>
            <w:webHidden/>
          </w:rPr>
          <w:fldChar w:fldCharType="end"/>
        </w:r>
      </w:hyperlink>
    </w:p>
    <w:p w14:paraId="288DD631" w14:textId="48DE23CC" w:rsidR="00F42C3D" w:rsidRDefault="002A4510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9352986" w:history="1">
        <w:r w:rsidR="00F42C3D" w:rsidRPr="00CE4AC5">
          <w:rPr>
            <w:rStyle w:val="Hyperlink"/>
          </w:rPr>
          <w:t>5.</w:t>
        </w:r>
        <w:r w:rsidR="00F42C3D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2C3D" w:rsidRPr="00CE4AC5">
          <w:rPr>
            <w:rStyle w:val="Hyperlink"/>
          </w:rPr>
          <w:t>Table 5.b Validations in VADC data specification 2021-22</w:t>
        </w:r>
        <w:r w:rsidR="00F42C3D">
          <w:rPr>
            <w:webHidden/>
          </w:rPr>
          <w:tab/>
        </w:r>
        <w:r w:rsidR="00F42C3D">
          <w:rPr>
            <w:webHidden/>
          </w:rPr>
          <w:fldChar w:fldCharType="begin"/>
        </w:r>
        <w:r w:rsidR="00F42C3D">
          <w:rPr>
            <w:webHidden/>
          </w:rPr>
          <w:instrText xml:space="preserve"> PAGEREF _Toc99352986 \h </w:instrText>
        </w:r>
        <w:r w:rsidR="00F42C3D">
          <w:rPr>
            <w:webHidden/>
          </w:rPr>
        </w:r>
        <w:r w:rsidR="00F42C3D">
          <w:rPr>
            <w:webHidden/>
          </w:rPr>
          <w:fldChar w:fldCharType="separate"/>
        </w:r>
        <w:r w:rsidR="00F42C3D">
          <w:rPr>
            <w:webHidden/>
          </w:rPr>
          <w:t>5</w:t>
        </w:r>
        <w:r w:rsidR="00F42C3D">
          <w:rPr>
            <w:webHidden/>
          </w:rPr>
          <w:fldChar w:fldCharType="end"/>
        </w:r>
      </w:hyperlink>
    </w:p>
    <w:p w14:paraId="645ED2CA" w14:textId="08D72F26" w:rsidR="00F42C3D" w:rsidRDefault="002A4510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9352987" w:history="1">
        <w:r w:rsidR="00F42C3D" w:rsidRPr="00CE4AC5">
          <w:rPr>
            <w:rStyle w:val="Hyperlink"/>
          </w:rPr>
          <w:t>6.</w:t>
        </w:r>
        <w:r w:rsidR="00F42C3D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2C3D" w:rsidRPr="00CE4AC5">
          <w:rPr>
            <w:rStyle w:val="Hyperlink"/>
          </w:rPr>
          <w:t>Service Provider Contact List</w:t>
        </w:r>
        <w:r w:rsidR="00F42C3D">
          <w:rPr>
            <w:webHidden/>
          </w:rPr>
          <w:tab/>
        </w:r>
        <w:r w:rsidR="00F42C3D">
          <w:rPr>
            <w:webHidden/>
          </w:rPr>
          <w:fldChar w:fldCharType="begin"/>
        </w:r>
        <w:r w:rsidR="00F42C3D">
          <w:rPr>
            <w:webHidden/>
          </w:rPr>
          <w:instrText xml:space="preserve"> PAGEREF _Toc99352987 \h </w:instrText>
        </w:r>
        <w:r w:rsidR="00F42C3D">
          <w:rPr>
            <w:webHidden/>
          </w:rPr>
        </w:r>
        <w:r w:rsidR="00F42C3D">
          <w:rPr>
            <w:webHidden/>
          </w:rPr>
          <w:fldChar w:fldCharType="separate"/>
        </w:r>
        <w:r w:rsidR="00F42C3D">
          <w:rPr>
            <w:webHidden/>
          </w:rPr>
          <w:t>5</w:t>
        </w:r>
        <w:r w:rsidR="00F42C3D">
          <w:rPr>
            <w:webHidden/>
          </w:rPr>
          <w:fldChar w:fldCharType="end"/>
        </w:r>
      </w:hyperlink>
    </w:p>
    <w:p w14:paraId="24C98A0B" w14:textId="3811AAD4" w:rsidR="00F42C3D" w:rsidRDefault="002A4510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9352988" w:history="1">
        <w:r w:rsidR="00F42C3D" w:rsidRPr="00CE4AC5">
          <w:rPr>
            <w:rStyle w:val="Hyperlink"/>
          </w:rPr>
          <w:t>7.</w:t>
        </w:r>
        <w:r w:rsidR="00F42C3D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2C3D" w:rsidRPr="00CE4AC5">
          <w:rPr>
            <w:rStyle w:val="Hyperlink"/>
          </w:rPr>
          <w:t>Data Quality review on ACSO Identifier</w:t>
        </w:r>
        <w:r w:rsidR="00F42C3D">
          <w:rPr>
            <w:webHidden/>
          </w:rPr>
          <w:tab/>
        </w:r>
        <w:r w:rsidR="00F42C3D">
          <w:rPr>
            <w:webHidden/>
          </w:rPr>
          <w:fldChar w:fldCharType="begin"/>
        </w:r>
        <w:r w:rsidR="00F42C3D">
          <w:rPr>
            <w:webHidden/>
          </w:rPr>
          <w:instrText xml:space="preserve"> PAGEREF _Toc99352988 \h </w:instrText>
        </w:r>
        <w:r w:rsidR="00F42C3D">
          <w:rPr>
            <w:webHidden/>
          </w:rPr>
        </w:r>
        <w:r w:rsidR="00F42C3D">
          <w:rPr>
            <w:webHidden/>
          </w:rPr>
          <w:fldChar w:fldCharType="separate"/>
        </w:r>
        <w:r w:rsidR="00F42C3D">
          <w:rPr>
            <w:webHidden/>
          </w:rPr>
          <w:t>5</w:t>
        </w:r>
        <w:r w:rsidR="00F42C3D">
          <w:rPr>
            <w:webHidden/>
          </w:rPr>
          <w:fldChar w:fldCharType="end"/>
        </w:r>
      </w:hyperlink>
    </w:p>
    <w:p w14:paraId="62C188BB" w14:textId="76FDAA9B" w:rsidR="00F42C3D" w:rsidRDefault="002A4510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9352989" w:history="1">
        <w:r w:rsidR="00F42C3D" w:rsidRPr="00CE4AC5">
          <w:rPr>
            <w:rStyle w:val="Hyperlink"/>
          </w:rPr>
          <w:t>8.</w:t>
        </w:r>
        <w:r w:rsidR="00F42C3D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F42C3D" w:rsidRPr="00CE4AC5">
          <w:rPr>
            <w:rStyle w:val="Hyperlink"/>
          </w:rPr>
          <w:t>Data Quality review on Indigenous status</w:t>
        </w:r>
        <w:r w:rsidR="00F42C3D">
          <w:rPr>
            <w:webHidden/>
          </w:rPr>
          <w:tab/>
        </w:r>
        <w:r w:rsidR="00F42C3D">
          <w:rPr>
            <w:webHidden/>
          </w:rPr>
          <w:fldChar w:fldCharType="begin"/>
        </w:r>
        <w:r w:rsidR="00F42C3D">
          <w:rPr>
            <w:webHidden/>
          </w:rPr>
          <w:instrText xml:space="preserve"> PAGEREF _Toc99352989 \h </w:instrText>
        </w:r>
        <w:r w:rsidR="00F42C3D">
          <w:rPr>
            <w:webHidden/>
          </w:rPr>
        </w:r>
        <w:r w:rsidR="00F42C3D">
          <w:rPr>
            <w:webHidden/>
          </w:rPr>
          <w:fldChar w:fldCharType="separate"/>
        </w:r>
        <w:r w:rsidR="00F42C3D">
          <w:rPr>
            <w:webHidden/>
          </w:rPr>
          <w:t>5</w:t>
        </w:r>
        <w:r w:rsidR="00F42C3D">
          <w:rPr>
            <w:webHidden/>
          </w:rPr>
          <w:fldChar w:fldCharType="end"/>
        </w:r>
      </w:hyperlink>
    </w:p>
    <w:p w14:paraId="352E2ABE" w14:textId="35A76BBD" w:rsidR="007173CA" w:rsidRDefault="00AD784C" w:rsidP="00D079AA">
      <w:pPr>
        <w:pStyle w:val="Body"/>
      </w:pPr>
      <w:r>
        <w:fldChar w:fldCharType="end"/>
      </w:r>
    </w:p>
    <w:p w14:paraId="472A910A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70B1A8D" w14:textId="77777777" w:rsidR="00F32368" w:rsidRPr="00F32368" w:rsidRDefault="00F32368" w:rsidP="00F32368">
      <w:pPr>
        <w:pStyle w:val="Body"/>
      </w:pPr>
      <w:bookmarkStart w:id="0" w:name="_Hlk41913885"/>
    </w:p>
    <w:p w14:paraId="707ABB80" w14:textId="78FD7C2F" w:rsidR="006D7093" w:rsidRDefault="006D7093" w:rsidP="006D7093">
      <w:pPr>
        <w:pStyle w:val="Body"/>
      </w:pPr>
      <w:bookmarkStart w:id="1" w:name="_Hlk63355178"/>
      <w:bookmarkEnd w:id="0"/>
    </w:p>
    <w:p w14:paraId="2F9202D3" w14:textId="0F8313ED" w:rsidR="00B407BC" w:rsidRDefault="00B407BC" w:rsidP="006D7093">
      <w:pPr>
        <w:pStyle w:val="Body"/>
      </w:pPr>
    </w:p>
    <w:p w14:paraId="32A01236" w14:textId="6229FB03" w:rsidR="00B407BC" w:rsidRDefault="00B407BC" w:rsidP="006D7093">
      <w:pPr>
        <w:pStyle w:val="Body"/>
      </w:pPr>
    </w:p>
    <w:p w14:paraId="7F8F99D2" w14:textId="5DEA7806" w:rsidR="00B407BC" w:rsidRDefault="00B407BC" w:rsidP="006D7093">
      <w:pPr>
        <w:pStyle w:val="Body"/>
      </w:pPr>
    </w:p>
    <w:p w14:paraId="070B5420" w14:textId="72C89127" w:rsidR="00B407BC" w:rsidRDefault="00B407BC" w:rsidP="006D7093">
      <w:pPr>
        <w:pStyle w:val="Body"/>
      </w:pPr>
    </w:p>
    <w:p w14:paraId="13756E98" w14:textId="6C9F3AB4" w:rsidR="00B407BC" w:rsidRDefault="00B407BC" w:rsidP="006D7093">
      <w:pPr>
        <w:pStyle w:val="Body"/>
      </w:pPr>
    </w:p>
    <w:p w14:paraId="339BFA49" w14:textId="26E608C6" w:rsidR="00B407BC" w:rsidRDefault="00B407BC" w:rsidP="006D7093">
      <w:pPr>
        <w:pStyle w:val="Body"/>
      </w:pPr>
    </w:p>
    <w:p w14:paraId="61EB562A" w14:textId="54009893" w:rsidR="001A47CA" w:rsidRDefault="001A47CA" w:rsidP="006D7093">
      <w:pPr>
        <w:pStyle w:val="Body"/>
      </w:pPr>
    </w:p>
    <w:p w14:paraId="15D15FD5" w14:textId="2FA61EEE" w:rsidR="001A47CA" w:rsidRDefault="001A47CA" w:rsidP="006D7093">
      <w:pPr>
        <w:pStyle w:val="Body"/>
      </w:pPr>
    </w:p>
    <w:p w14:paraId="6C05879C" w14:textId="77777777" w:rsidR="00860BCE" w:rsidRDefault="00860BCE" w:rsidP="006D7093">
      <w:pPr>
        <w:pStyle w:val="Body"/>
      </w:pPr>
    </w:p>
    <w:p w14:paraId="08DB71C3" w14:textId="0D7B6443" w:rsidR="00A81DE5" w:rsidRDefault="00A81DE5" w:rsidP="00B407BC">
      <w:pPr>
        <w:pStyle w:val="Heading1"/>
      </w:pPr>
      <w:bookmarkStart w:id="2" w:name="_Toc99352982"/>
      <w:bookmarkEnd w:id="1"/>
      <w:r>
        <w:lastRenderedPageBreak/>
        <w:t>1.</w:t>
      </w:r>
      <w:r>
        <w:tab/>
        <w:t>VADC Specifications for 2022-23</w:t>
      </w:r>
      <w:bookmarkEnd w:id="2"/>
    </w:p>
    <w:p w14:paraId="2C69FDAC" w14:textId="60B8907A" w:rsidR="00854039" w:rsidRDefault="00A81DE5" w:rsidP="006A1DF0">
      <w:pPr>
        <w:pStyle w:val="Body"/>
      </w:pPr>
      <w:r>
        <w:t xml:space="preserve">We are pleased to advise the VADC Data Specification for 2022-23 and VADC Compilation and Submission </w:t>
      </w:r>
      <w:r w:rsidR="008E7C8A">
        <w:t>Specification</w:t>
      </w:r>
      <w:r>
        <w:t xml:space="preserve"> for 2022-23 </w:t>
      </w:r>
      <w:r w:rsidR="00330F49">
        <w:t xml:space="preserve">are </w:t>
      </w:r>
      <w:r>
        <w:t>now available</w:t>
      </w:r>
      <w:r w:rsidR="006A1DF0">
        <w:t xml:space="preserve">.  </w:t>
      </w:r>
    </w:p>
    <w:p w14:paraId="4454B045" w14:textId="7E1FFE41" w:rsidR="006A1DF0" w:rsidRDefault="006A1DF0" w:rsidP="006A1DF0">
      <w:pPr>
        <w:pStyle w:val="Body"/>
      </w:pPr>
      <w:r>
        <w:t>These documents will be published</w:t>
      </w:r>
      <w:r>
        <w:rPr>
          <w:i/>
          <w:iCs/>
        </w:rPr>
        <w:t xml:space="preserve"> </w:t>
      </w:r>
      <w:r>
        <w:t xml:space="preserve">shortly at </w:t>
      </w:r>
      <w:hyperlink r:id="rId17" w:history="1">
        <w:r>
          <w:rPr>
            <w:rFonts w:eastAsia="Times New Roman"/>
            <w:color w:val="0000FF"/>
            <w:u w:val="single"/>
          </w:rPr>
          <w:t>Link to VADC Annual Changes</w:t>
        </w:r>
      </w:hyperlink>
      <w:r>
        <w:t>.</w:t>
      </w:r>
    </w:p>
    <w:p w14:paraId="51C21616" w14:textId="0F3292D4" w:rsidR="00A81DE5" w:rsidRPr="00A81DE5" w:rsidRDefault="006A1DF0" w:rsidP="00A81DE5">
      <w:pPr>
        <w:pStyle w:val="Body"/>
      </w:pPr>
      <w:r>
        <w:t xml:space="preserve">If you have any questions about the VADC Specifications for 2022-23, please email: </w:t>
      </w:r>
      <w:hyperlink r:id="rId18" w:history="1">
        <w:r w:rsidR="00252480" w:rsidRPr="00252480">
          <w:rPr>
            <w:rStyle w:val="Hyperlink"/>
          </w:rPr>
          <w:t>vadc_data@health.vic.gov.au</w:t>
        </w:r>
      </w:hyperlink>
    </w:p>
    <w:p w14:paraId="71B6A63E" w14:textId="10A6EE77" w:rsidR="00B407BC" w:rsidRDefault="00A81DE5" w:rsidP="00B407BC">
      <w:pPr>
        <w:pStyle w:val="Heading1"/>
      </w:pPr>
      <w:bookmarkStart w:id="3" w:name="_Toc99352983"/>
      <w:r>
        <w:t>2</w:t>
      </w:r>
      <w:r w:rsidR="00B407BC">
        <w:t>.</w:t>
      </w:r>
      <w:r w:rsidR="00B407BC">
        <w:tab/>
      </w:r>
      <w:r w:rsidR="00D40657">
        <w:t xml:space="preserve">Clarification on </w:t>
      </w:r>
      <w:r w:rsidR="00AC5530">
        <w:t xml:space="preserve">VADC 2022-23 </w:t>
      </w:r>
      <w:r w:rsidR="00D40657">
        <w:t xml:space="preserve">Proposal </w:t>
      </w:r>
      <w:r w:rsidR="001A2A16">
        <w:t>1</w:t>
      </w:r>
      <w:r w:rsidR="00624330">
        <w:t>3</w:t>
      </w:r>
      <w:r w:rsidR="001A2A16">
        <w:t xml:space="preserve"> – </w:t>
      </w:r>
      <w:r w:rsidR="00624330">
        <w:t>Minor change to pseudocode of AOD177</w:t>
      </w:r>
      <w:bookmarkEnd w:id="3"/>
    </w:p>
    <w:p w14:paraId="474452D0" w14:textId="1AD54D26" w:rsidR="001A2A16" w:rsidRDefault="006A1DF0" w:rsidP="002365B4">
      <w:pPr>
        <w:pStyle w:val="Body"/>
      </w:pPr>
      <w:r>
        <w:t>There was a typo</w:t>
      </w:r>
      <w:r w:rsidR="00B85709">
        <w:t>graphical</w:t>
      </w:r>
      <w:r>
        <w:t xml:space="preserve"> error with the pseudo code of AOD177 in the specification of Proposal 13.  The change is to remove the </w:t>
      </w:r>
      <w:r w:rsidRPr="006A1DF0">
        <w:rPr>
          <w:highlight w:val="yellow"/>
        </w:rPr>
        <w:t>‘!’</w:t>
      </w:r>
      <w:r>
        <w:t xml:space="preserve"> in the pseudo code of AOD177 (</w:t>
      </w:r>
      <w:r w:rsidR="00854039">
        <w:t xml:space="preserve">a description of the </w:t>
      </w:r>
      <w:r w:rsidR="00AC2003">
        <w:t>change is shown in Table 1 and Table 2 below)</w:t>
      </w:r>
      <w:r>
        <w:t xml:space="preserve">.  The correct pseudo code for AOD177 has been </w:t>
      </w:r>
      <w:r w:rsidR="00AC2003">
        <w:t>incorporated</w:t>
      </w:r>
      <w:r>
        <w:t xml:space="preserve"> in the </w:t>
      </w:r>
      <w:r w:rsidRPr="008373B6">
        <w:rPr>
          <w:i/>
          <w:iCs/>
        </w:rPr>
        <w:t>VADC Data Specification 2022-23</w:t>
      </w:r>
      <w:r>
        <w:t xml:space="preserve">. </w:t>
      </w:r>
    </w:p>
    <w:p w14:paraId="0C9B8716" w14:textId="792C078B" w:rsidR="001A2A16" w:rsidRDefault="009B7381" w:rsidP="002365B4">
      <w:pPr>
        <w:pStyle w:val="Body"/>
      </w:pPr>
      <w:bookmarkStart w:id="4" w:name="_Hlk99114326"/>
      <w:r>
        <w:t>Table 1</w:t>
      </w:r>
      <w:r w:rsidR="006A1DF0">
        <w:t xml:space="preserve"> – Before correction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977"/>
        <w:gridCol w:w="2126"/>
        <w:gridCol w:w="2693"/>
        <w:gridCol w:w="955"/>
        <w:gridCol w:w="969"/>
      </w:tblGrid>
      <w:tr w:rsidR="00624330" w:rsidRPr="00055CE3" w14:paraId="03F2068F" w14:textId="77777777" w:rsidTr="00240CB0">
        <w:trPr>
          <w:trHeight w:val="508"/>
        </w:trPr>
        <w:tc>
          <w:tcPr>
            <w:tcW w:w="1029" w:type="dxa"/>
            <w:shd w:val="clear" w:color="auto" w:fill="auto"/>
          </w:tcPr>
          <w:p w14:paraId="4833FD8D" w14:textId="71A5339B" w:rsidR="00624330" w:rsidRPr="00240CB0" w:rsidRDefault="00240CB0" w:rsidP="00DE0C79">
            <w:pPr>
              <w:pStyle w:val="Body"/>
              <w:rPr>
                <w:b/>
                <w:bCs/>
                <w:sz w:val="20"/>
                <w:lang w:eastAsia="en-AU"/>
              </w:rPr>
            </w:pPr>
            <w:r w:rsidRPr="00240CB0">
              <w:rPr>
                <w:b/>
                <w:bCs/>
                <w:sz w:val="20"/>
                <w:lang w:eastAsia="en-AU"/>
              </w:rPr>
              <w:t>ID</w:t>
            </w:r>
          </w:p>
        </w:tc>
        <w:tc>
          <w:tcPr>
            <w:tcW w:w="1977" w:type="dxa"/>
            <w:shd w:val="clear" w:color="auto" w:fill="auto"/>
          </w:tcPr>
          <w:p w14:paraId="0D92DEAC" w14:textId="4B6E86CC" w:rsidR="00624330" w:rsidRPr="00240CB0" w:rsidRDefault="00240CB0" w:rsidP="00624330">
            <w:pPr>
              <w:pStyle w:val="DHHStabletext"/>
              <w:spacing w:before="60"/>
              <w:rPr>
                <w:b/>
                <w:bCs/>
                <w:highlight w:val="green"/>
              </w:rPr>
            </w:pPr>
            <w:r w:rsidRPr="00240CB0">
              <w:rPr>
                <w:b/>
                <w:bCs/>
              </w:rPr>
              <w:t>Edit name/description</w:t>
            </w:r>
          </w:p>
        </w:tc>
        <w:tc>
          <w:tcPr>
            <w:tcW w:w="2126" w:type="dxa"/>
            <w:shd w:val="clear" w:color="auto" w:fill="auto"/>
          </w:tcPr>
          <w:p w14:paraId="567514CB" w14:textId="045EB726" w:rsidR="00624330" w:rsidRPr="00240CB0" w:rsidRDefault="00240CB0" w:rsidP="00624330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 w:rsidRPr="00240CB0">
              <w:rPr>
                <w:rFonts w:cs="Arial"/>
                <w:b/>
                <w:bCs/>
              </w:rPr>
              <w:t>Data elements</w:t>
            </w:r>
          </w:p>
        </w:tc>
        <w:tc>
          <w:tcPr>
            <w:tcW w:w="2693" w:type="dxa"/>
          </w:tcPr>
          <w:p w14:paraId="64ABA54F" w14:textId="7BA934B3" w:rsidR="00624330" w:rsidRPr="00240CB0" w:rsidRDefault="00240CB0" w:rsidP="00624330">
            <w:pPr>
              <w:pStyle w:val="xmsonormal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0C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Pseudo code/rule</w:t>
            </w:r>
          </w:p>
        </w:tc>
        <w:tc>
          <w:tcPr>
            <w:tcW w:w="955" w:type="dxa"/>
          </w:tcPr>
          <w:p w14:paraId="27F1A151" w14:textId="2B6CDEF2" w:rsidR="00624330" w:rsidRPr="00240CB0" w:rsidRDefault="00240CB0" w:rsidP="00DE0C79">
            <w:pPr>
              <w:pStyle w:val="Body"/>
              <w:rPr>
                <w:b/>
                <w:bCs/>
                <w:sz w:val="20"/>
              </w:rPr>
            </w:pPr>
            <w:r w:rsidRPr="00240CB0">
              <w:rPr>
                <w:b/>
                <w:bCs/>
                <w:sz w:val="20"/>
              </w:rPr>
              <w:t>Source</w:t>
            </w:r>
          </w:p>
        </w:tc>
        <w:tc>
          <w:tcPr>
            <w:tcW w:w="969" w:type="dxa"/>
          </w:tcPr>
          <w:p w14:paraId="7BC65D30" w14:textId="656B6836" w:rsidR="00624330" w:rsidRPr="00240CB0" w:rsidRDefault="00240CB0" w:rsidP="00DE0C79">
            <w:pPr>
              <w:pStyle w:val="Body"/>
              <w:rPr>
                <w:b/>
                <w:bCs/>
                <w:sz w:val="20"/>
              </w:rPr>
            </w:pPr>
            <w:r w:rsidRPr="00240CB0">
              <w:rPr>
                <w:b/>
                <w:bCs/>
                <w:sz w:val="20"/>
              </w:rPr>
              <w:t>Status</w:t>
            </w:r>
          </w:p>
        </w:tc>
      </w:tr>
      <w:tr w:rsidR="001A2A16" w:rsidRPr="00055CE3" w14:paraId="523E1A62" w14:textId="77777777" w:rsidTr="00DE0C79">
        <w:trPr>
          <w:trHeight w:val="1203"/>
        </w:trPr>
        <w:tc>
          <w:tcPr>
            <w:tcW w:w="1029" w:type="dxa"/>
            <w:shd w:val="clear" w:color="auto" w:fill="auto"/>
          </w:tcPr>
          <w:p w14:paraId="69F9C208" w14:textId="2DECBB67" w:rsidR="001A2A16" w:rsidRPr="001A2A16" w:rsidRDefault="001A2A16" w:rsidP="00DE0C79">
            <w:pPr>
              <w:pStyle w:val="Body"/>
              <w:rPr>
                <w:sz w:val="20"/>
              </w:rPr>
            </w:pPr>
            <w:r w:rsidRPr="001A2A16">
              <w:rPr>
                <w:sz w:val="20"/>
                <w:lang w:eastAsia="en-AU"/>
              </w:rPr>
              <w:t>AOD</w:t>
            </w:r>
            <w:r w:rsidR="00624330">
              <w:rPr>
                <w:sz w:val="20"/>
                <w:lang w:eastAsia="en-AU"/>
              </w:rPr>
              <w:t>177</w:t>
            </w:r>
          </w:p>
        </w:tc>
        <w:tc>
          <w:tcPr>
            <w:tcW w:w="1977" w:type="dxa"/>
            <w:shd w:val="clear" w:color="auto" w:fill="auto"/>
          </w:tcPr>
          <w:p w14:paraId="286B9F40" w14:textId="77777777" w:rsidR="00624330" w:rsidRDefault="00624330" w:rsidP="00624330">
            <w:pPr>
              <w:pStyle w:val="DHHStabletext"/>
              <w:spacing w:before="60"/>
            </w:pPr>
            <w:r w:rsidRPr="007F78CA">
              <w:t>Maltreatment code OR Maltreatment perpetrator not recorded for person of concern where</w:t>
            </w:r>
            <w:r>
              <w:t xml:space="preserve"> family violence recorded</w:t>
            </w:r>
          </w:p>
          <w:p w14:paraId="61F0DEE9" w14:textId="43C92FD1" w:rsidR="001A2A16" w:rsidRPr="001A2A16" w:rsidRDefault="00624330" w:rsidP="00624330">
            <w:pPr>
              <w:pStyle w:val="Body"/>
            </w:pPr>
            <w:r w:rsidRPr="00C63015">
              <w:rPr>
                <w:i/>
                <w:iCs/>
                <w:sz w:val="20"/>
              </w:rPr>
              <w:t>Only applies when Report Period &gt;= 072021</w:t>
            </w:r>
          </w:p>
        </w:tc>
        <w:tc>
          <w:tcPr>
            <w:tcW w:w="2126" w:type="dxa"/>
            <w:shd w:val="clear" w:color="auto" w:fill="auto"/>
          </w:tcPr>
          <w:p w14:paraId="412005B0" w14:textId="77777777" w:rsidR="00624330" w:rsidRPr="006C778F" w:rsidRDefault="00624330" w:rsidP="00624330">
            <w:pPr>
              <w:pStyle w:val="DHHStabletext"/>
              <w:spacing w:before="60"/>
              <w:rPr>
                <w:rFonts w:cs="Arial"/>
              </w:rPr>
            </w:pPr>
            <w:r w:rsidRPr="006C778F">
              <w:rPr>
                <w:rFonts w:cs="Arial"/>
              </w:rPr>
              <w:t>Event – maltreatment code</w:t>
            </w:r>
          </w:p>
          <w:p w14:paraId="04870BAE" w14:textId="77777777" w:rsidR="00624330" w:rsidRPr="006C778F" w:rsidRDefault="00624330" w:rsidP="00624330">
            <w:pPr>
              <w:pStyle w:val="DHHStabletext"/>
              <w:spacing w:before="60"/>
              <w:rPr>
                <w:rFonts w:cs="Arial"/>
              </w:rPr>
            </w:pPr>
            <w:r w:rsidRPr="006C778F">
              <w:rPr>
                <w:rFonts w:cs="Arial"/>
              </w:rPr>
              <w:t>Event – maltreatment perpetrator</w:t>
            </w:r>
          </w:p>
          <w:p w14:paraId="4BD7CFE0" w14:textId="77777777" w:rsidR="00624330" w:rsidRPr="006C778F" w:rsidRDefault="00624330" w:rsidP="00624330">
            <w:pPr>
              <w:pStyle w:val="DHHStabletext"/>
              <w:spacing w:before="60" w:line="256" w:lineRule="auto"/>
              <w:rPr>
                <w:rFonts w:cs="Arial"/>
              </w:rPr>
            </w:pPr>
            <w:r w:rsidRPr="006C778F">
              <w:rPr>
                <w:rFonts w:cs="Arial"/>
              </w:rPr>
              <w:t>Event – family violence</w:t>
            </w:r>
          </w:p>
          <w:p w14:paraId="314EB106" w14:textId="77777777" w:rsidR="00624330" w:rsidRPr="006C778F" w:rsidRDefault="00624330" w:rsidP="00624330">
            <w:pPr>
              <w:pStyle w:val="DHHStabletext"/>
              <w:spacing w:before="60" w:line="256" w:lineRule="auto"/>
              <w:rPr>
                <w:rFonts w:cs="Arial"/>
              </w:rPr>
            </w:pPr>
            <w:r w:rsidRPr="007F78CA">
              <w:rPr>
                <w:rFonts w:cs="Arial"/>
              </w:rPr>
              <w:t>Contact-relationship to client</w:t>
            </w:r>
            <w:r w:rsidRPr="006C778F">
              <w:rPr>
                <w:rFonts w:cs="Arial"/>
              </w:rPr>
              <w:t xml:space="preserve"> </w:t>
            </w:r>
          </w:p>
          <w:p w14:paraId="4A5A8D74" w14:textId="5A047385" w:rsidR="001A2A16" w:rsidRPr="001A2A16" w:rsidRDefault="001A2A16" w:rsidP="00DE0C79">
            <w:pPr>
              <w:pStyle w:val="Body"/>
              <w:rPr>
                <w:sz w:val="20"/>
              </w:rPr>
            </w:pPr>
          </w:p>
          <w:p w14:paraId="0EF17FB3" w14:textId="77777777" w:rsidR="001A2A16" w:rsidRPr="001A2A16" w:rsidRDefault="001A2A16" w:rsidP="00DE0C79">
            <w:pPr>
              <w:pStyle w:val="Body"/>
            </w:pPr>
          </w:p>
        </w:tc>
        <w:tc>
          <w:tcPr>
            <w:tcW w:w="2693" w:type="dxa"/>
          </w:tcPr>
          <w:p w14:paraId="10FE5221" w14:textId="77777777" w:rsidR="00624330" w:rsidRPr="006C778F" w:rsidRDefault="00624330" w:rsidP="00624330">
            <w:pPr>
              <w:pStyle w:val="xmsonormal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7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Event-Family Violence = 2 </w:t>
            </w:r>
            <w:r w:rsidRPr="007F78CA">
              <w:rPr>
                <w:rFonts w:ascii="Arial" w:hAnsi="Arial" w:cs="Arial"/>
                <w:color w:val="000000"/>
                <w:sz w:val="20"/>
                <w:szCs w:val="20"/>
              </w:rPr>
              <w:t xml:space="preserve">AND [Contact - relationship to client = 0 </w:t>
            </w:r>
            <w:r w:rsidRPr="007F78CA">
              <w:rPr>
                <w:rFonts w:ascii="Arial" w:hAnsi="Arial" w:cs="Arial"/>
                <w:sz w:val="20"/>
                <w:szCs w:val="20"/>
              </w:rPr>
              <w:t xml:space="preserve">OR Event-service stream </w:t>
            </w:r>
            <w:r w:rsidRPr="007F78CA">
              <w:rPr>
                <w:rFonts w:ascii="Arial" w:hAnsi="Arial" w:cs="Arial"/>
                <w:sz w:val="20"/>
                <w:szCs w:val="20"/>
                <w:highlight w:val="yellow"/>
              </w:rPr>
              <w:t>!</w:t>
            </w:r>
            <w:r w:rsidRPr="007F78CA">
              <w:rPr>
                <w:rFonts w:ascii="Arial" w:hAnsi="Arial" w:cs="Arial"/>
                <w:sz w:val="20"/>
                <w:szCs w:val="20"/>
              </w:rPr>
              <w:t>= (Table 3 Activity Type = R)]</w:t>
            </w:r>
          </w:p>
          <w:p w14:paraId="07A18067" w14:textId="2C3F5D22" w:rsidR="00624330" w:rsidRPr="006C778F" w:rsidRDefault="00624330" w:rsidP="00624330">
            <w:pPr>
              <w:pStyle w:val="DHHStabletext"/>
              <w:spacing w:before="60" w:line="256" w:lineRule="auto"/>
              <w:rPr>
                <w:rFonts w:cs="Arial"/>
                <w:color w:val="000000"/>
              </w:rPr>
            </w:pPr>
            <w:r w:rsidRPr="006C778F">
              <w:rPr>
                <w:rFonts w:cs="Arial"/>
                <w:color w:val="000000"/>
              </w:rPr>
              <w:t xml:space="preserve">AND [( Event-Maltreatment code </w:t>
            </w:r>
            <w:r w:rsidRPr="007F78CA">
              <w:rPr>
                <w:rFonts w:cs="Arial"/>
                <w:color w:val="000000"/>
              </w:rPr>
              <w:t>IN (null,0,9)</w:t>
            </w:r>
            <w:r w:rsidRPr="006C778F">
              <w:rPr>
                <w:rFonts w:cs="Arial"/>
                <w:color w:val="000000"/>
              </w:rPr>
              <w:t xml:space="preserve"> OR Event-Maltreatment Perp NOT in (0,1,2,3) )]</w:t>
            </w:r>
          </w:p>
          <w:p w14:paraId="61BCA05C" w14:textId="3BFA6B97" w:rsidR="001A2A16" w:rsidRPr="001A2A16" w:rsidRDefault="001A2A16" w:rsidP="00DE0C79">
            <w:pPr>
              <w:pStyle w:val="Body"/>
              <w:rPr>
                <w:sz w:val="20"/>
              </w:rPr>
            </w:pPr>
            <w:r w:rsidRPr="001A2A16">
              <w:rPr>
                <w:sz w:val="20"/>
              </w:rPr>
              <w:t xml:space="preserve"> </w:t>
            </w:r>
          </w:p>
        </w:tc>
        <w:tc>
          <w:tcPr>
            <w:tcW w:w="955" w:type="dxa"/>
          </w:tcPr>
          <w:p w14:paraId="1C60DB51" w14:textId="77777777" w:rsidR="001A2A16" w:rsidRPr="001A2A16" w:rsidRDefault="001A2A16" w:rsidP="00DE0C79">
            <w:pPr>
              <w:pStyle w:val="Body"/>
              <w:rPr>
                <w:sz w:val="20"/>
              </w:rPr>
            </w:pPr>
            <w:r w:rsidRPr="001A2A16">
              <w:rPr>
                <w:sz w:val="20"/>
              </w:rPr>
              <w:t>DH</w:t>
            </w:r>
          </w:p>
        </w:tc>
        <w:tc>
          <w:tcPr>
            <w:tcW w:w="969" w:type="dxa"/>
          </w:tcPr>
          <w:p w14:paraId="4ACA697F" w14:textId="69B1CC73" w:rsidR="001A2A16" w:rsidRPr="001A2A16" w:rsidRDefault="001A2A16" w:rsidP="00DE0C79">
            <w:pPr>
              <w:pStyle w:val="Body"/>
              <w:rPr>
                <w:sz w:val="20"/>
              </w:rPr>
            </w:pPr>
            <w:r w:rsidRPr="001A2A16">
              <w:rPr>
                <w:sz w:val="20"/>
              </w:rPr>
              <w:t>warning</w:t>
            </w:r>
          </w:p>
        </w:tc>
      </w:tr>
    </w:tbl>
    <w:p w14:paraId="417C3A85" w14:textId="3422F60E" w:rsidR="001A2A16" w:rsidRDefault="001A2A16" w:rsidP="002365B4">
      <w:pPr>
        <w:pStyle w:val="Body"/>
      </w:pPr>
    </w:p>
    <w:p w14:paraId="4075F9C0" w14:textId="171B3213" w:rsidR="009B7381" w:rsidRDefault="009B7381" w:rsidP="002365B4">
      <w:pPr>
        <w:pStyle w:val="Body"/>
      </w:pPr>
      <w:r>
        <w:t>Table 2</w:t>
      </w:r>
      <w:r w:rsidR="006A1DF0">
        <w:t xml:space="preserve"> – After correction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977"/>
        <w:gridCol w:w="2126"/>
        <w:gridCol w:w="2693"/>
        <w:gridCol w:w="955"/>
        <w:gridCol w:w="969"/>
      </w:tblGrid>
      <w:tr w:rsidR="006A1DF0" w:rsidRPr="00055CE3" w14:paraId="1FA6D5CD" w14:textId="77777777" w:rsidTr="0050375B">
        <w:trPr>
          <w:trHeight w:val="508"/>
        </w:trPr>
        <w:tc>
          <w:tcPr>
            <w:tcW w:w="1029" w:type="dxa"/>
            <w:shd w:val="clear" w:color="auto" w:fill="auto"/>
          </w:tcPr>
          <w:p w14:paraId="2184C309" w14:textId="77777777" w:rsidR="006A1DF0" w:rsidRPr="00240CB0" w:rsidRDefault="006A1DF0" w:rsidP="0050375B">
            <w:pPr>
              <w:pStyle w:val="Body"/>
              <w:rPr>
                <w:b/>
                <w:bCs/>
                <w:sz w:val="20"/>
                <w:lang w:eastAsia="en-AU"/>
              </w:rPr>
            </w:pPr>
            <w:r w:rsidRPr="00240CB0">
              <w:rPr>
                <w:b/>
                <w:bCs/>
                <w:sz w:val="20"/>
                <w:lang w:eastAsia="en-AU"/>
              </w:rPr>
              <w:t>ID</w:t>
            </w:r>
          </w:p>
        </w:tc>
        <w:tc>
          <w:tcPr>
            <w:tcW w:w="1977" w:type="dxa"/>
            <w:shd w:val="clear" w:color="auto" w:fill="auto"/>
          </w:tcPr>
          <w:p w14:paraId="7D3AF460" w14:textId="77777777" w:rsidR="006A1DF0" w:rsidRPr="00240CB0" w:rsidRDefault="006A1DF0" w:rsidP="0050375B">
            <w:pPr>
              <w:pStyle w:val="DHHStabletext"/>
              <w:spacing w:before="60"/>
              <w:rPr>
                <w:b/>
                <w:bCs/>
                <w:highlight w:val="green"/>
              </w:rPr>
            </w:pPr>
            <w:r w:rsidRPr="00240CB0">
              <w:rPr>
                <w:b/>
                <w:bCs/>
              </w:rPr>
              <w:t>Edit name/description</w:t>
            </w:r>
          </w:p>
        </w:tc>
        <w:tc>
          <w:tcPr>
            <w:tcW w:w="2126" w:type="dxa"/>
            <w:shd w:val="clear" w:color="auto" w:fill="auto"/>
          </w:tcPr>
          <w:p w14:paraId="59BE0B59" w14:textId="77777777" w:rsidR="006A1DF0" w:rsidRPr="00240CB0" w:rsidRDefault="006A1DF0" w:rsidP="0050375B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 w:rsidRPr="00240CB0">
              <w:rPr>
                <w:rFonts w:cs="Arial"/>
                <w:b/>
                <w:bCs/>
              </w:rPr>
              <w:t>Data elements</w:t>
            </w:r>
          </w:p>
        </w:tc>
        <w:tc>
          <w:tcPr>
            <w:tcW w:w="2693" w:type="dxa"/>
          </w:tcPr>
          <w:p w14:paraId="6AC63490" w14:textId="77777777" w:rsidR="006A1DF0" w:rsidRPr="00240CB0" w:rsidRDefault="006A1DF0" w:rsidP="0050375B">
            <w:pPr>
              <w:pStyle w:val="xmsonormal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0C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Pseudo code/rule</w:t>
            </w:r>
          </w:p>
        </w:tc>
        <w:tc>
          <w:tcPr>
            <w:tcW w:w="955" w:type="dxa"/>
          </w:tcPr>
          <w:p w14:paraId="50DB7358" w14:textId="77777777" w:rsidR="006A1DF0" w:rsidRPr="00240CB0" w:rsidRDefault="006A1DF0" w:rsidP="0050375B">
            <w:pPr>
              <w:pStyle w:val="Body"/>
              <w:rPr>
                <w:b/>
                <w:bCs/>
                <w:sz w:val="20"/>
              </w:rPr>
            </w:pPr>
            <w:r w:rsidRPr="00240CB0">
              <w:rPr>
                <w:b/>
                <w:bCs/>
                <w:sz w:val="20"/>
              </w:rPr>
              <w:t>Source</w:t>
            </w:r>
          </w:p>
        </w:tc>
        <w:tc>
          <w:tcPr>
            <w:tcW w:w="969" w:type="dxa"/>
          </w:tcPr>
          <w:p w14:paraId="0DE4DAB4" w14:textId="77777777" w:rsidR="006A1DF0" w:rsidRPr="00240CB0" w:rsidRDefault="006A1DF0" w:rsidP="0050375B">
            <w:pPr>
              <w:pStyle w:val="Body"/>
              <w:rPr>
                <w:b/>
                <w:bCs/>
                <w:sz w:val="20"/>
              </w:rPr>
            </w:pPr>
            <w:r w:rsidRPr="00240CB0">
              <w:rPr>
                <w:b/>
                <w:bCs/>
                <w:sz w:val="20"/>
              </w:rPr>
              <w:t>Status</w:t>
            </w:r>
          </w:p>
        </w:tc>
      </w:tr>
      <w:tr w:rsidR="006A1DF0" w:rsidRPr="00055CE3" w14:paraId="47711847" w14:textId="77777777" w:rsidTr="0050375B">
        <w:trPr>
          <w:trHeight w:val="1203"/>
        </w:trPr>
        <w:tc>
          <w:tcPr>
            <w:tcW w:w="1029" w:type="dxa"/>
            <w:shd w:val="clear" w:color="auto" w:fill="auto"/>
          </w:tcPr>
          <w:p w14:paraId="5E64EBF8" w14:textId="77777777" w:rsidR="006A1DF0" w:rsidRPr="001A2A16" w:rsidRDefault="006A1DF0" w:rsidP="0050375B">
            <w:pPr>
              <w:pStyle w:val="Body"/>
              <w:rPr>
                <w:sz w:val="20"/>
              </w:rPr>
            </w:pPr>
            <w:r w:rsidRPr="001A2A16">
              <w:rPr>
                <w:sz w:val="20"/>
                <w:lang w:eastAsia="en-AU"/>
              </w:rPr>
              <w:t>AOD</w:t>
            </w:r>
            <w:r>
              <w:rPr>
                <w:sz w:val="20"/>
                <w:lang w:eastAsia="en-AU"/>
              </w:rPr>
              <w:t>177</w:t>
            </w:r>
          </w:p>
        </w:tc>
        <w:tc>
          <w:tcPr>
            <w:tcW w:w="1977" w:type="dxa"/>
            <w:shd w:val="clear" w:color="auto" w:fill="auto"/>
          </w:tcPr>
          <w:p w14:paraId="60BD6268" w14:textId="77777777" w:rsidR="006A1DF0" w:rsidRDefault="006A1DF0" w:rsidP="0050375B">
            <w:pPr>
              <w:pStyle w:val="DHHStabletext"/>
              <w:spacing w:before="60"/>
            </w:pPr>
            <w:r w:rsidRPr="007F78CA">
              <w:t>Maltreatment code OR Maltreatment perpetrator not recorded for person of concern w</w:t>
            </w:r>
            <w:r>
              <w:t>here family violence recorded</w:t>
            </w:r>
          </w:p>
          <w:p w14:paraId="5C751D66" w14:textId="77777777" w:rsidR="006A1DF0" w:rsidRPr="001A2A16" w:rsidRDefault="006A1DF0" w:rsidP="0050375B">
            <w:pPr>
              <w:pStyle w:val="Body"/>
            </w:pPr>
            <w:r w:rsidRPr="00C63015">
              <w:rPr>
                <w:i/>
                <w:iCs/>
                <w:sz w:val="20"/>
              </w:rPr>
              <w:t>Only applies when Report Period &gt;= 072021</w:t>
            </w:r>
          </w:p>
        </w:tc>
        <w:tc>
          <w:tcPr>
            <w:tcW w:w="2126" w:type="dxa"/>
            <w:shd w:val="clear" w:color="auto" w:fill="auto"/>
          </w:tcPr>
          <w:p w14:paraId="13F5C84B" w14:textId="77777777" w:rsidR="006A1DF0" w:rsidRPr="006C778F" w:rsidRDefault="006A1DF0" w:rsidP="0050375B">
            <w:pPr>
              <w:pStyle w:val="DHHStabletext"/>
              <w:spacing w:before="60"/>
              <w:rPr>
                <w:rFonts w:cs="Arial"/>
              </w:rPr>
            </w:pPr>
            <w:r w:rsidRPr="006C778F">
              <w:rPr>
                <w:rFonts w:cs="Arial"/>
              </w:rPr>
              <w:t>Event – maltreatment code</w:t>
            </w:r>
          </w:p>
          <w:p w14:paraId="5711B0D9" w14:textId="77777777" w:rsidR="006A1DF0" w:rsidRPr="006C778F" w:rsidRDefault="006A1DF0" w:rsidP="0050375B">
            <w:pPr>
              <w:pStyle w:val="DHHStabletext"/>
              <w:spacing w:before="60"/>
              <w:rPr>
                <w:rFonts w:cs="Arial"/>
              </w:rPr>
            </w:pPr>
            <w:r w:rsidRPr="006C778F">
              <w:rPr>
                <w:rFonts w:cs="Arial"/>
              </w:rPr>
              <w:t>Event – maltreatment perpetrator</w:t>
            </w:r>
          </w:p>
          <w:p w14:paraId="5CBA593C" w14:textId="77777777" w:rsidR="006A1DF0" w:rsidRPr="006C778F" w:rsidRDefault="006A1DF0" w:rsidP="0050375B">
            <w:pPr>
              <w:pStyle w:val="DHHStabletext"/>
              <w:spacing w:before="60" w:line="256" w:lineRule="auto"/>
              <w:rPr>
                <w:rFonts w:cs="Arial"/>
              </w:rPr>
            </w:pPr>
            <w:r w:rsidRPr="006C778F">
              <w:rPr>
                <w:rFonts w:cs="Arial"/>
              </w:rPr>
              <w:t>Event – family violence</w:t>
            </w:r>
          </w:p>
          <w:p w14:paraId="73FE3BEB" w14:textId="77777777" w:rsidR="006A1DF0" w:rsidRPr="006C778F" w:rsidRDefault="006A1DF0" w:rsidP="0050375B">
            <w:pPr>
              <w:pStyle w:val="DHHStabletext"/>
              <w:spacing w:before="60" w:line="256" w:lineRule="auto"/>
              <w:rPr>
                <w:rFonts w:cs="Arial"/>
              </w:rPr>
            </w:pPr>
            <w:r w:rsidRPr="007F78CA">
              <w:rPr>
                <w:rFonts w:cs="Arial"/>
              </w:rPr>
              <w:t>Contact-relationship to client</w:t>
            </w:r>
            <w:r w:rsidRPr="006C778F">
              <w:rPr>
                <w:rFonts w:cs="Arial"/>
              </w:rPr>
              <w:t xml:space="preserve"> </w:t>
            </w:r>
          </w:p>
          <w:p w14:paraId="7B4DA080" w14:textId="77777777" w:rsidR="006A1DF0" w:rsidRPr="001A2A16" w:rsidRDefault="006A1DF0" w:rsidP="0050375B">
            <w:pPr>
              <w:pStyle w:val="Body"/>
              <w:rPr>
                <w:sz w:val="20"/>
              </w:rPr>
            </w:pPr>
          </w:p>
          <w:p w14:paraId="6C1351B2" w14:textId="77777777" w:rsidR="006A1DF0" w:rsidRPr="001A2A16" w:rsidRDefault="006A1DF0" w:rsidP="0050375B">
            <w:pPr>
              <w:pStyle w:val="Body"/>
            </w:pPr>
          </w:p>
        </w:tc>
        <w:tc>
          <w:tcPr>
            <w:tcW w:w="2693" w:type="dxa"/>
          </w:tcPr>
          <w:p w14:paraId="3C321BF7" w14:textId="00C6314F" w:rsidR="006A1DF0" w:rsidRPr="006C778F" w:rsidRDefault="006A1DF0" w:rsidP="0050375B">
            <w:pPr>
              <w:pStyle w:val="xmsonormal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77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Event-Family Violence = 2 </w:t>
            </w:r>
            <w:r w:rsidRPr="007F78CA">
              <w:rPr>
                <w:rFonts w:ascii="Arial" w:hAnsi="Arial" w:cs="Arial"/>
                <w:color w:val="000000"/>
                <w:sz w:val="20"/>
                <w:szCs w:val="20"/>
              </w:rPr>
              <w:t xml:space="preserve">AND [Contact - relationship to client = 0 </w:t>
            </w:r>
            <w:r w:rsidRPr="007F78CA">
              <w:rPr>
                <w:rFonts w:ascii="Arial" w:hAnsi="Arial" w:cs="Arial"/>
                <w:sz w:val="20"/>
                <w:szCs w:val="20"/>
              </w:rPr>
              <w:t xml:space="preserve">OR Event-service stream </w:t>
            </w:r>
            <w:r w:rsidRPr="007F78CA">
              <w:rPr>
                <w:rFonts w:ascii="Arial" w:hAnsi="Arial" w:cs="Arial"/>
                <w:sz w:val="20"/>
                <w:szCs w:val="20"/>
                <w:highlight w:val="green"/>
              </w:rPr>
              <w:t>=</w:t>
            </w:r>
            <w:r w:rsidRPr="007F78CA">
              <w:rPr>
                <w:rFonts w:ascii="Arial" w:hAnsi="Arial" w:cs="Arial"/>
                <w:sz w:val="20"/>
                <w:szCs w:val="20"/>
              </w:rPr>
              <w:t xml:space="preserve"> (Table 3 Activity Type = R)]</w:t>
            </w:r>
          </w:p>
          <w:p w14:paraId="6967A7C6" w14:textId="15E4ACCF" w:rsidR="006A1DF0" w:rsidRPr="006C778F" w:rsidRDefault="006A1DF0" w:rsidP="0050375B">
            <w:pPr>
              <w:pStyle w:val="DHHStabletext"/>
              <w:spacing w:before="60" w:line="256" w:lineRule="auto"/>
              <w:rPr>
                <w:rFonts w:cs="Arial"/>
                <w:color w:val="000000"/>
              </w:rPr>
            </w:pPr>
            <w:r w:rsidRPr="006C778F">
              <w:rPr>
                <w:rFonts w:cs="Arial"/>
                <w:color w:val="000000"/>
              </w:rPr>
              <w:t xml:space="preserve">AND [( Event-Maltreatment code </w:t>
            </w:r>
            <w:r w:rsidRPr="007F78CA">
              <w:rPr>
                <w:rFonts w:cs="Arial"/>
                <w:color w:val="000000"/>
              </w:rPr>
              <w:t>IN (null,0,9)</w:t>
            </w:r>
            <w:r w:rsidRPr="006C778F">
              <w:rPr>
                <w:rFonts w:cs="Arial"/>
                <w:color w:val="000000"/>
              </w:rPr>
              <w:t xml:space="preserve"> OR Event-Maltreatment Perp NOT in (0,1,2,3) )]</w:t>
            </w:r>
          </w:p>
          <w:p w14:paraId="489C36FD" w14:textId="77777777" w:rsidR="006A1DF0" w:rsidRPr="001A2A16" w:rsidRDefault="006A1DF0" w:rsidP="0050375B">
            <w:pPr>
              <w:pStyle w:val="Body"/>
              <w:rPr>
                <w:sz w:val="20"/>
              </w:rPr>
            </w:pPr>
            <w:r w:rsidRPr="001A2A16">
              <w:rPr>
                <w:sz w:val="20"/>
              </w:rPr>
              <w:t xml:space="preserve"> </w:t>
            </w:r>
          </w:p>
        </w:tc>
        <w:tc>
          <w:tcPr>
            <w:tcW w:w="955" w:type="dxa"/>
          </w:tcPr>
          <w:p w14:paraId="2BF65C81" w14:textId="77777777" w:rsidR="006A1DF0" w:rsidRPr="001A2A16" w:rsidRDefault="006A1DF0" w:rsidP="0050375B">
            <w:pPr>
              <w:pStyle w:val="Body"/>
              <w:rPr>
                <w:sz w:val="20"/>
              </w:rPr>
            </w:pPr>
            <w:r w:rsidRPr="001A2A16">
              <w:rPr>
                <w:sz w:val="20"/>
              </w:rPr>
              <w:t>DH</w:t>
            </w:r>
          </w:p>
        </w:tc>
        <w:tc>
          <w:tcPr>
            <w:tcW w:w="969" w:type="dxa"/>
          </w:tcPr>
          <w:p w14:paraId="25479D7A" w14:textId="77777777" w:rsidR="006A1DF0" w:rsidRPr="001A2A16" w:rsidRDefault="006A1DF0" w:rsidP="0050375B">
            <w:pPr>
              <w:pStyle w:val="Body"/>
              <w:rPr>
                <w:sz w:val="20"/>
              </w:rPr>
            </w:pPr>
            <w:r w:rsidRPr="001A2A16">
              <w:rPr>
                <w:sz w:val="20"/>
              </w:rPr>
              <w:t>warning</w:t>
            </w:r>
          </w:p>
        </w:tc>
      </w:tr>
      <w:bookmarkEnd w:id="4"/>
    </w:tbl>
    <w:p w14:paraId="035CFDE4" w14:textId="77777777" w:rsidR="006A1DF0" w:rsidRDefault="006A1DF0" w:rsidP="002365B4">
      <w:pPr>
        <w:pStyle w:val="Body"/>
      </w:pPr>
    </w:p>
    <w:p w14:paraId="691281DC" w14:textId="0AC7B829" w:rsidR="00AC2003" w:rsidRDefault="00AC2003" w:rsidP="00AC2003">
      <w:pPr>
        <w:pStyle w:val="Heading1"/>
      </w:pPr>
      <w:bookmarkStart w:id="5" w:name="_Toc99352984"/>
      <w:r>
        <w:lastRenderedPageBreak/>
        <w:t>3.</w:t>
      </w:r>
      <w:r>
        <w:tab/>
      </w:r>
      <w:r w:rsidR="00C9783E">
        <w:t>Updat</w:t>
      </w:r>
      <w:r w:rsidR="00384403">
        <w:t>e to</w:t>
      </w:r>
      <w:r w:rsidR="00C9783E">
        <w:t xml:space="preserve"> legacy mental health terminology</w:t>
      </w:r>
      <w:bookmarkEnd w:id="5"/>
    </w:p>
    <w:p w14:paraId="68B687AA" w14:textId="442E0D03" w:rsidR="00860BCE" w:rsidRPr="008373B6" w:rsidRDefault="00C9783E" w:rsidP="00AC2003">
      <w:pPr>
        <w:pStyle w:val="DHHSbody"/>
        <w:rPr>
          <w:sz w:val="21"/>
          <w:szCs w:val="21"/>
        </w:rPr>
      </w:pPr>
      <w:r w:rsidRPr="008373B6">
        <w:rPr>
          <w:rFonts w:cs="Arial"/>
          <w:sz w:val="21"/>
          <w:szCs w:val="21"/>
          <w:lang w:eastAsia="en-AU"/>
        </w:rPr>
        <w:t xml:space="preserve">The ICD Technical Group (ITG) </w:t>
      </w:r>
      <w:r w:rsidR="008373B6" w:rsidRPr="008373B6">
        <w:rPr>
          <w:rFonts w:cs="Arial"/>
          <w:sz w:val="21"/>
          <w:szCs w:val="21"/>
          <w:lang w:eastAsia="en-AU"/>
        </w:rPr>
        <w:t xml:space="preserve">has </w:t>
      </w:r>
      <w:r w:rsidRPr="003D311F">
        <w:rPr>
          <w:rFonts w:cs="Arial"/>
          <w:sz w:val="21"/>
          <w:szCs w:val="21"/>
          <w:lang w:eastAsia="en-AU"/>
        </w:rPr>
        <w:t>releas</w:t>
      </w:r>
      <w:r w:rsidR="008373B6" w:rsidRPr="003D311F">
        <w:rPr>
          <w:rFonts w:cs="Arial"/>
          <w:sz w:val="21"/>
          <w:szCs w:val="21"/>
          <w:lang w:eastAsia="en-AU"/>
        </w:rPr>
        <w:t xml:space="preserve">ed </w:t>
      </w:r>
      <w:r w:rsidR="00330F49">
        <w:rPr>
          <w:rFonts w:cs="Arial"/>
          <w:sz w:val="21"/>
          <w:szCs w:val="21"/>
          <w:lang w:eastAsia="en-AU"/>
        </w:rPr>
        <w:t>the T</w:t>
      </w:r>
      <w:r w:rsidR="008373B6" w:rsidRPr="003D311F">
        <w:rPr>
          <w:rFonts w:cs="Arial"/>
          <w:sz w:val="21"/>
          <w:szCs w:val="21"/>
          <w:lang w:eastAsia="en-AU"/>
        </w:rPr>
        <w:t>wel</w:t>
      </w:r>
      <w:r w:rsidR="003D311F">
        <w:rPr>
          <w:rFonts w:cs="Arial"/>
          <w:sz w:val="21"/>
          <w:szCs w:val="21"/>
          <w:lang w:eastAsia="en-AU"/>
        </w:rPr>
        <w:t>f</w:t>
      </w:r>
      <w:r w:rsidR="003D311F" w:rsidRPr="003D311F">
        <w:rPr>
          <w:rFonts w:cs="Arial"/>
          <w:sz w:val="21"/>
          <w:szCs w:val="21"/>
          <w:lang w:eastAsia="en-AU"/>
        </w:rPr>
        <w:t>th</w:t>
      </w:r>
      <w:r w:rsidR="008373B6">
        <w:rPr>
          <w:rFonts w:cs="Arial"/>
          <w:sz w:val="21"/>
          <w:szCs w:val="21"/>
          <w:lang w:eastAsia="en-AU"/>
        </w:rPr>
        <w:t xml:space="preserve"> edition </w:t>
      </w:r>
      <w:r w:rsidR="00330F49">
        <w:rPr>
          <w:rFonts w:cs="Arial"/>
          <w:sz w:val="21"/>
          <w:szCs w:val="21"/>
          <w:lang w:eastAsia="en-AU"/>
        </w:rPr>
        <w:t xml:space="preserve">of the diagnosis code </w:t>
      </w:r>
      <w:r w:rsidR="00B96299">
        <w:rPr>
          <w:rFonts w:cs="Arial"/>
          <w:sz w:val="21"/>
          <w:szCs w:val="21"/>
          <w:lang w:eastAsia="en-AU"/>
        </w:rPr>
        <w:t>list</w:t>
      </w:r>
      <w:r w:rsidR="00B85709">
        <w:rPr>
          <w:rFonts w:cs="Arial"/>
          <w:sz w:val="21"/>
          <w:szCs w:val="21"/>
          <w:lang w:eastAsia="en-AU"/>
        </w:rPr>
        <w:t xml:space="preserve"> </w:t>
      </w:r>
      <w:r w:rsidRPr="008373B6">
        <w:rPr>
          <w:rFonts w:cs="Arial"/>
          <w:sz w:val="21"/>
          <w:szCs w:val="21"/>
          <w:lang w:eastAsia="en-AU"/>
        </w:rPr>
        <w:t>ICD</w:t>
      </w:r>
      <w:r w:rsidR="00B96299">
        <w:rPr>
          <w:rFonts w:cs="Arial"/>
          <w:sz w:val="21"/>
          <w:szCs w:val="21"/>
          <w:lang w:eastAsia="en-AU"/>
        </w:rPr>
        <w:t xml:space="preserve">10 </w:t>
      </w:r>
      <w:r w:rsidRPr="008373B6">
        <w:rPr>
          <w:rFonts w:cs="Arial"/>
          <w:sz w:val="21"/>
          <w:szCs w:val="21"/>
          <w:lang w:eastAsia="en-AU"/>
        </w:rPr>
        <w:t>-</w:t>
      </w:r>
      <w:r w:rsidR="008373B6">
        <w:rPr>
          <w:rFonts w:cs="Arial"/>
          <w:sz w:val="21"/>
          <w:szCs w:val="21"/>
          <w:lang w:eastAsia="en-AU"/>
        </w:rPr>
        <w:t>-AM/ACHI/ACS,</w:t>
      </w:r>
      <w:r w:rsidRPr="008373B6">
        <w:rPr>
          <w:rFonts w:cs="Arial"/>
          <w:sz w:val="21"/>
          <w:szCs w:val="21"/>
          <w:lang w:eastAsia="en-AU"/>
        </w:rPr>
        <w:t xml:space="preserve"> which</w:t>
      </w:r>
      <w:r w:rsidR="008373B6" w:rsidRPr="008373B6">
        <w:rPr>
          <w:rFonts w:cs="Arial"/>
          <w:sz w:val="21"/>
          <w:szCs w:val="21"/>
          <w:lang w:eastAsia="en-AU"/>
        </w:rPr>
        <w:t xml:space="preserve"> is effective from 1 July 2022 to 30 June 2025.</w:t>
      </w:r>
      <w:r w:rsidR="00976144">
        <w:rPr>
          <w:rFonts w:cs="Arial"/>
          <w:sz w:val="21"/>
          <w:szCs w:val="21"/>
          <w:lang w:eastAsia="en-AU"/>
        </w:rPr>
        <w:t xml:space="preserve">  </w:t>
      </w:r>
      <w:r w:rsidR="00330F49">
        <w:rPr>
          <w:rFonts w:cs="Arial"/>
          <w:sz w:val="21"/>
          <w:szCs w:val="21"/>
          <w:lang w:eastAsia="en-AU"/>
        </w:rPr>
        <w:t>Changes</w:t>
      </w:r>
      <w:r w:rsidR="00B85709">
        <w:rPr>
          <w:rFonts w:cs="Arial"/>
          <w:sz w:val="21"/>
          <w:szCs w:val="21"/>
          <w:lang w:eastAsia="en-AU"/>
        </w:rPr>
        <w:t xml:space="preserve"> to the</w:t>
      </w:r>
      <w:r w:rsidR="00976144">
        <w:rPr>
          <w:rFonts w:cs="Arial"/>
          <w:sz w:val="21"/>
          <w:szCs w:val="21"/>
          <w:lang w:eastAsia="en-AU"/>
        </w:rPr>
        <w:t xml:space="preserve"> mental health terminology has been incorporated to </w:t>
      </w:r>
      <w:r w:rsidR="00B96299">
        <w:rPr>
          <w:rFonts w:cs="Arial"/>
          <w:sz w:val="21"/>
          <w:szCs w:val="21"/>
          <w:lang w:eastAsia="en-AU"/>
        </w:rPr>
        <w:t>the classification</w:t>
      </w:r>
      <w:r w:rsidR="00976144">
        <w:rPr>
          <w:rFonts w:cs="Arial"/>
          <w:sz w:val="21"/>
          <w:szCs w:val="21"/>
          <w:lang w:eastAsia="en-AU"/>
        </w:rPr>
        <w:t>.</w:t>
      </w:r>
      <w:r w:rsidR="008373B6" w:rsidRPr="008373B6">
        <w:rPr>
          <w:rFonts w:cs="Arial"/>
          <w:sz w:val="21"/>
          <w:szCs w:val="21"/>
          <w:lang w:eastAsia="en-AU"/>
        </w:rPr>
        <w:t xml:space="preserve">  </w:t>
      </w:r>
      <w:r w:rsidR="00531B8E">
        <w:rPr>
          <w:rFonts w:cs="Arial"/>
          <w:sz w:val="21"/>
          <w:szCs w:val="21"/>
          <w:lang w:eastAsia="en-AU"/>
        </w:rPr>
        <w:t>T</w:t>
      </w:r>
      <w:r w:rsidR="008373B6" w:rsidRPr="008373B6">
        <w:rPr>
          <w:rFonts w:cs="Arial"/>
          <w:sz w:val="21"/>
          <w:szCs w:val="21"/>
          <w:lang w:eastAsia="en-AU"/>
        </w:rPr>
        <w:t>he</w:t>
      </w:r>
      <w:r w:rsidRPr="008373B6">
        <w:rPr>
          <w:rFonts w:cs="Arial"/>
          <w:sz w:val="21"/>
          <w:szCs w:val="21"/>
          <w:lang w:eastAsia="en-AU"/>
        </w:rPr>
        <w:t xml:space="preserve"> revised terminology</w:t>
      </w:r>
      <w:r w:rsidR="00976144">
        <w:rPr>
          <w:rFonts w:cs="Arial"/>
          <w:sz w:val="21"/>
          <w:szCs w:val="21"/>
          <w:lang w:eastAsia="en-AU"/>
        </w:rPr>
        <w:t xml:space="preserve"> has been added to the </w:t>
      </w:r>
      <w:r w:rsidR="00976144" w:rsidRPr="008373B6">
        <w:rPr>
          <w:rFonts w:cs="Arial"/>
          <w:i/>
          <w:iCs/>
          <w:sz w:val="21"/>
          <w:szCs w:val="21"/>
          <w:lang w:eastAsia="en-AU"/>
        </w:rPr>
        <w:t>VADC data specification 2022-23</w:t>
      </w:r>
      <w:r w:rsidR="00976144">
        <w:rPr>
          <w:rFonts w:cs="Arial"/>
          <w:i/>
          <w:iCs/>
          <w:sz w:val="21"/>
          <w:szCs w:val="21"/>
          <w:lang w:eastAsia="en-AU"/>
        </w:rPr>
        <w:t xml:space="preserve"> </w:t>
      </w:r>
      <w:r w:rsidR="00976144">
        <w:rPr>
          <w:rFonts w:cs="Arial"/>
          <w:sz w:val="21"/>
          <w:szCs w:val="21"/>
          <w:lang w:eastAsia="en-AU"/>
        </w:rPr>
        <w:t>for the data element Mental Health Diagnosis in section 5.1.15.  A description of the change is shown below.</w:t>
      </w:r>
    </w:p>
    <w:p w14:paraId="5D7081D1" w14:textId="592D088B" w:rsidR="00860BCE" w:rsidRDefault="003A1D17" w:rsidP="001D318E">
      <w:pPr>
        <w:pStyle w:val="Body"/>
      </w:pPr>
      <w:r w:rsidRPr="003A1D17">
        <w:rPr>
          <w:noProof/>
        </w:rPr>
        <w:drawing>
          <wp:inline distT="0" distB="0" distL="0" distR="0" wp14:anchorId="2FAD9C7B" wp14:editId="09CDA12C">
            <wp:extent cx="6479540" cy="60813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08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234FC" w14:textId="52877566" w:rsidR="00384403" w:rsidRDefault="00384403" w:rsidP="001D318E">
      <w:pPr>
        <w:pStyle w:val="Body"/>
      </w:pPr>
    </w:p>
    <w:p w14:paraId="31AF9954" w14:textId="389A0C19" w:rsidR="00384403" w:rsidRDefault="00384403" w:rsidP="001D318E">
      <w:pPr>
        <w:pStyle w:val="Body"/>
      </w:pPr>
    </w:p>
    <w:p w14:paraId="08CEFA18" w14:textId="075D2A7D" w:rsidR="00384403" w:rsidRDefault="00384403" w:rsidP="001D318E">
      <w:pPr>
        <w:pStyle w:val="Body"/>
      </w:pPr>
    </w:p>
    <w:p w14:paraId="1C33A0A1" w14:textId="03A60234" w:rsidR="00384403" w:rsidRDefault="00384403" w:rsidP="001D318E">
      <w:pPr>
        <w:pStyle w:val="Body"/>
      </w:pPr>
    </w:p>
    <w:p w14:paraId="61EFDCE5" w14:textId="49FA28B7" w:rsidR="00384403" w:rsidRDefault="00384403" w:rsidP="001D318E">
      <w:pPr>
        <w:pStyle w:val="Body"/>
      </w:pPr>
    </w:p>
    <w:p w14:paraId="663EEC7A" w14:textId="5560C621" w:rsidR="00384403" w:rsidRDefault="00384403" w:rsidP="00384403">
      <w:pPr>
        <w:pStyle w:val="Heading1"/>
      </w:pPr>
      <w:bookmarkStart w:id="6" w:name="_Toc99352985"/>
      <w:r>
        <w:lastRenderedPageBreak/>
        <w:t>4.</w:t>
      </w:r>
      <w:r>
        <w:tab/>
        <w:t>Update to Guide of Use</w:t>
      </w:r>
      <w:r w:rsidR="00E8305B">
        <w:t xml:space="preserve"> for</w:t>
      </w:r>
      <w:r>
        <w:t xml:space="preserve"> ACSO Identifier.</w:t>
      </w:r>
      <w:bookmarkEnd w:id="6"/>
    </w:p>
    <w:p w14:paraId="1CF8C10F" w14:textId="7B4A9D41" w:rsidR="00384403" w:rsidRDefault="00E8305B" w:rsidP="001D318E">
      <w:pPr>
        <w:pStyle w:val="Body"/>
      </w:pPr>
      <w:r>
        <w:rPr>
          <w:rFonts w:cs="Arial"/>
          <w:szCs w:val="21"/>
          <w:lang w:eastAsia="en-AU"/>
        </w:rPr>
        <w:t xml:space="preserve">To remove </w:t>
      </w:r>
      <w:r w:rsidR="00B96299">
        <w:rPr>
          <w:rFonts w:cs="Arial"/>
          <w:szCs w:val="21"/>
          <w:lang w:eastAsia="en-AU"/>
        </w:rPr>
        <w:t xml:space="preserve">any </w:t>
      </w:r>
      <w:r>
        <w:rPr>
          <w:rFonts w:cs="Arial"/>
          <w:szCs w:val="21"/>
          <w:lang w:eastAsia="en-AU"/>
        </w:rPr>
        <w:t xml:space="preserve">ambiguity when referring to the ‘event ID’ in the Guide of Use of section 5.7.1 of </w:t>
      </w:r>
      <w:r w:rsidRPr="00E8305B">
        <w:rPr>
          <w:rFonts w:cs="Arial"/>
          <w:i/>
          <w:iCs/>
          <w:szCs w:val="21"/>
          <w:lang w:eastAsia="en-AU"/>
        </w:rPr>
        <w:t>VADC data specification 202</w:t>
      </w:r>
      <w:r w:rsidR="00E27BDA">
        <w:rPr>
          <w:rFonts w:cs="Arial"/>
          <w:i/>
          <w:iCs/>
          <w:szCs w:val="21"/>
          <w:lang w:eastAsia="en-AU"/>
        </w:rPr>
        <w:t>1</w:t>
      </w:r>
      <w:r w:rsidRPr="00E8305B">
        <w:rPr>
          <w:rFonts w:cs="Arial"/>
          <w:i/>
          <w:iCs/>
          <w:szCs w:val="21"/>
          <w:lang w:eastAsia="en-AU"/>
        </w:rPr>
        <w:t>-2</w:t>
      </w:r>
      <w:r w:rsidR="00E27BDA">
        <w:rPr>
          <w:rFonts w:cs="Arial"/>
          <w:i/>
          <w:iCs/>
          <w:szCs w:val="21"/>
          <w:lang w:eastAsia="en-AU"/>
        </w:rPr>
        <w:t>2</w:t>
      </w:r>
      <w:r w:rsidR="00B96299">
        <w:rPr>
          <w:rFonts w:cs="Arial"/>
          <w:i/>
          <w:iCs/>
          <w:szCs w:val="21"/>
          <w:lang w:eastAsia="en-AU"/>
        </w:rPr>
        <w:t xml:space="preserve">, </w:t>
      </w:r>
      <w:r>
        <w:rPr>
          <w:rFonts w:cs="Arial"/>
          <w:szCs w:val="21"/>
          <w:lang w:eastAsia="en-AU"/>
        </w:rPr>
        <w:t xml:space="preserve"> ‘event ID’  has been replaced with ‘ACSO-COATS event ID’ as shown below.</w:t>
      </w:r>
      <w:r w:rsidR="00E27BDA">
        <w:rPr>
          <w:rFonts w:cs="Arial"/>
          <w:szCs w:val="21"/>
          <w:lang w:eastAsia="en-AU"/>
        </w:rPr>
        <w:t xml:space="preserve">  This change </w:t>
      </w:r>
      <w:r w:rsidR="00531B8E">
        <w:rPr>
          <w:rFonts w:cs="Arial"/>
          <w:szCs w:val="21"/>
          <w:lang w:eastAsia="en-AU"/>
        </w:rPr>
        <w:t>will be reflected</w:t>
      </w:r>
      <w:r w:rsidR="00E27BDA">
        <w:rPr>
          <w:rFonts w:cs="Arial"/>
          <w:szCs w:val="21"/>
          <w:lang w:eastAsia="en-AU"/>
        </w:rPr>
        <w:t xml:space="preserve"> in the </w:t>
      </w:r>
      <w:r w:rsidR="00E27BDA" w:rsidRPr="00E27BDA">
        <w:rPr>
          <w:rFonts w:cs="Arial"/>
          <w:i/>
          <w:iCs/>
          <w:szCs w:val="21"/>
          <w:lang w:eastAsia="en-AU"/>
        </w:rPr>
        <w:t>VADC data specification 2022-23</w:t>
      </w:r>
      <w:r w:rsidR="00E27BDA">
        <w:rPr>
          <w:rFonts w:cs="Arial"/>
          <w:szCs w:val="21"/>
          <w:lang w:eastAsia="en-AU"/>
        </w:rPr>
        <w:t>.</w:t>
      </w:r>
      <w:r>
        <w:rPr>
          <w:rFonts w:cs="Arial"/>
          <w:szCs w:val="21"/>
          <w:lang w:eastAsia="en-AU"/>
        </w:rPr>
        <w:t xml:space="preserve">    </w:t>
      </w:r>
    </w:p>
    <w:p w14:paraId="0FFFDE9D" w14:textId="1273F001" w:rsidR="00384403" w:rsidRDefault="00384403" w:rsidP="001D318E">
      <w:pPr>
        <w:pStyle w:val="Body"/>
      </w:pPr>
    </w:p>
    <w:p w14:paraId="04CB0127" w14:textId="68FE0FBA" w:rsidR="00E8305B" w:rsidRDefault="0031768B" w:rsidP="001D318E">
      <w:pPr>
        <w:pStyle w:val="Body"/>
      </w:pPr>
      <w:r w:rsidRPr="0031768B">
        <w:rPr>
          <w:noProof/>
        </w:rPr>
        <w:drawing>
          <wp:inline distT="0" distB="0" distL="0" distR="0" wp14:anchorId="75AE3639" wp14:editId="376318E0">
            <wp:extent cx="6462320" cy="65766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62320" cy="65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08103" w14:textId="2624362C" w:rsidR="00860BCE" w:rsidRDefault="00860BCE" w:rsidP="001D318E">
      <w:pPr>
        <w:pStyle w:val="Body"/>
      </w:pPr>
    </w:p>
    <w:p w14:paraId="563EF72C" w14:textId="489D2DDF" w:rsidR="00E27BDA" w:rsidRDefault="00E27BDA" w:rsidP="001D318E">
      <w:pPr>
        <w:pStyle w:val="Body"/>
      </w:pPr>
    </w:p>
    <w:p w14:paraId="50F5AA83" w14:textId="4E5A9346" w:rsidR="00E27BDA" w:rsidRDefault="00E27BDA" w:rsidP="001D318E">
      <w:pPr>
        <w:pStyle w:val="Body"/>
      </w:pPr>
    </w:p>
    <w:p w14:paraId="03D0D0C8" w14:textId="3B673D08" w:rsidR="00E27BDA" w:rsidRDefault="00E27BDA" w:rsidP="001D318E">
      <w:pPr>
        <w:pStyle w:val="Body"/>
      </w:pPr>
    </w:p>
    <w:p w14:paraId="67F34377" w14:textId="3A143730" w:rsidR="00E27BDA" w:rsidRDefault="00E27BDA" w:rsidP="00E27BDA">
      <w:pPr>
        <w:pStyle w:val="Heading1"/>
      </w:pPr>
      <w:bookmarkStart w:id="7" w:name="_Toc99352986"/>
      <w:r>
        <w:lastRenderedPageBreak/>
        <w:t>5.</w:t>
      </w:r>
      <w:r>
        <w:tab/>
        <w:t>Table 5.b Validations in VADC data specification 2021-22</w:t>
      </w:r>
      <w:bookmarkEnd w:id="7"/>
    </w:p>
    <w:p w14:paraId="029D342D" w14:textId="0E5FB212" w:rsidR="00E27BDA" w:rsidRDefault="00B96299" w:rsidP="001D318E">
      <w:pPr>
        <w:pStyle w:val="Body"/>
      </w:pPr>
      <w:r>
        <w:rPr>
          <w:rFonts w:cs="Arial"/>
          <w:szCs w:val="21"/>
          <w:lang w:eastAsia="en-AU"/>
        </w:rPr>
        <w:t xml:space="preserve">We have corrected </w:t>
      </w:r>
      <w:r w:rsidR="00531B8E" w:rsidRPr="003D311F">
        <w:rPr>
          <w:rFonts w:cs="Arial"/>
          <w:szCs w:val="21"/>
          <w:lang w:eastAsia="en-AU"/>
        </w:rPr>
        <w:t>a typo</w:t>
      </w:r>
      <w:r w:rsidR="008E7C8A" w:rsidRPr="003D311F">
        <w:rPr>
          <w:rFonts w:cs="Arial"/>
          <w:szCs w:val="21"/>
          <w:lang w:eastAsia="en-AU"/>
        </w:rPr>
        <w:t>graphical</w:t>
      </w:r>
      <w:r w:rsidR="00531B8E">
        <w:rPr>
          <w:rFonts w:cs="Arial"/>
          <w:szCs w:val="21"/>
          <w:lang w:eastAsia="en-AU"/>
        </w:rPr>
        <w:t xml:space="preserve"> error </w:t>
      </w:r>
      <w:r>
        <w:rPr>
          <w:rFonts w:cs="Arial"/>
          <w:szCs w:val="21"/>
          <w:lang w:eastAsia="en-AU"/>
        </w:rPr>
        <w:t xml:space="preserve">in </w:t>
      </w:r>
      <w:r w:rsidR="007F78CA">
        <w:rPr>
          <w:rFonts w:cs="Arial"/>
          <w:szCs w:val="21"/>
          <w:lang w:eastAsia="en-AU"/>
        </w:rPr>
        <w:t>t</w:t>
      </w:r>
      <w:r w:rsidR="00531B8E">
        <w:rPr>
          <w:rFonts w:cs="Arial"/>
          <w:szCs w:val="21"/>
          <w:lang w:eastAsia="en-AU"/>
        </w:rPr>
        <w:t xml:space="preserve">he status description in Table 5.b of </w:t>
      </w:r>
      <w:r>
        <w:rPr>
          <w:rFonts w:cs="Arial"/>
          <w:szCs w:val="21"/>
          <w:lang w:eastAsia="en-AU"/>
        </w:rPr>
        <w:t>S</w:t>
      </w:r>
      <w:r w:rsidR="00531B8E">
        <w:rPr>
          <w:rFonts w:cs="Arial"/>
          <w:szCs w:val="21"/>
          <w:lang w:eastAsia="en-AU"/>
        </w:rPr>
        <w:t xml:space="preserve">ection 6 of the </w:t>
      </w:r>
      <w:r w:rsidR="00531B8E" w:rsidRPr="0010515A">
        <w:rPr>
          <w:rFonts w:cs="Arial"/>
          <w:i/>
          <w:iCs/>
          <w:szCs w:val="21"/>
          <w:lang w:eastAsia="en-AU"/>
        </w:rPr>
        <w:t>VADC data specification 2021-22</w:t>
      </w:r>
      <w:r w:rsidR="00531B8E">
        <w:rPr>
          <w:rFonts w:cs="Arial"/>
          <w:szCs w:val="21"/>
          <w:lang w:eastAsia="en-AU"/>
        </w:rPr>
        <w:t xml:space="preserve">.  The status description for each of the validations in Table 5.b </w:t>
      </w:r>
      <w:r w:rsidR="003D311F">
        <w:rPr>
          <w:rFonts w:cs="Arial"/>
          <w:szCs w:val="21"/>
          <w:lang w:eastAsia="en-AU"/>
        </w:rPr>
        <w:t>has been</w:t>
      </w:r>
      <w:r w:rsidR="0010515A">
        <w:rPr>
          <w:rFonts w:cs="Arial"/>
          <w:szCs w:val="21"/>
          <w:lang w:eastAsia="en-AU"/>
        </w:rPr>
        <w:t xml:space="preserve"> corrected to only show as</w:t>
      </w:r>
      <w:r w:rsidR="00531B8E">
        <w:rPr>
          <w:rFonts w:cs="Arial"/>
          <w:szCs w:val="21"/>
          <w:lang w:eastAsia="en-AU"/>
        </w:rPr>
        <w:t xml:space="preserve"> either a warning or error.</w:t>
      </w:r>
      <w:r w:rsidR="0010515A">
        <w:rPr>
          <w:rFonts w:cs="Arial"/>
          <w:szCs w:val="21"/>
          <w:lang w:eastAsia="en-AU"/>
        </w:rPr>
        <w:t xml:space="preserve">  This is shown below and </w:t>
      </w:r>
      <w:r w:rsidR="00AB0BA5">
        <w:rPr>
          <w:rFonts w:cs="Arial"/>
          <w:szCs w:val="21"/>
          <w:lang w:eastAsia="en-AU"/>
        </w:rPr>
        <w:t xml:space="preserve">has been </w:t>
      </w:r>
      <w:r w:rsidR="0010515A">
        <w:rPr>
          <w:rFonts w:cs="Arial"/>
          <w:szCs w:val="21"/>
          <w:lang w:eastAsia="en-AU"/>
        </w:rPr>
        <w:t>incorporated</w:t>
      </w:r>
      <w:r w:rsidR="00531B8E">
        <w:rPr>
          <w:rFonts w:cs="Arial"/>
          <w:szCs w:val="21"/>
          <w:lang w:eastAsia="en-AU"/>
        </w:rPr>
        <w:t xml:space="preserve"> in the </w:t>
      </w:r>
      <w:r w:rsidR="00531B8E" w:rsidRPr="0010515A">
        <w:rPr>
          <w:rFonts w:cs="Arial"/>
          <w:i/>
          <w:iCs/>
          <w:szCs w:val="21"/>
          <w:lang w:eastAsia="en-AU"/>
        </w:rPr>
        <w:t>VADC data specification 2022-23</w:t>
      </w:r>
      <w:r w:rsidR="00531B8E">
        <w:rPr>
          <w:rFonts w:cs="Arial"/>
          <w:szCs w:val="21"/>
          <w:lang w:eastAsia="en-AU"/>
        </w:rPr>
        <w:t xml:space="preserve">.   </w:t>
      </w:r>
    </w:p>
    <w:p w14:paraId="6E796CCF" w14:textId="435037A9" w:rsidR="00531B8E" w:rsidRDefault="00531B8E" w:rsidP="001D318E">
      <w:pPr>
        <w:pStyle w:val="Body"/>
      </w:pPr>
    </w:p>
    <w:p w14:paraId="4230C1C4" w14:textId="73BC4C6B" w:rsidR="00E27BDA" w:rsidRDefault="00531B8E" w:rsidP="001D318E">
      <w:pPr>
        <w:pStyle w:val="Body"/>
      </w:pPr>
      <w:r w:rsidRPr="00531B8E">
        <w:rPr>
          <w:noProof/>
        </w:rPr>
        <w:drawing>
          <wp:inline distT="0" distB="0" distL="0" distR="0" wp14:anchorId="58937CC2" wp14:editId="63074D09">
            <wp:extent cx="6479540" cy="25196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1F00F" w14:textId="0A962FF5" w:rsidR="00860BCE" w:rsidRDefault="00E27BDA" w:rsidP="00860BCE">
      <w:pPr>
        <w:pStyle w:val="Heading1"/>
      </w:pPr>
      <w:bookmarkStart w:id="8" w:name="_Toc99352987"/>
      <w:r>
        <w:t>6</w:t>
      </w:r>
      <w:r w:rsidR="00860BCE">
        <w:t>.</w:t>
      </w:r>
      <w:r w:rsidR="00860BCE">
        <w:tab/>
      </w:r>
      <w:r w:rsidR="00BD373D">
        <w:t>Service Provider Contact List</w:t>
      </w:r>
      <w:bookmarkEnd w:id="8"/>
    </w:p>
    <w:p w14:paraId="0798ACB9" w14:textId="0E0EE93A" w:rsidR="00E7720E" w:rsidRDefault="00E7720E" w:rsidP="00E7720E">
      <w:pPr>
        <w:rPr>
          <w:rFonts w:cs="Arial"/>
          <w:szCs w:val="21"/>
          <w:lang w:eastAsia="en-AU"/>
        </w:rPr>
      </w:pPr>
      <w:r>
        <w:rPr>
          <w:rFonts w:cs="Arial"/>
          <w:szCs w:val="21"/>
          <w:lang w:eastAsia="en-AU"/>
        </w:rPr>
        <w:t>In the near future t</w:t>
      </w:r>
      <w:r w:rsidR="003D311F" w:rsidRPr="003D311F">
        <w:rPr>
          <w:rFonts w:cs="Arial"/>
          <w:szCs w:val="21"/>
          <w:lang w:eastAsia="en-AU"/>
        </w:rPr>
        <w:t>he VADC data team will contac</w:t>
      </w:r>
      <w:r>
        <w:rPr>
          <w:rFonts w:cs="Arial"/>
          <w:szCs w:val="21"/>
          <w:lang w:eastAsia="en-AU"/>
        </w:rPr>
        <w:t>t</w:t>
      </w:r>
      <w:r w:rsidR="003D311F" w:rsidRPr="003D311F">
        <w:rPr>
          <w:rFonts w:cs="Arial"/>
          <w:szCs w:val="21"/>
          <w:lang w:eastAsia="en-AU"/>
        </w:rPr>
        <w:t xml:space="preserve"> Service Providers and Consortium leads to </w:t>
      </w:r>
      <w:r w:rsidRPr="003D311F">
        <w:rPr>
          <w:rFonts w:cs="Arial"/>
          <w:szCs w:val="21"/>
          <w:lang w:eastAsia="en-AU"/>
        </w:rPr>
        <w:t xml:space="preserve">verify </w:t>
      </w:r>
      <w:r>
        <w:rPr>
          <w:rFonts w:cs="Arial"/>
          <w:szCs w:val="21"/>
          <w:lang w:eastAsia="en-AU"/>
        </w:rPr>
        <w:t xml:space="preserve">that </w:t>
      </w:r>
      <w:r w:rsidRPr="003D311F">
        <w:rPr>
          <w:rFonts w:cs="Arial"/>
          <w:szCs w:val="21"/>
          <w:lang w:eastAsia="en-AU"/>
        </w:rPr>
        <w:t xml:space="preserve">the contact </w:t>
      </w:r>
      <w:r>
        <w:rPr>
          <w:rFonts w:cs="Arial"/>
          <w:szCs w:val="21"/>
          <w:lang w:eastAsia="en-AU"/>
        </w:rPr>
        <w:t xml:space="preserve">information on file </w:t>
      </w:r>
      <w:r w:rsidRPr="003D311F">
        <w:rPr>
          <w:rFonts w:cs="Arial"/>
          <w:szCs w:val="21"/>
          <w:lang w:eastAsia="en-AU"/>
        </w:rPr>
        <w:t>is correct</w:t>
      </w:r>
      <w:r>
        <w:rPr>
          <w:rFonts w:cs="Arial"/>
          <w:szCs w:val="21"/>
          <w:lang w:eastAsia="en-AU"/>
        </w:rPr>
        <w:t xml:space="preserve"> and up to date.</w:t>
      </w:r>
    </w:p>
    <w:p w14:paraId="7AE38BE4" w14:textId="745FA8CE" w:rsidR="00B407BC" w:rsidRDefault="00E27BDA" w:rsidP="00B407BC">
      <w:pPr>
        <w:pStyle w:val="Heading1"/>
      </w:pPr>
      <w:bookmarkStart w:id="9" w:name="_Toc99352988"/>
      <w:r>
        <w:t>7</w:t>
      </w:r>
      <w:r w:rsidR="00B407BC">
        <w:t>.</w:t>
      </w:r>
      <w:r w:rsidR="00B407BC">
        <w:tab/>
      </w:r>
      <w:r w:rsidR="00C06DC2">
        <w:t xml:space="preserve">Data </w:t>
      </w:r>
      <w:r w:rsidR="00906A31">
        <w:t>Q</w:t>
      </w:r>
      <w:r w:rsidR="00C06DC2">
        <w:t xml:space="preserve">uality </w:t>
      </w:r>
      <w:r w:rsidR="00906A31">
        <w:t>r</w:t>
      </w:r>
      <w:r w:rsidR="00C06DC2">
        <w:t>eview on ACSO Identifier</w:t>
      </w:r>
      <w:bookmarkEnd w:id="9"/>
      <w:r w:rsidR="00860BCE">
        <w:t xml:space="preserve"> </w:t>
      </w:r>
    </w:p>
    <w:p w14:paraId="1F65D8B1" w14:textId="4D0B67BF" w:rsidR="001D318E" w:rsidRDefault="00160FFA" w:rsidP="003C46BD">
      <w:pPr>
        <w:pStyle w:val="Body"/>
      </w:pPr>
      <w:r>
        <w:t xml:space="preserve">We </w:t>
      </w:r>
      <w:r w:rsidRPr="00E7720E">
        <w:t xml:space="preserve">have </w:t>
      </w:r>
      <w:r w:rsidR="008E7C8A" w:rsidRPr="00E7720E">
        <w:t>undertaken</w:t>
      </w:r>
      <w:r>
        <w:t xml:space="preserve"> </w:t>
      </w:r>
      <w:r w:rsidR="00B96299">
        <w:t>a</w:t>
      </w:r>
      <w:r w:rsidR="00E17C61">
        <w:t xml:space="preserve"> </w:t>
      </w:r>
      <w:r>
        <w:t xml:space="preserve">Data Quality (DQ) review on the ACSO Identifier and reached out to </w:t>
      </w:r>
      <w:r w:rsidRPr="00E7720E">
        <w:t xml:space="preserve">the </w:t>
      </w:r>
      <w:r w:rsidR="00E7720E" w:rsidRPr="00E7720E">
        <w:t xml:space="preserve">relevant </w:t>
      </w:r>
      <w:r w:rsidRPr="00E7720E">
        <w:t>service</w:t>
      </w:r>
      <w:r w:rsidR="00E7720E">
        <w:t>s</w:t>
      </w:r>
      <w:r w:rsidRPr="00E7720E">
        <w:t xml:space="preserve"> for clarification.  Thank</w:t>
      </w:r>
      <w:r w:rsidR="00E7720E">
        <w:t xml:space="preserve"> you</w:t>
      </w:r>
      <w:r w:rsidRPr="00E7720E">
        <w:t xml:space="preserve"> to the services who have responded to date on the outcomes of the DQ</w:t>
      </w:r>
      <w:r>
        <w:t xml:space="preserve"> review of </w:t>
      </w:r>
      <w:r w:rsidR="00E7720E">
        <w:t xml:space="preserve">the </w:t>
      </w:r>
      <w:r>
        <w:t>ACSO Identifier</w:t>
      </w:r>
      <w:r w:rsidR="00E17C61">
        <w:t xml:space="preserve"> and resubmitted data as necessary</w:t>
      </w:r>
      <w:r>
        <w:t xml:space="preserve">.  </w:t>
      </w:r>
    </w:p>
    <w:p w14:paraId="295D8845" w14:textId="69F1C4EA" w:rsidR="00160FFA" w:rsidRDefault="00160FFA" w:rsidP="00160FFA">
      <w:pPr>
        <w:pStyle w:val="Heading1"/>
      </w:pPr>
      <w:bookmarkStart w:id="10" w:name="_Toc99352989"/>
      <w:r>
        <w:t>8.</w:t>
      </w:r>
      <w:r>
        <w:tab/>
        <w:t>Data Quality review on Indigenous status</w:t>
      </w:r>
      <w:bookmarkEnd w:id="10"/>
      <w:r>
        <w:t xml:space="preserve"> </w:t>
      </w:r>
    </w:p>
    <w:p w14:paraId="04417F0F" w14:textId="500BA251" w:rsidR="00160FFA" w:rsidRDefault="00160FFA" w:rsidP="00160FFA">
      <w:pPr>
        <w:pStyle w:val="Body"/>
      </w:pPr>
      <w:r>
        <w:t>A Data Quality (DQ) review is currently underway to identify services reporting unusually high supplementary values</w:t>
      </w:r>
      <w:r w:rsidR="00AB0BA5">
        <w:t xml:space="preserve"> for the indigenous status.  It will also cover any </w:t>
      </w:r>
      <w:r>
        <w:t xml:space="preserve">unusual trends </w:t>
      </w:r>
      <w:r w:rsidR="003F422F">
        <w:t>in the</w:t>
      </w:r>
      <w:r>
        <w:t xml:space="preserve"> indigenous status</w:t>
      </w:r>
      <w:r w:rsidR="00AB0BA5">
        <w:t xml:space="preserve"> where </w:t>
      </w:r>
      <w:r>
        <w:t>services</w:t>
      </w:r>
      <w:r w:rsidR="00AB0BA5">
        <w:t xml:space="preserve"> deal</w:t>
      </w:r>
      <w:r>
        <w:t xml:space="preserve"> with specific </w:t>
      </w:r>
      <w:r w:rsidR="00E7720E">
        <w:t>service types.</w:t>
      </w:r>
    </w:p>
    <w:p w14:paraId="4BE5F87C" w14:textId="6FBE2010" w:rsidR="00D42F9B" w:rsidRDefault="00160FFA" w:rsidP="002365B4">
      <w:pPr>
        <w:pStyle w:val="Body"/>
      </w:pPr>
      <w:r>
        <w:t>Upon completion of the DQ activity, we will be in contact with the relevant services to review and discuss any</w:t>
      </w:r>
      <w:r w:rsidR="0031768B">
        <w:t xml:space="preserve"> </w:t>
      </w:r>
      <w:r w:rsidR="00E17C61">
        <w:t>concerns</w:t>
      </w:r>
      <w:r>
        <w:t>.</w:t>
      </w:r>
    </w:p>
    <w:p w14:paraId="456B127F" w14:textId="71F01FBD" w:rsidR="005C7A39" w:rsidRDefault="005C7A39" w:rsidP="002365B4">
      <w:pPr>
        <w:pStyle w:val="Body"/>
      </w:pPr>
    </w:p>
    <w:p w14:paraId="048F576A" w14:textId="0A191D48" w:rsidR="00AF462D" w:rsidRDefault="00AF462D" w:rsidP="002365B4">
      <w:pPr>
        <w:pStyle w:val="Body"/>
      </w:pPr>
    </w:p>
    <w:p w14:paraId="0085073C" w14:textId="0A73457E" w:rsidR="00AF462D" w:rsidRDefault="00AF462D" w:rsidP="002365B4">
      <w:pPr>
        <w:pStyle w:val="Body"/>
      </w:pPr>
    </w:p>
    <w:p w14:paraId="4E014341" w14:textId="217DEF34" w:rsidR="00AF462D" w:rsidRDefault="00AF462D" w:rsidP="002365B4">
      <w:pPr>
        <w:pStyle w:val="Body"/>
      </w:pPr>
    </w:p>
    <w:p w14:paraId="774E6884" w14:textId="77777777" w:rsidR="00AF462D" w:rsidRDefault="00AF462D" w:rsidP="002365B4">
      <w:pPr>
        <w:pStyle w:val="Body"/>
      </w:pPr>
    </w:p>
    <w:p w14:paraId="4C9718B2" w14:textId="5B9B5461" w:rsidR="001D318E" w:rsidRDefault="001D318E" w:rsidP="002365B4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D318E" w14:paraId="6886AE3C" w14:textId="77777777" w:rsidTr="001D318E">
        <w:tc>
          <w:tcPr>
            <w:tcW w:w="10194" w:type="dxa"/>
          </w:tcPr>
          <w:p w14:paraId="6101031E" w14:textId="77777777" w:rsidR="001D318E" w:rsidRDefault="001D318E" w:rsidP="001D318E">
            <w:pPr>
              <w:pStyle w:val="Imprint"/>
            </w:pPr>
            <w:r>
              <w:t xml:space="preserve">To receive this document in another format email: </w:t>
            </w:r>
            <w:hyperlink r:id="rId22" w:history="1">
              <w:r w:rsidRPr="00524A20">
                <w:rPr>
                  <w:rStyle w:val="Hyperlink"/>
                </w:rPr>
                <w:t>vadc_data@health.vic.gov.au</w:t>
              </w:r>
            </w:hyperlink>
          </w:p>
          <w:p w14:paraId="7EE17B93" w14:textId="77777777" w:rsidR="001D318E" w:rsidRDefault="001D318E" w:rsidP="001D318E">
            <w:pPr>
              <w:pStyle w:val="Imprint"/>
            </w:pPr>
          </w:p>
          <w:p w14:paraId="2B4EA2E6" w14:textId="77777777" w:rsidR="001D318E" w:rsidRPr="003B0381" w:rsidRDefault="001D318E" w:rsidP="001D318E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6D5B7439" w14:textId="398F9F8E" w:rsidR="001D318E" w:rsidRDefault="001D318E" w:rsidP="002365B4">
            <w:pPr>
              <w:pStyle w:val="Body"/>
            </w:pPr>
            <w:r w:rsidRPr="003B0381">
              <w:rPr>
                <w:sz w:val="20"/>
              </w:rPr>
              <w:t xml:space="preserve">© State of Victoria, Australia, Department of Health, </w:t>
            </w:r>
            <w:r w:rsidR="00E17C61">
              <w:rPr>
                <w:sz w:val="20"/>
              </w:rPr>
              <w:t>March</w:t>
            </w:r>
            <w:r w:rsidR="00E17C61" w:rsidRPr="003B0381">
              <w:rPr>
                <w:sz w:val="20"/>
              </w:rPr>
              <w:t xml:space="preserve"> </w:t>
            </w:r>
            <w:r w:rsidRPr="003B0381">
              <w:rPr>
                <w:sz w:val="20"/>
              </w:rPr>
              <w:t>202</w:t>
            </w:r>
            <w:r w:rsidR="00860BCE">
              <w:rPr>
                <w:sz w:val="20"/>
              </w:rPr>
              <w:t>2</w:t>
            </w:r>
          </w:p>
        </w:tc>
      </w:tr>
    </w:tbl>
    <w:p w14:paraId="4EF6A358" w14:textId="77777777" w:rsidR="001D318E" w:rsidRDefault="001D318E" w:rsidP="002365B4">
      <w:pPr>
        <w:pStyle w:val="Body"/>
      </w:pPr>
    </w:p>
    <w:sectPr w:rsidR="001D318E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646C" w14:textId="77777777" w:rsidR="00167913" w:rsidRDefault="00167913">
      <w:r>
        <w:separator/>
      </w:r>
    </w:p>
  </w:endnote>
  <w:endnote w:type="continuationSeparator" w:id="0">
    <w:p w14:paraId="035BB09F" w14:textId="77777777" w:rsidR="00167913" w:rsidRDefault="0016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00EE" w14:textId="77777777" w:rsidR="002A4510" w:rsidRDefault="002A4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E251" w14:textId="77777777" w:rsidR="00E261B3" w:rsidRPr="00F65AA9" w:rsidRDefault="000C21C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22BDECC9" wp14:editId="6B318D85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670F117D" wp14:editId="481ED11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5C7A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F117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Cgg+Hd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3E35C7A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61480950" wp14:editId="239A377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02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6E4F0EFF" wp14:editId="69FF380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4A9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F0EF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384A9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5566" w14:textId="77777777" w:rsidR="00167913" w:rsidRDefault="00167913" w:rsidP="002862F1">
      <w:pPr>
        <w:spacing w:before="120"/>
      </w:pPr>
      <w:r>
        <w:separator/>
      </w:r>
    </w:p>
  </w:footnote>
  <w:footnote w:type="continuationSeparator" w:id="0">
    <w:p w14:paraId="4CB3C5C3" w14:textId="77777777" w:rsidR="00167913" w:rsidRDefault="0016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E0B0" w14:textId="77777777" w:rsidR="002A4510" w:rsidRDefault="002A4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E29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E5D4" w14:textId="77777777" w:rsidR="002A4510" w:rsidRDefault="002A45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F48A" w14:textId="58F608E2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484A4460" wp14:editId="642E0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7BC">
      <w:t>VADC Bulletin 2021-22 Edition 1</w:t>
    </w:r>
    <w:r w:rsidR="00160FFA">
      <w:t>9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22C00"/>
    <w:multiLevelType w:val="hybridMultilevel"/>
    <w:tmpl w:val="77BC0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2770F"/>
    <w:multiLevelType w:val="hybridMultilevel"/>
    <w:tmpl w:val="168C5D8A"/>
    <w:lvl w:ilvl="0" w:tplc="A5C878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/>
        <w:color w:val="004C97"/>
        <w:sz w:val="21"/>
        <w:u w:val="dotted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D115F"/>
    <w:multiLevelType w:val="hybridMultilevel"/>
    <w:tmpl w:val="FF96A5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880DBB"/>
    <w:multiLevelType w:val="hybridMultilevel"/>
    <w:tmpl w:val="FF96A5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8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9"/>
  </w:num>
  <w:num w:numId="25">
    <w:abstractNumId w:val="27"/>
  </w:num>
  <w:num w:numId="26">
    <w:abstractNumId w:val="21"/>
  </w:num>
  <w:num w:numId="27">
    <w:abstractNumId w:val="11"/>
  </w:num>
  <w:num w:numId="28">
    <w:abstractNumId w:val="3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5"/>
  </w:num>
  <w:num w:numId="42">
    <w:abstractNumId w:val="22"/>
  </w:num>
  <w:num w:numId="4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719"/>
    <w:rsid w:val="00003403"/>
    <w:rsid w:val="000047CE"/>
    <w:rsid w:val="00005347"/>
    <w:rsid w:val="000072B6"/>
    <w:rsid w:val="0001021B"/>
    <w:rsid w:val="00011D89"/>
    <w:rsid w:val="000154FD"/>
    <w:rsid w:val="00022271"/>
    <w:rsid w:val="000235E8"/>
    <w:rsid w:val="00024480"/>
    <w:rsid w:val="00024D89"/>
    <w:rsid w:val="000250B6"/>
    <w:rsid w:val="00033D81"/>
    <w:rsid w:val="00037366"/>
    <w:rsid w:val="00041BF0"/>
    <w:rsid w:val="00041E33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5497"/>
    <w:rsid w:val="00087951"/>
    <w:rsid w:val="0009113B"/>
    <w:rsid w:val="00093402"/>
    <w:rsid w:val="00094DA3"/>
    <w:rsid w:val="00096CD1"/>
    <w:rsid w:val="000A012C"/>
    <w:rsid w:val="000A0EB9"/>
    <w:rsid w:val="000A186C"/>
    <w:rsid w:val="000A19B2"/>
    <w:rsid w:val="000A1EA4"/>
    <w:rsid w:val="000A2476"/>
    <w:rsid w:val="000A641A"/>
    <w:rsid w:val="000A733F"/>
    <w:rsid w:val="000A7895"/>
    <w:rsid w:val="000B3EDB"/>
    <w:rsid w:val="000B543D"/>
    <w:rsid w:val="000B55F9"/>
    <w:rsid w:val="000B5BF7"/>
    <w:rsid w:val="000B6BC8"/>
    <w:rsid w:val="000C0303"/>
    <w:rsid w:val="000C21CA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515A"/>
    <w:rsid w:val="0010714F"/>
    <w:rsid w:val="001120C5"/>
    <w:rsid w:val="0011701A"/>
    <w:rsid w:val="00117D5B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5CE8"/>
    <w:rsid w:val="00156598"/>
    <w:rsid w:val="00160A79"/>
    <w:rsid w:val="00160FFA"/>
    <w:rsid w:val="00161939"/>
    <w:rsid w:val="00161AA0"/>
    <w:rsid w:val="00161D2E"/>
    <w:rsid w:val="00161F3E"/>
    <w:rsid w:val="00162093"/>
    <w:rsid w:val="00162CA9"/>
    <w:rsid w:val="00165459"/>
    <w:rsid w:val="00165906"/>
    <w:rsid w:val="00165A57"/>
    <w:rsid w:val="00165EB5"/>
    <w:rsid w:val="00167913"/>
    <w:rsid w:val="001712C2"/>
    <w:rsid w:val="00172BAF"/>
    <w:rsid w:val="001771DD"/>
    <w:rsid w:val="00177995"/>
    <w:rsid w:val="00177A8C"/>
    <w:rsid w:val="00186B33"/>
    <w:rsid w:val="00187C75"/>
    <w:rsid w:val="00191459"/>
    <w:rsid w:val="00192F9D"/>
    <w:rsid w:val="00196EB8"/>
    <w:rsid w:val="00196EFB"/>
    <w:rsid w:val="001979FF"/>
    <w:rsid w:val="00197B17"/>
    <w:rsid w:val="001A1950"/>
    <w:rsid w:val="001A1C54"/>
    <w:rsid w:val="001A2A16"/>
    <w:rsid w:val="001A3ACE"/>
    <w:rsid w:val="001A47CA"/>
    <w:rsid w:val="001B058F"/>
    <w:rsid w:val="001B738B"/>
    <w:rsid w:val="001C09DB"/>
    <w:rsid w:val="001C277E"/>
    <w:rsid w:val="001C2A72"/>
    <w:rsid w:val="001C31B7"/>
    <w:rsid w:val="001D0B75"/>
    <w:rsid w:val="001D318E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C03"/>
    <w:rsid w:val="00220C04"/>
    <w:rsid w:val="00220EA5"/>
    <w:rsid w:val="0022173E"/>
    <w:rsid w:val="0022278D"/>
    <w:rsid w:val="0022701F"/>
    <w:rsid w:val="00227C68"/>
    <w:rsid w:val="002333F5"/>
    <w:rsid w:val="00233724"/>
    <w:rsid w:val="002365B4"/>
    <w:rsid w:val="00240CB0"/>
    <w:rsid w:val="002432E1"/>
    <w:rsid w:val="00246207"/>
    <w:rsid w:val="00246C5E"/>
    <w:rsid w:val="00250960"/>
    <w:rsid w:val="00251343"/>
    <w:rsid w:val="00252480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213D"/>
    <w:rsid w:val="0028270A"/>
    <w:rsid w:val="002862F1"/>
    <w:rsid w:val="00291373"/>
    <w:rsid w:val="0029597D"/>
    <w:rsid w:val="002962C3"/>
    <w:rsid w:val="0029752B"/>
    <w:rsid w:val="00297D2E"/>
    <w:rsid w:val="002A0A9C"/>
    <w:rsid w:val="002A4510"/>
    <w:rsid w:val="002A483C"/>
    <w:rsid w:val="002A62CE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068"/>
    <w:rsid w:val="002D1E0D"/>
    <w:rsid w:val="002D3CB1"/>
    <w:rsid w:val="002D5006"/>
    <w:rsid w:val="002E01D0"/>
    <w:rsid w:val="002E161D"/>
    <w:rsid w:val="002E3100"/>
    <w:rsid w:val="002E6C95"/>
    <w:rsid w:val="002E7C36"/>
    <w:rsid w:val="002F0107"/>
    <w:rsid w:val="002F3BE8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1768B"/>
    <w:rsid w:val="003214F1"/>
    <w:rsid w:val="00322E4B"/>
    <w:rsid w:val="00327870"/>
    <w:rsid w:val="00330F49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3884"/>
    <w:rsid w:val="00384403"/>
    <w:rsid w:val="00386109"/>
    <w:rsid w:val="00386944"/>
    <w:rsid w:val="003956CC"/>
    <w:rsid w:val="00395C9A"/>
    <w:rsid w:val="003A0853"/>
    <w:rsid w:val="003A1D17"/>
    <w:rsid w:val="003A6B67"/>
    <w:rsid w:val="003B13B6"/>
    <w:rsid w:val="003B15E6"/>
    <w:rsid w:val="003B408A"/>
    <w:rsid w:val="003B4408"/>
    <w:rsid w:val="003B5733"/>
    <w:rsid w:val="003C08A2"/>
    <w:rsid w:val="003C2045"/>
    <w:rsid w:val="003C3847"/>
    <w:rsid w:val="003C43A1"/>
    <w:rsid w:val="003C46BD"/>
    <w:rsid w:val="003C4FC0"/>
    <w:rsid w:val="003C55F4"/>
    <w:rsid w:val="003C7897"/>
    <w:rsid w:val="003C7A3F"/>
    <w:rsid w:val="003D2766"/>
    <w:rsid w:val="003D2A74"/>
    <w:rsid w:val="003D311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422F"/>
    <w:rsid w:val="003F5CB9"/>
    <w:rsid w:val="003F7B5C"/>
    <w:rsid w:val="004013C7"/>
    <w:rsid w:val="00401FCF"/>
    <w:rsid w:val="0040248F"/>
    <w:rsid w:val="00406285"/>
    <w:rsid w:val="004146C6"/>
    <w:rsid w:val="004148F9"/>
    <w:rsid w:val="00414D4A"/>
    <w:rsid w:val="00416B66"/>
    <w:rsid w:val="0042084E"/>
    <w:rsid w:val="00421EEF"/>
    <w:rsid w:val="00424D65"/>
    <w:rsid w:val="0044071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141F"/>
    <w:rsid w:val="00483968"/>
    <w:rsid w:val="00484F86"/>
    <w:rsid w:val="004873D1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5ED5"/>
    <w:rsid w:val="004A707D"/>
    <w:rsid w:val="004B1DE1"/>
    <w:rsid w:val="004C5541"/>
    <w:rsid w:val="004C6EEE"/>
    <w:rsid w:val="004C702B"/>
    <w:rsid w:val="004D0033"/>
    <w:rsid w:val="004D016B"/>
    <w:rsid w:val="004D1B22"/>
    <w:rsid w:val="004D23CC"/>
    <w:rsid w:val="004D36F2"/>
    <w:rsid w:val="004D4EED"/>
    <w:rsid w:val="004E1106"/>
    <w:rsid w:val="004E138F"/>
    <w:rsid w:val="004E3D67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2B6B"/>
    <w:rsid w:val="00513DE2"/>
    <w:rsid w:val="0051568D"/>
    <w:rsid w:val="00517DA1"/>
    <w:rsid w:val="00526AC7"/>
    <w:rsid w:val="00526C15"/>
    <w:rsid w:val="00531B8E"/>
    <w:rsid w:val="00533818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77231"/>
    <w:rsid w:val="005778ED"/>
    <w:rsid w:val="00580394"/>
    <w:rsid w:val="005809CD"/>
    <w:rsid w:val="00582B8C"/>
    <w:rsid w:val="00587218"/>
    <w:rsid w:val="0058757E"/>
    <w:rsid w:val="005948E0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4AA4"/>
    <w:rsid w:val="005C50F3"/>
    <w:rsid w:val="005C54B5"/>
    <w:rsid w:val="005C5D80"/>
    <w:rsid w:val="005C5D91"/>
    <w:rsid w:val="005C7A39"/>
    <w:rsid w:val="005D01AF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50C"/>
    <w:rsid w:val="00610D7C"/>
    <w:rsid w:val="00613414"/>
    <w:rsid w:val="0062000C"/>
    <w:rsid w:val="00620154"/>
    <w:rsid w:val="0062408D"/>
    <w:rsid w:val="006240CC"/>
    <w:rsid w:val="00624330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3669"/>
    <w:rsid w:val="00653BF0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1DF0"/>
    <w:rsid w:val="006A3383"/>
    <w:rsid w:val="006A67B0"/>
    <w:rsid w:val="006B077C"/>
    <w:rsid w:val="006B0A39"/>
    <w:rsid w:val="006B6803"/>
    <w:rsid w:val="006C1155"/>
    <w:rsid w:val="006C7ABE"/>
    <w:rsid w:val="006D0F16"/>
    <w:rsid w:val="006D1090"/>
    <w:rsid w:val="006D2A3F"/>
    <w:rsid w:val="006D2FBC"/>
    <w:rsid w:val="006D7093"/>
    <w:rsid w:val="006E01B0"/>
    <w:rsid w:val="006E0541"/>
    <w:rsid w:val="006E138B"/>
    <w:rsid w:val="006F0330"/>
    <w:rsid w:val="006F1FDC"/>
    <w:rsid w:val="006F6B8C"/>
    <w:rsid w:val="007013EF"/>
    <w:rsid w:val="007055BD"/>
    <w:rsid w:val="00705857"/>
    <w:rsid w:val="007173CA"/>
    <w:rsid w:val="007216AA"/>
    <w:rsid w:val="00721AB5"/>
    <w:rsid w:val="00721CFB"/>
    <w:rsid w:val="00721DEF"/>
    <w:rsid w:val="00724A43"/>
    <w:rsid w:val="007273AC"/>
    <w:rsid w:val="00731AD4"/>
    <w:rsid w:val="00732565"/>
    <w:rsid w:val="007346E4"/>
    <w:rsid w:val="00740F22"/>
    <w:rsid w:val="00741CF0"/>
    <w:rsid w:val="00741F1A"/>
    <w:rsid w:val="007447DA"/>
    <w:rsid w:val="007450F8"/>
    <w:rsid w:val="0074696E"/>
    <w:rsid w:val="00750135"/>
    <w:rsid w:val="007505E9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59CA"/>
    <w:rsid w:val="00786F16"/>
    <w:rsid w:val="00791BD7"/>
    <w:rsid w:val="007933F7"/>
    <w:rsid w:val="00793912"/>
    <w:rsid w:val="00796E20"/>
    <w:rsid w:val="00796FF4"/>
    <w:rsid w:val="00797C32"/>
    <w:rsid w:val="007A11E8"/>
    <w:rsid w:val="007A518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8CA"/>
    <w:rsid w:val="00800412"/>
    <w:rsid w:val="0080587B"/>
    <w:rsid w:val="00806468"/>
    <w:rsid w:val="008119CA"/>
    <w:rsid w:val="00811EEE"/>
    <w:rsid w:val="008130C4"/>
    <w:rsid w:val="008155F0"/>
    <w:rsid w:val="00816735"/>
    <w:rsid w:val="00817658"/>
    <w:rsid w:val="00820141"/>
    <w:rsid w:val="00820E0C"/>
    <w:rsid w:val="00823275"/>
    <w:rsid w:val="0082366F"/>
    <w:rsid w:val="00825CF6"/>
    <w:rsid w:val="008338A2"/>
    <w:rsid w:val="00835FAF"/>
    <w:rsid w:val="008373B6"/>
    <w:rsid w:val="00837658"/>
    <w:rsid w:val="00841AA9"/>
    <w:rsid w:val="008474FE"/>
    <w:rsid w:val="00853EE4"/>
    <w:rsid w:val="00854039"/>
    <w:rsid w:val="00855535"/>
    <w:rsid w:val="00857C5A"/>
    <w:rsid w:val="00860BCE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DBD"/>
    <w:rsid w:val="008A28A8"/>
    <w:rsid w:val="008A5B32"/>
    <w:rsid w:val="008B1263"/>
    <w:rsid w:val="008B1F09"/>
    <w:rsid w:val="008B2EE4"/>
    <w:rsid w:val="008B4D3D"/>
    <w:rsid w:val="008B57C7"/>
    <w:rsid w:val="008C2F92"/>
    <w:rsid w:val="008C3697"/>
    <w:rsid w:val="008C5557"/>
    <w:rsid w:val="008C589D"/>
    <w:rsid w:val="008C6D51"/>
    <w:rsid w:val="008D2356"/>
    <w:rsid w:val="008D2846"/>
    <w:rsid w:val="008D4236"/>
    <w:rsid w:val="008D462F"/>
    <w:rsid w:val="008D4A4A"/>
    <w:rsid w:val="008D6DCF"/>
    <w:rsid w:val="008D7150"/>
    <w:rsid w:val="008E4376"/>
    <w:rsid w:val="008E7A0A"/>
    <w:rsid w:val="008E7B49"/>
    <w:rsid w:val="008E7C8A"/>
    <w:rsid w:val="008F59F6"/>
    <w:rsid w:val="00900719"/>
    <w:rsid w:val="009017AC"/>
    <w:rsid w:val="00902A9A"/>
    <w:rsid w:val="00904A1C"/>
    <w:rsid w:val="00905030"/>
    <w:rsid w:val="00906490"/>
    <w:rsid w:val="00906A31"/>
    <w:rsid w:val="00906F8C"/>
    <w:rsid w:val="0091098B"/>
    <w:rsid w:val="009111B2"/>
    <w:rsid w:val="009151F5"/>
    <w:rsid w:val="00924AE1"/>
    <w:rsid w:val="009269B1"/>
    <w:rsid w:val="0092724D"/>
    <w:rsid w:val="009272B3"/>
    <w:rsid w:val="009315BE"/>
    <w:rsid w:val="0093338F"/>
    <w:rsid w:val="00936D77"/>
    <w:rsid w:val="00937BD9"/>
    <w:rsid w:val="00946A47"/>
    <w:rsid w:val="00950E2C"/>
    <w:rsid w:val="00951D50"/>
    <w:rsid w:val="009525EB"/>
    <w:rsid w:val="009539D7"/>
    <w:rsid w:val="0095470B"/>
    <w:rsid w:val="00954874"/>
    <w:rsid w:val="0095615A"/>
    <w:rsid w:val="0096041E"/>
    <w:rsid w:val="00961400"/>
    <w:rsid w:val="00963646"/>
    <w:rsid w:val="00965D76"/>
    <w:rsid w:val="0096632D"/>
    <w:rsid w:val="009718C7"/>
    <w:rsid w:val="0097559F"/>
    <w:rsid w:val="00976144"/>
    <w:rsid w:val="0097761E"/>
    <w:rsid w:val="00982454"/>
    <w:rsid w:val="00982CF0"/>
    <w:rsid w:val="00983ABC"/>
    <w:rsid w:val="009853E1"/>
    <w:rsid w:val="00986E6B"/>
    <w:rsid w:val="009879AF"/>
    <w:rsid w:val="00990032"/>
    <w:rsid w:val="00990B19"/>
    <w:rsid w:val="0099153B"/>
    <w:rsid w:val="00991769"/>
    <w:rsid w:val="0099232C"/>
    <w:rsid w:val="00994386"/>
    <w:rsid w:val="0099457C"/>
    <w:rsid w:val="009A13D8"/>
    <w:rsid w:val="009A279E"/>
    <w:rsid w:val="009A3015"/>
    <w:rsid w:val="009A3490"/>
    <w:rsid w:val="009B0A6F"/>
    <w:rsid w:val="009B0A94"/>
    <w:rsid w:val="009B2AE8"/>
    <w:rsid w:val="009B59E9"/>
    <w:rsid w:val="009B6342"/>
    <w:rsid w:val="009B70AA"/>
    <w:rsid w:val="009B7381"/>
    <w:rsid w:val="009C5E77"/>
    <w:rsid w:val="009C7A7E"/>
    <w:rsid w:val="009D02E8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4F7"/>
    <w:rsid w:val="00A1389F"/>
    <w:rsid w:val="00A14E4D"/>
    <w:rsid w:val="00A157B1"/>
    <w:rsid w:val="00A22229"/>
    <w:rsid w:val="00A24442"/>
    <w:rsid w:val="00A25D1D"/>
    <w:rsid w:val="00A330BB"/>
    <w:rsid w:val="00A44882"/>
    <w:rsid w:val="00A45125"/>
    <w:rsid w:val="00A51478"/>
    <w:rsid w:val="00A54715"/>
    <w:rsid w:val="00A6061C"/>
    <w:rsid w:val="00A62D44"/>
    <w:rsid w:val="00A67263"/>
    <w:rsid w:val="00A7161C"/>
    <w:rsid w:val="00A7172E"/>
    <w:rsid w:val="00A739D4"/>
    <w:rsid w:val="00A77AA3"/>
    <w:rsid w:val="00A81DE5"/>
    <w:rsid w:val="00A8236D"/>
    <w:rsid w:val="00A854EB"/>
    <w:rsid w:val="00A872E5"/>
    <w:rsid w:val="00A91406"/>
    <w:rsid w:val="00A93EEB"/>
    <w:rsid w:val="00A96E65"/>
    <w:rsid w:val="00A97C72"/>
    <w:rsid w:val="00AA268E"/>
    <w:rsid w:val="00AA310B"/>
    <w:rsid w:val="00AA483D"/>
    <w:rsid w:val="00AA63D4"/>
    <w:rsid w:val="00AB06E8"/>
    <w:rsid w:val="00AB0BA5"/>
    <w:rsid w:val="00AB1CD3"/>
    <w:rsid w:val="00AB352F"/>
    <w:rsid w:val="00AB77BC"/>
    <w:rsid w:val="00AC1701"/>
    <w:rsid w:val="00AC2003"/>
    <w:rsid w:val="00AC274B"/>
    <w:rsid w:val="00AC4764"/>
    <w:rsid w:val="00AC5530"/>
    <w:rsid w:val="00AC6D36"/>
    <w:rsid w:val="00AD0CBA"/>
    <w:rsid w:val="00AD177A"/>
    <w:rsid w:val="00AD26E2"/>
    <w:rsid w:val="00AD5C64"/>
    <w:rsid w:val="00AD6440"/>
    <w:rsid w:val="00AD784C"/>
    <w:rsid w:val="00AE126A"/>
    <w:rsid w:val="00AE1BAE"/>
    <w:rsid w:val="00AE3005"/>
    <w:rsid w:val="00AE3BD5"/>
    <w:rsid w:val="00AE59A0"/>
    <w:rsid w:val="00AF0C57"/>
    <w:rsid w:val="00AF1E3F"/>
    <w:rsid w:val="00AF26F3"/>
    <w:rsid w:val="00AF462D"/>
    <w:rsid w:val="00AF5F04"/>
    <w:rsid w:val="00B00672"/>
    <w:rsid w:val="00B01B4D"/>
    <w:rsid w:val="00B06571"/>
    <w:rsid w:val="00B06821"/>
    <w:rsid w:val="00B068BA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59C7"/>
    <w:rsid w:val="00B37E76"/>
    <w:rsid w:val="00B407BC"/>
    <w:rsid w:val="00B41F3D"/>
    <w:rsid w:val="00B431E8"/>
    <w:rsid w:val="00B45141"/>
    <w:rsid w:val="00B4619E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709"/>
    <w:rsid w:val="00B90729"/>
    <w:rsid w:val="00B907DA"/>
    <w:rsid w:val="00B917E8"/>
    <w:rsid w:val="00B9475E"/>
    <w:rsid w:val="00B950BC"/>
    <w:rsid w:val="00B96299"/>
    <w:rsid w:val="00B9714C"/>
    <w:rsid w:val="00BA29AD"/>
    <w:rsid w:val="00BA33CF"/>
    <w:rsid w:val="00BA3F8D"/>
    <w:rsid w:val="00BB3A10"/>
    <w:rsid w:val="00BB7A10"/>
    <w:rsid w:val="00BC3E8F"/>
    <w:rsid w:val="00BC60BE"/>
    <w:rsid w:val="00BC6CD5"/>
    <w:rsid w:val="00BC7468"/>
    <w:rsid w:val="00BC7D4F"/>
    <w:rsid w:val="00BC7ED7"/>
    <w:rsid w:val="00BD2850"/>
    <w:rsid w:val="00BD373D"/>
    <w:rsid w:val="00BE28D2"/>
    <w:rsid w:val="00BE4A64"/>
    <w:rsid w:val="00BE5E43"/>
    <w:rsid w:val="00BF557D"/>
    <w:rsid w:val="00BF6211"/>
    <w:rsid w:val="00BF72C1"/>
    <w:rsid w:val="00BF7F58"/>
    <w:rsid w:val="00C01381"/>
    <w:rsid w:val="00C01AB1"/>
    <w:rsid w:val="00C026A0"/>
    <w:rsid w:val="00C06137"/>
    <w:rsid w:val="00C06DC2"/>
    <w:rsid w:val="00C079B8"/>
    <w:rsid w:val="00C10037"/>
    <w:rsid w:val="00C123EA"/>
    <w:rsid w:val="00C12A49"/>
    <w:rsid w:val="00C133EE"/>
    <w:rsid w:val="00C149D0"/>
    <w:rsid w:val="00C26588"/>
    <w:rsid w:val="00C27DE9"/>
    <w:rsid w:val="00C327EE"/>
    <w:rsid w:val="00C32989"/>
    <w:rsid w:val="00C32A24"/>
    <w:rsid w:val="00C33388"/>
    <w:rsid w:val="00C338CF"/>
    <w:rsid w:val="00C35484"/>
    <w:rsid w:val="00C4173A"/>
    <w:rsid w:val="00C50DED"/>
    <w:rsid w:val="00C51A47"/>
    <w:rsid w:val="00C602FF"/>
    <w:rsid w:val="00C61174"/>
    <w:rsid w:val="00C6148F"/>
    <w:rsid w:val="00C621B1"/>
    <w:rsid w:val="00C62F7A"/>
    <w:rsid w:val="00C63B9C"/>
    <w:rsid w:val="00C6592B"/>
    <w:rsid w:val="00C6682F"/>
    <w:rsid w:val="00C67BF4"/>
    <w:rsid w:val="00C7275E"/>
    <w:rsid w:val="00C74C5D"/>
    <w:rsid w:val="00C863C4"/>
    <w:rsid w:val="00C920EA"/>
    <w:rsid w:val="00C93C3E"/>
    <w:rsid w:val="00C95BDD"/>
    <w:rsid w:val="00C978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6DE"/>
    <w:rsid w:val="00CC2BFD"/>
    <w:rsid w:val="00CD2C40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2A5"/>
    <w:rsid w:val="00D33E72"/>
    <w:rsid w:val="00D35BD6"/>
    <w:rsid w:val="00D361B5"/>
    <w:rsid w:val="00D40657"/>
    <w:rsid w:val="00D411A2"/>
    <w:rsid w:val="00D42F9B"/>
    <w:rsid w:val="00D4606D"/>
    <w:rsid w:val="00D46C92"/>
    <w:rsid w:val="00D50B9C"/>
    <w:rsid w:val="00D52D73"/>
    <w:rsid w:val="00D52E58"/>
    <w:rsid w:val="00D56B20"/>
    <w:rsid w:val="00D578B3"/>
    <w:rsid w:val="00D618F4"/>
    <w:rsid w:val="00D70FA1"/>
    <w:rsid w:val="00D714CC"/>
    <w:rsid w:val="00D75EA7"/>
    <w:rsid w:val="00D81ADF"/>
    <w:rsid w:val="00D81F21"/>
    <w:rsid w:val="00D8220E"/>
    <w:rsid w:val="00D864F2"/>
    <w:rsid w:val="00D87425"/>
    <w:rsid w:val="00D943F8"/>
    <w:rsid w:val="00D95470"/>
    <w:rsid w:val="00D96B55"/>
    <w:rsid w:val="00DA2619"/>
    <w:rsid w:val="00DA3B2B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0558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C61"/>
    <w:rsid w:val="00E210B5"/>
    <w:rsid w:val="00E261B3"/>
    <w:rsid w:val="00E26818"/>
    <w:rsid w:val="00E27BDA"/>
    <w:rsid w:val="00E27FFC"/>
    <w:rsid w:val="00E30777"/>
    <w:rsid w:val="00E30B15"/>
    <w:rsid w:val="00E33237"/>
    <w:rsid w:val="00E40181"/>
    <w:rsid w:val="00E43719"/>
    <w:rsid w:val="00E54950"/>
    <w:rsid w:val="00E56A01"/>
    <w:rsid w:val="00E62622"/>
    <w:rsid w:val="00E629A1"/>
    <w:rsid w:val="00E6794C"/>
    <w:rsid w:val="00E71591"/>
    <w:rsid w:val="00E71CEB"/>
    <w:rsid w:val="00E7474F"/>
    <w:rsid w:val="00E7720E"/>
    <w:rsid w:val="00E80DE3"/>
    <w:rsid w:val="00E8225E"/>
    <w:rsid w:val="00E82C55"/>
    <w:rsid w:val="00E8305B"/>
    <w:rsid w:val="00E8787E"/>
    <w:rsid w:val="00E92AC3"/>
    <w:rsid w:val="00E96CA7"/>
    <w:rsid w:val="00EA1360"/>
    <w:rsid w:val="00EA2F6A"/>
    <w:rsid w:val="00EB00E0"/>
    <w:rsid w:val="00EB689C"/>
    <w:rsid w:val="00EC059F"/>
    <w:rsid w:val="00EC1F24"/>
    <w:rsid w:val="00EC22F6"/>
    <w:rsid w:val="00EC33E9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17459"/>
    <w:rsid w:val="00F250A9"/>
    <w:rsid w:val="00F267AF"/>
    <w:rsid w:val="00F30FF4"/>
    <w:rsid w:val="00F3122E"/>
    <w:rsid w:val="00F32368"/>
    <w:rsid w:val="00F331AD"/>
    <w:rsid w:val="00F35287"/>
    <w:rsid w:val="00F40A70"/>
    <w:rsid w:val="00F42C3D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5745F"/>
    <w:rsid w:val="00F60082"/>
    <w:rsid w:val="00F615E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4C67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60BE"/>
    <w:rsid w:val="00FC7FB6"/>
    <w:rsid w:val="00FD129C"/>
    <w:rsid w:val="00FD3766"/>
    <w:rsid w:val="00FD47C4"/>
    <w:rsid w:val="00FD722A"/>
    <w:rsid w:val="00FE2DCF"/>
    <w:rsid w:val="00FE387E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F11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407B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B407BC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E0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HHStabletext">
    <w:name w:val="DHHS table text"/>
    <w:uiPriority w:val="3"/>
    <w:qFormat/>
    <w:rsid w:val="00624330"/>
    <w:pPr>
      <w:spacing w:before="80" w:after="60"/>
    </w:pPr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624330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vadc_data@health.vic.gov.au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health.vic.gov.au/funding-and-reporting-aod-services/annual-changes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vic.gov.au/funding-and-reporting-aod-services/vadc-documentation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vadc_data@health.vic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VADC Edition 19 Bulletin - 29 March 2022</vt:lpstr>
    </vt:vector>
  </TitlesOfParts>
  <Manager/>
  <Company/>
  <LinksUpToDate>false</LinksUpToDate>
  <CharactersWithSpaces>5959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VADC Edition 19 Bulletin - 29 March 2022</dc:title>
  <dc:subject>VADC Edition 19 Bulletin - 29 March 2022</dc:subject>
  <dc:creator/>
  <cp:keywords/>
  <cp:lastModifiedBy/>
  <cp:revision>1</cp:revision>
  <dcterms:created xsi:type="dcterms:W3CDTF">2022-04-01T02:22:00Z</dcterms:created>
  <dcterms:modified xsi:type="dcterms:W3CDTF">2022-04-01T02:22:00Z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2022-04-01T02:22:30Z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c1815d44-08df-4f41-802f-667fa8411408</vt:lpwstr>
  </property>
  <property fmtid="{D5CDD505-2E9C-101B-9397-08002B2CF9AE}" pid="8" name="MSIP_Label_43e64453-338c-4f93-8a4d-0039a0a41f2a_ContentBits">
    <vt:lpwstr>2</vt:lpwstr>
  </property>
</Properties>
</file>