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E5F" w:rsidRPr="004946F4" w:rsidRDefault="00BB6F41" w:rsidP="00DE6028">
      <w:pPr>
        <w:pStyle w:val="Spacerparatopoffirstpage"/>
      </w:pPr>
      <w:bookmarkStart w:id="0" w:name="_GoBack"/>
      <w:bookmarkEnd w:id="0"/>
      <w:r>
        <w:rPr>
          <w:rFonts w:ascii="Cambria" w:eastAsia="Times New Roman" w:hAnsi="Cambria"/>
          <w:sz w:val="16"/>
          <w:szCs w:val="16"/>
          <w:lang w:eastAsia="en-AU"/>
        </w:rPr>
        <w:drawing>
          <wp:anchor distT="0" distB="0" distL="114300" distR="114300" simplePos="0" relativeHeight="251658240" behindDoc="1" locked="0" layoutInCell="1" allowOverlap="1">
            <wp:simplePos x="0" y="0"/>
            <wp:positionH relativeFrom="page">
              <wp:posOffset>-59377</wp:posOffset>
            </wp:positionH>
            <wp:positionV relativeFrom="page">
              <wp:posOffset>0</wp:posOffset>
            </wp:positionV>
            <wp:extent cx="15162423" cy="1804480"/>
            <wp:effectExtent l="0" t="0" r="1905" b="5715"/>
            <wp:wrapNone/>
            <wp:docPr id="2" name="Picture 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mm deep banner A3 factsheet Landscape.jpg"/>
                    <pic:cNvPicPr/>
                  </pic:nvPicPr>
                  <pic:blipFill>
                    <a:blip r:embed="rId9">
                      <a:extLst>
                        <a:ext uri="{28A0092B-C50C-407E-A947-70E740481C1C}">
                          <a14:useLocalDpi xmlns:a14="http://schemas.microsoft.com/office/drawing/2010/main" val="0"/>
                        </a:ext>
                      </a:extLst>
                    </a:blip>
                    <a:stretch>
                      <a:fillRect/>
                    </a:stretch>
                  </pic:blipFill>
                  <pic:spPr>
                    <a:xfrm>
                      <a:off x="0" y="0"/>
                      <a:ext cx="15194732" cy="1808325"/>
                    </a:xfrm>
                    <a:prstGeom prst="rect">
                      <a:avLst/>
                    </a:prstGeom>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EE6B38">
          <w:headerReference w:type="even" r:id="rId10"/>
          <w:headerReference w:type="default" r:id="rId11"/>
          <w:footerReference w:type="even" r:id="rId12"/>
          <w:footerReference w:type="default" r:id="rId13"/>
          <w:headerReference w:type="first" r:id="rId14"/>
          <w:footerReference w:type="first" r:id="rId15"/>
          <w:pgSz w:w="23814" w:h="16840" w:orient="landscape" w:code="8"/>
          <w:pgMar w:top="425" w:right="851" w:bottom="1418" w:left="851" w:header="510" w:footer="510" w:gutter="0"/>
          <w:cols w:space="708"/>
          <w:docGrid w:linePitch="360"/>
        </w:sectPr>
      </w:pPr>
    </w:p>
    <w:tbl>
      <w:tblPr>
        <w:tblW w:w="13291" w:type="dxa"/>
        <w:tblLook w:val="04A0" w:firstRow="1" w:lastRow="0" w:firstColumn="1" w:lastColumn="0" w:noHBand="0" w:noVBand="1"/>
      </w:tblPr>
      <w:tblGrid>
        <w:gridCol w:w="13291"/>
      </w:tblGrid>
      <w:tr w:rsidR="003A3438" w:rsidTr="00BA4845">
        <w:trPr>
          <w:trHeight w:val="1106"/>
        </w:trPr>
        <w:tc>
          <w:tcPr>
            <w:tcW w:w="13291" w:type="dxa"/>
            <w:shd w:val="clear" w:color="auto" w:fill="auto"/>
            <w:vAlign w:val="bottom"/>
          </w:tcPr>
          <w:p w:rsidR="003A3438" w:rsidRPr="00161AA0" w:rsidRDefault="00770252" w:rsidP="00F203D3">
            <w:pPr>
              <w:pStyle w:val="DHHSmainheading"/>
            </w:pPr>
            <w:bookmarkStart w:id="1" w:name="_Toc410762195"/>
            <w:r w:rsidRPr="00770252">
              <w:lastRenderedPageBreak/>
              <w:t xml:space="preserve">Private hospitals </w:t>
            </w:r>
            <w:r w:rsidR="00852D57">
              <w:t>r</w:t>
            </w:r>
            <w:r w:rsidR="00EB3422" w:rsidRPr="00EB3422">
              <w:t>egulator</w:t>
            </w:r>
            <w:r w:rsidR="00F203D3">
              <w:t xml:space="preserve"> plan on a page</w:t>
            </w:r>
          </w:p>
        </w:tc>
      </w:tr>
      <w:tr w:rsidR="003A3438" w:rsidTr="00C47436">
        <w:trPr>
          <w:trHeight w:hRule="exact" w:val="907"/>
        </w:trPr>
        <w:tc>
          <w:tcPr>
            <w:tcW w:w="13291" w:type="dxa"/>
            <w:shd w:val="clear" w:color="auto" w:fill="auto"/>
            <w:tcMar>
              <w:top w:w="340" w:type="dxa"/>
              <w:bottom w:w="680" w:type="dxa"/>
            </w:tcMar>
          </w:tcPr>
          <w:p w:rsidR="003A3438" w:rsidRDefault="00770252" w:rsidP="007303C4">
            <w:pPr>
              <w:pStyle w:val="DHHSmainsubheading"/>
            </w:pPr>
            <w:r w:rsidRPr="00770252">
              <w:t xml:space="preserve">Private hospitals </w:t>
            </w:r>
            <w:r w:rsidR="00814111">
              <w:t>regulator plan March</w:t>
            </w:r>
            <w:r w:rsidR="00F203D3">
              <w:t xml:space="preserve"> 2018–June 2019</w:t>
            </w:r>
          </w:p>
        </w:tc>
      </w:tr>
    </w:tbl>
    <w:p w:rsidR="00E43426" w:rsidRDefault="00E43426" w:rsidP="00310351">
      <w:pPr>
        <w:pStyle w:val="DHHSbody"/>
      </w:pPr>
    </w:p>
    <w:p w:rsidR="00E43426" w:rsidRDefault="00E43426" w:rsidP="00310351">
      <w:pPr>
        <w:pStyle w:val="DHHSbody"/>
        <w:sectPr w:rsidR="00E43426" w:rsidSect="00EE6B38">
          <w:type w:val="continuous"/>
          <w:pgSz w:w="23814" w:h="16840" w:orient="landscape" w:code="8"/>
          <w:pgMar w:top="851" w:right="851" w:bottom="851" w:left="851" w:header="567" w:footer="510" w:gutter="0"/>
          <w:cols w:space="720"/>
          <w:docGrid w:linePitch="272"/>
        </w:sectPr>
      </w:pPr>
    </w:p>
    <w:bookmarkEnd w:id="1"/>
    <w:p w:rsidR="008C3808" w:rsidRDefault="00852D57" w:rsidP="00F203D3">
      <w:pPr>
        <w:pStyle w:val="DHHSquote"/>
      </w:pPr>
      <w:r w:rsidRPr="00923937">
        <w:lastRenderedPageBreak/>
        <w:t>This document</w:t>
      </w:r>
      <w:r w:rsidR="00C17EFB">
        <w:t xml:space="preserve"> </w:t>
      </w:r>
      <w:r w:rsidR="00004DBA" w:rsidRPr="00004DBA">
        <w:t xml:space="preserve">summarises the key elements of </w:t>
      </w:r>
      <w:r w:rsidR="00C17EFB">
        <w:t>the</w:t>
      </w:r>
      <w:r w:rsidR="00C17EFB" w:rsidRPr="00C17EFB">
        <w:t xml:space="preserve"> </w:t>
      </w:r>
      <w:r w:rsidR="00770252" w:rsidRPr="00770252">
        <w:rPr>
          <w:i/>
        </w:rPr>
        <w:t xml:space="preserve">Private hospitals </w:t>
      </w:r>
      <w:r w:rsidR="00C17EFB" w:rsidRPr="00C17EFB">
        <w:rPr>
          <w:i/>
        </w:rPr>
        <w:t>regulator plan</w:t>
      </w:r>
      <w:r w:rsidR="00004DBA">
        <w:t xml:space="preserve">. The plan </w:t>
      </w:r>
      <w:r w:rsidRPr="00923937">
        <w:t xml:space="preserve">provides the context the regulator works within and an overview of its regulatory framework and activities. This is supported by the </w:t>
      </w:r>
      <w:r w:rsidRPr="00923937">
        <w:rPr>
          <w:i/>
        </w:rPr>
        <w:t>Better regulatory practice framework: January 2018–June 2019</w:t>
      </w:r>
      <w:r w:rsidR="00C461FB" w:rsidRPr="00923937">
        <w:t>, which provides a process for risk-based and accountable regulatory practice, and improved regulatory performance in the health and human services sector.</w:t>
      </w:r>
      <w:r w:rsidR="00C17EFB">
        <w:t xml:space="preserve"> The regulator plan and framework are available on </w:t>
      </w:r>
      <w:hyperlink r:id="rId16" w:history="1">
        <w:r w:rsidR="00C17EFB" w:rsidRPr="00C17EFB">
          <w:rPr>
            <w:rStyle w:val="Hyperlink"/>
          </w:rPr>
          <w:t>Regulatory practice framework</w:t>
        </w:r>
      </w:hyperlink>
      <w:r w:rsidR="00C17EFB">
        <w:t xml:space="preserve"> &lt;</w:t>
      </w:r>
      <w:r w:rsidR="00C17EFB" w:rsidRPr="00C17EFB">
        <w:t>https://www.dhhs.vic.gov.au/bette</w:t>
      </w:r>
      <w:r w:rsidR="00C17EFB">
        <w:t>r-regulatory-practice-framework&gt;.</w:t>
      </w:r>
    </w:p>
    <w:p w:rsidR="00C47436" w:rsidRPr="00923937" w:rsidRDefault="00C47436" w:rsidP="00F203D3">
      <w:pPr>
        <w:pStyle w:val="DHHSquote"/>
      </w:pPr>
    </w:p>
    <w:p w:rsidR="00C47436" w:rsidRDefault="00C47436" w:rsidP="00EB3422">
      <w:pPr>
        <w:pStyle w:val="Heading1"/>
        <w:spacing w:before="0"/>
        <w:sectPr w:rsidR="00C47436" w:rsidSect="00C47436">
          <w:headerReference w:type="default" r:id="rId17"/>
          <w:footerReference w:type="default" r:id="rId18"/>
          <w:type w:val="continuous"/>
          <w:pgSz w:w="23814" w:h="16840" w:orient="landscape" w:code="8"/>
          <w:pgMar w:top="1134" w:right="851" w:bottom="1134" w:left="851" w:header="567" w:footer="510" w:gutter="0"/>
          <w:cols w:space="1446"/>
          <w:titlePg/>
          <w:docGrid w:linePitch="360"/>
        </w:sectPr>
      </w:pPr>
    </w:p>
    <w:p w:rsidR="00EB3422" w:rsidRDefault="00EB3422" w:rsidP="00EB3422">
      <w:pPr>
        <w:pStyle w:val="Heading1"/>
        <w:spacing w:before="0"/>
      </w:pPr>
      <w:r>
        <w:lastRenderedPageBreak/>
        <w:t>Outcomes</w:t>
      </w:r>
    </w:p>
    <w:p w:rsidR="00770252" w:rsidRPr="00770252" w:rsidRDefault="00770252" w:rsidP="00770252">
      <w:pPr>
        <w:pStyle w:val="DHHSbody"/>
      </w:pPr>
      <w:r w:rsidRPr="00770252">
        <w:t>The Private Hospitals Unit regulates private hospitals, day procedure centres and non-emergency patient transport providers to achieve safe patient care for all patients.</w:t>
      </w:r>
    </w:p>
    <w:p w:rsidR="00770252" w:rsidRDefault="00770252" w:rsidP="00770252">
      <w:pPr>
        <w:pStyle w:val="DHHSbody"/>
        <w:rPr>
          <w:bCs/>
        </w:rPr>
      </w:pPr>
      <w:r w:rsidRPr="00770252">
        <w:t>This is achieved through risk-based regulatory frameworks including monitoring and analysing data across all sectors</w:t>
      </w:r>
      <w:r w:rsidR="000C4143">
        <w:t>.</w:t>
      </w:r>
    </w:p>
    <w:p w:rsidR="00EB3422" w:rsidRDefault="00EB3422" w:rsidP="00770252">
      <w:pPr>
        <w:pStyle w:val="Heading1"/>
      </w:pPr>
      <w:r>
        <w:t>Who we regulate</w:t>
      </w:r>
    </w:p>
    <w:p w:rsidR="000C4143" w:rsidRDefault="00770252" w:rsidP="00BB6F41">
      <w:pPr>
        <w:pStyle w:val="DHHSbody"/>
      </w:pPr>
      <w:r w:rsidRPr="00770252">
        <w:t xml:space="preserve">There are currently 172 private hospitals and day procedure centres registered with the Department of Health and Human Services in Victoria. </w:t>
      </w:r>
    </w:p>
    <w:p w:rsidR="00770252" w:rsidRDefault="00770252" w:rsidP="00BB6F41">
      <w:pPr>
        <w:pStyle w:val="DHHSbody"/>
      </w:pPr>
      <w:r w:rsidRPr="00770252">
        <w:t>There are 19 registered non-emergency patient transport providers</w:t>
      </w:r>
      <w:r>
        <w:t>.</w:t>
      </w:r>
    </w:p>
    <w:p w:rsidR="00770252" w:rsidRDefault="00770252" w:rsidP="00770252">
      <w:pPr>
        <w:pStyle w:val="Heading1"/>
      </w:pPr>
      <w:r>
        <w:t>Who we work with</w:t>
      </w:r>
    </w:p>
    <w:p w:rsidR="000C4143" w:rsidRDefault="00770252" w:rsidP="00770252">
      <w:pPr>
        <w:pStyle w:val="DHHSbody"/>
        <w:rPr>
          <w:lang w:val="en-US"/>
        </w:rPr>
      </w:pPr>
      <w:r w:rsidRPr="00770252">
        <w:rPr>
          <w:lang w:val="en-US"/>
        </w:rPr>
        <w:t xml:space="preserve">The Private Hospitals Unit interacts with a broad range of stakeholders to help deliver outcomes and share insights, predominantly: </w:t>
      </w:r>
    </w:p>
    <w:p w:rsidR="000C4143" w:rsidRDefault="00770252" w:rsidP="000C4143">
      <w:pPr>
        <w:pStyle w:val="DHHSbullet1"/>
        <w:rPr>
          <w:lang w:val="en-US"/>
        </w:rPr>
      </w:pPr>
      <w:r w:rsidRPr="00770252">
        <w:rPr>
          <w:lang w:val="en-US"/>
        </w:rPr>
        <w:t xml:space="preserve">registered services and </w:t>
      </w:r>
      <w:r w:rsidR="00184C50" w:rsidRPr="00770252">
        <w:rPr>
          <w:lang w:val="en-US"/>
        </w:rPr>
        <w:t>licensed</w:t>
      </w:r>
      <w:r w:rsidRPr="00770252">
        <w:rPr>
          <w:lang w:val="en-US"/>
        </w:rPr>
        <w:t xml:space="preserve"> providers</w:t>
      </w:r>
    </w:p>
    <w:p w:rsidR="000C4143" w:rsidRDefault="00770252" w:rsidP="000C4143">
      <w:pPr>
        <w:pStyle w:val="DHHSbullet1"/>
        <w:rPr>
          <w:lang w:val="en-US"/>
        </w:rPr>
      </w:pPr>
      <w:r w:rsidRPr="00770252">
        <w:rPr>
          <w:lang w:val="en-US"/>
        </w:rPr>
        <w:t>co-regulators such as Drugs and Poisons Regulation</w:t>
      </w:r>
    </w:p>
    <w:p w:rsidR="000C4143" w:rsidRDefault="00770252" w:rsidP="000C4143">
      <w:pPr>
        <w:pStyle w:val="DHHSbullet1"/>
        <w:rPr>
          <w:lang w:val="en-US"/>
        </w:rPr>
      </w:pPr>
      <w:r w:rsidRPr="00770252">
        <w:rPr>
          <w:lang w:val="en-US"/>
        </w:rPr>
        <w:t>Australian Health Practitioner Regulation Agency</w:t>
      </w:r>
    </w:p>
    <w:p w:rsidR="00770252" w:rsidRDefault="00770252" w:rsidP="000C4143">
      <w:pPr>
        <w:pStyle w:val="DHHSbullet1"/>
        <w:rPr>
          <w:lang w:val="en-US"/>
        </w:rPr>
      </w:pPr>
      <w:r w:rsidRPr="00770252">
        <w:rPr>
          <w:lang w:val="en-US"/>
        </w:rPr>
        <w:t xml:space="preserve">peak bodies including Safer Care Victoria. </w:t>
      </w:r>
    </w:p>
    <w:p w:rsidR="00ED6A6E" w:rsidRDefault="000C4143" w:rsidP="000C4143">
      <w:pPr>
        <w:pStyle w:val="DHHSbody"/>
        <w:jc w:val="center"/>
        <w:rPr>
          <w:b/>
          <w:noProof/>
          <w:sz w:val="24"/>
          <w:szCs w:val="24"/>
          <w:lang w:eastAsia="en-AU"/>
        </w:rPr>
      </w:pPr>
      <w:r>
        <w:rPr>
          <w:lang w:val="en-US"/>
        </w:rPr>
        <w:br w:type="column"/>
      </w:r>
      <w:r w:rsidR="004F3559" w:rsidRPr="003359B3">
        <w:rPr>
          <w:b/>
          <w:i/>
          <w:noProof/>
          <w:sz w:val="24"/>
          <w:szCs w:val="24"/>
          <w:lang w:val="en-US" w:eastAsia="en-AU"/>
        </w:rPr>
        <w:lastRenderedPageBreak/>
        <w:t>Health Services Act 1988</w:t>
      </w:r>
      <w:r w:rsidR="004F3559" w:rsidRPr="003359B3">
        <w:rPr>
          <w:b/>
          <w:noProof/>
          <w:sz w:val="24"/>
          <w:szCs w:val="24"/>
          <w:lang w:val="en-US" w:eastAsia="en-AU"/>
        </w:rPr>
        <w:t xml:space="preserve">; the Health Services (Private Hospitals and Day Procedure Centres) Regulations 1988; the </w:t>
      </w:r>
      <w:r w:rsidR="004F3559" w:rsidRPr="003359B3">
        <w:rPr>
          <w:b/>
          <w:i/>
          <w:noProof/>
          <w:sz w:val="24"/>
          <w:szCs w:val="24"/>
          <w:lang w:eastAsia="en-AU"/>
        </w:rPr>
        <w:t>Non-Emergency Patient Transport Act 2003</w:t>
      </w:r>
      <w:r w:rsidR="004F3559" w:rsidRPr="003359B3">
        <w:rPr>
          <w:b/>
          <w:noProof/>
          <w:sz w:val="24"/>
          <w:szCs w:val="24"/>
          <w:lang w:eastAsia="en-AU"/>
        </w:rPr>
        <w:t xml:space="preserve"> and the Non-Emergency Patient Transport Regulations 2016.</w:t>
      </w:r>
    </w:p>
    <w:p w:rsidR="00770252" w:rsidRPr="003359B3" w:rsidRDefault="000C4143" w:rsidP="000C4143">
      <w:pPr>
        <w:pStyle w:val="DHHSbody"/>
        <w:jc w:val="center"/>
        <w:rPr>
          <w:b/>
          <w:noProof/>
          <w:sz w:val="28"/>
          <w:szCs w:val="28"/>
          <w:lang w:eastAsia="en-AU"/>
        </w:rPr>
      </w:pPr>
      <w:r w:rsidRPr="003359B3">
        <w:rPr>
          <w:b/>
          <w:noProof/>
          <w:sz w:val="28"/>
          <w:szCs w:val="28"/>
          <w:lang w:eastAsia="en-AU"/>
        </w:rPr>
        <w:drawing>
          <wp:inline distT="0" distB="0" distL="0" distR="0" wp14:anchorId="6536C2E0" wp14:editId="00DEE97D">
            <wp:extent cx="5440454" cy="5472117"/>
            <wp:effectExtent l="0" t="0" r="8255" b="0"/>
            <wp:docPr id="3" name="Picture 3" descr="Descriptive text for this diagram is available at the end of this document under 'diragram text'." title="Regulator 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vate hospitals triangle.png"/>
                    <pic:cNvPicPr/>
                  </pic:nvPicPr>
                  <pic:blipFill>
                    <a:blip r:embed="rId19">
                      <a:extLst>
                        <a:ext uri="{28A0092B-C50C-407E-A947-70E740481C1C}">
                          <a14:useLocalDpi xmlns:a14="http://schemas.microsoft.com/office/drawing/2010/main" val="0"/>
                        </a:ext>
                      </a:extLst>
                    </a:blip>
                    <a:stretch>
                      <a:fillRect/>
                    </a:stretch>
                  </pic:blipFill>
                  <pic:spPr>
                    <a:xfrm>
                      <a:off x="0" y="0"/>
                      <a:ext cx="5443011" cy="5474688"/>
                    </a:xfrm>
                    <a:prstGeom prst="rect">
                      <a:avLst/>
                    </a:prstGeom>
                  </pic:spPr>
                </pic:pic>
              </a:graphicData>
            </a:graphic>
          </wp:inline>
        </w:drawing>
      </w:r>
    </w:p>
    <w:p w:rsidR="00C47436" w:rsidRDefault="00770252" w:rsidP="00770252">
      <w:pPr>
        <w:pStyle w:val="Heading1"/>
      </w:pPr>
      <w:r>
        <w:rPr>
          <w:noProof/>
          <w:highlight w:val="yellow"/>
          <w:lang w:eastAsia="en-AU"/>
        </w:rPr>
        <w:br w:type="column"/>
      </w:r>
      <w:r w:rsidR="00C47436">
        <w:lastRenderedPageBreak/>
        <w:t>Contribution story</w:t>
      </w:r>
    </w:p>
    <w:tbl>
      <w:tblPr>
        <w:tblStyle w:val="TableGrid"/>
        <w:tblW w:w="598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CCE5DB"/>
        <w:tblCellMar>
          <w:top w:w="284" w:type="dxa"/>
          <w:left w:w="284" w:type="dxa"/>
          <w:bottom w:w="284" w:type="dxa"/>
          <w:right w:w="284" w:type="dxa"/>
        </w:tblCellMar>
        <w:tblLook w:val="04A0" w:firstRow="1" w:lastRow="0" w:firstColumn="1" w:lastColumn="0" w:noHBand="0" w:noVBand="1"/>
      </w:tblPr>
      <w:tblGrid>
        <w:gridCol w:w="5988"/>
      </w:tblGrid>
      <w:tr w:rsidR="00C47436" w:rsidRPr="001F2F2D" w:rsidTr="00BB6F41">
        <w:trPr>
          <w:trHeight w:val="274"/>
        </w:trPr>
        <w:tc>
          <w:tcPr>
            <w:tcW w:w="5988" w:type="dxa"/>
            <w:shd w:val="clear" w:color="auto" w:fill="CCE5DB"/>
          </w:tcPr>
          <w:p w:rsidR="00184C50" w:rsidRDefault="00770252" w:rsidP="0006109C">
            <w:pPr>
              <w:pStyle w:val="DHHStabletext"/>
            </w:pPr>
            <w:r w:rsidRPr="00770252">
              <w:t xml:space="preserve">Patient safety can be compromised by a wide range of factors. </w:t>
            </w:r>
          </w:p>
          <w:p w:rsidR="00C47436" w:rsidRPr="001F2F2D" w:rsidRDefault="000C4143" w:rsidP="0006109C">
            <w:pPr>
              <w:pStyle w:val="DHHStabletext"/>
            </w:pPr>
            <w:r>
              <w:t>The u</w:t>
            </w:r>
            <w:r w:rsidR="00770252" w:rsidRPr="00770252">
              <w:t>nit is conscious of the critical nature of its’ regulatory role, working to implement the recommendations of ‘Targeting Zero’.</w:t>
            </w:r>
          </w:p>
        </w:tc>
      </w:tr>
    </w:tbl>
    <w:p w:rsidR="00C47436" w:rsidRDefault="00C47436" w:rsidP="00C47436">
      <w:pPr>
        <w:pStyle w:val="Heading1"/>
      </w:pPr>
      <w:r>
        <w:t>Measuring our impacts</w:t>
      </w:r>
    </w:p>
    <w:p w:rsidR="00184C50" w:rsidRDefault="00770252" w:rsidP="00770252">
      <w:pPr>
        <w:pStyle w:val="DHHSbody"/>
      </w:pPr>
      <w:r>
        <w:t xml:space="preserve">The Private Hospitals Unit monitors how it contributes to protecting patient safety by reporting on a number of indicators. </w:t>
      </w:r>
    </w:p>
    <w:p w:rsidR="00770252" w:rsidRDefault="00770252" w:rsidP="00770252">
      <w:pPr>
        <w:pStyle w:val="DHHSbody"/>
      </w:pPr>
      <w:r>
        <w:t>These include:</w:t>
      </w:r>
    </w:p>
    <w:p w:rsidR="00770252" w:rsidRDefault="00770252" w:rsidP="00770252">
      <w:pPr>
        <w:pStyle w:val="DHHSbullet1"/>
      </w:pPr>
      <w:r>
        <w:t>monitoring timeliness and the quality and effectiveness of the inspection process.</w:t>
      </w:r>
    </w:p>
    <w:p w:rsidR="00770252" w:rsidRDefault="00770252" w:rsidP="00770252">
      <w:pPr>
        <w:pStyle w:val="DHHSbullet1"/>
      </w:pPr>
      <w:r>
        <w:t>a survey of site visits conducted to identify improvement opportunities.</w:t>
      </w:r>
    </w:p>
    <w:p w:rsidR="00770252" w:rsidRDefault="00770252" w:rsidP="00770252">
      <w:pPr>
        <w:pStyle w:val="DHHSbody"/>
      </w:pPr>
    </w:p>
    <w:p w:rsidR="00BB6F41" w:rsidRDefault="00BB6F41" w:rsidP="00C47436">
      <w:pPr>
        <w:pStyle w:val="DHHSbody"/>
        <w:sectPr w:rsidR="00BB6F41" w:rsidSect="000C4143">
          <w:footerReference w:type="default" r:id="rId20"/>
          <w:type w:val="continuous"/>
          <w:pgSz w:w="23814" w:h="16840" w:orient="landscape" w:code="8"/>
          <w:pgMar w:top="1134" w:right="851" w:bottom="1134" w:left="851" w:header="567" w:footer="510" w:gutter="0"/>
          <w:cols w:num="3" w:space="283" w:equalWidth="0">
            <w:col w:w="6237" w:space="283"/>
            <w:col w:w="9072" w:space="283"/>
            <w:col w:w="6237"/>
          </w:cols>
          <w:titlePg/>
          <w:docGrid w:linePitch="360"/>
        </w:sectPr>
      </w:pPr>
    </w:p>
    <w:p w:rsidR="0064049C" w:rsidRDefault="0064049C" w:rsidP="0064049C">
      <w:pPr>
        <w:pStyle w:val="Heading1"/>
      </w:pPr>
      <w:r>
        <w:lastRenderedPageBreak/>
        <w:t>Diagram text</w:t>
      </w:r>
    </w:p>
    <w:p w:rsidR="00EF50E3" w:rsidRDefault="00EF50E3" w:rsidP="00EF50E3">
      <w:pPr>
        <w:pStyle w:val="DHHSfigurecaption"/>
      </w:pPr>
      <w:r w:rsidRPr="00017E37">
        <w:t>Figure</w:t>
      </w:r>
      <w:r>
        <w:t xml:space="preserve"> 1:</w:t>
      </w:r>
      <w:r w:rsidRPr="00017E37">
        <w:t xml:space="preserve"> Regulatory tools</w:t>
      </w:r>
      <w:r>
        <w:t xml:space="preserve"> </w:t>
      </w:r>
    </w:p>
    <w:p w:rsidR="00EF50E3" w:rsidRPr="000C3A42" w:rsidRDefault="00EF50E3" w:rsidP="00EF50E3">
      <w:pPr>
        <w:pStyle w:val="DHHSbody"/>
      </w:pPr>
      <w:r w:rsidRPr="0043790C">
        <w:t xml:space="preserve">This figure is an enforcement pyramid. The figure seeks to demonstrate that the unit will use the full range of tools available to it in line with the risks that they are seeking to manage. The enforcement pyramid illustrates a graduated and proportionate enforcement approach. The bottom of the pyramid outlines the lighter touch interventions such as </w:t>
      </w:r>
      <w:r>
        <w:t>education and advice</w:t>
      </w:r>
      <w:r w:rsidRPr="0043790C">
        <w:t xml:space="preserve"> to regulated parties, through to </w:t>
      </w:r>
      <w:r>
        <w:t>utilising legislative powers</w:t>
      </w:r>
      <w:r w:rsidRPr="0043790C">
        <w:t xml:space="preserve"> at the top of the pyramid, where regulated parties deliberately work against intended outcomes and intend to evade compliance obligations.</w:t>
      </w:r>
      <w:r>
        <w:t xml:space="preserve">  </w:t>
      </w:r>
    </w:p>
    <w:p w:rsidR="00BB6F41" w:rsidRDefault="00BB6F41" w:rsidP="00C47436">
      <w:pPr>
        <w:pStyle w:val="DHHSbody"/>
      </w:pPr>
    </w:p>
    <w:tbl>
      <w:tblPr>
        <w:tblW w:w="21967" w:type="dxa"/>
        <w:tblInd w:w="113" w:type="dxa"/>
        <w:tblCellMar>
          <w:top w:w="113" w:type="dxa"/>
          <w:bottom w:w="57" w:type="dxa"/>
        </w:tblCellMar>
        <w:tblLook w:val="00A0" w:firstRow="1" w:lastRow="0" w:firstColumn="1" w:lastColumn="0" w:noHBand="0" w:noVBand="0"/>
      </w:tblPr>
      <w:tblGrid>
        <w:gridCol w:w="21967"/>
      </w:tblGrid>
      <w:tr w:rsidR="002802E3" w:rsidRPr="002802E3" w:rsidTr="00EB3422">
        <w:trPr>
          <w:cantSplit/>
        </w:trPr>
        <w:tc>
          <w:tcPr>
            <w:tcW w:w="5000" w:type="pct"/>
            <w:tcBorders>
              <w:top w:val="single" w:sz="4" w:space="0" w:color="auto"/>
              <w:left w:val="single" w:sz="4" w:space="0" w:color="auto"/>
              <w:bottom w:val="single" w:sz="4" w:space="0" w:color="auto"/>
              <w:right w:val="single" w:sz="4" w:space="0" w:color="auto"/>
            </w:tcBorders>
            <w:vAlign w:val="bottom"/>
          </w:tcPr>
          <w:p w:rsidR="00770252" w:rsidRPr="00605B5B" w:rsidRDefault="00254F58" w:rsidP="00770252">
            <w:pPr>
              <w:pStyle w:val="DHHSaccessibilitypara"/>
            </w:pPr>
            <w:r w:rsidRPr="007B0EA1">
              <w:t>To receive this publication in an accessible format phone</w:t>
            </w:r>
            <w:r w:rsidR="007B0EA1">
              <w:t xml:space="preserve"> </w:t>
            </w:r>
            <w:r w:rsidR="000C4143">
              <w:t>03 9096 2164</w:t>
            </w:r>
            <w:r w:rsidRPr="007B0EA1">
              <w:t xml:space="preserve">, using the National Relay Service 13 36 77 if required, or </w:t>
            </w:r>
            <w:hyperlink r:id="rId21" w:history="1">
              <w:r w:rsidR="00770252" w:rsidRPr="00EF50E3">
                <w:t xml:space="preserve">email </w:t>
              </w:r>
              <w:r w:rsidR="00770252" w:rsidRPr="00B97D24">
                <w:rPr>
                  <w:rStyle w:val="Hyperlink"/>
                </w:rPr>
                <w:t>Private Hospitals unit</w:t>
              </w:r>
            </w:hyperlink>
            <w:r w:rsidR="00770252" w:rsidRPr="00B97D24">
              <w:t xml:space="preserve"> &lt;privatehospitals@dhhs.vic.gov.au&gt;</w:t>
            </w:r>
          </w:p>
          <w:p w:rsidR="00254F58" w:rsidRPr="00254F58" w:rsidRDefault="00254F58" w:rsidP="00254F58">
            <w:pPr>
              <w:pStyle w:val="DHHSbody"/>
            </w:pPr>
            <w:r w:rsidRPr="00254F58">
              <w:t>Authorised and published by the Victorian Governmen</w:t>
            </w:r>
            <w:r w:rsidR="001F3826">
              <w:t>t, 1 Treasury Place, Melbourne.</w:t>
            </w:r>
          </w:p>
          <w:p w:rsidR="00254F58" w:rsidRPr="00254F58" w:rsidRDefault="00254F58" w:rsidP="00254F58">
            <w:pPr>
              <w:pStyle w:val="DHHSbody"/>
            </w:pPr>
            <w:r w:rsidRPr="00254F58">
              <w:t>© State of Vic</w:t>
            </w:r>
            <w:r w:rsidR="008B2F9E">
              <w:t>toria, Department of Health and</w:t>
            </w:r>
            <w:r w:rsidRPr="00254F58">
              <w:t xml:space="preserve"> Human Services</w:t>
            </w:r>
            <w:r w:rsidR="00A101F4">
              <w:t xml:space="preserve">, </w:t>
            </w:r>
            <w:r w:rsidR="00AB672E">
              <w:t>March</w:t>
            </w:r>
            <w:r w:rsidR="00A101F4">
              <w:t xml:space="preserve"> 2018</w:t>
            </w:r>
            <w:r w:rsidR="00F61A9F">
              <w:t>.</w:t>
            </w:r>
          </w:p>
          <w:p w:rsidR="00254F58" w:rsidRPr="00254F58" w:rsidRDefault="00EF50E3" w:rsidP="00254F58">
            <w:pPr>
              <w:pStyle w:val="DHHSbody"/>
            </w:pPr>
            <w:r>
              <w:t>ISBN</w:t>
            </w:r>
            <w:r w:rsidR="00254F58" w:rsidRPr="00F61A9F">
              <w:rPr>
                <w:color w:val="008950"/>
              </w:rPr>
              <w:t xml:space="preserve"> </w:t>
            </w:r>
            <w:r w:rsidRPr="00EF50E3">
              <w:t>978-1-76069-343-5</w:t>
            </w:r>
          </w:p>
          <w:p w:rsidR="002802E3" w:rsidRPr="007B0EA1" w:rsidRDefault="00254F58" w:rsidP="00254F58">
            <w:pPr>
              <w:pStyle w:val="DHHSbody"/>
              <w:rPr>
                <w:szCs w:val="19"/>
              </w:rPr>
            </w:pPr>
            <w:r w:rsidRPr="00254F58">
              <w:rPr>
                <w:szCs w:val="19"/>
              </w:rPr>
              <w:t xml:space="preserve">Available at </w:t>
            </w:r>
            <w:hyperlink r:id="rId22" w:history="1">
              <w:r w:rsidR="007B0EA1" w:rsidRPr="007B0EA1">
                <w:rPr>
                  <w:rStyle w:val="Hyperlink"/>
                  <w:szCs w:val="19"/>
                </w:rPr>
                <w:t>Regulatory practice framework</w:t>
              </w:r>
            </w:hyperlink>
            <w:r w:rsidR="007B0EA1" w:rsidRPr="007B0EA1">
              <w:rPr>
                <w:szCs w:val="19"/>
              </w:rPr>
              <w:t xml:space="preserve"> &lt;https://www.dhhs.vic.gov.au/better-regulatory-practice-framework</w:t>
            </w:r>
            <w:r w:rsidR="007B0EA1">
              <w:rPr>
                <w:szCs w:val="19"/>
              </w:rPr>
              <w:t>&gt;</w:t>
            </w:r>
          </w:p>
        </w:tc>
      </w:tr>
    </w:tbl>
    <w:p w:rsidR="00B2752E" w:rsidRPr="00906490" w:rsidRDefault="00B2752E" w:rsidP="00FF6D9D">
      <w:pPr>
        <w:pStyle w:val="DHHSbody"/>
      </w:pPr>
    </w:p>
    <w:sectPr w:rsidR="00B2752E" w:rsidRPr="00906490" w:rsidSect="00BB6F41">
      <w:pgSz w:w="23814" w:h="16840" w:orient="landscape" w:code="8"/>
      <w:pgMar w:top="1134"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B38" w:rsidRDefault="00EE6B38">
      <w:r>
        <w:separator/>
      </w:r>
    </w:p>
  </w:endnote>
  <w:endnote w:type="continuationSeparator" w:id="0">
    <w:p w:rsidR="00EE6B38" w:rsidRDefault="00EE6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65D" w:rsidRDefault="004C56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4E3D31" w:rsidP="007034E7">
    <w:pPr>
      <w:pStyle w:val="DHHSfooter"/>
    </w:pPr>
    <w:r>
      <w:rPr>
        <w:noProof/>
        <w:lang w:eastAsia="en-AU"/>
      </w:rPr>
      <w:drawing>
        <wp:anchor distT="0" distB="0" distL="114300" distR="114300" simplePos="0" relativeHeight="251659264" behindDoc="1" locked="1" layoutInCell="0" allowOverlap="1" wp14:anchorId="500B49CB" wp14:editId="5C1ADBE4">
          <wp:simplePos x="0" y="0"/>
          <wp:positionH relativeFrom="page">
            <wp:posOffset>4522470</wp:posOffset>
          </wp:positionH>
          <wp:positionV relativeFrom="page">
            <wp:posOffset>9917430</wp:posOffset>
          </wp:positionV>
          <wp:extent cx="10691495" cy="791845"/>
          <wp:effectExtent l="0" t="0" r="0" b="8255"/>
          <wp:wrapNone/>
          <wp:docPr id="13" name="Picture 13"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1495" cy="7918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A8E" w:rsidRPr="000B5A8E" w:rsidRDefault="004C565D" w:rsidP="000B5A8E">
    <w:pPr>
      <w:pStyle w:val="DHHSfooter"/>
      <w:tabs>
        <w:tab w:val="clear" w:pos="15139"/>
        <w:tab w:val="right" w:pos="22113"/>
      </w:tabs>
      <w:rPr>
        <w:color w:val="007B4B"/>
      </w:rPr>
    </w:pPr>
    <w:r w:rsidRPr="004C565D">
      <w:rPr>
        <w:color w:val="007B4B"/>
      </w:rPr>
      <w:t>Private hospitals regulator plan on a page: Private hospitals regulator plan March 2018–June 2019</w:t>
    </w:r>
    <w:r w:rsidR="000B5A8E" w:rsidRPr="00BB6F41">
      <w:rPr>
        <w:color w:val="007B4B"/>
      </w:rPr>
      <w:tab/>
    </w:r>
    <w:r w:rsidR="000B5A8E" w:rsidRPr="00BB6F41">
      <w:rPr>
        <w:color w:val="007B4B"/>
      </w:rPr>
      <w:fldChar w:fldCharType="begin"/>
    </w:r>
    <w:r w:rsidR="000B5A8E" w:rsidRPr="00BB6F41">
      <w:rPr>
        <w:color w:val="007B4B"/>
      </w:rPr>
      <w:instrText xml:space="preserve"> PAGE </w:instrText>
    </w:r>
    <w:r w:rsidR="000B5A8E" w:rsidRPr="00BB6F41">
      <w:rPr>
        <w:color w:val="007B4B"/>
      </w:rPr>
      <w:fldChar w:fldCharType="separate"/>
    </w:r>
    <w:r w:rsidR="00FC5F15">
      <w:rPr>
        <w:noProof/>
        <w:color w:val="007B4B"/>
      </w:rPr>
      <w:t>2</w:t>
    </w:r>
    <w:r w:rsidR="000B5A8E" w:rsidRPr="00BB6F41">
      <w:rPr>
        <w:color w:val="007B4B"/>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BB6F41" w:rsidRDefault="00BB6F41" w:rsidP="00BB6F41">
    <w:pPr>
      <w:pStyle w:val="DHHSfooter"/>
      <w:tabs>
        <w:tab w:val="clear" w:pos="15139"/>
        <w:tab w:val="right" w:pos="22113"/>
      </w:tabs>
      <w:rPr>
        <w:color w:val="007B4B"/>
      </w:rPr>
    </w:pPr>
    <w:r w:rsidRPr="00BB6F41">
      <w:rPr>
        <w:color w:val="007B4B"/>
      </w:rPr>
      <w:t>Radiation safety regulator plan on a page: Radiation safety regulator plan January 2018 – June 2019</w:t>
    </w:r>
    <w:r w:rsidR="009D70A4" w:rsidRPr="00BB6F41">
      <w:rPr>
        <w:color w:val="007B4B"/>
      </w:rPr>
      <w:tab/>
    </w:r>
    <w:r w:rsidR="009D70A4" w:rsidRPr="00BB6F41">
      <w:rPr>
        <w:color w:val="007B4B"/>
      </w:rPr>
      <w:fldChar w:fldCharType="begin"/>
    </w:r>
    <w:r w:rsidR="009D70A4" w:rsidRPr="00BB6F41">
      <w:rPr>
        <w:color w:val="007B4B"/>
      </w:rPr>
      <w:instrText xml:space="preserve"> PAGE </w:instrText>
    </w:r>
    <w:r w:rsidR="009D70A4" w:rsidRPr="00BB6F41">
      <w:rPr>
        <w:color w:val="007B4B"/>
      </w:rPr>
      <w:fldChar w:fldCharType="separate"/>
    </w:r>
    <w:r>
      <w:rPr>
        <w:noProof/>
        <w:color w:val="007B4B"/>
      </w:rPr>
      <w:t>2</w:t>
    </w:r>
    <w:r w:rsidR="009D70A4" w:rsidRPr="00BB6F41">
      <w:rPr>
        <w:color w:val="007B4B"/>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F41" w:rsidRPr="00BB6F41" w:rsidRDefault="004C565D" w:rsidP="004C565D">
    <w:pPr>
      <w:pStyle w:val="DHHSfooter"/>
      <w:tabs>
        <w:tab w:val="clear" w:pos="15139"/>
        <w:tab w:val="right" w:pos="21830"/>
        <w:tab w:val="right" w:pos="22113"/>
      </w:tabs>
      <w:rPr>
        <w:color w:val="007B4B"/>
      </w:rPr>
    </w:pPr>
    <w:r w:rsidRPr="004C565D">
      <w:rPr>
        <w:color w:val="007B4B"/>
      </w:rPr>
      <w:t>Private hospitals regulator plan on a page</w:t>
    </w:r>
    <w:r>
      <w:rPr>
        <w:color w:val="007B4B"/>
      </w:rPr>
      <w:t xml:space="preserve">: </w:t>
    </w:r>
    <w:r w:rsidRPr="004C565D">
      <w:rPr>
        <w:color w:val="007B4B"/>
      </w:rPr>
      <w:t>Private hospitals regulator plan March 2018–June 2019</w:t>
    </w:r>
    <w:r w:rsidR="00BB6F41" w:rsidRPr="00BB6F41">
      <w:rPr>
        <w:color w:val="007B4B"/>
      </w:rPr>
      <w:tab/>
    </w:r>
    <w:r w:rsidR="00BB6F41" w:rsidRPr="00BB6F41">
      <w:rPr>
        <w:color w:val="007B4B"/>
      </w:rPr>
      <w:fldChar w:fldCharType="begin"/>
    </w:r>
    <w:r w:rsidR="00BB6F41" w:rsidRPr="00BB6F41">
      <w:rPr>
        <w:color w:val="007B4B"/>
      </w:rPr>
      <w:instrText xml:space="preserve"> PAGE </w:instrText>
    </w:r>
    <w:r w:rsidR="00BB6F41" w:rsidRPr="00BB6F41">
      <w:rPr>
        <w:color w:val="007B4B"/>
      </w:rPr>
      <w:fldChar w:fldCharType="separate"/>
    </w:r>
    <w:r w:rsidR="00B046B8">
      <w:rPr>
        <w:noProof/>
        <w:color w:val="007B4B"/>
      </w:rPr>
      <w:t>3</w:t>
    </w:r>
    <w:r w:rsidR="00BB6F41" w:rsidRPr="00BB6F41">
      <w:rPr>
        <w:color w:val="007B4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B38" w:rsidRDefault="00EE6B38" w:rsidP="002862F1">
      <w:pPr>
        <w:spacing w:before="120"/>
      </w:pPr>
      <w:r>
        <w:separator/>
      </w:r>
    </w:p>
  </w:footnote>
  <w:footnote w:type="continuationSeparator" w:id="0">
    <w:p w:rsidR="00EE6B38" w:rsidRDefault="00EE6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65D" w:rsidRDefault="004C56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65D" w:rsidRDefault="004C56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65D" w:rsidRDefault="004C565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8D2F4B" w:rsidRDefault="009D70A4" w:rsidP="008D2F4B">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2B370F66"/>
    <w:multiLevelType w:val="multilevel"/>
    <w:tmpl w:val="4B4E7622"/>
    <w:numStyleLink w:val="ZZNumbers"/>
  </w:abstractNum>
  <w:abstractNum w:abstractNumId="4">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B38"/>
    <w:rsid w:val="00004DBA"/>
    <w:rsid w:val="000072B6"/>
    <w:rsid w:val="0001021B"/>
    <w:rsid w:val="00011D89"/>
    <w:rsid w:val="00024D89"/>
    <w:rsid w:val="00033D81"/>
    <w:rsid w:val="00041BF0"/>
    <w:rsid w:val="0004326C"/>
    <w:rsid w:val="0004536B"/>
    <w:rsid w:val="00046B68"/>
    <w:rsid w:val="000527DD"/>
    <w:rsid w:val="000578B2"/>
    <w:rsid w:val="00060959"/>
    <w:rsid w:val="00064864"/>
    <w:rsid w:val="000663CD"/>
    <w:rsid w:val="000669AD"/>
    <w:rsid w:val="00074219"/>
    <w:rsid w:val="00074ED5"/>
    <w:rsid w:val="0008494B"/>
    <w:rsid w:val="00094DA3"/>
    <w:rsid w:val="00096CD1"/>
    <w:rsid w:val="000A012C"/>
    <w:rsid w:val="000A0EB9"/>
    <w:rsid w:val="000A186C"/>
    <w:rsid w:val="000B543D"/>
    <w:rsid w:val="000B5A8E"/>
    <w:rsid w:val="000B5BF7"/>
    <w:rsid w:val="000B6BC8"/>
    <w:rsid w:val="000C4143"/>
    <w:rsid w:val="000C42EA"/>
    <w:rsid w:val="000C4546"/>
    <w:rsid w:val="000D1242"/>
    <w:rsid w:val="000E3CC7"/>
    <w:rsid w:val="000E6BD4"/>
    <w:rsid w:val="000F1F1E"/>
    <w:rsid w:val="000F2259"/>
    <w:rsid w:val="001005E4"/>
    <w:rsid w:val="0010392D"/>
    <w:rsid w:val="00104FE3"/>
    <w:rsid w:val="00120BD3"/>
    <w:rsid w:val="00122FEA"/>
    <w:rsid w:val="001232BD"/>
    <w:rsid w:val="00124ED5"/>
    <w:rsid w:val="001335AD"/>
    <w:rsid w:val="00143749"/>
    <w:rsid w:val="001447B3"/>
    <w:rsid w:val="0014502A"/>
    <w:rsid w:val="00152073"/>
    <w:rsid w:val="00161939"/>
    <w:rsid w:val="00161AA0"/>
    <w:rsid w:val="00162093"/>
    <w:rsid w:val="001645B1"/>
    <w:rsid w:val="001666C9"/>
    <w:rsid w:val="001771DD"/>
    <w:rsid w:val="00177995"/>
    <w:rsid w:val="00177A8C"/>
    <w:rsid w:val="00184C50"/>
    <w:rsid w:val="00186B33"/>
    <w:rsid w:val="00187F13"/>
    <w:rsid w:val="00192F9D"/>
    <w:rsid w:val="00196EB8"/>
    <w:rsid w:val="001979FF"/>
    <w:rsid w:val="00197B17"/>
    <w:rsid w:val="001A3ACE"/>
    <w:rsid w:val="001C2A72"/>
    <w:rsid w:val="001D09E7"/>
    <w:rsid w:val="001D0B75"/>
    <w:rsid w:val="001D3C09"/>
    <w:rsid w:val="001D44E8"/>
    <w:rsid w:val="001D60EC"/>
    <w:rsid w:val="001D773D"/>
    <w:rsid w:val="001E44DF"/>
    <w:rsid w:val="001E68A5"/>
    <w:rsid w:val="001E73EF"/>
    <w:rsid w:val="001F3826"/>
    <w:rsid w:val="001F6E46"/>
    <w:rsid w:val="001F7C91"/>
    <w:rsid w:val="00206463"/>
    <w:rsid w:val="00206F2F"/>
    <w:rsid w:val="0021053D"/>
    <w:rsid w:val="00210A92"/>
    <w:rsid w:val="002131E2"/>
    <w:rsid w:val="00216C03"/>
    <w:rsid w:val="002206B2"/>
    <w:rsid w:val="00220C04"/>
    <w:rsid w:val="0022701F"/>
    <w:rsid w:val="002333F5"/>
    <w:rsid w:val="002432E1"/>
    <w:rsid w:val="00244DBA"/>
    <w:rsid w:val="00246C5E"/>
    <w:rsid w:val="00251343"/>
    <w:rsid w:val="00254F58"/>
    <w:rsid w:val="00257984"/>
    <w:rsid w:val="002620BC"/>
    <w:rsid w:val="00262802"/>
    <w:rsid w:val="00263A90"/>
    <w:rsid w:val="0026408B"/>
    <w:rsid w:val="00267C3E"/>
    <w:rsid w:val="002709BB"/>
    <w:rsid w:val="002763B3"/>
    <w:rsid w:val="002802E3"/>
    <w:rsid w:val="0028213D"/>
    <w:rsid w:val="002862F1"/>
    <w:rsid w:val="00291373"/>
    <w:rsid w:val="0029597D"/>
    <w:rsid w:val="002962C3"/>
    <w:rsid w:val="002A483C"/>
    <w:rsid w:val="002B1729"/>
    <w:rsid w:val="002B4DD4"/>
    <w:rsid w:val="002B5277"/>
    <w:rsid w:val="002B77C1"/>
    <w:rsid w:val="002C2728"/>
    <w:rsid w:val="002D5006"/>
    <w:rsid w:val="002E01D0"/>
    <w:rsid w:val="002E161D"/>
    <w:rsid w:val="002E6C95"/>
    <w:rsid w:val="002E7C36"/>
    <w:rsid w:val="002F4F6F"/>
    <w:rsid w:val="002F5F31"/>
    <w:rsid w:val="002F7F61"/>
    <w:rsid w:val="00302216"/>
    <w:rsid w:val="00303E53"/>
    <w:rsid w:val="003041C3"/>
    <w:rsid w:val="00305D25"/>
    <w:rsid w:val="00306E5F"/>
    <w:rsid w:val="00307E14"/>
    <w:rsid w:val="00310351"/>
    <w:rsid w:val="00314054"/>
    <w:rsid w:val="00316F27"/>
    <w:rsid w:val="00327870"/>
    <w:rsid w:val="0033259D"/>
    <w:rsid w:val="003359B3"/>
    <w:rsid w:val="003406C6"/>
    <w:rsid w:val="003418CC"/>
    <w:rsid w:val="00344EBE"/>
    <w:rsid w:val="003459BD"/>
    <w:rsid w:val="00350D38"/>
    <w:rsid w:val="0036022F"/>
    <w:rsid w:val="003613F9"/>
    <w:rsid w:val="0037290E"/>
    <w:rsid w:val="003744CF"/>
    <w:rsid w:val="00374717"/>
    <w:rsid w:val="0037676C"/>
    <w:rsid w:val="003829E5"/>
    <w:rsid w:val="003956CC"/>
    <w:rsid w:val="00395C9A"/>
    <w:rsid w:val="003A3438"/>
    <w:rsid w:val="003A6B67"/>
    <w:rsid w:val="003B15E6"/>
    <w:rsid w:val="003C2045"/>
    <w:rsid w:val="003C2440"/>
    <w:rsid w:val="003C43A1"/>
    <w:rsid w:val="003C4FC0"/>
    <w:rsid w:val="003C55F4"/>
    <w:rsid w:val="003C7A3F"/>
    <w:rsid w:val="003D3E8F"/>
    <w:rsid w:val="003D6475"/>
    <w:rsid w:val="003E2E5F"/>
    <w:rsid w:val="003F0445"/>
    <w:rsid w:val="003F0CF0"/>
    <w:rsid w:val="003F3289"/>
    <w:rsid w:val="00401FCF"/>
    <w:rsid w:val="00406285"/>
    <w:rsid w:val="00406D62"/>
    <w:rsid w:val="004148F9"/>
    <w:rsid w:val="0042084E"/>
    <w:rsid w:val="0042175D"/>
    <w:rsid w:val="00421EEF"/>
    <w:rsid w:val="00424D65"/>
    <w:rsid w:val="00425CC4"/>
    <w:rsid w:val="004367B3"/>
    <w:rsid w:val="00442C6C"/>
    <w:rsid w:val="00443CBE"/>
    <w:rsid w:val="00443E8A"/>
    <w:rsid w:val="004441BC"/>
    <w:rsid w:val="0045230A"/>
    <w:rsid w:val="00457337"/>
    <w:rsid w:val="0047372D"/>
    <w:rsid w:val="004743DD"/>
    <w:rsid w:val="00474CEA"/>
    <w:rsid w:val="00483968"/>
    <w:rsid w:val="0048442F"/>
    <w:rsid w:val="00484F86"/>
    <w:rsid w:val="00490746"/>
    <w:rsid w:val="00490852"/>
    <w:rsid w:val="00492D85"/>
    <w:rsid w:val="00492F30"/>
    <w:rsid w:val="004946F4"/>
    <w:rsid w:val="0049487E"/>
    <w:rsid w:val="004A160D"/>
    <w:rsid w:val="004A3E81"/>
    <w:rsid w:val="004A5C62"/>
    <w:rsid w:val="004A707D"/>
    <w:rsid w:val="004C565D"/>
    <w:rsid w:val="004C6EEE"/>
    <w:rsid w:val="004C702B"/>
    <w:rsid w:val="004D016B"/>
    <w:rsid w:val="004D1B22"/>
    <w:rsid w:val="004D36F2"/>
    <w:rsid w:val="004E138F"/>
    <w:rsid w:val="004E3D31"/>
    <w:rsid w:val="004E4649"/>
    <w:rsid w:val="004E5C2B"/>
    <w:rsid w:val="004E7DBA"/>
    <w:rsid w:val="004E7E8C"/>
    <w:rsid w:val="004F00DD"/>
    <w:rsid w:val="004F2133"/>
    <w:rsid w:val="004F3559"/>
    <w:rsid w:val="004F55F1"/>
    <w:rsid w:val="004F6936"/>
    <w:rsid w:val="005027C0"/>
    <w:rsid w:val="00503DC6"/>
    <w:rsid w:val="00506F5D"/>
    <w:rsid w:val="005126D0"/>
    <w:rsid w:val="0051568D"/>
    <w:rsid w:val="00526C15"/>
    <w:rsid w:val="005273B4"/>
    <w:rsid w:val="00536499"/>
    <w:rsid w:val="00541ADB"/>
    <w:rsid w:val="00543903"/>
    <w:rsid w:val="00547A95"/>
    <w:rsid w:val="00557E03"/>
    <w:rsid w:val="00572031"/>
    <w:rsid w:val="00576E84"/>
    <w:rsid w:val="00582B8C"/>
    <w:rsid w:val="0058757E"/>
    <w:rsid w:val="00596A4B"/>
    <w:rsid w:val="00597507"/>
    <w:rsid w:val="005B21B6"/>
    <w:rsid w:val="005B3A08"/>
    <w:rsid w:val="005B7A63"/>
    <w:rsid w:val="005C0955"/>
    <w:rsid w:val="005C49DA"/>
    <w:rsid w:val="005C50F3"/>
    <w:rsid w:val="005C5D91"/>
    <w:rsid w:val="005C77D1"/>
    <w:rsid w:val="005D07B8"/>
    <w:rsid w:val="005D6597"/>
    <w:rsid w:val="005E14E7"/>
    <w:rsid w:val="005E26A3"/>
    <w:rsid w:val="005E447E"/>
    <w:rsid w:val="005F0775"/>
    <w:rsid w:val="005F0CF5"/>
    <w:rsid w:val="005F21EB"/>
    <w:rsid w:val="00605908"/>
    <w:rsid w:val="00605F1B"/>
    <w:rsid w:val="00610D7C"/>
    <w:rsid w:val="00613414"/>
    <w:rsid w:val="0062408D"/>
    <w:rsid w:val="006240CC"/>
    <w:rsid w:val="00627DA7"/>
    <w:rsid w:val="006358B4"/>
    <w:rsid w:val="0064049C"/>
    <w:rsid w:val="006419AA"/>
    <w:rsid w:val="006447F0"/>
    <w:rsid w:val="00644B7E"/>
    <w:rsid w:val="006454E6"/>
    <w:rsid w:val="00646A68"/>
    <w:rsid w:val="0065092E"/>
    <w:rsid w:val="006557A7"/>
    <w:rsid w:val="00656290"/>
    <w:rsid w:val="006621D7"/>
    <w:rsid w:val="0066302A"/>
    <w:rsid w:val="00670597"/>
    <w:rsid w:val="006706D0"/>
    <w:rsid w:val="00677574"/>
    <w:rsid w:val="0068454C"/>
    <w:rsid w:val="00691B62"/>
    <w:rsid w:val="00693D14"/>
    <w:rsid w:val="006A016F"/>
    <w:rsid w:val="006A18C2"/>
    <w:rsid w:val="006B077C"/>
    <w:rsid w:val="006D2A3F"/>
    <w:rsid w:val="006E138B"/>
    <w:rsid w:val="006F1FDC"/>
    <w:rsid w:val="007013EF"/>
    <w:rsid w:val="007034E7"/>
    <w:rsid w:val="007216AA"/>
    <w:rsid w:val="00721AB5"/>
    <w:rsid w:val="00721DEF"/>
    <w:rsid w:val="00724A43"/>
    <w:rsid w:val="007303C4"/>
    <w:rsid w:val="007346E4"/>
    <w:rsid w:val="00740F22"/>
    <w:rsid w:val="00741F1A"/>
    <w:rsid w:val="007450F8"/>
    <w:rsid w:val="0074696E"/>
    <w:rsid w:val="00750135"/>
    <w:rsid w:val="00752B28"/>
    <w:rsid w:val="00754E36"/>
    <w:rsid w:val="00760D84"/>
    <w:rsid w:val="00763139"/>
    <w:rsid w:val="00770252"/>
    <w:rsid w:val="00770F37"/>
    <w:rsid w:val="00772D5E"/>
    <w:rsid w:val="00776928"/>
    <w:rsid w:val="00786F16"/>
    <w:rsid w:val="007901CD"/>
    <w:rsid w:val="00796E20"/>
    <w:rsid w:val="00797C32"/>
    <w:rsid w:val="007A21D8"/>
    <w:rsid w:val="007B0914"/>
    <w:rsid w:val="007B0EA1"/>
    <w:rsid w:val="007B1374"/>
    <w:rsid w:val="007B589F"/>
    <w:rsid w:val="007B6186"/>
    <w:rsid w:val="007C14D9"/>
    <w:rsid w:val="007C7301"/>
    <w:rsid w:val="007C7859"/>
    <w:rsid w:val="007D2BDE"/>
    <w:rsid w:val="007D2FB6"/>
    <w:rsid w:val="007E0DE2"/>
    <w:rsid w:val="007F31B6"/>
    <w:rsid w:val="007F546C"/>
    <w:rsid w:val="007F665E"/>
    <w:rsid w:val="00800412"/>
    <w:rsid w:val="0080587B"/>
    <w:rsid w:val="00806468"/>
    <w:rsid w:val="00814111"/>
    <w:rsid w:val="008155F0"/>
    <w:rsid w:val="00816735"/>
    <w:rsid w:val="00820141"/>
    <w:rsid w:val="008204A8"/>
    <w:rsid w:val="00820E0C"/>
    <w:rsid w:val="008338A2"/>
    <w:rsid w:val="00840DF3"/>
    <w:rsid w:val="0084417C"/>
    <w:rsid w:val="00852D57"/>
    <w:rsid w:val="00853EE4"/>
    <w:rsid w:val="00855535"/>
    <w:rsid w:val="00856385"/>
    <w:rsid w:val="008633F0"/>
    <w:rsid w:val="0086791C"/>
    <w:rsid w:val="00867D9D"/>
    <w:rsid w:val="00872E0A"/>
    <w:rsid w:val="00875285"/>
    <w:rsid w:val="00884B62"/>
    <w:rsid w:val="0088529C"/>
    <w:rsid w:val="00887903"/>
    <w:rsid w:val="0089270A"/>
    <w:rsid w:val="00893AF6"/>
    <w:rsid w:val="00894BC4"/>
    <w:rsid w:val="008B2EE4"/>
    <w:rsid w:val="008B2F9E"/>
    <w:rsid w:val="008B4D3D"/>
    <w:rsid w:val="008B57C7"/>
    <w:rsid w:val="008C2F92"/>
    <w:rsid w:val="008C3808"/>
    <w:rsid w:val="008C65EB"/>
    <w:rsid w:val="008D2F4B"/>
    <w:rsid w:val="008D4236"/>
    <w:rsid w:val="008D462F"/>
    <w:rsid w:val="008E4376"/>
    <w:rsid w:val="008E7A0A"/>
    <w:rsid w:val="00900719"/>
    <w:rsid w:val="009017AC"/>
    <w:rsid w:val="00905030"/>
    <w:rsid w:val="00906490"/>
    <w:rsid w:val="009111B2"/>
    <w:rsid w:val="00923937"/>
    <w:rsid w:val="00924AE1"/>
    <w:rsid w:val="009269B1"/>
    <w:rsid w:val="0092724D"/>
    <w:rsid w:val="00937BD9"/>
    <w:rsid w:val="00950E2C"/>
    <w:rsid w:val="00951D50"/>
    <w:rsid w:val="009525EB"/>
    <w:rsid w:val="0095645E"/>
    <w:rsid w:val="00961400"/>
    <w:rsid w:val="00963646"/>
    <w:rsid w:val="009853E1"/>
    <w:rsid w:val="00986E6B"/>
    <w:rsid w:val="00991769"/>
    <w:rsid w:val="00994386"/>
    <w:rsid w:val="009A13D8"/>
    <w:rsid w:val="009A279E"/>
    <w:rsid w:val="009B0A6F"/>
    <w:rsid w:val="009B2FCB"/>
    <w:rsid w:val="009B59E9"/>
    <w:rsid w:val="009C7A7E"/>
    <w:rsid w:val="009D02E8"/>
    <w:rsid w:val="009D51D0"/>
    <w:rsid w:val="009D70A4"/>
    <w:rsid w:val="009E08D1"/>
    <w:rsid w:val="009E1B95"/>
    <w:rsid w:val="009E496F"/>
    <w:rsid w:val="009E4B0D"/>
    <w:rsid w:val="009E7F92"/>
    <w:rsid w:val="009F02A3"/>
    <w:rsid w:val="009F2F27"/>
    <w:rsid w:val="009F6BCB"/>
    <w:rsid w:val="009F7B78"/>
    <w:rsid w:val="00A0057A"/>
    <w:rsid w:val="00A101F4"/>
    <w:rsid w:val="00A11421"/>
    <w:rsid w:val="00A157B1"/>
    <w:rsid w:val="00A22229"/>
    <w:rsid w:val="00A36213"/>
    <w:rsid w:val="00A44882"/>
    <w:rsid w:val="00A54715"/>
    <w:rsid w:val="00A6061C"/>
    <w:rsid w:val="00A62787"/>
    <w:rsid w:val="00A62A86"/>
    <w:rsid w:val="00A62D44"/>
    <w:rsid w:val="00A67263"/>
    <w:rsid w:val="00A7161C"/>
    <w:rsid w:val="00A77AA3"/>
    <w:rsid w:val="00A872E5"/>
    <w:rsid w:val="00A96E65"/>
    <w:rsid w:val="00A97C72"/>
    <w:rsid w:val="00AA325B"/>
    <w:rsid w:val="00AA5797"/>
    <w:rsid w:val="00AA63D4"/>
    <w:rsid w:val="00AB06E8"/>
    <w:rsid w:val="00AB1CD3"/>
    <w:rsid w:val="00AB352F"/>
    <w:rsid w:val="00AB672E"/>
    <w:rsid w:val="00AC274B"/>
    <w:rsid w:val="00AC4764"/>
    <w:rsid w:val="00AC6D36"/>
    <w:rsid w:val="00AD0CBA"/>
    <w:rsid w:val="00AD26E2"/>
    <w:rsid w:val="00AE126A"/>
    <w:rsid w:val="00AE3005"/>
    <w:rsid w:val="00AE59A0"/>
    <w:rsid w:val="00AF0C57"/>
    <w:rsid w:val="00AF26F3"/>
    <w:rsid w:val="00B00672"/>
    <w:rsid w:val="00B01B4D"/>
    <w:rsid w:val="00B033C5"/>
    <w:rsid w:val="00B046B8"/>
    <w:rsid w:val="00B06571"/>
    <w:rsid w:val="00B068BA"/>
    <w:rsid w:val="00B13851"/>
    <w:rsid w:val="00B13B1C"/>
    <w:rsid w:val="00B22291"/>
    <w:rsid w:val="00B23F9A"/>
    <w:rsid w:val="00B2417B"/>
    <w:rsid w:val="00B24E6F"/>
    <w:rsid w:val="00B26CB5"/>
    <w:rsid w:val="00B2752E"/>
    <w:rsid w:val="00B307CC"/>
    <w:rsid w:val="00B431E8"/>
    <w:rsid w:val="00B45141"/>
    <w:rsid w:val="00B5273A"/>
    <w:rsid w:val="00B62B50"/>
    <w:rsid w:val="00B635B7"/>
    <w:rsid w:val="00B63AE8"/>
    <w:rsid w:val="00B65950"/>
    <w:rsid w:val="00B672C0"/>
    <w:rsid w:val="00B75646"/>
    <w:rsid w:val="00B81E28"/>
    <w:rsid w:val="00B90729"/>
    <w:rsid w:val="00B907DA"/>
    <w:rsid w:val="00B950BC"/>
    <w:rsid w:val="00B9714C"/>
    <w:rsid w:val="00BA3F8D"/>
    <w:rsid w:val="00BA4845"/>
    <w:rsid w:val="00BB3735"/>
    <w:rsid w:val="00BB6F41"/>
    <w:rsid w:val="00BB7A10"/>
    <w:rsid w:val="00BC7D4F"/>
    <w:rsid w:val="00BC7ED7"/>
    <w:rsid w:val="00BD2850"/>
    <w:rsid w:val="00BE28D2"/>
    <w:rsid w:val="00BF5F6F"/>
    <w:rsid w:val="00BF7F58"/>
    <w:rsid w:val="00C01381"/>
    <w:rsid w:val="00C079B8"/>
    <w:rsid w:val="00C123EA"/>
    <w:rsid w:val="00C125E4"/>
    <w:rsid w:val="00C12A49"/>
    <w:rsid w:val="00C133EE"/>
    <w:rsid w:val="00C17EFB"/>
    <w:rsid w:val="00C23DB1"/>
    <w:rsid w:val="00C27DE9"/>
    <w:rsid w:val="00C33388"/>
    <w:rsid w:val="00C4173A"/>
    <w:rsid w:val="00C461FB"/>
    <w:rsid w:val="00C47436"/>
    <w:rsid w:val="00C47C8F"/>
    <w:rsid w:val="00C602FF"/>
    <w:rsid w:val="00C61174"/>
    <w:rsid w:val="00C6148F"/>
    <w:rsid w:val="00C62F7A"/>
    <w:rsid w:val="00C63B9C"/>
    <w:rsid w:val="00C6682F"/>
    <w:rsid w:val="00C7275E"/>
    <w:rsid w:val="00C74C5D"/>
    <w:rsid w:val="00C863C4"/>
    <w:rsid w:val="00C93C3E"/>
    <w:rsid w:val="00CA12E3"/>
    <w:rsid w:val="00CA6611"/>
    <w:rsid w:val="00CA6B58"/>
    <w:rsid w:val="00CC0C72"/>
    <w:rsid w:val="00CC2BFD"/>
    <w:rsid w:val="00CD3476"/>
    <w:rsid w:val="00CD64DF"/>
    <w:rsid w:val="00CF0B09"/>
    <w:rsid w:val="00CF2F50"/>
    <w:rsid w:val="00CF41DA"/>
    <w:rsid w:val="00D02919"/>
    <w:rsid w:val="00D04C61"/>
    <w:rsid w:val="00D0539B"/>
    <w:rsid w:val="00D05B8D"/>
    <w:rsid w:val="00D065A2"/>
    <w:rsid w:val="00D07F00"/>
    <w:rsid w:val="00D1790F"/>
    <w:rsid w:val="00D32B8A"/>
    <w:rsid w:val="00D33E72"/>
    <w:rsid w:val="00D35BD6"/>
    <w:rsid w:val="00D361B5"/>
    <w:rsid w:val="00D411A2"/>
    <w:rsid w:val="00D50B9C"/>
    <w:rsid w:val="00D52D73"/>
    <w:rsid w:val="00D52E58"/>
    <w:rsid w:val="00D714CC"/>
    <w:rsid w:val="00D75EA7"/>
    <w:rsid w:val="00D77CEC"/>
    <w:rsid w:val="00D81F21"/>
    <w:rsid w:val="00D95470"/>
    <w:rsid w:val="00DA2619"/>
    <w:rsid w:val="00DA4239"/>
    <w:rsid w:val="00DB0B61"/>
    <w:rsid w:val="00DC090B"/>
    <w:rsid w:val="00DC2CF1"/>
    <w:rsid w:val="00DC4FCF"/>
    <w:rsid w:val="00DC50E0"/>
    <w:rsid w:val="00DC6386"/>
    <w:rsid w:val="00DD1130"/>
    <w:rsid w:val="00DD1951"/>
    <w:rsid w:val="00DD6628"/>
    <w:rsid w:val="00DE09D5"/>
    <w:rsid w:val="00DE3250"/>
    <w:rsid w:val="00DE6028"/>
    <w:rsid w:val="00DE78A3"/>
    <w:rsid w:val="00DF1A71"/>
    <w:rsid w:val="00DF68C7"/>
    <w:rsid w:val="00DF731A"/>
    <w:rsid w:val="00E14388"/>
    <w:rsid w:val="00E170DC"/>
    <w:rsid w:val="00E21842"/>
    <w:rsid w:val="00E23265"/>
    <w:rsid w:val="00E26818"/>
    <w:rsid w:val="00E27FFC"/>
    <w:rsid w:val="00E30B15"/>
    <w:rsid w:val="00E40181"/>
    <w:rsid w:val="00E43426"/>
    <w:rsid w:val="00E45931"/>
    <w:rsid w:val="00E53A79"/>
    <w:rsid w:val="00E629A1"/>
    <w:rsid w:val="00E74FBC"/>
    <w:rsid w:val="00E82C55"/>
    <w:rsid w:val="00E87893"/>
    <w:rsid w:val="00E92AC3"/>
    <w:rsid w:val="00EB00E0"/>
    <w:rsid w:val="00EB3422"/>
    <w:rsid w:val="00EC059F"/>
    <w:rsid w:val="00EC1F24"/>
    <w:rsid w:val="00EC22F6"/>
    <w:rsid w:val="00EC4749"/>
    <w:rsid w:val="00ED5B9B"/>
    <w:rsid w:val="00ED6A6E"/>
    <w:rsid w:val="00ED6BAD"/>
    <w:rsid w:val="00ED7447"/>
    <w:rsid w:val="00ED79F1"/>
    <w:rsid w:val="00EE1488"/>
    <w:rsid w:val="00EE4D5D"/>
    <w:rsid w:val="00EE5131"/>
    <w:rsid w:val="00EE6B38"/>
    <w:rsid w:val="00EF109B"/>
    <w:rsid w:val="00EF36AF"/>
    <w:rsid w:val="00EF50E3"/>
    <w:rsid w:val="00F00F9C"/>
    <w:rsid w:val="00F02ABA"/>
    <w:rsid w:val="00F0437A"/>
    <w:rsid w:val="00F11037"/>
    <w:rsid w:val="00F16F1B"/>
    <w:rsid w:val="00F203D3"/>
    <w:rsid w:val="00F213F4"/>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2503"/>
    <w:rsid w:val="00F938BA"/>
    <w:rsid w:val="00F947D2"/>
    <w:rsid w:val="00FA2C46"/>
    <w:rsid w:val="00FA6B67"/>
    <w:rsid w:val="00FB4CDA"/>
    <w:rsid w:val="00FC0F81"/>
    <w:rsid w:val="00FC395C"/>
    <w:rsid w:val="00FC5F15"/>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770252"/>
    <w:rPr>
      <w:rFonts w:ascii="Cambria" w:hAnsi="Cambria"/>
      <w:lang w:eastAsia="en-US"/>
    </w:rPr>
  </w:style>
  <w:style w:type="paragraph" w:styleId="Heading1">
    <w:name w:val="heading 1"/>
    <w:next w:val="DHHSbody"/>
    <w:link w:val="Heading1Char"/>
    <w:uiPriority w:val="1"/>
    <w:qFormat/>
    <w:rsid w:val="00C47436"/>
    <w:pPr>
      <w:keepNext/>
      <w:keepLines/>
      <w:spacing w:before="320" w:after="200" w:line="440" w:lineRule="atLeast"/>
      <w:outlineLvl w:val="0"/>
    </w:pPr>
    <w:rPr>
      <w:rFonts w:ascii="Arial" w:eastAsia="MS Gothic" w:hAnsi="Arial" w:cs="Arial"/>
      <w:bCs/>
      <w:color w:val="007B4B"/>
      <w:kern w:val="32"/>
      <w:sz w:val="44"/>
      <w:szCs w:val="40"/>
      <w:lang w:eastAsia="en-US"/>
    </w:rPr>
  </w:style>
  <w:style w:type="paragraph" w:styleId="Heading2">
    <w:name w:val="heading 2"/>
    <w:next w:val="DHHSbody"/>
    <w:link w:val="Heading2Char"/>
    <w:uiPriority w:val="1"/>
    <w:qFormat/>
    <w:rsid w:val="006A016F"/>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uiPriority w:val="99"/>
    <w:qFormat/>
    <w:rsid w:val="004F3559"/>
    <w:pPr>
      <w:spacing w:after="120" w:line="280" w:lineRule="atLeast"/>
    </w:pPr>
    <w:rPr>
      <w:rFonts w:ascii="Arial" w:eastAsia="Times" w:hAnsi="Arial"/>
      <w:sz w:val="22"/>
      <w:lang w:eastAsia="en-US"/>
    </w:rPr>
  </w:style>
  <w:style w:type="character" w:customStyle="1" w:styleId="Heading1Char">
    <w:name w:val="Heading 1 Char"/>
    <w:link w:val="Heading1"/>
    <w:uiPriority w:val="1"/>
    <w:rsid w:val="00C47436"/>
    <w:rPr>
      <w:rFonts w:ascii="Arial" w:eastAsia="MS Gothic" w:hAnsi="Arial" w:cs="Arial"/>
      <w:bCs/>
      <w:color w:val="007B4B"/>
      <w:kern w:val="32"/>
      <w:sz w:val="44"/>
      <w:szCs w:val="40"/>
      <w:lang w:eastAsia="en-US"/>
    </w:rPr>
  </w:style>
  <w:style w:type="character" w:customStyle="1" w:styleId="Heading2Char">
    <w:name w:val="Heading 2 Char"/>
    <w:link w:val="Heading2"/>
    <w:uiPriority w:val="1"/>
    <w:rsid w:val="006A016F"/>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C47436"/>
    <w:pPr>
      <w:numPr>
        <w:numId w:val="7"/>
      </w:numPr>
      <w:spacing w:after="8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AA5797"/>
    <w:pPr>
      <w:keepLines/>
      <w:tabs>
        <w:tab w:val="right" w:leader="dot" w:pos="9072"/>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DHHSfigurecaptionChar">
    <w:name w:val="DHHS figure caption Char"/>
    <w:link w:val="DHHSfigurecaption"/>
    <w:uiPriority w:val="4"/>
    <w:rsid w:val="00D0539B"/>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6A016F"/>
    <w:pPr>
      <w:spacing w:before="0" w:after="200"/>
      <w:outlineLvl w:val="9"/>
    </w:pPr>
  </w:style>
  <w:style w:type="character" w:customStyle="1" w:styleId="DHHSTOCheadingfactsheetChar">
    <w:name w:val="DHHS TOC heading fact sheet Char"/>
    <w:link w:val="DHHSTOCheadingfactsheet"/>
    <w:uiPriority w:val="4"/>
    <w:rsid w:val="006A016F"/>
    <w:rPr>
      <w:rFonts w:ascii="Arial" w:hAnsi="Arial"/>
      <w:b/>
      <w:color w:val="007B4B"/>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4F3559"/>
    <w:pPr>
      <w:spacing w:before="80" w:after="60" w:line="280" w:lineRule="atLeast"/>
    </w:pPr>
    <w:rPr>
      <w:rFonts w:ascii="Arial" w:hAnsi="Arial"/>
      <w:sz w:val="22"/>
      <w:lang w:eastAsia="en-US"/>
    </w:rPr>
  </w:style>
  <w:style w:type="paragraph" w:customStyle="1" w:styleId="DHHStablecaption">
    <w:name w:val="DHHS table caption"/>
    <w:next w:val="DHHSbody"/>
    <w:uiPriority w:val="3"/>
    <w:qFormat/>
    <w:rsid w:val="00F575C2"/>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7436"/>
    <w:pPr>
      <w:spacing w:line="560" w:lineRule="atLeast"/>
    </w:pPr>
    <w:rPr>
      <w:rFonts w:ascii="Arial" w:hAnsi="Arial"/>
      <w:color w:val="FFFFFF"/>
      <w:sz w:val="6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styleId="Strong">
    <w:name w:val="Strong"/>
    <w:uiPriority w:val="22"/>
    <w:qFormat/>
    <w:rsid w:val="0048442F"/>
    <w:rPr>
      <w:b/>
      <w:bC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6A016F"/>
    <w:pPr>
      <w:spacing w:before="80" w:after="60"/>
    </w:pPr>
    <w:rPr>
      <w:rFonts w:ascii="Arial" w:hAnsi="Arial"/>
      <w:b/>
      <w:color w:val="007B4B"/>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C47436"/>
    <w:rPr>
      <w:rFonts w:ascii="Arial" w:hAnsi="Arial"/>
      <w:color w:val="FFFFFF"/>
      <w:sz w:val="36"/>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4"/>
    <w:rsid w:val="00152073"/>
    <w:pPr>
      <w:numPr>
        <w:numId w:val="8"/>
      </w:numPr>
    </w:pPr>
  </w:style>
  <w:style w:type="paragraph" w:customStyle="1" w:styleId="DHHSnumberloweralphaindent">
    <w:name w:val="DHHS number lower alpha indent"/>
    <w:basedOn w:val="DHHSbody"/>
    <w:uiPriority w:val="4"/>
    <w:qFormat/>
    <w:rsid w:val="00152073"/>
    <w:pPr>
      <w:numPr>
        <w:ilvl w:val="3"/>
        <w:numId w:val="8"/>
      </w:numPr>
    </w:pPr>
  </w:style>
  <w:style w:type="paragraph" w:customStyle="1" w:styleId="DHHSnumberdigitindent">
    <w:name w:val="DHHS number digit indent"/>
    <w:basedOn w:val="DHHSnumberloweralphaindent"/>
    <w:uiPriority w:val="4"/>
    <w:qFormat/>
    <w:rsid w:val="00152073"/>
    <w:pPr>
      <w:numPr>
        <w:ilvl w:val="1"/>
      </w:numPr>
    </w:pPr>
  </w:style>
  <w:style w:type="paragraph" w:customStyle="1" w:styleId="DHHSnumberloweralpha">
    <w:name w:val="DHHS number lower alpha"/>
    <w:basedOn w:val="DHHSbody"/>
    <w:uiPriority w:val="4"/>
    <w:qFormat/>
    <w:rsid w:val="00152073"/>
    <w:pPr>
      <w:numPr>
        <w:ilvl w:val="2"/>
        <w:numId w:val="8"/>
      </w:numPr>
    </w:pPr>
  </w:style>
  <w:style w:type="paragraph" w:customStyle="1" w:styleId="DHHSnumberlowerroman">
    <w:name w:val="DHHS number lower roman"/>
    <w:basedOn w:val="DHHSbody"/>
    <w:uiPriority w:val="4"/>
    <w:qFormat/>
    <w:rsid w:val="00152073"/>
    <w:pPr>
      <w:numPr>
        <w:ilvl w:val="4"/>
        <w:numId w:val="8"/>
      </w:numPr>
    </w:pPr>
  </w:style>
  <w:style w:type="paragraph" w:customStyle="1" w:styleId="DHHSnumberlowerromanindent">
    <w:name w:val="DHHS number lower roman indent"/>
    <w:basedOn w:val="DHHSbody"/>
    <w:uiPriority w:val="4"/>
    <w:qFormat/>
    <w:rsid w:val="00152073"/>
    <w:pPr>
      <w:numPr>
        <w:ilvl w:val="5"/>
        <w:numId w:val="8"/>
      </w:numPr>
    </w:pPr>
  </w:style>
  <w:style w:type="paragraph" w:customStyle="1" w:styleId="DHHSquote">
    <w:name w:val="DHHS quote"/>
    <w:basedOn w:val="DHHSbody"/>
    <w:uiPriority w:val="3"/>
    <w:qFormat/>
    <w:rsid w:val="00F203D3"/>
    <w:rPr>
      <w:color w:val="53565A"/>
      <w:sz w:val="26"/>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7034E7"/>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8D2F4B"/>
  </w:style>
  <w:style w:type="paragraph" w:styleId="BalloonText">
    <w:name w:val="Balloon Text"/>
    <w:basedOn w:val="Normal"/>
    <w:link w:val="BalloonTextChar"/>
    <w:uiPriority w:val="99"/>
    <w:semiHidden/>
    <w:unhideWhenUsed/>
    <w:rsid w:val="0086791C"/>
    <w:rPr>
      <w:rFonts w:ascii="Tahoma" w:hAnsi="Tahoma" w:cs="Tahoma"/>
      <w:sz w:val="16"/>
      <w:szCs w:val="16"/>
    </w:rPr>
  </w:style>
  <w:style w:type="character" w:customStyle="1" w:styleId="BalloonTextChar">
    <w:name w:val="Balloon Text Char"/>
    <w:basedOn w:val="DefaultParagraphFont"/>
    <w:link w:val="BalloonText"/>
    <w:uiPriority w:val="99"/>
    <w:semiHidden/>
    <w:rsid w:val="0086791C"/>
    <w:rPr>
      <w:rFonts w:ascii="Tahoma" w:hAnsi="Tahoma" w:cs="Tahoma"/>
      <w:sz w:val="16"/>
      <w:szCs w:val="16"/>
      <w:lang w:eastAsia="en-US"/>
    </w:rPr>
  </w:style>
  <w:style w:type="character" w:styleId="CommentReference">
    <w:name w:val="annotation reference"/>
    <w:basedOn w:val="DefaultParagraphFont"/>
    <w:uiPriority w:val="99"/>
    <w:semiHidden/>
    <w:unhideWhenUsed/>
    <w:rsid w:val="00A101F4"/>
    <w:rPr>
      <w:sz w:val="16"/>
      <w:szCs w:val="16"/>
    </w:rPr>
  </w:style>
  <w:style w:type="paragraph" w:styleId="CommentText">
    <w:name w:val="annotation text"/>
    <w:basedOn w:val="Normal"/>
    <w:link w:val="CommentTextChar"/>
    <w:uiPriority w:val="99"/>
    <w:semiHidden/>
    <w:unhideWhenUsed/>
    <w:rsid w:val="00A101F4"/>
  </w:style>
  <w:style w:type="character" w:customStyle="1" w:styleId="CommentTextChar">
    <w:name w:val="Comment Text Char"/>
    <w:basedOn w:val="DefaultParagraphFont"/>
    <w:link w:val="CommentText"/>
    <w:uiPriority w:val="99"/>
    <w:semiHidden/>
    <w:rsid w:val="00A101F4"/>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101F4"/>
    <w:rPr>
      <w:b/>
      <w:bCs/>
    </w:rPr>
  </w:style>
  <w:style w:type="character" w:customStyle="1" w:styleId="CommentSubjectChar">
    <w:name w:val="Comment Subject Char"/>
    <w:basedOn w:val="CommentTextChar"/>
    <w:link w:val="CommentSubject"/>
    <w:uiPriority w:val="99"/>
    <w:semiHidden/>
    <w:rsid w:val="00A101F4"/>
    <w:rPr>
      <w:rFonts w:ascii="Cambria" w:hAnsi="Cambria"/>
      <w:b/>
      <w:bCs/>
      <w:lang w:eastAsia="en-US"/>
    </w:rPr>
  </w:style>
  <w:style w:type="character" w:customStyle="1" w:styleId="DHHSbodyChar">
    <w:name w:val="DHHS body Char"/>
    <w:basedOn w:val="DefaultParagraphFont"/>
    <w:link w:val="DHHSbody"/>
    <w:uiPriority w:val="99"/>
    <w:rsid w:val="00EF50E3"/>
    <w:rPr>
      <w:rFonts w:ascii="Arial" w:eastAsia="Times"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770252"/>
    <w:rPr>
      <w:rFonts w:ascii="Cambria" w:hAnsi="Cambria"/>
      <w:lang w:eastAsia="en-US"/>
    </w:rPr>
  </w:style>
  <w:style w:type="paragraph" w:styleId="Heading1">
    <w:name w:val="heading 1"/>
    <w:next w:val="DHHSbody"/>
    <w:link w:val="Heading1Char"/>
    <w:uiPriority w:val="1"/>
    <w:qFormat/>
    <w:rsid w:val="00C47436"/>
    <w:pPr>
      <w:keepNext/>
      <w:keepLines/>
      <w:spacing w:before="320" w:after="200" w:line="440" w:lineRule="atLeast"/>
      <w:outlineLvl w:val="0"/>
    </w:pPr>
    <w:rPr>
      <w:rFonts w:ascii="Arial" w:eastAsia="MS Gothic" w:hAnsi="Arial" w:cs="Arial"/>
      <w:bCs/>
      <w:color w:val="007B4B"/>
      <w:kern w:val="32"/>
      <w:sz w:val="44"/>
      <w:szCs w:val="40"/>
      <w:lang w:eastAsia="en-US"/>
    </w:rPr>
  </w:style>
  <w:style w:type="paragraph" w:styleId="Heading2">
    <w:name w:val="heading 2"/>
    <w:next w:val="DHHSbody"/>
    <w:link w:val="Heading2Char"/>
    <w:uiPriority w:val="1"/>
    <w:qFormat/>
    <w:rsid w:val="006A016F"/>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uiPriority w:val="99"/>
    <w:qFormat/>
    <w:rsid w:val="004F3559"/>
    <w:pPr>
      <w:spacing w:after="120" w:line="280" w:lineRule="atLeast"/>
    </w:pPr>
    <w:rPr>
      <w:rFonts w:ascii="Arial" w:eastAsia="Times" w:hAnsi="Arial"/>
      <w:sz w:val="22"/>
      <w:lang w:eastAsia="en-US"/>
    </w:rPr>
  </w:style>
  <w:style w:type="character" w:customStyle="1" w:styleId="Heading1Char">
    <w:name w:val="Heading 1 Char"/>
    <w:link w:val="Heading1"/>
    <w:uiPriority w:val="1"/>
    <w:rsid w:val="00C47436"/>
    <w:rPr>
      <w:rFonts w:ascii="Arial" w:eastAsia="MS Gothic" w:hAnsi="Arial" w:cs="Arial"/>
      <w:bCs/>
      <w:color w:val="007B4B"/>
      <w:kern w:val="32"/>
      <w:sz w:val="44"/>
      <w:szCs w:val="40"/>
      <w:lang w:eastAsia="en-US"/>
    </w:rPr>
  </w:style>
  <w:style w:type="character" w:customStyle="1" w:styleId="Heading2Char">
    <w:name w:val="Heading 2 Char"/>
    <w:link w:val="Heading2"/>
    <w:uiPriority w:val="1"/>
    <w:rsid w:val="006A016F"/>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C47436"/>
    <w:pPr>
      <w:numPr>
        <w:numId w:val="7"/>
      </w:numPr>
      <w:spacing w:after="8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AA5797"/>
    <w:pPr>
      <w:keepLines/>
      <w:tabs>
        <w:tab w:val="right" w:leader="dot" w:pos="9072"/>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DHHSfigurecaptionChar">
    <w:name w:val="DHHS figure caption Char"/>
    <w:link w:val="DHHSfigurecaption"/>
    <w:uiPriority w:val="4"/>
    <w:rsid w:val="00D0539B"/>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6A016F"/>
    <w:pPr>
      <w:spacing w:before="0" w:after="200"/>
      <w:outlineLvl w:val="9"/>
    </w:pPr>
  </w:style>
  <w:style w:type="character" w:customStyle="1" w:styleId="DHHSTOCheadingfactsheetChar">
    <w:name w:val="DHHS TOC heading fact sheet Char"/>
    <w:link w:val="DHHSTOCheadingfactsheet"/>
    <w:uiPriority w:val="4"/>
    <w:rsid w:val="006A016F"/>
    <w:rPr>
      <w:rFonts w:ascii="Arial" w:hAnsi="Arial"/>
      <w:b/>
      <w:color w:val="007B4B"/>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4F3559"/>
    <w:pPr>
      <w:spacing w:before="80" w:after="60" w:line="280" w:lineRule="atLeast"/>
    </w:pPr>
    <w:rPr>
      <w:rFonts w:ascii="Arial" w:hAnsi="Arial"/>
      <w:sz w:val="22"/>
      <w:lang w:eastAsia="en-US"/>
    </w:rPr>
  </w:style>
  <w:style w:type="paragraph" w:customStyle="1" w:styleId="DHHStablecaption">
    <w:name w:val="DHHS table caption"/>
    <w:next w:val="DHHSbody"/>
    <w:uiPriority w:val="3"/>
    <w:qFormat/>
    <w:rsid w:val="00F575C2"/>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7436"/>
    <w:pPr>
      <w:spacing w:line="560" w:lineRule="atLeast"/>
    </w:pPr>
    <w:rPr>
      <w:rFonts w:ascii="Arial" w:hAnsi="Arial"/>
      <w:color w:val="FFFFFF"/>
      <w:sz w:val="6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styleId="Strong">
    <w:name w:val="Strong"/>
    <w:uiPriority w:val="22"/>
    <w:qFormat/>
    <w:rsid w:val="0048442F"/>
    <w:rPr>
      <w:b/>
      <w:bC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6A016F"/>
    <w:pPr>
      <w:spacing w:before="80" w:after="60"/>
    </w:pPr>
    <w:rPr>
      <w:rFonts w:ascii="Arial" w:hAnsi="Arial"/>
      <w:b/>
      <w:color w:val="007B4B"/>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C47436"/>
    <w:rPr>
      <w:rFonts w:ascii="Arial" w:hAnsi="Arial"/>
      <w:color w:val="FFFFFF"/>
      <w:sz w:val="36"/>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4"/>
    <w:rsid w:val="00152073"/>
    <w:pPr>
      <w:numPr>
        <w:numId w:val="8"/>
      </w:numPr>
    </w:pPr>
  </w:style>
  <w:style w:type="paragraph" w:customStyle="1" w:styleId="DHHSnumberloweralphaindent">
    <w:name w:val="DHHS number lower alpha indent"/>
    <w:basedOn w:val="DHHSbody"/>
    <w:uiPriority w:val="4"/>
    <w:qFormat/>
    <w:rsid w:val="00152073"/>
    <w:pPr>
      <w:numPr>
        <w:ilvl w:val="3"/>
        <w:numId w:val="8"/>
      </w:numPr>
    </w:pPr>
  </w:style>
  <w:style w:type="paragraph" w:customStyle="1" w:styleId="DHHSnumberdigitindent">
    <w:name w:val="DHHS number digit indent"/>
    <w:basedOn w:val="DHHSnumberloweralphaindent"/>
    <w:uiPriority w:val="4"/>
    <w:qFormat/>
    <w:rsid w:val="00152073"/>
    <w:pPr>
      <w:numPr>
        <w:ilvl w:val="1"/>
      </w:numPr>
    </w:pPr>
  </w:style>
  <w:style w:type="paragraph" w:customStyle="1" w:styleId="DHHSnumberloweralpha">
    <w:name w:val="DHHS number lower alpha"/>
    <w:basedOn w:val="DHHSbody"/>
    <w:uiPriority w:val="4"/>
    <w:qFormat/>
    <w:rsid w:val="00152073"/>
    <w:pPr>
      <w:numPr>
        <w:ilvl w:val="2"/>
        <w:numId w:val="8"/>
      </w:numPr>
    </w:pPr>
  </w:style>
  <w:style w:type="paragraph" w:customStyle="1" w:styleId="DHHSnumberlowerroman">
    <w:name w:val="DHHS number lower roman"/>
    <w:basedOn w:val="DHHSbody"/>
    <w:uiPriority w:val="4"/>
    <w:qFormat/>
    <w:rsid w:val="00152073"/>
    <w:pPr>
      <w:numPr>
        <w:ilvl w:val="4"/>
        <w:numId w:val="8"/>
      </w:numPr>
    </w:pPr>
  </w:style>
  <w:style w:type="paragraph" w:customStyle="1" w:styleId="DHHSnumberlowerromanindent">
    <w:name w:val="DHHS number lower roman indent"/>
    <w:basedOn w:val="DHHSbody"/>
    <w:uiPriority w:val="4"/>
    <w:qFormat/>
    <w:rsid w:val="00152073"/>
    <w:pPr>
      <w:numPr>
        <w:ilvl w:val="5"/>
        <w:numId w:val="8"/>
      </w:numPr>
    </w:pPr>
  </w:style>
  <w:style w:type="paragraph" w:customStyle="1" w:styleId="DHHSquote">
    <w:name w:val="DHHS quote"/>
    <w:basedOn w:val="DHHSbody"/>
    <w:uiPriority w:val="3"/>
    <w:qFormat/>
    <w:rsid w:val="00F203D3"/>
    <w:rPr>
      <w:color w:val="53565A"/>
      <w:sz w:val="26"/>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7034E7"/>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8D2F4B"/>
  </w:style>
  <w:style w:type="paragraph" w:styleId="BalloonText">
    <w:name w:val="Balloon Text"/>
    <w:basedOn w:val="Normal"/>
    <w:link w:val="BalloonTextChar"/>
    <w:uiPriority w:val="99"/>
    <w:semiHidden/>
    <w:unhideWhenUsed/>
    <w:rsid w:val="0086791C"/>
    <w:rPr>
      <w:rFonts w:ascii="Tahoma" w:hAnsi="Tahoma" w:cs="Tahoma"/>
      <w:sz w:val="16"/>
      <w:szCs w:val="16"/>
    </w:rPr>
  </w:style>
  <w:style w:type="character" w:customStyle="1" w:styleId="BalloonTextChar">
    <w:name w:val="Balloon Text Char"/>
    <w:basedOn w:val="DefaultParagraphFont"/>
    <w:link w:val="BalloonText"/>
    <w:uiPriority w:val="99"/>
    <w:semiHidden/>
    <w:rsid w:val="0086791C"/>
    <w:rPr>
      <w:rFonts w:ascii="Tahoma" w:hAnsi="Tahoma" w:cs="Tahoma"/>
      <w:sz w:val="16"/>
      <w:szCs w:val="16"/>
      <w:lang w:eastAsia="en-US"/>
    </w:rPr>
  </w:style>
  <w:style w:type="character" w:styleId="CommentReference">
    <w:name w:val="annotation reference"/>
    <w:basedOn w:val="DefaultParagraphFont"/>
    <w:uiPriority w:val="99"/>
    <w:semiHidden/>
    <w:unhideWhenUsed/>
    <w:rsid w:val="00A101F4"/>
    <w:rPr>
      <w:sz w:val="16"/>
      <w:szCs w:val="16"/>
    </w:rPr>
  </w:style>
  <w:style w:type="paragraph" w:styleId="CommentText">
    <w:name w:val="annotation text"/>
    <w:basedOn w:val="Normal"/>
    <w:link w:val="CommentTextChar"/>
    <w:uiPriority w:val="99"/>
    <w:semiHidden/>
    <w:unhideWhenUsed/>
    <w:rsid w:val="00A101F4"/>
  </w:style>
  <w:style w:type="character" w:customStyle="1" w:styleId="CommentTextChar">
    <w:name w:val="Comment Text Char"/>
    <w:basedOn w:val="DefaultParagraphFont"/>
    <w:link w:val="CommentText"/>
    <w:uiPriority w:val="99"/>
    <w:semiHidden/>
    <w:rsid w:val="00A101F4"/>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101F4"/>
    <w:rPr>
      <w:b/>
      <w:bCs/>
    </w:rPr>
  </w:style>
  <w:style w:type="character" w:customStyle="1" w:styleId="CommentSubjectChar">
    <w:name w:val="Comment Subject Char"/>
    <w:basedOn w:val="CommentTextChar"/>
    <w:link w:val="CommentSubject"/>
    <w:uiPriority w:val="99"/>
    <w:semiHidden/>
    <w:rsid w:val="00A101F4"/>
    <w:rPr>
      <w:rFonts w:ascii="Cambria" w:hAnsi="Cambria"/>
      <w:b/>
      <w:bCs/>
      <w:lang w:eastAsia="en-US"/>
    </w:rPr>
  </w:style>
  <w:style w:type="character" w:customStyle="1" w:styleId="DHHSbodyChar">
    <w:name w:val="DHHS body Char"/>
    <w:basedOn w:val="DefaultParagraphFont"/>
    <w:link w:val="DHHSbody"/>
    <w:uiPriority w:val="99"/>
    <w:rsid w:val="00EF50E3"/>
    <w:rPr>
      <w:rFonts w:ascii="Arial" w:eastAsia="Times"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747111991">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76163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privatehospitals@dhhs.vic.gov.a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dhhs.vic.gov.au/better-regulatory-practice-framework"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yperlink" Target="https://www.dhhs.vic.gov.au/better-regulatory-practice-framewor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Landscape%2004%20Green%20772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042D4-3BAF-4EF6-BBAE-5CB61C579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Landscape 04 Green 7726.dot</Template>
  <TotalTime>0</TotalTime>
  <Pages>2</Pages>
  <Words>467</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Private hospitals regulator plan on a page: Private hospitals regulator plan March 2018 – June 2019</vt:lpstr>
    </vt:vector>
  </TitlesOfParts>
  <Company>Department of Health and Human Services</Company>
  <LinksUpToDate>false</LinksUpToDate>
  <CharactersWithSpaces>3623</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hospitals regulator plan on a page: Private hospitals regulator plan March 2018 – June 2019</dc:title>
  <dc:subject>regulator plan on a page</dc:subject>
  <dc:creator>Private Hospitals unit</dc:creator>
  <cp:keywords>Regulatory Practice Framework, Private hospitals regulator plan on a page: Private hospitals regulator plan March 2018 – June 2019</cp:keywords>
  <cp:lastModifiedBy>Caroline Hardy</cp:lastModifiedBy>
  <cp:revision>2</cp:revision>
  <cp:lastPrinted>2018-03-19T00:22:00Z</cp:lastPrinted>
  <dcterms:created xsi:type="dcterms:W3CDTF">2018-05-04T01:38:00Z</dcterms:created>
  <dcterms:modified xsi:type="dcterms:W3CDTF">2018-05-04T01:38:00Z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