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E5F" w:rsidRPr="004946F4" w:rsidRDefault="00BB6F41" w:rsidP="00DE6028">
      <w:pPr>
        <w:pStyle w:val="Spacerparatopoffirstpage"/>
      </w:pPr>
      <w:bookmarkStart w:id="0" w:name="_GoBack"/>
      <w:bookmarkEnd w:id="0"/>
      <w:r>
        <w:rPr>
          <w:rFonts w:ascii="Cambria" w:eastAsia="Times New Roman" w:hAnsi="Cambria"/>
          <w:sz w:val="16"/>
          <w:szCs w:val="16"/>
          <w:lang w:eastAsia="en-AU"/>
        </w:rPr>
        <w:drawing>
          <wp:anchor distT="0" distB="0" distL="114300" distR="114300" simplePos="0" relativeHeight="251658240" behindDoc="1" locked="0" layoutInCell="1" allowOverlap="1">
            <wp:simplePos x="0" y="0"/>
            <wp:positionH relativeFrom="page">
              <wp:posOffset>-59377</wp:posOffset>
            </wp:positionH>
            <wp:positionV relativeFrom="page">
              <wp:posOffset>0</wp:posOffset>
            </wp:positionV>
            <wp:extent cx="15162423" cy="1804480"/>
            <wp:effectExtent l="0" t="0" r="1905" b="5715"/>
            <wp:wrapNone/>
            <wp:docPr id="2" name="Picture 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mm deep banner A3 factsheet Landscape.jpg"/>
                    <pic:cNvPicPr/>
                  </pic:nvPicPr>
                  <pic:blipFill>
                    <a:blip r:embed="rId9">
                      <a:extLst>
                        <a:ext uri="{28A0092B-C50C-407E-A947-70E740481C1C}">
                          <a14:useLocalDpi xmlns:a14="http://schemas.microsoft.com/office/drawing/2010/main" val="0"/>
                        </a:ext>
                      </a:extLst>
                    </a:blip>
                    <a:stretch>
                      <a:fillRect/>
                    </a:stretch>
                  </pic:blipFill>
                  <pic:spPr>
                    <a:xfrm>
                      <a:off x="0" y="0"/>
                      <a:ext cx="15194732" cy="1808325"/>
                    </a:xfrm>
                    <a:prstGeom prst="rect">
                      <a:avLst/>
                    </a:prstGeom>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EE6B38">
          <w:footerReference w:type="default" r:id="rId10"/>
          <w:footerReference w:type="first" r:id="rId11"/>
          <w:pgSz w:w="23814" w:h="16840" w:orient="landscape" w:code="8"/>
          <w:pgMar w:top="425" w:right="851" w:bottom="1418" w:left="851" w:header="510" w:footer="510" w:gutter="0"/>
          <w:cols w:space="708"/>
          <w:docGrid w:linePitch="360"/>
        </w:sectPr>
      </w:pPr>
    </w:p>
    <w:tbl>
      <w:tblPr>
        <w:tblW w:w="14283" w:type="dxa"/>
        <w:tblLook w:val="04A0" w:firstRow="1" w:lastRow="0" w:firstColumn="1" w:lastColumn="0" w:noHBand="0" w:noVBand="1"/>
      </w:tblPr>
      <w:tblGrid>
        <w:gridCol w:w="14283"/>
      </w:tblGrid>
      <w:tr w:rsidR="003A3438" w:rsidTr="00A441D4">
        <w:trPr>
          <w:trHeight w:val="1106"/>
        </w:trPr>
        <w:tc>
          <w:tcPr>
            <w:tcW w:w="14283" w:type="dxa"/>
            <w:shd w:val="clear" w:color="auto" w:fill="auto"/>
            <w:vAlign w:val="bottom"/>
          </w:tcPr>
          <w:p w:rsidR="003A3438" w:rsidRPr="00161AA0" w:rsidRDefault="00A441D4" w:rsidP="0020630E">
            <w:pPr>
              <w:pStyle w:val="DHHSmainheading"/>
            </w:pPr>
            <w:bookmarkStart w:id="1" w:name="_Toc410762195"/>
            <w:r>
              <w:lastRenderedPageBreak/>
              <w:t>Communicable disease</w:t>
            </w:r>
            <w:r w:rsidR="00852D57" w:rsidRPr="00EB3422">
              <w:t xml:space="preserve"> </w:t>
            </w:r>
            <w:r w:rsidR="00852D57">
              <w:t>r</w:t>
            </w:r>
            <w:r w:rsidR="00EB3422" w:rsidRPr="00EB3422">
              <w:t>egulator</w:t>
            </w:r>
            <w:r w:rsidR="00F203D3">
              <w:t xml:space="preserve"> plan on a page</w:t>
            </w:r>
          </w:p>
        </w:tc>
      </w:tr>
      <w:tr w:rsidR="003A3438" w:rsidTr="00A441D4">
        <w:trPr>
          <w:trHeight w:hRule="exact" w:val="907"/>
        </w:trPr>
        <w:tc>
          <w:tcPr>
            <w:tcW w:w="14283" w:type="dxa"/>
            <w:shd w:val="clear" w:color="auto" w:fill="auto"/>
            <w:tcMar>
              <w:top w:w="340" w:type="dxa"/>
              <w:bottom w:w="680" w:type="dxa"/>
            </w:tcMar>
          </w:tcPr>
          <w:p w:rsidR="003A3438" w:rsidRDefault="00A441D4" w:rsidP="00A44FD6">
            <w:pPr>
              <w:pStyle w:val="DHHSmainsubheading"/>
            </w:pPr>
            <w:r w:rsidRPr="00A441D4">
              <w:t xml:space="preserve">Communicable disease </w:t>
            </w:r>
            <w:r w:rsidR="00814111">
              <w:t>regulator plan March</w:t>
            </w:r>
            <w:r w:rsidR="00F203D3">
              <w:t xml:space="preserve"> 2018 – June 2019</w:t>
            </w:r>
          </w:p>
        </w:tc>
      </w:tr>
    </w:tbl>
    <w:p w:rsidR="00E43426" w:rsidRDefault="00E43426" w:rsidP="00310351">
      <w:pPr>
        <w:pStyle w:val="DHHSbody"/>
      </w:pPr>
    </w:p>
    <w:p w:rsidR="00E43426" w:rsidRDefault="00E43426" w:rsidP="00310351">
      <w:pPr>
        <w:pStyle w:val="DHHSbody"/>
        <w:sectPr w:rsidR="00E43426" w:rsidSect="00EE6B38">
          <w:type w:val="continuous"/>
          <w:pgSz w:w="23814" w:h="16840" w:orient="landscape" w:code="8"/>
          <w:pgMar w:top="851" w:right="851" w:bottom="851" w:left="851" w:header="567" w:footer="510" w:gutter="0"/>
          <w:cols w:space="720"/>
          <w:docGrid w:linePitch="272"/>
        </w:sectPr>
      </w:pPr>
    </w:p>
    <w:bookmarkEnd w:id="1"/>
    <w:p w:rsidR="008C3808" w:rsidRDefault="00852D57" w:rsidP="003D41D5">
      <w:pPr>
        <w:pStyle w:val="DHHSquote"/>
      </w:pPr>
      <w:r w:rsidRPr="00923937">
        <w:lastRenderedPageBreak/>
        <w:t>This document</w:t>
      </w:r>
      <w:r w:rsidR="00C17EFB">
        <w:t xml:space="preserve"> </w:t>
      </w:r>
      <w:r w:rsidR="003D41D5" w:rsidRPr="003D41D5">
        <w:t xml:space="preserve">summarises the key elements of </w:t>
      </w:r>
      <w:r w:rsidR="00C17EFB">
        <w:t>the</w:t>
      </w:r>
      <w:r w:rsidR="00C17EFB" w:rsidRPr="00C17EFB">
        <w:t xml:space="preserve"> </w:t>
      </w:r>
      <w:r w:rsidR="00A441D4">
        <w:rPr>
          <w:i/>
        </w:rPr>
        <w:t xml:space="preserve">Communicable diseases </w:t>
      </w:r>
      <w:r w:rsidR="00C17EFB" w:rsidRPr="00C17EFB">
        <w:rPr>
          <w:i/>
        </w:rPr>
        <w:t>regulator plan</w:t>
      </w:r>
      <w:r w:rsidR="003D41D5">
        <w:t>. The plan</w:t>
      </w:r>
      <w:r w:rsidRPr="00923937">
        <w:t xml:space="preserve"> provides the context the regulator works within and an overview of its regulatory framework and activities. This is supported by the </w:t>
      </w:r>
      <w:r w:rsidRPr="00923937">
        <w:rPr>
          <w:i/>
        </w:rPr>
        <w:t>Better regulatory practice framework: January 2018–June 2019</w:t>
      </w:r>
      <w:r w:rsidR="00C461FB" w:rsidRPr="00923937">
        <w:t>, which provides a process for risk-based and accountable regulatory practice, and improved regulatory performance in the health and human services sector.</w:t>
      </w:r>
      <w:r w:rsidR="00C17EFB">
        <w:t xml:space="preserve"> The regulator plan and framework are available on </w:t>
      </w:r>
      <w:hyperlink r:id="rId12" w:history="1">
        <w:r w:rsidR="00C17EFB" w:rsidRPr="00C17EFB">
          <w:rPr>
            <w:rStyle w:val="Hyperlink"/>
          </w:rPr>
          <w:t>Regulatory practice framework</w:t>
        </w:r>
      </w:hyperlink>
      <w:r w:rsidR="00C17EFB">
        <w:t xml:space="preserve"> &lt;</w:t>
      </w:r>
      <w:r w:rsidR="00C17EFB" w:rsidRPr="00C17EFB">
        <w:t>https://www.dhhs.vic.gov.au/bette</w:t>
      </w:r>
      <w:r w:rsidR="00C17EFB">
        <w:t>r-regulatory-practice-framework&gt;.</w:t>
      </w:r>
    </w:p>
    <w:p w:rsidR="00C47436" w:rsidRPr="00923937" w:rsidRDefault="00C47436" w:rsidP="00F203D3">
      <w:pPr>
        <w:pStyle w:val="DHHSquote"/>
      </w:pPr>
    </w:p>
    <w:p w:rsidR="00C47436" w:rsidRDefault="00C47436" w:rsidP="00EB3422">
      <w:pPr>
        <w:pStyle w:val="Heading1"/>
        <w:spacing w:before="0"/>
        <w:sectPr w:rsidR="00C47436" w:rsidSect="00C47436">
          <w:headerReference w:type="default" r:id="rId13"/>
          <w:footerReference w:type="default" r:id="rId14"/>
          <w:type w:val="continuous"/>
          <w:pgSz w:w="23814" w:h="16840" w:orient="landscape" w:code="8"/>
          <w:pgMar w:top="1134" w:right="851" w:bottom="1134" w:left="851" w:header="567" w:footer="510" w:gutter="0"/>
          <w:cols w:space="1446"/>
          <w:titlePg/>
          <w:docGrid w:linePitch="360"/>
        </w:sectPr>
      </w:pPr>
    </w:p>
    <w:p w:rsidR="00A441D4" w:rsidRDefault="00A441D4" w:rsidP="00A441D4">
      <w:pPr>
        <w:pStyle w:val="Heading1"/>
        <w:spacing w:before="0"/>
      </w:pPr>
      <w:r>
        <w:lastRenderedPageBreak/>
        <w:t>Outcomes</w:t>
      </w:r>
    </w:p>
    <w:p w:rsidR="00A441D4" w:rsidRDefault="00A441D4" w:rsidP="00A441D4">
      <w:pPr>
        <w:pStyle w:val="DHHSbody"/>
        <w:spacing w:line="270" w:lineRule="atLeast"/>
      </w:pPr>
      <w:r>
        <w:t xml:space="preserve">The Communicable Disease Section’s work aims to reduce the spread of notifiable communicable disease through timely notification of high quality data. </w:t>
      </w:r>
    </w:p>
    <w:p w:rsidR="00A441D4" w:rsidRDefault="00A441D4" w:rsidP="00A441D4">
      <w:pPr>
        <w:pStyle w:val="DHHSbody"/>
      </w:pPr>
      <w:r>
        <w:t>This section also operates to reduce and prevent the transmission of infectious disease in personal care and body art businesses and shared accommodation by setting infection prevention and control standards.</w:t>
      </w:r>
    </w:p>
    <w:p w:rsidR="00A441D4" w:rsidRDefault="00A441D4" w:rsidP="00A441D4">
      <w:pPr>
        <w:pStyle w:val="Heading1"/>
      </w:pPr>
      <w:r>
        <w:t>Who and what we regulate</w:t>
      </w:r>
    </w:p>
    <w:p w:rsidR="00A441D4" w:rsidRDefault="00A441D4" w:rsidP="00D4711A">
      <w:pPr>
        <w:pStyle w:val="DHHSbody"/>
        <w:tabs>
          <w:tab w:val="left" w:pos="7513"/>
        </w:tabs>
        <w:spacing w:line="270" w:lineRule="atLeast"/>
      </w:pPr>
      <w:r>
        <w:t>Under the regulatory framework, medical practitioners and laboratories are required to notify the department of over 70 notifiable conditions. In 2016, this related to over 70,000 new cases of notifiable disease notified to and managed by the Communicable Disease Section, and enabled a response to occur within 24 hours of notification in 100 per cent of outbreaks of disease.</w:t>
      </w:r>
    </w:p>
    <w:p w:rsidR="00A441D4" w:rsidRDefault="00A441D4" w:rsidP="00A441D4">
      <w:pPr>
        <w:pStyle w:val="DHHSbody"/>
      </w:pPr>
      <w:r>
        <w:t>Regulated entities categorised under registered premises include tattoo parlours, with rooming houses regulated under prescribed accommodations.</w:t>
      </w:r>
    </w:p>
    <w:p w:rsidR="00A441D4" w:rsidRDefault="00A441D4" w:rsidP="00A441D4">
      <w:pPr>
        <w:pStyle w:val="Heading1"/>
      </w:pPr>
      <w:r>
        <w:t>Who we work with</w:t>
      </w:r>
    </w:p>
    <w:p w:rsidR="00A441D4" w:rsidRDefault="00A441D4" w:rsidP="00A441D4">
      <w:pPr>
        <w:pStyle w:val="DHHSbody"/>
      </w:pPr>
      <w:r>
        <w:t xml:space="preserve">The Communicable Disease Section interacts with a broad range of stakeholders to aid their response to public health risks, including co-regulators such as </w:t>
      </w:r>
      <w:r w:rsidR="0094290B">
        <w:t>l</w:t>
      </w:r>
      <w:r>
        <w:t xml:space="preserve">ocal </w:t>
      </w:r>
      <w:r w:rsidR="0094290B">
        <w:t>government a</w:t>
      </w:r>
      <w:r>
        <w:t xml:space="preserve">uthorities and internal </w:t>
      </w:r>
      <w:r w:rsidR="00706003">
        <w:t>department</w:t>
      </w:r>
      <w:r>
        <w:t xml:space="preserve"> regulatory business units</w:t>
      </w:r>
      <w:r w:rsidR="005D5EF2">
        <w:t>.</w:t>
      </w:r>
    </w:p>
    <w:p w:rsidR="0094290B" w:rsidRPr="0094290B" w:rsidRDefault="0094290B" w:rsidP="0094290B">
      <w:pPr>
        <w:pStyle w:val="DHHSbody"/>
        <w:jc w:val="center"/>
        <w:rPr>
          <w:b/>
          <w:i/>
          <w:sz w:val="24"/>
          <w:szCs w:val="24"/>
        </w:rPr>
      </w:pPr>
      <w:r>
        <w:rPr>
          <w:i/>
        </w:rPr>
        <w:br w:type="column"/>
      </w:r>
      <w:r w:rsidRPr="0094290B">
        <w:rPr>
          <w:b/>
          <w:i/>
          <w:sz w:val="24"/>
          <w:szCs w:val="24"/>
        </w:rPr>
        <w:lastRenderedPageBreak/>
        <w:t>Public Health and Wellbeing Act 200</w:t>
      </w:r>
    </w:p>
    <w:p w:rsidR="0094290B" w:rsidRPr="0094290B" w:rsidRDefault="0094290B" w:rsidP="0094290B">
      <w:pPr>
        <w:pStyle w:val="DHHSbody"/>
        <w:jc w:val="center"/>
        <w:rPr>
          <w:b/>
          <w:i/>
          <w:sz w:val="24"/>
          <w:szCs w:val="24"/>
        </w:rPr>
      </w:pPr>
      <w:r w:rsidRPr="0094290B">
        <w:rPr>
          <w:b/>
          <w:i/>
          <w:sz w:val="24"/>
          <w:szCs w:val="24"/>
        </w:rPr>
        <w:t>Biosecurity Act 2005</w:t>
      </w:r>
      <w:r w:rsidRPr="0094290B">
        <w:rPr>
          <w:b/>
          <w:sz w:val="24"/>
          <w:szCs w:val="24"/>
        </w:rPr>
        <w:t xml:space="preserve">; the </w:t>
      </w:r>
      <w:r w:rsidRPr="0094290B">
        <w:rPr>
          <w:b/>
          <w:i/>
          <w:sz w:val="24"/>
          <w:szCs w:val="24"/>
        </w:rPr>
        <w:t>Emergency Management Act 2013</w:t>
      </w:r>
    </w:p>
    <w:p w:rsidR="0094290B" w:rsidRDefault="0094290B" w:rsidP="0094290B">
      <w:pPr>
        <w:pStyle w:val="DHHSbody"/>
        <w:jc w:val="center"/>
        <w:rPr>
          <w:b/>
          <w:sz w:val="24"/>
          <w:szCs w:val="24"/>
        </w:rPr>
      </w:pPr>
      <w:r w:rsidRPr="0094290B">
        <w:rPr>
          <w:b/>
          <w:sz w:val="24"/>
          <w:szCs w:val="24"/>
        </w:rPr>
        <w:t>Public Health and Wellbeing Regulations 2009</w:t>
      </w:r>
    </w:p>
    <w:p w:rsidR="00742FA0" w:rsidRPr="0094290B" w:rsidRDefault="00742FA0" w:rsidP="0094290B">
      <w:pPr>
        <w:pStyle w:val="DHHSbody"/>
        <w:jc w:val="center"/>
        <w:rPr>
          <w:b/>
          <w:sz w:val="24"/>
          <w:szCs w:val="24"/>
        </w:rPr>
      </w:pPr>
      <w:r w:rsidRPr="00742FA0">
        <w:rPr>
          <w:noProof/>
          <w:lang w:eastAsia="en-AU"/>
        </w:rPr>
        <w:drawing>
          <wp:inline distT="0" distB="0" distL="0" distR="0" wp14:anchorId="5B9E7BC0" wp14:editId="69FE5CE6">
            <wp:extent cx="5045468" cy="5275614"/>
            <wp:effectExtent l="0" t="0" r="3175" b="1270"/>
            <wp:docPr id="4" name="Picture 4" descr="Descriptive text for this diagram is available at the end of this document under 'Figure text'." title="Regulator too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6057" cy="5276230"/>
                    </a:xfrm>
                    <a:prstGeom prst="rect">
                      <a:avLst/>
                    </a:prstGeom>
                    <a:noFill/>
                    <a:ln>
                      <a:noFill/>
                    </a:ln>
                  </pic:spPr>
                </pic:pic>
              </a:graphicData>
            </a:graphic>
          </wp:inline>
        </w:drawing>
      </w:r>
    </w:p>
    <w:p w:rsidR="0094290B" w:rsidRDefault="0094290B" w:rsidP="00A441D4">
      <w:pPr>
        <w:pStyle w:val="DHHSbody"/>
      </w:pPr>
    </w:p>
    <w:p w:rsidR="00A441D4" w:rsidRDefault="005D5EF2" w:rsidP="00A441D4">
      <w:pPr>
        <w:pStyle w:val="Heading1"/>
      </w:pPr>
      <w:r>
        <w:br w:type="column"/>
      </w:r>
      <w:r w:rsidR="00A441D4">
        <w:lastRenderedPageBreak/>
        <w:t>Contribution story</w:t>
      </w:r>
    </w:p>
    <w:tbl>
      <w:tblPr>
        <w:tblStyle w:val="TableGrid"/>
        <w:tblW w:w="613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CCE5DB"/>
        <w:tblCellMar>
          <w:top w:w="284" w:type="dxa"/>
          <w:left w:w="284" w:type="dxa"/>
          <w:bottom w:w="284" w:type="dxa"/>
          <w:right w:w="284" w:type="dxa"/>
        </w:tblCellMar>
        <w:tblLook w:val="04A0" w:firstRow="1" w:lastRow="0" w:firstColumn="1" w:lastColumn="0" w:noHBand="0" w:noVBand="1"/>
      </w:tblPr>
      <w:tblGrid>
        <w:gridCol w:w="6130"/>
      </w:tblGrid>
      <w:tr w:rsidR="00A441D4" w:rsidRPr="001F2F2D" w:rsidTr="00A441D4">
        <w:trPr>
          <w:trHeight w:val="274"/>
        </w:trPr>
        <w:tc>
          <w:tcPr>
            <w:tcW w:w="6130" w:type="dxa"/>
            <w:shd w:val="clear" w:color="auto" w:fill="CCE5DB"/>
          </w:tcPr>
          <w:p w:rsidR="00A441D4" w:rsidRPr="001F2F2D" w:rsidRDefault="00A441D4" w:rsidP="004346B9">
            <w:pPr>
              <w:pStyle w:val="DHHStabletext"/>
            </w:pPr>
            <w:r w:rsidRPr="001F2F2D">
              <w:t>The Communicable Disease Section collects, investigates, analyses and responds to notifications in accordance with detailed protocols for each notifiable condition.</w:t>
            </w:r>
            <w:r>
              <w:t xml:space="preserve"> </w:t>
            </w:r>
            <w:r w:rsidRPr="001F2F2D">
              <w:t>In this work, the Communicable Disease Section collaborates with a large number of co-regulators and agencies with regulatory, health protection and prevention roles and responsibilities to respond to cases and outbreaks and address population health risks.</w:t>
            </w:r>
          </w:p>
          <w:p w:rsidR="00A441D4" w:rsidRPr="001F2F2D" w:rsidRDefault="00A441D4" w:rsidP="00706003">
            <w:pPr>
              <w:pStyle w:val="DHHStabletext"/>
            </w:pPr>
            <w:r w:rsidRPr="001F2F2D">
              <w:t xml:space="preserve">The Communicable Disease Section also works closely with </w:t>
            </w:r>
            <w:r w:rsidR="00706003" w:rsidRPr="00706003">
              <w:t>l</w:t>
            </w:r>
            <w:r w:rsidRPr="00706003">
              <w:t xml:space="preserve">ocal </w:t>
            </w:r>
            <w:r w:rsidR="00706003" w:rsidRPr="00706003">
              <w:t>g</w:t>
            </w:r>
            <w:r w:rsidRPr="00706003">
              <w:t xml:space="preserve">overnment </w:t>
            </w:r>
            <w:r w:rsidR="00706003" w:rsidRPr="00706003">
              <w:t>a</w:t>
            </w:r>
            <w:r w:rsidRPr="00706003">
              <w:t>uthorities that</w:t>
            </w:r>
            <w:r w:rsidRPr="001F2F2D">
              <w:t xml:space="preserve"> administer regulation of personal service and body art </w:t>
            </w:r>
            <w:r>
              <w:t>business premises and prescribed accommodation to support their compliance monitoring and enforcement of regulated infection prevention and control standards.</w:t>
            </w:r>
          </w:p>
        </w:tc>
      </w:tr>
    </w:tbl>
    <w:p w:rsidR="00A441D4" w:rsidRDefault="00A441D4" w:rsidP="00A441D4">
      <w:pPr>
        <w:pStyle w:val="Heading1"/>
      </w:pPr>
      <w:r>
        <w:t>Measuring our impacts</w:t>
      </w:r>
    </w:p>
    <w:p w:rsidR="00A441D4" w:rsidRDefault="00A441D4" w:rsidP="00A441D4">
      <w:pPr>
        <w:pStyle w:val="DHHSbody"/>
        <w:spacing w:line="270" w:lineRule="atLeast"/>
      </w:pPr>
      <w:r>
        <w:t xml:space="preserve">The Communicable Disease Section monitors how it contributes to reducing public health risks associated with the spread of communicable disease by: </w:t>
      </w:r>
    </w:p>
    <w:p w:rsidR="00A441D4" w:rsidRDefault="00A441D4" w:rsidP="00A441D4">
      <w:pPr>
        <w:pStyle w:val="DHHSbullet1"/>
        <w:spacing w:after="40" w:line="240" w:lineRule="atLeast"/>
      </w:pPr>
      <w:r>
        <w:t>stringently monitoring the proportion of notifications received from medical practitioners and laboratories</w:t>
      </w:r>
    </w:p>
    <w:p w:rsidR="00A441D4" w:rsidRDefault="00706003" w:rsidP="00A441D4">
      <w:pPr>
        <w:pStyle w:val="DHHSbullet1"/>
        <w:spacing w:after="40" w:line="240" w:lineRule="atLeast"/>
      </w:pPr>
      <w:r>
        <w:t>p</w:t>
      </w:r>
      <w:r w:rsidR="00A441D4">
        <w:t xml:space="preserve">roportion of personal services business reporting that the </w:t>
      </w:r>
      <w:r>
        <w:t xml:space="preserve">infection prevention and control guidelines </w:t>
      </w:r>
      <w:r w:rsidR="00A441D4">
        <w:t>effectively addressed their issues.</w:t>
      </w:r>
    </w:p>
    <w:p w:rsidR="00BB6F41" w:rsidRDefault="00BB6F41" w:rsidP="00C47436">
      <w:pPr>
        <w:pStyle w:val="DHHSbody"/>
        <w:sectPr w:rsidR="00BB6F41" w:rsidSect="00E2139C">
          <w:footerReference w:type="default" r:id="rId16"/>
          <w:type w:val="continuous"/>
          <w:pgSz w:w="23814" w:h="16840" w:orient="landscape" w:code="8"/>
          <w:pgMar w:top="1134" w:right="851" w:bottom="1134" w:left="851" w:header="567" w:footer="510" w:gutter="0"/>
          <w:cols w:num="3" w:space="128" w:equalWidth="0">
            <w:col w:w="6237" w:space="128"/>
            <w:col w:w="9072" w:space="129"/>
            <w:col w:w="6546"/>
          </w:cols>
          <w:titlePg/>
          <w:docGrid w:linePitch="360"/>
        </w:sectPr>
      </w:pPr>
    </w:p>
    <w:p w:rsidR="006C2251" w:rsidRDefault="006C2251" w:rsidP="00B5087C">
      <w:pPr>
        <w:pStyle w:val="Heading1"/>
      </w:pPr>
      <w:r>
        <w:lastRenderedPageBreak/>
        <w:t>Diagram text</w:t>
      </w:r>
    </w:p>
    <w:p w:rsidR="00B5087C" w:rsidRPr="006C2251" w:rsidRDefault="006C2251" w:rsidP="006C2251">
      <w:pPr>
        <w:pStyle w:val="DHHSbody"/>
        <w:rPr>
          <w:b/>
        </w:rPr>
      </w:pPr>
      <w:r>
        <w:rPr>
          <w:b/>
        </w:rPr>
        <w:t>R</w:t>
      </w:r>
      <w:r w:rsidR="00B5087C" w:rsidRPr="006C2251">
        <w:rPr>
          <w:b/>
        </w:rPr>
        <w:t xml:space="preserve">egulatory tools </w:t>
      </w:r>
    </w:p>
    <w:p w:rsidR="00B5087C" w:rsidRPr="000C3A42" w:rsidRDefault="00B5087C" w:rsidP="00B5087C">
      <w:pPr>
        <w:pStyle w:val="DHHSbody"/>
      </w:pPr>
      <w:r>
        <w:t>This figure is an enforcement pyramid. The figure seeks to demonstrate that the unit will use the full range of tools available to it in line with the risks that they are seeking to manage. The enforcement pyramid illustrates a graduated and proportionate enforcement approach. The bottom of the pyramid outlines the lighter touch interventions such as education and advice to regulated parties, through to prosecution at the top of the pyramid, where regulated parties deliberately work against intended outcomes and intend to evade compliance obligations.</w:t>
      </w:r>
    </w:p>
    <w:p w:rsidR="00BB6F41" w:rsidRDefault="00BB6F41" w:rsidP="00C47436">
      <w:pPr>
        <w:pStyle w:val="DHHSbody"/>
      </w:pPr>
    </w:p>
    <w:tbl>
      <w:tblPr>
        <w:tblW w:w="21967" w:type="dxa"/>
        <w:tblInd w:w="113" w:type="dxa"/>
        <w:tblCellMar>
          <w:top w:w="113" w:type="dxa"/>
          <w:bottom w:w="57" w:type="dxa"/>
        </w:tblCellMar>
        <w:tblLook w:val="00A0" w:firstRow="1" w:lastRow="0" w:firstColumn="1" w:lastColumn="0" w:noHBand="0" w:noVBand="0"/>
      </w:tblPr>
      <w:tblGrid>
        <w:gridCol w:w="21967"/>
      </w:tblGrid>
      <w:tr w:rsidR="002802E3" w:rsidRPr="002802E3" w:rsidTr="00EB3422">
        <w:trPr>
          <w:cantSplit/>
        </w:trPr>
        <w:tc>
          <w:tcPr>
            <w:tcW w:w="5000" w:type="pct"/>
            <w:tcBorders>
              <w:top w:val="single" w:sz="4" w:space="0" w:color="auto"/>
              <w:left w:val="single" w:sz="4" w:space="0" w:color="auto"/>
              <w:bottom w:val="single" w:sz="4" w:space="0" w:color="auto"/>
              <w:right w:val="single" w:sz="4" w:space="0" w:color="auto"/>
            </w:tcBorders>
            <w:vAlign w:val="bottom"/>
          </w:tcPr>
          <w:p w:rsidR="00254F58" w:rsidRPr="007B0EA1" w:rsidRDefault="00254F58" w:rsidP="00F1056F">
            <w:pPr>
              <w:pStyle w:val="DHHSbody"/>
            </w:pPr>
            <w:r w:rsidRPr="0020630E">
              <w:t>To receive this publication in an accessible format phone</w:t>
            </w:r>
            <w:r w:rsidR="007B0EA1" w:rsidRPr="0020630E">
              <w:t xml:space="preserve"> </w:t>
            </w:r>
            <w:r w:rsidR="00F1056F">
              <w:t>1300 651 160</w:t>
            </w:r>
            <w:r w:rsidRPr="0020630E">
              <w:t xml:space="preserve">, using the National Relay Service 13 36 77 if required, or </w:t>
            </w:r>
            <w:hyperlink r:id="rId17" w:history="1">
              <w:r w:rsidRPr="00F1056F">
                <w:t>email</w:t>
              </w:r>
              <w:r w:rsidR="007B0EA1" w:rsidRPr="00F1056F">
                <w:t xml:space="preserve"> the </w:t>
              </w:r>
              <w:r w:rsidR="0020630E" w:rsidRPr="00F1056F">
                <w:rPr>
                  <w:rStyle w:val="Hyperlink"/>
                  <w:szCs w:val="19"/>
                </w:rPr>
                <w:t>Communicable Disease Section</w:t>
              </w:r>
            </w:hyperlink>
            <w:r w:rsidR="007B0EA1" w:rsidRPr="0020630E">
              <w:t xml:space="preserve"> &lt;</w:t>
            </w:r>
            <w:r w:rsidR="0020630E" w:rsidRPr="0020630E">
              <w:t>infectious.diseases@dhhs.vic.gov.au</w:t>
            </w:r>
            <w:r w:rsidR="007B0EA1" w:rsidRPr="0020630E">
              <w:t>&gt;.</w:t>
            </w:r>
            <w:r w:rsidR="008A2299">
              <w:t xml:space="preserve">  Phone </w:t>
            </w:r>
            <w:r w:rsidR="008A2299" w:rsidRPr="008A2299">
              <w:t>1300 651 160</w:t>
            </w:r>
            <w:r w:rsidR="008A2299">
              <w:t>.</w:t>
            </w:r>
          </w:p>
          <w:p w:rsidR="00254F58" w:rsidRPr="00254F58" w:rsidRDefault="00254F58" w:rsidP="00254F58">
            <w:pPr>
              <w:pStyle w:val="DHHSbody"/>
            </w:pPr>
            <w:r w:rsidRPr="00254F58">
              <w:t>Authorised and published by the Victorian Governmen</w:t>
            </w:r>
            <w:r w:rsidR="001F3826">
              <w:t>t, 1 Treasury Place, Melbourne.</w:t>
            </w:r>
          </w:p>
          <w:p w:rsidR="00254F58" w:rsidRPr="00254F58" w:rsidRDefault="00254F58" w:rsidP="00254F58">
            <w:pPr>
              <w:pStyle w:val="DHHSbody"/>
            </w:pPr>
            <w:r w:rsidRPr="00254F58">
              <w:t>© State of Vic</w:t>
            </w:r>
            <w:r w:rsidR="008B2F9E">
              <w:t>toria, Department of Health and</w:t>
            </w:r>
            <w:r w:rsidRPr="00254F58">
              <w:t xml:space="preserve"> Human Services</w:t>
            </w:r>
            <w:r w:rsidR="00A101F4">
              <w:t xml:space="preserve">, </w:t>
            </w:r>
            <w:r w:rsidR="00AB672E">
              <w:t>March</w:t>
            </w:r>
            <w:r w:rsidR="00A101F4">
              <w:t xml:space="preserve"> 2018</w:t>
            </w:r>
            <w:r w:rsidR="00F61A9F">
              <w:t>.</w:t>
            </w:r>
          </w:p>
          <w:p w:rsidR="00254F58" w:rsidRPr="00254F58" w:rsidRDefault="00254F58" w:rsidP="00254F58">
            <w:pPr>
              <w:pStyle w:val="DHHSbody"/>
            </w:pPr>
            <w:r w:rsidRPr="00254F58">
              <w:t>ISBN/ISSN</w:t>
            </w:r>
            <w:r w:rsidRPr="00F61A9F">
              <w:rPr>
                <w:color w:val="008950"/>
              </w:rPr>
              <w:t xml:space="preserve"> </w:t>
            </w:r>
            <w:r w:rsidR="00642B41" w:rsidRPr="00642B41">
              <w:t>978-1-76069-323-7</w:t>
            </w:r>
            <w:r w:rsidR="008A2299">
              <w:t xml:space="preserve"> (online)</w:t>
            </w:r>
          </w:p>
          <w:p w:rsidR="002802E3" w:rsidRPr="007B0EA1" w:rsidRDefault="00254F58" w:rsidP="00254F58">
            <w:pPr>
              <w:pStyle w:val="DHHSbody"/>
              <w:rPr>
                <w:szCs w:val="19"/>
              </w:rPr>
            </w:pPr>
            <w:r w:rsidRPr="00254F58">
              <w:rPr>
                <w:szCs w:val="19"/>
              </w:rPr>
              <w:t xml:space="preserve">Available at </w:t>
            </w:r>
            <w:hyperlink r:id="rId18" w:history="1">
              <w:r w:rsidR="007B0EA1" w:rsidRPr="007B0EA1">
                <w:rPr>
                  <w:rStyle w:val="Hyperlink"/>
                  <w:szCs w:val="19"/>
                </w:rPr>
                <w:t>Regulatory practice framework</w:t>
              </w:r>
            </w:hyperlink>
            <w:r w:rsidR="007B0EA1" w:rsidRPr="007B0EA1">
              <w:rPr>
                <w:szCs w:val="19"/>
              </w:rPr>
              <w:t xml:space="preserve"> &lt;https://www.dhhs.vic.gov.au/better-regulatory-practice-framework</w:t>
            </w:r>
            <w:r w:rsidR="007B0EA1">
              <w:rPr>
                <w:szCs w:val="19"/>
              </w:rPr>
              <w:t>&gt;</w:t>
            </w:r>
          </w:p>
        </w:tc>
      </w:tr>
    </w:tbl>
    <w:p w:rsidR="00B2752E" w:rsidRPr="00906490" w:rsidRDefault="00B2752E" w:rsidP="00FF6D9D">
      <w:pPr>
        <w:pStyle w:val="DHHSbody"/>
      </w:pPr>
    </w:p>
    <w:sectPr w:rsidR="00B2752E" w:rsidRPr="00906490" w:rsidSect="00BB6F41">
      <w:pgSz w:w="23814" w:h="16840" w:orient="landscape" w:code="8"/>
      <w:pgMar w:top="1134"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6B9" w:rsidRDefault="004346B9">
      <w:r>
        <w:separator/>
      </w:r>
    </w:p>
  </w:endnote>
  <w:endnote w:type="continuationSeparator" w:id="0">
    <w:p w:rsidR="004346B9" w:rsidRDefault="0043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6B9" w:rsidRPr="00F65AA9" w:rsidRDefault="004346B9" w:rsidP="007034E7">
    <w:pPr>
      <w:pStyle w:val="DHHSfooter"/>
    </w:pPr>
    <w:r>
      <w:rPr>
        <w:noProof/>
        <w:lang w:eastAsia="en-AU"/>
      </w:rPr>
      <w:drawing>
        <wp:anchor distT="0" distB="0" distL="114300" distR="114300" simplePos="0" relativeHeight="251659264" behindDoc="1" locked="1" layoutInCell="0" allowOverlap="1" wp14:anchorId="500B49CB" wp14:editId="5C1ADBE4">
          <wp:simplePos x="0" y="0"/>
          <wp:positionH relativeFrom="page">
            <wp:posOffset>4522470</wp:posOffset>
          </wp:positionH>
          <wp:positionV relativeFrom="page">
            <wp:posOffset>9917430</wp:posOffset>
          </wp:positionV>
          <wp:extent cx="10691495" cy="791845"/>
          <wp:effectExtent l="0" t="0" r="0" b="8255"/>
          <wp:wrapNone/>
          <wp:docPr id="13" name="Picture 13"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1495" cy="7918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6B9" w:rsidRPr="00A7559D" w:rsidRDefault="004346B9" w:rsidP="00A7559D">
    <w:pPr>
      <w:pStyle w:val="DHHSfooter"/>
      <w:tabs>
        <w:tab w:val="clear" w:pos="15139"/>
        <w:tab w:val="right" w:pos="22113"/>
      </w:tabs>
      <w:rPr>
        <w:color w:val="007B4B"/>
      </w:rPr>
    </w:pPr>
    <w:r>
      <w:rPr>
        <w:color w:val="007B4B"/>
      </w:rPr>
      <w:t>Communicable disease</w:t>
    </w:r>
    <w:r w:rsidRPr="00BB6F41">
      <w:rPr>
        <w:color w:val="007B4B"/>
      </w:rPr>
      <w:t xml:space="preserve"> plan on a page: </w:t>
    </w:r>
    <w:r w:rsidRPr="00C426E2">
      <w:rPr>
        <w:color w:val="007B4B"/>
      </w:rPr>
      <w:t xml:space="preserve">Communicable disease </w:t>
    </w:r>
    <w:r w:rsidRPr="00BB6F41">
      <w:rPr>
        <w:color w:val="007B4B"/>
      </w:rPr>
      <w:t>regulator plan</w:t>
    </w:r>
    <w:r>
      <w:rPr>
        <w:color w:val="007B4B"/>
      </w:rPr>
      <w:t xml:space="preserve"> March</w:t>
    </w:r>
    <w:r w:rsidRPr="00BB6F41">
      <w:rPr>
        <w:color w:val="007B4B"/>
      </w:rPr>
      <w:t xml:space="preserve"> 2018 – June 2019</w:t>
    </w:r>
    <w:r w:rsidRPr="00BB6F41">
      <w:rPr>
        <w:color w:val="007B4B"/>
      </w:rPr>
      <w:tab/>
    </w:r>
    <w:r w:rsidRPr="00BB6F41">
      <w:rPr>
        <w:color w:val="007B4B"/>
      </w:rPr>
      <w:fldChar w:fldCharType="begin"/>
    </w:r>
    <w:r w:rsidRPr="00BB6F41">
      <w:rPr>
        <w:color w:val="007B4B"/>
      </w:rPr>
      <w:instrText xml:space="preserve"> PAGE </w:instrText>
    </w:r>
    <w:r w:rsidRPr="00BB6F41">
      <w:rPr>
        <w:color w:val="007B4B"/>
      </w:rPr>
      <w:fldChar w:fldCharType="separate"/>
    </w:r>
    <w:r w:rsidR="00117B36">
      <w:rPr>
        <w:noProof/>
        <w:color w:val="007B4B"/>
      </w:rPr>
      <w:t>2</w:t>
    </w:r>
    <w:r w:rsidRPr="00BB6F41">
      <w:rPr>
        <w:color w:val="007B4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6B9" w:rsidRPr="00BB6F41" w:rsidRDefault="004346B9" w:rsidP="00BB6F41">
    <w:pPr>
      <w:pStyle w:val="DHHSfooter"/>
      <w:tabs>
        <w:tab w:val="clear" w:pos="15139"/>
        <w:tab w:val="right" w:pos="22113"/>
      </w:tabs>
      <w:rPr>
        <w:color w:val="007B4B"/>
      </w:rPr>
    </w:pPr>
    <w:r w:rsidRPr="00BB6F41">
      <w:rPr>
        <w:color w:val="007B4B"/>
      </w:rPr>
      <w:t>Radiation safety regulator plan on a page: Radiation safety regulator plan January 2018 – June 2019</w:t>
    </w:r>
    <w:r w:rsidRPr="00BB6F41">
      <w:rPr>
        <w:color w:val="007B4B"/>
      </w:rPr>
      <w:tab/>
    </w:r>
    <w:r w:rsidRPr="00BB6F41">
      <w:rPr>
        <w:color w:val="007B4B"/>
      </w:rPr>
      <w:fldChar w:fldCharType="begin"/>
    </w:r>
    <w:r w:rsidRPr="00BB6F41">
      <w:rPr>
        <w:color w:val="007B4B"/>
      </w:rPr>
      <w:instrText xml:space="preserve"> PAGE </w:instrText>
    </w:r>
    <w:r w:rsidRPr="00BB6F41">
      <w:rPr>
        <w:color w:val="007B4B"/>
      </w:rPr>
      <w:fldChar w:fldCharType="separate"/>
    </w:r>
    <w:r>
      <w:rPr>
        <w:noProof/>
        <w:color w:val="007B4B"/>
      </w:rPr>
      <w:t>2</w:t>
    </w:r>
    <w:r w:rsidRPr="00BB6F41">
      <w:rPr>
        <w:color w:val="007B4B"/>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6B9" w:rsidRPr="00BB6F41" w:rsidRDefault="004346B9" w:rsidP="00BB6F41">
    <w:pPr>
      <w:pStyle w:val="DHHSfooter"/>
      <w:tabs>
        <w:tab w:val="clear" w:pos="15139"/>
        <w:tab w:val="right" w:pos="22113"/>
      </w:tabs>
      <w:rPr>
        <w:color w:val="007B4B"/>
      </w:rPr>
    </w:pPr>
    <w:r>
      <w:rPr>
        <w:color w:val="007B4B"/>
      </w:rPr>
      <w:t>Communicable disease</w:t>
    </w:r>
    <w:r w:rsidRPr="00BB6F41">
      <w:rPr>
        <w:color w:val="007B4B"/>
      </w:rPr>
      <w:t xml:space="preserve"> plan on a page: </w:t>
    </w:r>
    <w:r w:rsidRPr="00C426E2">
      <w:rPr>
        <w:color w:val="007B4B"/>
      </w:rPr>
      <w:t xml:space="preserve">Communicable disease </w:t>
    </w:r>
    <w:r>
      <w:rPr>
        <w:color w:val="007B4B"/>
      </w:rPr>
      <w:t>regulator plan March</w:t>
    </w:r>
    <w:r w:rsidRPr="00BB6F41">
      <w:rPr>
        <w:color w:val="007B4B"/>
      </w:rPr>
      <w:t xml:space="preserve"> 2018 – June 2019</w:t>
    </w:r>
    <w:r w:rsidRPr="00BB6F41">
      <w:rPr>
        <w:color w:val="007B4B"/>
      </w:rPr>
      <w:tab/>
    </w:r>
    <w:r w:rsidRPr="00BB6F41">
      <w:rPr>
        <w:color w:val="007B4B"/>
      </w:rPr>
      <w:fldChar w:fldCharType="begin"/>
    </w:r>
    <w:r w:rsidRPr="00BB6F41">
      <w:rPr>
        <w:color w:val="007B4B"/>
      </w:rPr>
      <w:instrText xml:space="preserve"> PAGE </w:instrText>
    </w:r>
    <w:r w:rsidRPr="00BB6F41">
      <w:rPr>
        <w:color w:val="007B4B"/>
      </w:rPr>
      <w:fldChar w:fldCharType="separate"/>
    </w:r>
    <w:r w:rsidR="00742FA0">
      <w:rPr>
        <w:noProof/>
        <w:color w:val="007B4B"/>
      </w:rPr>
      <w:t>2</w:t>
    </w:r>
    <w:r w:rsidRPr="00BB6F41">
      <w:rPr>
        <w:color w:val="007B4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6B9" w:rsidRDefault="004346B9" w:rsidP="002862F1">
      <w:pPr>
        <w:spacing w:before="120"/>
      </w:pPr>
      <w:r>
        <w:separator/>
      </w:r>
    </w:p>
  </w:footnote>
  <w:footnote w:type="continuationSeparator" w:id="0">
    <w:p w:rsidR="004346B9" w:rsidRDefault="00434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6B9" w:rsidRPr="008D2F4B" w:rsidRDefault="004346B9" w:rsidP="008D2F4B">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2B370F66"/>
    <w:multiLevelType w:val="multilevel"/>
    <w:tmpl w:val="4B4E7622"/>
    <w:numStyleLink w:val="ZZNumbers"/>
  </w:abstractNum>
  <w:abstractNum w:abstractNumId="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38"/>
    <w:rsid w:val="00003500"/>
    <w:rsid w:val="000072B6"/>
    <w:rsid w:val="0001021B"/>
    <w:rsid w:val="00011D89"/>
    <w:rsid w:val="00024D89"/>
    <w:rsid w:val="00033D81"/>
    <w:rsid w:val="00041BF0"/>
    <w:rsid w:val="0004326C"/>
    <w:rsid w:val="00045242"/>
    <w:rsid w:val="0004536B"/>
    <w:rsid w:val="00046B68"/>
    <w:rsid w:val="000527DD"/>
    <w:rsid w:val="000578B2"/>
    <w:rsid w:val="00060959"/>
    <w:rsid w:val="00064864"/>
    <w:rsid w:val="000663CD"/>
    <w:rsid w:val="000669AD"/>
    <w:rsid w:val="00074219"/>
    <w:rsid w:val="00074ED5"/>
    <w:rsid w:val="0008494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05E4"/>
    <w:rsid w:val="0010392D"/>
    <w:rsid w:val="00104FE3"/>
    <w:rsid w:val="00117B36"/>
    <w:rsid w:val="00120BD3"/>
    <w:rsid w:val="00122FEA"/>
    <w:rsid w:val="001232BD"/>
    <w:rsid w:val="00124ED5"/>
    <w:rsid w:val="00143749"/>
    <w:rsid w:val="001447B3"/>
    <w:rsid w:val="0014502A"/>
    <w:rsid w:val="00152073"/>
    <w:rsid w:val="00161939"/>
    <w:rsid w:val="00161AA0"/>
    <w:rsid w:val="00162093"/>
    <w:rsid w:val="001645B1"/>
    <w:rsid w:val="001666C9"/>
    <w:rsid w:val="001771DD"/>
    <w:rsid w:val="00177995"/>
    <w:rsid w:val="00177A8C"/>
    <w:rsid w:val="00186B33"/>
    <w:rsid w:val="00187294"/>
    <w:rsid w:val="00187F13"/>
    <w:rsid w:val="00192F9D"/>
    <w:rsid w:val="00196EB8"/>
    <w:rsid w:val="001979FF"/>
    <w:rsid w:val="00197B17"/>
    <w:rsid w:val="001A3ACE"/>
    <w:rsid w:val="001C2A72"/>
    <w:rsid w:val="001C3B76"/>
    <w:rsid w:val="001D0B75"/>
    <w:rsid w:val="001D38AE"/>
    <w:rsid w:val="001D3C09"/>
    <w:rsid w:val="001D44E8"/>
    <w:rsid w:val="001D60EC"/>
    <w:rsid w:val="001D773D"/>
    <w:rsid w:val="001E1324"/>
    <w:rsid w:val="001E44DF"/>
    <w:rsid w:val="001E68A5"/>
    <w:rsid w:val="001E73EF"/>
    <w:rsid w:val="001F3826"/>
    <w:rsid w:val="001F6E46"/>
    <w:rsid w:val="001F7C91"/>
    <w:rsid w:val="0020630E"/>
    <w:rsid w:val="00206463"/>
    <w:rsid w:val="00206F2F"/>
    <w:rsid w:val="0021053D"/>
    <w:rsid w:val="00210A92"/>
    <w:rsid w:val="002131E2"/>
    <w:rsid w:val="00216C03"/>
    <w:rsid w:val="002206B2"/>
    <w:rsid w:val="00220C04"/>
    <w:rsid w:val="0022701F"/>
    <w:rsid w:val="002333F5"/>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213D"/>
    <w:rsid w:val="002862F1"/>
    <w:rsid w:val="00291373"/>
    <w:rsid w:val="0029597D"/>
    <w:rsid w:val="002962C3"/>
    <w:rsid w:val="002A483C"/>
    <w:rsid w:val="002B1729"/>
    <w:rsid w:val="002B4DD4"/>
    <w:rsid w:val="002B5277"/>
    <w:rsid w:val="002B77C1"/>
    <w:rsid w:val="002C2728"/>
    <w:rsid w:val="002D5006"/>
    <w:rsid w:val="002E01D0"/>
    <w:rsid w:val="002E161D"/>
    <w:rsid w:val="002E6C95"/>
    <w:rsid w:val="002E7C36"/>
    <w:rsid w:val="002F4F6F"/>
    <w:rsid w:val="002F5F31"/>
    <w:rsid w:val="002F7F61"/>
    <w:rsid w:val="00302216"/>
    <w:rsid w:val="00303E53"/>
    <w:rsid w:val="003041C3"/>
    <w:rsid w:val="00305D25"/>
    <w:rsid w:val="00306E5F"/>
    <w:rsid w:val="00307E14"/>
    <w:rsid w:val="00310351"/>
    <w:rsid w:val="00314054"/>
    <w:rsid w:val="00316F27"/>
    <w:rsid w:val="00327870"/>
    <w:rsid w:val="0033259D"/>
    <w:rsid w:val="003406C6"/>
    <w:rsid w:val="003418CC"/>
    <w:rsid w:val="00344EBE"/>
    <w:rsid w:val="003459BD"/>
    <w:rsid w:val="00350D38"/>
    <w:rsid w:val="0036022F"/>
    <w:rsid w:val="003613F9"/>
    <w:rsid w:val="0037290E"/>
    <w:rsid w:val="003744CF"/>
    <w:rsid w:val="00374717"/>
    <w:rsid w:val="0037676C"/>
    <w:rsid w:val="00380BA4"/>
    <w:rsid w:val="003829E5"/>
    <w:rsid w:val="003956CC"/>
    <w:rsid w:val="00395C9A"/>
    <w:rsid w:val="003A3438"/>
    <w:rsid w:val="003A6B67"/>
    <w:rsid w:val="003B15E6"/>
    <w:rsid w:val="003C2045"/>
    <w:rsid w:val="003C2440"/>
    <w:rsid w:val="003C43A1"/>
    <w:rsid w:val="003C4FC0"/>
    <w:rsid w:val="003C55F4"/>
    <w:rsid w:val="003C7A3F"/>
    <w:rsid w:val="003D3E8F"/>
    <w:rsid w:val="003D41D5"/>
    <w:rsid w:val="003D6475"/>
    <w:rsid w:val="003E2E5F"/>
    <w:rsid w:val="003F0445"/>
    <w:rsid w:val="003F0CF0"/>
    <w:rsid w:val="003F3289"/>
    <w:rsid w:val="00401FCF"/>
    <w:rsid w:val="00406285"/>
    <w:rsid w:val="00406D62"/>
    <w:rsid w:val="004148F9"/>
    <w:rsid w:val="0042084E"/>
    <w:rsid w:val="0042175D"/>
    <w:rsid w:val="00421EEF"/>
    <w:rsid w:val="00424D65"/>
    <w:rsid w:val="00425CC4"/>
    <w:rsid w:val="004346B9"/>
    <w:rsid w:val="004367B3"/>
    <w:rsid w:val="00442C6C"/>
    <w:rsid w:val="00443CBE"/>
    <w:rsid w:val="00443E8A"/>
    <w:rsid w:val="004441BC"/>
    <w:rsid w:val="0045230A"/>
    <w:rsid w:val="00457337"/>
    <w:rsid w:val="0047372D"/>
    <w:rsid w:val="004743DD"/>
    <w:rsid w:val="00474CEA"/>
    <w:rsid w:val="00483968"/>
    <w:rsid w:val="0048442F"/>
    <w:rsid w:val="00484F86"/>
    <w:rsid w:val="00490746"/>
    <w:rsid w:val="00490852"/>
    <w:rsid w:val="00492D85"/>
    <w:rsid w:val="00492F30"/>
    <w:rsid w:val="004946F4"/>
    <w:rsid w:val="0049487E"/>
    <w:rsid w:val="004A160D"/>
    <w:rsid w:val="004A3E81"/>
    <w:rsid w:val="004A5C62"/>
    <w:rsid w:val="004A707D"/>
    <w:rsid w:val="004C6EEE"/>
    <w:rsid w:val="004C702B"/>
    <w:rsid w:val="004D016B"/>
    <w:rsid w:val="004D1B22"/>
    <w:rsid w:val="004D36F2"/>
    <w:rsid w:val="004E138F"/>
    <w:rsid w:val="004E3D31"/>
    <w:rsid w:val="004E4649"/>
    <w:rsid w:val="004E5C2B"/>
    <w:rsid w:val="004E7DBA"/>
    <w:rsid w:val="004E7E8C"/>
    <w:rsid w:val="004F00DD"/>
    <w:rsid w:val="004F2133"/>
    <w:rsid w:val="004F55F1"/>
    <w:rsid w:val="004F6936"/>
    <w:rsid w:val="005027C0"/>
    <w:rsid w:val="00503DC6"/>
    <w:rsid w:val="00506F5D"/>
    <w:rsid w:val="005126D0"/>
    <w:rsid w:val="0051568D"/>
    <w:rsid w:val="00526C15"/>
    <w:rsid w:val="005273B4"/>
    <w:rsid w:val="00536499"/>
    <w:rsid w:val="00541ADB"/>
    <w:rsid w:val="00543903"/>
    <w:rsid w:val="00547A95"/>
    <w:rsid w:val="00557E03"/>
    <w:rsid w:val="00572031"/>
    <w:rsid w:val="00576E84"/>
    <w:rsid w:val="00582B8C"/>
    <w:rsid w:val="0058757E"/>
    <w:rsid w:val="00596A4B"/>
    <w:rsid w:val="00597507"/>
    <w:rsid w:val="005B21B6"/>
    <w:rsid w:val="005B3A08"/>
    <w:rsid w:val="005B7A63"/>
    <w:rsid w:val="005C0955"/>
    <w:rsid w:val="005C49DA"/>
    <w:rsid w:val="005C50F3"/>
    <w:rsid w:val="005C5D91"/>
    <w:rsid w:val="005C77D1"/>
    <w:rsid w:val="005D07B8"/>
    <w:rsid w:val="005D5EF2"/>
    <w:rsid w:val="005D6597"/>
    <w:rsid w:val="005E14E7"/>
    <w:rsid w:val="005E26A3"/>
    <w:rsid w:val="005E447E"/>
    <w:rsid w:val="005F0775"/>
    <w:rsid w:val="005F0CF5"/>
    <w:rsid w:val="005F21EB"/>
    <w:rsid w:val="00605908"/>
    <w:rsid w:val="00605F1B"/>
    <w:rsid w:val="00610D7C"/>
    <w:rsid w:val="00613414"/>
    <w:rsid w:val="0062408D"/>
    <w:rsid w:val="006240CC"/>
    <w:rsid w:val="00627DA7"/>
    <w:rsid w:val="006358B4"/>
    <w:rsid w:val="006419AA"/>
    <w:rsid w:val="00642B41"/>
    <w:rsid w:val="006447F0"/>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016F"/>
    <w:rsid w:val="006A18C2"/>
    <w:rsid w:val="006B077C"/>
    <w:rsid w:val="006C2251"/>
    <w:rsid w:val="006D2A3F"/>
    <w:rsid w:val="006E138B"/>
    <w:rsid w:val="006F1FDC"/>
    <w:rsid w:val="007013EF"/>
    <w:rsid w:val="007034E7"/>
    <w:rsid w:val="00706003"/>
    <w:rsid w:val="007216AA"/>
    <w:rsid w:val="00721AB5"/>
    <w:rsid w:val="00721DEF"/>
    <w:rsid w:val="00724A43"/>
    <w:rsid w:val="007346E4"/>
    <w:rsid w:val="00740F22"/>
    <w:rsid w:val="00741F1A"/>
    <w:rsid w:val="00742FA0"/>
    <w:rsid w:val="007450F8"/>
    <w:rsid w:val="0074696E"/>
    <w:rsid w:val="00750135"/>
    <w:rsid w:val="00752B28"/>
    <w:rsid w:val="00754E36"/>
    <w:rsid w:val="00760D84"/>
    <w:rsid w:val="00763139"/>
    <w:rsid w:val="00770361"/>
    <w:rsid w:val="00770656"/>
    <w:rsid w:val="00770F37"/>
    <w:rsid w:val="00772D5E"/>
    <w:rsid w:val="00776928"/>
    <w:rsid w:val="00786F16"/>
    <w:rsid w:val="00796E20"/>
    <w:rsid w:val="00797C32"/>
    <w:rsid w:val="007A21D8"/>
    <w:rsid w:val="007B0914"/>
    <w:rsid w:val="007B0EA1"/>
    <w:rsid w:val="007B1374"/>
    <w:rsid w:val="007B589F"/>
    <w:rsid w:val="007B6186"/>
    <w:rsid w:val="007C14D9"/>
    <w:rsid w:val="007C7301"/>
    <w:rsid w:val="007C7859"/>
    <w:rsid w:val="007D2BDE"/>
    <w:rsid w:val="007D2FB6"/>
    <w:rsid w:val="007E0DE2"/>
    <w:rsid w:val="007F31B6"/>
    <w:rsid w:val="007F546C"/>
    <w:rsid w:val="007F665E"/>
    <w:rsid w:val="00800412"/>
    <w:rsid w:val="0080587B"/>
    <w:rsid w:val="00806468"/>
    <w:rsid w:val="00814111"/>
    <w:rsid w:val="008155F0"/>
    <w:rsid w:val="00816735"/>
    <w:rsid w:val="00816F55"/>
    <w:rsid w:val="00820141"/>
    <w:rsid w:val="008204A8"/>
    <w:rsid w:val="00820E0C"/>
    <w:rsid w:val="008338A2"/>
    <w:rsid w:val="00840DF3"/>
    <w:rsid w:val="0084417C"/>
    <w:rsid w:val="00852D57"/>
    <w:rsid w:val="00853EE4"/>
    <w:rsid w:val="00855535"/>
    <w:rsid w:val="00856385"/>
    <w:rsid w:val="008633F0"/>
    <w:rsid w:val="008643C9"/>
    <w:rsid w:val="0086791C"/>
    <w:rsid w:val="00867D9D"/>
    <w:rsid w:val="00871B51"/>
    <w:rsid w:val="00872E0A"/>
    <w:rsid w:val="00875285"/>
    <w:rsid w:val="00884B62"/>
    <w:rsid w:val="0088529C"/>
    <w:rsid w:val="00887903"/>
    <w:rsid w:val="0089270A"/>
    <w:rsid w:val="00893AF6"/>
    <w:rsid w:val="00894BC4"/>
    <w:rsid w:val="008A2299"/>
    <w:rsid w:val="008B2EE4"/>
    <w:rsid w:val="008B2F9E"/>
    <w:rsid w:val="008B4D3D"/>
    <w:rsid w:val="008B57C7"/>
    <w:rsid w:val="008C2F92"/>
    <w:rsid w:val="008C3808"/>
    <w:rsid w:val="008C65EB"/>
    <w:rsid w:val="008D2F4B"/>
    <w:rsid w:val="008D4236"/>
    <w:rsid w:val="008D462F"/>
    <w:rsid w:val="008E4376"/>
    <w:rsid w:val="008E7A0A"/>
    <w:rsid w:val="00900719"/>
    <w:rsid w:val="009017AC"/>
    <w:rsid w:val="00905030"/>
    <w:rsid w:val="00906490"/>
    <w:rsid w:val="009111B2"/>
    <w:rsid w:val="00923937"/>
    <w:rsid w:val="00924AE1"/>
    <w:rsid w:val="009269B1"/>
    <w:rsid w:val="0092724D"/>
    <w:rsid w:val="00937BD9"/>
    <w:rsid w:val="0094290B"/>
    <w:rsid w:val="00950E2C"/>
    <w:rsid w:val="00951D50"/>
    <w:rsid w:val="009525EB"/>
    <w:rsid w:val="0095645E"/>
    <w:rsid w:val="00961400"/>
    <w:rsid w:val="00963646"/>
    <w:rsid w:val="009853E1"/>
    <w:rsid w:val="00986E6B"/>
    <w:rsid w:val="00991769"/>
    <w:rsid w:val="00994386"/>
    <w:rsid w:val="009A13D8"/>
    <w:rsid w:val="009A279E"/>
    <w:rsid w:val="009B0A6F"/>
    <w:rsid w:val="009B2FCB"/>
    <w:rsid w:val="009B59E9"/>
    <w:rsid w:val="009C7A7E"/>
    <w:rsid w:val="009D02E8"/>
    <w:rsid w:val="009D51D0"/>
    <w:rsid w:val="009D70A4"/>
    <w:rsid w:val="009E08D1"/>
    <w:rsid w:val="009E1B95"/>
    <w:rsid w:val="009E496F"/>
    <w:rsid w:val="009E4B0D"/>
    <w:rsid w:val="009E7F92"/>
    <w:rsid w:val="009F02A3"/>
    <w:rsid w:val="009F2F27"/>
    <w:rsid w:val="009F6BCB"/>
    <w:rsid w:val="009F7B78"/>
    <w:rsid w:val="00A0057A"/>
    <w:rsid w:val="00A101F4"/>
    <w:rsid w:val="00A11421"/>
    <w:rsid w:val="00A157B1"/>
    <w:rsid w:val="00A17D7E"/>
    <w:rsid w:val="00A22229"/>
    <w:rsid w:val="00A36213"/>
    <w:rsid w:val="00A441D4"/>
    <w:rsid w:val="00A44882"/>
    <w:rsid w:val="00A44FD6"/>
    <w:rsid w:val="00A54715"/>
    <w:rsid w:val="00A6061C"/>
    <w:rsid w:val="00A62787"/>
    <w:rsid w:val="00A62A86"/>
    <w:rsid w:val="00A62D44"/>
    <w:rsid w:val="00A67263"/>
    <w:rsid w:val="00A7161C"/>
    <w:rsid w:val="00A7559D"/>
    <w:rsid w:val="00A77AA3"/>
    <w:rsid w:val="00A872E5"/>
    <w:rsid w:val="00A96E65"/>
    <w:rsid w:val="00A97C72"/>
    <w:rsid w:val="00AA325B"/>
    <w:rsid w:val="00AA5797"/>
    <w:rsid w:val="00AA63D4"/>
    <w:rsid w:val="00AB06E8"/>
    <w:rsid w:val="00AB1CD3"/>
    <w:rsid w:val="00AB352F"/>
    <w:rsid w:val="00AB672E"/>
    <w:rsid w:val="00AC274B"/>
    <w:rsid w:val="00AC4764"/>
    <w:rsid w:val="00AC6D36"/>
    <w:rsid w:val="00AD0CBA"/>
    <w:rsid w:val="00AD26E2"/>
    <w:rsid w:val="00AE040C"/>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31E8"/>
    <w:rsid w:val="00B45141"/>
    <w:rsid w:val="00B5087C"/>
    <w:rsid w:val="00B5273A"/>
    <w:rsid w:val="00B62B50"/>
    <w:rsid w:val="00B635B7"/>
    <w:rsid w:val="00B63AE8"/>
    <w:rsid w:val="00B65950"/>
    <w:rsid w:val="00B672C0"/>
    <w:rsid w:val="00B75646"/>
    <w:rsid w:val="00B81E28"/>
    <w:rsid w:val="00B90729"/>
    <w:rsid w:val="00B907DA"/>
    <w:rsid w:val="00B950BC"/>
    <w:rsid w:val="00B9714C"/>
    <w:rsid w:val="00BA3F8D"/>
    <w:rsid w:val="00BA4845"/>
    <w:rsid w:val="00BB6F41"/>
    <w:rsid w:val="00BB7A10"/>
    <w:rsid w:val="00BC7D4F"/>
    <w:rsid w:val="00BC7ED7"/>
    <w:rsid w:val="00BD2850"/>
    <w:rsid w:val="00BE1DE0"/>
    <w:rsid w:val="00BE28D2"/>
    <w:rsid w:val="00BE7519"/>
    <w:rsid w:val="00BF5F6F"/>
    <w:rsid w:val="00BF7F58"/>
    <w:rsid w:val="00C01381"/>
    <w:rsid w:val="00C079B8"/>
    <w:rsid w:val="00C123EA"/>
    <w:rsid w:val="00C125E4"/>
    <w:rsid w:val="00C12A49"/>
    <w:rsid w:val="00C133EE"/>
    <w:rsid w:val="00C17EFB"/>
    <w:rsid w:val="00C23DB1"/>
    <w:rsid w:val="00C27DE9"/>
    <w:rsid w:val="00C33388"/>
    <w:rsid w:val="00C4173A"/>
    <w:rsid w:val="00C426E2"/>
    <w:rsid w:val="00C461FB"/>
    <w:rsid w:val="00C47436"/>
    <w:rsid w:val="00C47C8F"/>
    <w:rsid w:val="00C602FF"/>
    <w:rsid w:val="00C61174"/>
    <w:rsid w:val="00C6148F"/>
    <w:rsid w:val="00C62F7A"/>
    <w:rsid w:val="00C63B9C"/>
    <w:rsid w:val="00C6682F"/>
    <w:rsid w:val="00C7275E"/>
    <w:rsid w:val="00C74C5D"/>
    <w:rsid w:val="00C768A0"/>
    <w:rsid w:val="00C863C4"/>
    <w:rsid w:val="00C93C3E"/>
    <w:rsid w:val="00CA12E3"/>
    <w:rsid w:val="00CA6611"/>
    <w:rsid w:val="00CA6B58"/>
    <w:rsid w:val="00CC0C72"/>
    <w:rsid w:val="00CC2BFD"/>
    <w:rsid w:val="00CD3476"/>
    <w:rsid w:val="00CD64DF"/>
    <w:rsid w:val="00CF0B09"/>
    <w:rsid w:val="00CF2F50"/>
    <w:rsid w:val="00CF41DA"/>
    <w:rsid w:val="00D02919"/>
    <w:rsid w:val="00D04C61"/>
    <w:rsid w:val="00D0539B"/>
    <w:rsid w:val="00D05B8D"/>
    <w:rsid w:val="00D065A2"/>
    <w:rsid w:val="00D07F00"/>
    <w:rsid w:val="00D1790F"/>
    <w:rsid w:val="00D32B8A"/>
    <w:rsid w:val="00D33E72"/>
    <w:rsid w:val="00D35BD6"/>
    <w:rsid w:val="00D361B5"/>
    <w:rsid w:val="00D411A2"/>
    <w:rsid w:val="00D4711A"/>
    <w:rsid w:val="00D50B9C"/>
    <w:rsid w:val="00D52D73"/>
    <w:rsid w:val="00D52E58"/>
    <w:rsid w:val="00D714CC"/>
    <w:rsid w:val="00D75EA7"/>
    <w:rsid w:val="00D81F21"/>
    <w:rsid w:val="00D95470"/>
    <w:rsid w:val="00DA2619"/>
    <w:rsid w:val="00DA4239"/>
    <w:rsid w:val="00DB0B61"/>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14388"/>
    <w:rsid w:val="00E170DC"/>
    <w:rsid w:val="00E2139C"/>
    <w:rsid w:val="00E21842"/>
    <w:rsid w:val="00E23265"/>
    <w:rsid w:val="00E26818"/>
    <w:rsid w:val="00E27FFC"/>
    <w:rsid w:val="00E30B15"/>
    <w:rsid w:val="00E40181"/>
    <w:rsid w:val="00E43426"/>
    <w:rsid w:val="00E45931"/>
    <w:rsid w:val="00E53A79"/>
    <w:rsid w:val="00E629A1"/>
    <w:rsid w:val="00E82C55"/>
    <w:rsid w:val="00E87893"/>
    <w:rsid w:val="00E92AC3"/>
    <w:rsid w:val="00EB00E0"/>
    <w:rsid w:val="00EB3422"/>
    <w:rsid w:val="00EC059F"/>
    <w:rsid w:val="00EC1F24"/>
    <w:rsid w:val="00EC22F6"/>
    <w:rsid w:val="00EC4749"/>
    <w:rsid w:val="00ED5B9B"/>
    <w:rsid w:val="00ED6BAD"/>
    <w:rsid w:val="00ED7447"/>
    <w:rsid w:val="00ED79F1"/>
    <w:rsid w:val="00EE1488"/>
    <w:rsid w:val="00EE4D5D"/>
    <w:rsid w:val="00EE5131"/>
    <w:rsid w:val="00EE6B38"/>
    <w:rsid w:val="00EF109B"/>
    <w:rsid w:val="00EF36AF"/>
    <w:rsid w:val="00F00F9C"/>
    <w:rsid w:val="00F02ABA"/>
    <w:rsid w:val="00F0437A"/>
    <w:rsid w:val="00F1056F"/>
    <w:rsid w:val="00F11037"/>
    <w:rsid w:val="00F16F1B"/>
    <w:rsid w:val="00F203D3"/>
    <w:rsid w:val="00F213F4"/>
    <w:rsid w:val="00F250A9"/>
    <w:rsid w:val="00F26794"/>
    <w:rsid w:val="00F30FF4"/>
    <w:rsid w:val="00F3122E"/>
    <w:rsid w:val="00F331AD"/>
    <w:rsid w:val="00F43A37"/>
    <w:rsid w:val="00F43EA6"/>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947D2"/>
    <w:rsid w:val="00FA2C46"/>
    <w:rsid w:val="00FA6B67"/>
    <w:rsid w:val="00FB39F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A441D4"/>
    <w:rPr>
      <w:rFonts w:ascii="Cambria" w:hAnsi="Cambria"/>
      <w:lang w:eastAsia="en-US"/>
    </w:rPr>
  </w:style>
  <w:style w:type="paragraph" w:styleId="Heading1">
    <w:name w:val="heading 1"/>
    <w:next w:val="DHHSbody"/>
    <w:link w:val="Heading1Char"/>
    <w:uiPriority w:val="1"/>
    <w:qFormat/>
    <w:rsid w:val="00C47436"/>
    <w:pPr>
      <w:keepNext/>
      <w:keepLines/>
      <w:spacing w:before="320" w:after="200" w:line="440" w:lineRule="atLeast"/>
      <w:outlineLvl w:val="0"/>
    </w:pPr>
    <w:rPr>
      <w:rFonts w:ascii="Arial" w:eastAsia="MS Gothic" w:hAnsi="Arial" w:cs="Arial"/>
      <w:bCs/>
      <w:color w:val="007B4B"/>
      <w:kern w:val="32"/>
      <w:sz w:val="44"/>
      <w:szCs w:val="40"/>
      <w:lang w:eastAsia="en-US"/>
    </w:rPr>
  </w:style>
  <w:style w:type="paragraph" w:styleId="Heading2">
    <w:name w:val="heading 2"/>
    <w:next w:val="DHHSbody"/>
    <w:link w:val="Heading2Char"/>
    <w:uiPriority w:val="1"/>
    <w:qFormat/>
    <w:rsid w:val="006A016F"/>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E2139C"/>
    <w:pPr>
      <w:spacing w:after="120" w:line="280" w:lineRule="atLeast"/>
    </w:pPr>
    <w:rPr>
      <w:rFonts w:ascii="Arial" w:eastAsia="Times" w:hAnsi="Arial"/>
      <w:sz w:val="22"/>
      <w:lang w:eastAsia="en-US"/>
    </w:rPr>
  </w:style>
  <w:style w:type="character" w:customStyle="1" w:styleId="Heading1Char">
    <w:name w:val="Heading 1 Char"/>
    <w:link w:val="Heading1"/>
    <w:uiPriority w:val="1"/>
    <w:rsid w:val="00C47436"/>
    <w:rPr>
      <w:rFonts w:ascii="Arial" w:eastAsia="MS Gothic" w:hAnsi="Arial" w:cs="Arial"/>
      <w:bCs/>
      <w:color w:val="007B4B"/>
      <w:kern w:val="32"/>
      <w:sz w:val="44"/>
      <w:szCs w:val="40"/>
      <w:lang w:eastAsia="en-US"/>
    </w:rPr>
  </w:style>
  <w:style w:type="character" w:customStyle="1" w:styleId="Heading2Char">
    <w:name w:val="Heading 2 Char"/>
    <w:link w:val="Heading2"/>
    <w:uiPriority w:val="1"/>
    <w:rsid w:val="006A016F"/>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C47436"/>
    <w:pPr>
      <w:numPr>
        <w:numId w:val="7"/>
      </w:numPr>
      <w:spacing w:after="8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AA5797"/>
    <w:pPr>
      <w:keepLines/>
      <w:tabs>
        <w:tab w:val="right" w:leader="dot" w:pos="9072"/>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DHHSfigurecaptionChar">
    <w:name w:val="DHHS figure caption Char"/>
    <w:link w:val="DHHSfigurecaption"/>
    <w:uiPriority w:val="4"/>
    <w:rsid w:val="00D0539B"/>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6A016F"/>
    <w:pPr>
      <w:spacing w:before="0" w:after="200"/>
      <w:outlineLvl w:val="9"/>
    </w:pPr>
  </w:style>
  <w:style w:type="character" w:customStyle="1" w:styleId="DHHSTOCheadingfactsheetChar">
    <w:name w:val="DHHS TOC heading fact sheet Char"/>
    <w:link w:val="DHHSTOCheadingfactsheet"/>
    <w:uiPriority w:val="4"/>
    <w:rsid w:val="006A016F"/>
    <w:rPr>
      <w:rFonts w:ascii="Arial" w:hAnsi="Arial"/>
      <w:b/>
      <w:color w:val="007B4B"/>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E2139C"/>
    <w:pPr>
      <w:spacing w:before="80" w:after="60" w:line="280" w:lineRule="atLeast"/>
    </w:pPr>
    <w:rPr>
      <w:rFonts w:ascii="Arial" w:hAnsi="Arial"/>
      <w:sz w:val="22"/>
      <w:lang w:eastAsia="en-US"/>
    </w:rPr>
  </w:style>
  <w:style w:type="paragraph" w:customStyle="1" w:styleId="DHHStablecaption">
    <w:name w:val="DHHS table caption"/>
    <w:next w:val="DHHSbody"/>
    <w:uiPriority w:val="3"/>
    <w:qFormat/>
    <w:rsid w:val="00F575C2"/>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7436"/>
    <w:pPr>
      <w:spacing w:line="560" w:lineRule="atLeast"/>
    </w:pPr>
    <w:rPr>
      <w:rFonts w:ascii="Arial" w:hAnsi="Arial"/>
      <w:color w:val="FFFFFF"/>
      <w:sz w:val="6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styleId="Strong">
    <w:name w:val="Strong"/>
    <w:uiPriority w:val="22"/>
    <w:qFormat/>
    <w:rsid w:val="0048442F"/>
    <w:rPr>
      <w:b/>
      <w:bC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6A016F"/>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47436"/>
    <w:rPr>
      <w:rFonts w:ascii="Arial" w:hAnsi="Arial"/>
      <w:color w:val="FFFFFF"/>
      <w:sz w:val="36"/>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4"/>
    <w:rsid w:val="00152073"/>
    <w:pPr>
      <w:numPr>
        <w:numId w:val="8"/>
      </w:numPr>
    </w:pPr>
  </w:style>
  <w:style w:type="paragraph" w:customStyle="1" w:styleId="DHHSnumberloweralphaindent">
    <w:name w:val="DHHS number lower alpha indent"/>
    <w:basedOn w:val="DHHSbody"/>
    <w:uiPriority w:val="4"/>
    <w:qFormat/>
    <w:rsid w:val="00152073"/>
    <w:pPr>
      <w:numPr>
        <w:ilvl w:val="3"/>
        <w:numId w:val="8"/>
      </w:numPr>
    </w:pPr>
  </w:style>
  <w:style w:type="paragraph" w:customStyle="1" w:styleId="DHHSnumberdigitindent">
    <w:name w:val="DHHS number digit indent"/>
    <w:basedOn w:val="DHHSnumberloweralphaindent"/>
    <w:uiPriority w:val="4"/>
    <w:qFormat/>
    <w:rsid w:val="00152073"/>
    <w:pPr>
      <w:numPr>
        <w:ilvl w:val="1"/>
      </w:numPr>
    </w:pPr>
  </w:style>
  <w:style w:type="paragraph" w:customStyle="1" w:styleId="DHHSnumberloweralpha">
    <w:name w:val="DHHS number lower alpha"/>
    <w:basedOn w:val="DHHSbody"/>
    <w:uiPriority w:val="4"/>
    <w:qFormat/>
    <w:rsid w:val="00152073"/>
    <w:pPr>
      <w:numPr>
        <w:ilvl w:val="2"/>
        <w:numId w:val="8"/>
      </w:numPr>
    </w:pPr>
  </w:style>
  <w:style w:type="paragraph" w:customStyle="1" w:styleId="DHHSnumberlowerroman">
    <w:name w:val="DHHS number lower roman"/>
    <w:basedOn w:val="DHHSbody"/>
    <w:uiPriority w:val="4"/>
    <w:qFormat/>
    <w:rsid w:val="00152073"/>
    <w:pPr>
      <w:numPr>
        <w:ilvl w:val="4"/>
        <w:numId w:val="8"/>
      </w:numPr>
    </w:pPr>
  </w:style>
  <w:style w:type="paragraph" w:customStyle="1" w:styleId="DHHSnumberlowerromanindent">
    <w:name w:val="DHHS number lower roman indent"/>
    <w:basedOn w:val="DHHSbody"/>
    <w:uiPriority w:val="4"/>
    <w:qFormat/>
    <w:rsid w:val="00152073"/>
    <w:pPr>
      <w:numPr>
        <w:ilvl w:val="5"/>
        <w:numId w:val="8"/>
      </w:numPr>
    </w:pPr>
  </w:style>
  <w:style w:type="paragraph" w:customStyle="1" w:styleId="DHHSquote">
    <w:name w:val="DHHS quote"/>
    <w:basedOn w:val="DHHSbody"/>
    <w:uiPriority w:val="3"/>
    <w:qFormat/>
    <w:rsid w:val="00F203D3"/>
    <w:rPr>
      <w:color w:val="53565A"/>
      <w:sz w:val="26"/>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7034E7"/>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8D2F4B"/>
  </w:style>
  <w:style w:type="paragraph" w:styleId="BalloonText">
    <w:name w:val="Balloon Text"/>
    <w:basedOn w:val="Normal"/>
    <w:link w:val="BalloonTextChar"/>
    <w:uiPriority w:val="99"/>
    <w:semiHidden/>
    <w:unhideWhenUsed/>
    <w:rsid w:val="0086791C"/>
    <w:rPr>
      <w:rFonts w:ascii="Tahoma" w:hAnsi="Tahoma" w:cs="Tahoma"/>
      <w:sz w:val="16"/>
      <w:szCs w:val="16"/>
    </w:rPr>
  </w:style>
  <w:style w:type="character" w:customStyle="1" w:styleId="BalloonTextChar">
    <w:name w:val="Balloon Text Char"/>
    <w:basedOn w:val="DefaultParagraphFont"/>
    <w:link w:val="BalloonText"/>
    <w:uiPriority w:val="99"/>
    <w:semiHidden/>
    <w:rsid w:val="0086791C"/>
    <w:rPr>
      <w:rFonts w:ascii="Tahoma" w:hAnsi="Tahoma" w:cs="Tahoma"/>
      <w:sz w:val="16"/>
      <w:szCs w:val="16"/>
      <w:lang w:eastAsia="en-US"/>
    </w:rPr>
  </w:style>
  <w:style w:type="character" w:styleId="CommentReference">
    <w:name w:val="annotation reference"/>
    <w:basedOn w:val="DefaultParagraphFont"/>
    <w:uiPriority w:val="99"/>
    <w:semiHidden/>
    <w:unhideWhenUsed/>
    <w:rsid w:val="00A101F4"/>
    <w:rPr>
      <w:sz w:val="16"/>
      <w:szCs w:val="16"/>
    </w:rPr>
  </w:style>
  <w:style w:type="paragraph" w:styleId="CommentText">
    <w:name w:val="annotation text"/>
    <w:basedOn w:val="Normal"/>
    <w:link w:val="CommentTextChar"/>
    <w:uiPriority w:val="99"/>
    <w:semiHidden/>
    <w:unhideWhenUsed/>
    <w:rsid w:val="00A101F4"/>
  </w:style>
  <w:style w:type="character" w:customStyle="1" w:styleId="CommentTextChar">
    <w:name w:val="Comment Text Char"/>
    <w:basedOn w:val="DefaultParagraphFont"/>
    <w:link w:val="CommentText"/>
    <w:uiPriority w:val="99"/>
    <w:semiHidden/>
    <w:rsid w:val="00A101F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101F4"/>
    <w:rPr>
      <w:b/>
      <w:bCs/>
    </w:rPr>
  </w:style>
  <w:style w:type="character" w:customStyle="1" w:styleId="CommentSubjectChar">
    <w:name w:val="Comment Subject Char"/>
    <w:basedOn w:val="CommentTextChar"/>
    <w:link w:val="CommentSubject"/>
    <w:uiPriority w:val="99"/>
    <w:semiHidden/>
    <w:rsid w:val="00A101F4"/>
    <w:rPr>
      <w:rFonts w:ascii="Cambria" w:hAnsi="Cambria"/>
      <w:b/>
      <w:bCs/>
      <w:lang w:eastAsia="en-US"/>
    </w:rPr>
  </w:style>
  <w:style w:type="character" w:customStyle="1" w:styleId="DHHSbodyChar">
    <w:name w:val="DHHS body Char"/>
    <w:basedOn w:val="DefaultParagraphFont"/>
    <w:link w:val="DHHSbody"/>
    <w:rsid w:val="00B5087C"/>
    <w:rPr>
      <w:rFonts w:ascii="Arial" w:eastAsia="Times"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A441D4"/>
    <w:rPr>
      <w:rFonts w:ascii="Cambria" w:hAnsi="Cambria"/>
      <w:lang w:eastAsia="en-US"/>
    </w:rPr>
  </w:style>
  <w:style w:type="paragraph" w:styleId="Heading1">
    <w:name w:val="heading 1"/>
    <w:next w:val="DHHSbody"/>
    <w:link w:val="Heading1Char"/>
    <w:uiPriority w:val="1"/>
    <w:qFormat/>
    <w:rsid w:val="00C47436"/>
    <w:pPr>
      <w:keepNext/>
      <w:keepLines/>
      <w:spacing w:before="320" w:after="200" w:line="440" w:lineRule="atLeast"/>
      <w:outlineLvl w:val="0"/>
    </w:pPr>
    <w:rPr>
      <w:rFonts w:ascii="Arial" w:eastAsia="MS Gothic" w:hAnsi="Arial" w:cs="Arial"/>
      <w:bCs/>
      <w:color w:val="007B4B"/>
      <w:kern w:val="32"/>
      <w:sz w:val="44"/>
      <w:szCs w:val="40"/>
      <w:lang w:eastAsia="en-US"/>
    </w:rPr>
  </w:style>
  <w:style w:type="paragraph" w:styleId="Heading2">
    <w:name w:val="heading 2"/>
    <w:next w:val="DHHSbody"/>
    <w:link w:val="Heading2Char"/>
    <w:uiPriority w:val="1"/>
    <w:qFormat/>
    <w:rsid w:val="006A016F"/>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E2139C"/>
    <w:pPr>
      <w:spacing w:after="120" w:line="280" w:lineRule="atLeast"/>
    </w:pPr>
    <w:rPr>
      <w:rFonts w:ascii="Arial" w:eastAsia="Times" w:hAnsi="Arial"/>
      <w:sz w:val="22"/>
      <w:lang w:eastAsia="en-US"/>
    </w:rPr>
  </w:style>
  <w:style w:type="character" w:customStyle="1" w:styleId="Heading1Char">
    <w:name w:val="Heading 1 Char"/>
    <w:link w:val="Heading1"/>
    <w:uiPriority w:val="1"/>
    <w:rsid w:val="00C47436"/>
    <w:rPr>
      <w:rFonts w:ascii="Arial" w:eastAsia="MS Gothic" w:hAnsi="Arial" w:cs="Arial"/>
      <w:bCs/>
      <w:color w:val="007B4B"/>
      <w:kern w:val="32"/>
      <w:sz w:val="44"/>
      <w:szCs w:val="40"/>
      <w:lang w:eastAsia="en-US"/>
    </w:rPr>
  </w:style>
  <w:style w:type="character" w:customStyle="1" w:styleId="Heading2Char">
    <w:name w:val="Heading 2 Char"/>
    <w:link w:val="Heading2"/>
    <w:uiPriority w:val="1"/>
    <w:rsid w:val="006A016F"/>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C47436"/>
    <w:pPr>
      <w:numPr>
        <w:numId w:val="7"/>
      </w:numPr>
      <w:spacing w:after="8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AA5797"/>
    <w:pPr>
      <w:keepLines/>
      <w:tabs>
        <w:tab w:val="right" w:leader="dot" w:pos="9072"/>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DHHSfigurecaptionChar">
    <w:name w:val="DHHS figure caption Char"/>
    <w:link w:val="DHHSfigurecaption"/>
    <w:uiPriority w:val="4"/>
    <w:rsid w:val="00D0539B"/>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6A016F"/>
    <w:pPr>
      <w:spacing w:before="0" w:after="200"/>
      <w:outlineLvl w:val="9"/>
    </w:pPr>
  </w:style>
  <w:style w:type="character" w:customStyle="1" w:styleId="DHHSTOCheadingfactsheetChar">
    <w:name w:val="DHHS TOC heading fact sheet Char"/>
    <w:link w:val="DHHSTOCheadingfactsheet"/>
    <w:uiPriority w:val="4"/>
    <w:rsid w:val="006A016F"/>
    <w:rPr>
      <w:rFonts w:ascii="Arial" w:hAnsi="Arial"/>
      <w:b/>
      <w:color w:val="007B4B"/>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E2139C"/>
    <w:pPr>
      <w:spacing w:before="80" w:after="60" w:line="280" w:lineRule="atLeast"/>
    </w:pPr>
    <w:rPr>
      <w:rFonts w:ascii="Arial" w:hAnsi="Arial"/>
      <w:sz w:val="22"/>
      <w:lang w:eastAsia="en-US"/>
    </w:rPr>
  </w:style>
  <w:style w:type="paragraph" w:customStyle="1" w:styleId="DHHStablecaption">
    <w:name w:val="DHHS table caption"/>
    <w:next w:val="DHHSbody"/>
    <w:uiPriority w:val="3"/>
    <w:qFormat/>
    <w:rsid w:val="00F575C2"/>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7436"/>
    <w:pPr>
      <w:spacing w:line="560" w:lineRule="atLeast"/>
    </w:pPr>
    <w:rPr>
      <w:rFonts w:ascii="Arial" w:hAnsi="Arial"/>
      <w:color w:val="FFFFFF"/>
      <w:sz w:val="6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styleId="Strong">
    <w:name w:val="Strong"/>
    <w:uiPriority w:val="22"/>
    <w:qFormat/>
    <w:rsid w:val="0048442F"/>
    <w:rPr>
      <w:b/>
      <w:bC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6A016F"/>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47436"/>
    <w:rPr>
      <w:rFonts w:ascii="Arial" w:hAnsi="Arial"/>
      <w:color w:val="FFFFFF"/>
      <w:sz w:val="36"/>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4"/>
    <w:rsid w:val="00152073"/>
    <w:pPr>
      <w:numPr>
        <w:numId w:val="8"/>
      </w:numPr>
    </w:pPr>
  </w:style>
  <w:style w:type="paragraph" w:customStyle="1" w:styleId="DHHSnumberloweralphaindent">
    <w:name w:val="DHHS number lower alpha indent"/>
    <w:basedOn w:val="DHHSbody"/>
    <w:uiPriority w:val="4"/>
    <w:qFormat/>
    <w:rsid w:val="00152073"/>
    <w:pPr>
      <w:numPr>
        <w:ilvl w:val="3"/>
        <w:numId w:val="8"/>
      </w:numPr>
    </w:pPr>
  </w:style>
  <w:style w:type="paragraph" w:customStyle="1" w:styleId="DHHSnumberdigitindent">
    <w:name w:val="DHHS number digit indent"/>
    <w:basedOn w:val="DHHSnumberloweralphaindent"/>
    <w:uiPriority w:val="4"/>
    <w:qFormat/>
    <w:rsid w:val="00152073"/>
    <w:pPr>
      <w:numPr>
        <w:ilvl w:val="1"/>
      </w:numPr>
    </w:pPr>
  </w:style>
  <w:style w:type="paragraph" w:customStyle="1" w:styleId="DHHSnumberloweralpha">
    <w:name w:val="DHHS number lower alpha"/>
    <w:basedOn w:val="DHHSbody"/>
    <w:uiPriority w:val="4"/>
    <w:qFormat/>
    <w:rsid w:val="00152073"/>
    <w:pPr>
      <w:numPr>
        <w:ilvl w:val="2"/>
        <w:numId w:val="8"/>
      </w:numPr>
    </w:pPr>
  </w:style>
  <w:style w:type="paragraph" w:customStyle="1" w:styleId="DHHSnumberlowerroman">
    <w:name w:val="DHHS number lower roman"/>
    <w:basedOn w:val="DHHSbody"/>
    <w:uiPriority w:val="4"/>
    <w:qFormat/>
    <w:rsid w:val="00152073"/>
    <w:pPr>
      <w:numPr>
        <w:ilvl w:val="4"/>
        <w:numId w:val="8"/>
      </w:numPr>
    </w:pPr>
  </w:style>
  <w:style w:type="paragraph" w:customStyle="1" w:styleId="DHHSnumberlowerromanindent">
    <w:name w:val="DHHS number lower roman indent"/>
    <w:basedOn w:val="DHHSbody"/>
    <w:uiPriority w:val="4"/>
    <w:qFormat/>
    <w:rsid w:val="00152073"/>
    <w:pPr>
      <w:numPr>
        <w:ilvl w:val="5"/>
        <w:numId w:val="8"/>
      </w:numPr>
    </w:pPr>
  </w:style>
  <w:style w:type="paragraph" w:customStyle="1" w:styleId="DHHSquote">
    <w:name w:val="DHHS quote"/>
    <w:basedOn w:val="DHHSbody"/>
    <w:uiPriority w:val="3"/>
    <w:qFormat/>
    <w:rsid w:val="00F203D3"/>
    <w:rPr>
      <w:color w:val="53565A"/>
      <w:sz w:val="26"/>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7034E7"/>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8D2F4B"/>
  </w:style>
  <w:style w:type="paragraph" w:styleId="BalloonText">
    <w:name w:val="Balloon Text"/>
    <w:basedOn w:val="Normal"/>
    <w:link w:val="BalloonTextChar"/>
    <w:uiPriority w:val="99"/>
    <w:semiHidden/>
    <w:unhideWhenUsed/>
    <w:rsid w:val="0086791C"/>
    <w:rPr>
      <w:rFonts w:ascii="Tahoma" w:hAnsi="Tahoma" w:cs="Tahoma"/>
      <w:sz w:val="16"/>
      <w:szCs w:val="16"/>
    </w:rPr>
  </w:style>
  <w:style w:type="character" w:customStyle="1" w:styleId="BalloonTextChar">
    <w:name w:val="Balloon Text Char"/>
    <w:basedOn w:val="DefaultParagraphFont"/>
    <w:link w:val="BalloonText"/>
    <w:uiPriority w:val="99"/>
    <w:semiHidden/>
    <w:rsid w:val="0086791C"/>
    <w:rPr>
      <w:rFonts w:ascii="Tahoma" w:hAnsi="Tahoma" w:cs="Tahoma"/>
      <w:sz w:val="16"/>
      <w:szCs w:val="16"/>
      <w:lang w:eastAsia="en-US"/>
    </w:rPr>
  </w:style>
  <w:style w:type="character" w:styleId="CommentReference">
    <w:name w:val="annotation reference"/>
    <w:basedOn w:val="DefaultParagraphFont"/>
    <w:uiPriority w:val="99"/>
    <w:semiHidden/>
    <w:unhideWhenUsed/>
    <w:rsid w:val="00A101F4"/>
    <w:rPr>
      <w:sz w:val="16"/>
      <w:szCs w:val="16"/>
    </w:rPr>
  </w:style>
  <w:style w:type="paragraph" w:styleId="CommentText">
    <w:name w:val="annotation text"/>
    <w:basedOn w:val="Normal"/>
    <w:link w:val="CommentTextChar"/>
    <w:uiPriority w:val="99"/>
    <w:semiHidden/>
    <w:unhideWhenUsed/>
    <w:rsid w:val="00A101F4"/>
  </w:style>
  <w:style w:type="character" w:customStyle="1" w:styleId="CommentTextChar">
    <w:name w:val="Comment Text Char"/>
    <w:basedOn w:val="DefaultParagraphFont"/>
    <w:link w:val="CommentText"/>
    <w:uiPriority w:val="99"/>
    <w:semiHidden/>
    <w:rsid w:val="00A101F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101F4"/>
    <w:rPr>
      <w:b/>
      <w:bCs/>
    </w:rPr>
  </w:style>
  <w:style w:type="character" w:customStyle="1" w:styleId="CommentSubjectChar">
    <w:name w:val="Comment Subject Char"/>
    <w:basedOn w:val="CommentTextChar"/>
    <w:link w:val="CommentSubject"/>
    <w:uiPriority w:val="99"/>
    <w:semiHidden/>
    <w:rsid w:val="00A101F4"/>
    <w:rPr>
      <w:rFonts w:ascii="Cambria" w:hAnsi="Cambria"/>
      <w:b/>
      <w:bCs/>
      <w:lang w:eastAsia="en-US"/>
    </w:rPr>
  </w:style>
  <w:style w:type="character" w:customStyle="1" w:styleId="DHHSbodyChar">
    <w:name w:val="DHHS body Char"/>
    <w:basedOn w:val="DefaultParagraphFont"/>
    <w:link w:val="DHHSbody"/>
    <w:rsid w:val="00B5087C"/>
    <w:rPr>
      <w:rFonts w:ascii="Arial" w:eastAsia="Times"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82018">
      <w:bodyDiv w:val="1"/>
      <w:marLeft w:val="0"/>
      <w:marRight w:val="0"/>
      <w:marTop w:val="0"/>
      <w:marBottom w:val="0"/>
      <w:divBdr>
        <w:top w:val="none" w:sz="0" w:space="0" w:color="auto"/>
        <w:left w:val="none" w:sz="0" w:space="0" w:color="auto"/>
        <w:bottom w:val="none" w:sz="0" w:space="0" w:color="auto"/>
        <w:right w:val="none" w:sz="0" w:space="0" w:color="auto"/>
      </w:divBdr>
      <w:divsChild>
        <w:div w:id="254368094">
          <w:marLeft w:val="547"/>
          <w:marRight w:val="0"/>
          <w:marTop w:val="0"/>
          <w:marBottom w:val="0"/>
          <w:divBdr>
            <w:top w:val="none" w:sz="0" w:space="0" w:color="auto"/>
            <w:left w:val="none" w:sz="0" w:space="0" w:color="auto"/>
            <w:bottom w:val="none" w:sz="0" w:space="0" w:color="auto"/>
            <w:right w:val="none" w:sz="0" w:space="0" w:color="auto"/>
          </w:divBdr>
        </w:div>
      </w:divsChild>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dhhs.vic.gov.au/better-regulatory-practice-framewor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hhs.vic.gov.au/better-regulatory-practice-framework" TargetMode="External"/><Relationship Id="rId17" Type="http://schemas.openxmlformats.org/officeDocument/2006/relationships/hyperlink" Target="mailto:infectious.diseases@dhhs.vic.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Landscape%2004%20Green%2077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09669-B8B7-4668-80C0-302D0E03F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Landscape 04 Green 7726.dot</Template>
  <TotalTime>2</TotalTime>
  <Pages>2</Pages>
  <Words>584</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Communicable diseases regulator plan on a page: Communicable disease regulator plan March 2018 – June 2019</vt:lpstr>
    </vt:vector>
  </TitlesOfParts>
  <Company>Department of Health and Human Services</Company>
  <LinksUpToDate>false</LinksUpToDate>
  <CharactersWithSpaces>4525</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regulator plan on a page: Communicable disease regulator plan March 2018 – June 2019</dc:title>
  <dc:subject>Communicable diseases regulator plan on a page</dc:subject>
  <dc:creator>Communicable Disease</dc:creator>
  <cp:keywords>Communicable disease, regulation, Better regulatory practice framework, plan on a page</cp:keywords>
  <cp:revision>2</cp:revision>
  <cp:lastPrinted>2018-03-14T01:43:00Z</cp:lastPrinted>
  <dcterms:created xsi:type="dcterms:W3CDTF">2018-08-07T04:13:00Z</dcterms:created>
  <dcterms:modified xsi:type="dcterms:W3CDTF">2018-08-07T04:13:00Z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