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BB6F41" w:rsidP="00DE6028">
      <w:pPr>
        <w:pStyle w:val="Spacerparatopoffirstpage"/>
      </w:pPr>
      <w:r>
        <w:rPr>
          <w:rFonts w:ascii="Cambria" w:eastAsia="Times New Roman" w:hAnsi="Cambria"/>
          <w:sz w:val="16"/>
          <w:szCs w:val="16"/>
          <w:lang w:eastAsia="en-AU"/>
        </w:rPr>
        <w:drawing>
          <wp:anchor distT="0" distB="0" distL="114300" distR="114300" simplePos="0" relativeHeight="251658240" behindDoc="1" locked="0" layoutInCell="1" allowOverlap="1">
            <wp:simplePos x="0" y="0"/>
            <wp:positionH relativeFrom="page">
              <wp:posOffset>-59377</wp:posOffset>
            </wp:positionH>
            <wp:positionV relativeFrom="page">
              <wp:posOffset>0</wp:posOffset>
            </wp:positionV>
            <wp:extent cx="15162423" cy="1804480"/>
            <wp:effectExtent l="0" t="0" r="1905" b="5715"/>
            <wp:wrapNone/>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mm deep banner A3 factsheet Landscape.jpg"/>
                    <pic:cNvPicPr/>
                  </pic:nvPicPr>
                  <pic:blipFill>
                    <a:blip r:embed="rId9">
                      <a:extLst>
                        <a:ext uri="{28A0092B-C50C-407E-A947-70E740481C1C}">
                          <a14:useLocalDpi xmlns:a14="http://schemas.microsoft.com/office/drawing/2010/main" val="0"/>
                        </a:ext>
                      </a:extLst>
                    </a:blip>
                    <a:stretch>
                      <a:fillRect/>
                    </a:stretch>
                  </pic:blipFill>
                  <pic:spPr>
                    <a:xfrm>
                      <a:off x="0" y="0"/>
                      <a:ext cx="15194732" cy="1808325"/>
                    </a:xfrm>
                    <a:prstGeom prst="rect">
                      <a:avLst/>
                    </a:prstGeom>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EE6B38">
          <w:headerReference w:type="even" r:id="rId10"/>
          <w:headerReference w:type="default" r:id="rId11"/>
          <w:footerReference w:type="even" r:id="rId12"/>
          <w:footerReference w:type="default" r:id="rId13"/>
          <w:headerReference w:type="first" r:id="rId14"/>
          <w:footerReference w:type="first" r:id="rId15"/>
          <w:pgSz w:w="23814" w:h="16840" w:orient="landscape" w:code="8"/>
          <w:pgMar w:top="425" w:right="851" w:bottom="1418" w:left="851" w:header="510" w:footer="510" w:gutter="0"/>
          <w:cols w:space="708"/>
          <w:docGrid w:linePitch="360"/>
        </w:sectPr>
      </w:pPr>
    </w:p>
    <w:tbl>
      <w:tblPr>
        <w:tblW w:w="13291" w:type="dxa"/>
        <w:tblLook w:val="04A0" w:firstRow="1" w:lastRow="0" w:firstColumn="1" w:lastColumn="0" w:noHBand="0" w:noVBand="1"/>
      </w:tblPr>
      <w:tblGrid>
        <w:gridCol w:w="13291"/>
      </w:tblGrid>
      <w:tr w:rsidR="003A3438" w:rsidTr="00BA4845">
        <w:trPr>
          <w:trHeight w:val="1106"/>
        </w:trPr>
        <w:tc>
          <w:tcPr>
            <w:tcW w:w="13291" w:type="dxa"/>
            <w:shd w:val="clear" w:color="auto" w:fill="auto"/>
            <w:vAlign w:val="bottom"/>
          </w:tcPr>
          <w:p w:rsidR="003A3438" w:rsidRPr="00161AA0" w:rsidRDefault="00C23DB1" w:rsidP="00F203D3">
            <w:pPr>
              <w:pStyle w:val="DHHSmainheading"/>
            </w:pPr>
            <w:bookmarkStart w:id="0" w:name="_Toc410762195"/>
            <w:r>
              <w:lastRenderedPageBreak/>
              <w:t>Radiation</w:t>
            </w:r>
            <w:r w:rsidR="004E7E8C">
              <w:t xml:space="preserve"> safety</w:t>
            </w:r>
            <w:r w:rsidR="00852D57" w:rsidRPr="00EB3422">
              <w:t xml:space="preserve"> </w:t>
            </w:r>
            <w:r w:rsidR="00852D57">
              <w:t>r</w:t>
            </w:r>
            <w:r w:rsidR="00EB3422" w:rsidRPr="00EB3422">
              <w:t>egulator</w:t>
            </w:r>
            <w:r w:rsidR="00F203D3">
              <w:t xml:space="preserve"> plan on a page</w:t>
            </w:r>
          </w:p>
        </w:tc>
      </w:tr>
      <w:tr w:rsidR="003A3438" w:rsidTr="00C47436">
        <w:trPr>
          <w:trHeight w:hRule="exact" w:val="907"/>
        </w:trPr>
        <w:tc>
          <w:tcPr>
            <w:tcW w:w="13291" w:type="dxa"/>
            <w:shd w:val="clear" w:color="auto" w:fill="auto"/>
            <w:tcMar>
              <w:top w:w="340" w:type="dxa"/>
              <w:bottom w:w="680" w:type="dxa"/>
            </w:tcMar>
          </w:tcPr>
          <w:p w:rsidR="003A3438" w:rsidRDefault="00F203D3" w:rsidP="00F203D3">
            <w:pPr>
              <w:pStyle w:val="DHHSmainsubheading"/>
            </w:pPr>
            <w:r>
              <w:t>Radiation</w:t>
            </w:r>
            <w:r w:rsidR="00BB6F41">
              <w:t xml:space="preserve"> safety</w:t>
            </w:r>
            <w:r w:rsidR="00814111">
              <w:t xml:space="preserve"> regulator plan March</w:t>
            </w:r>
            <w:r>
              <w:t xml:space="preserve"> 2018 – June 2019</w:t>
            </w:r>
          </w:p>
        </w:tc>
      </w:tr>
    </w:tbl>
    <w:p w:rsidR="00E43426" w:rsidRDefault="00E43426" w:rsidP="00310351">
      <w:pPr>
        <w:pStyle w:val="DHHSbody"/>
      </w:pPr>
    </w:p>
    <w:p w:rsidR="00E43426" w:rsidRDefault="00E43426" w:rsidP="00310351">
      <w:pPr>
        <w:pStyle w:val="DHHSbody"/>
        <w:sectPr w:rsidR="00E43426" w:rsidSect="00EE6B38">
          <w:type w:val="continuous"/>
          <w:pgSz w:w="23814" w:h="16840" w:orient="landscape" w:code="8"/>
          <w:pgMar w:top="851" w:right="851" w:bottom="851" w:left="851" w:header="567" w:footer="510" w:gutter="0"/>
          <w:cols w:space="720"/>
          <w:docGrid w:linePitch="272"/>
        </w:sectPr>
      </w:pPr>
    </w:p>
    <w:bookmarkEnd w:id="0"/>
    <w:p w:rsidR="008C3808" w:rsidRDefault="00852D57" w:rsidP="00F203D3">
      <w:pPr>
        <w:pStyle w:val="DHHSquote"/>
      </w:pPr>
      <w:r w:rsidRPr="00923937">
        <w:lastRenderedPageBreak/>
        <w:t>This document</w:t>
      </w:r>
      <w:r w:rsidR="00C17EFB">
        <w:t xml:space="preserve"> </w:t>
      </w:r>
      <w:r w:rsidR="00F43081" w:rsidRPr="00F43081">
        <w:t xml:space="preserve">summarises the key elements of </w:t>
      </w:r>
      <w:r w:rsidR="00C17EFB">
        <w:t>the</w:t>
      </w:r>
      <w:r w:rsidR="00C17EFB" w:rsidRPr="00C17EFB">
        <w:t xml:space="preserve"> </w:t>
      </w:r>
      <w:r w:rsidR="00C17EFB" w:rsidRPr="00C17EFB">
        <w:rPr>
          <w:i/>
        </w:rPr>
        <w:t>Radiation safety regulator plan</w:t>
      </w:r>
      <w:r w:rsidR="00F43081">
        <w:t>. The plan</w:t>
      </w:r>
      <w:r w:rsidRPr="00923937">
        <w:t xml:space="preserve"> provides the context the regulator works within and an overview of its regulatory framework and activities. This is supported by the </w:t>
      </w:r>
      <w:r w:rsidRPr="00923937">
        <w:rPr>
          <w:i/>
        </w:rPr>
        <w:t>Better regulatory practice framework: January 2018–June 2019</w:t>
      </w:r>
      <w:r w:rsidR="00C461FB" w:rsidRPr="00923937">
        <w:t>, which provides a process for risk-based and accountable regulatory practice, and improved regulatory performance in the health and human services sector.</w:t>
      </w:r>
      <w:r w:rsidR="00C17EFB">
        <w:t xml:space="preserve"> The regulator plan and framework are available on </w:t>
      </w:r>
      <w:hyperlink r:id="rId16" w:history="1">
        <w:r w:rsidR="00C17EFB" w:rsidRPr="00C17EFB">
          <w:rPr>
            <w:rStyle w:val="Hyperlink"/>
          </w:rPr>
          <w:t>Regulatory practice framework</w:t>
        </w:r>
      </w:hyperlink>
      <w:r w:rsidR="00C17EFB">
        <w:t xml:space="preserve"> &lt;</w:t>
      </w:r>
      <w:r w:rsidR="00C17EFB" w:rsidRPr="00C17EFB">
        <w:t>https://www.dhhs.vic.gov.au/bette</w:t>
      </w:r>
      <w:r w:rsidR="00C17EFB">
        <w:t>r-regulatory-practice-framework&gt;.</w:t>
      </w:r>
    </w:p>
    <w:p w:rsidR="00C47436" w:rsidRPr="00923937" w:rsidRDefault="00C47436" w:rsidP="00F203D3">
      <w:pPr>
        <w:pStyle w:val="DHHSquote"/>
      </w:pPr>
    </w:p>
    <w:p w:rsidR="00C47436" w:rsidRDefault="00C47436" w:rsidP="00EB3422">
      <w:pPr>
        <w:pStyle w:val="Heading1"/>
        <w:spacing w:before="0"/>
        <w:sectPr w:rsidR="00C47436" w:rsidSect="00C47436">
          <w:headerReference w:type="default" r:id="rId17"/>
          <w:footerReference w:type="default" r:id="rId18"/>
          <w:type w:val="continuous"/>
          <w:pgSz w:w="23814" w:h="16840" w:orient="landscape" w:code="8"/>
          <w:pgMar w:top="1134" w:right="851" w:bottom="1134" w:left="851" w:header="567" w:footer="510" w:gutter="0"/>
          <w:cols w:space="1446"/>
          <w:titlePg/>
          <w:docGrid w:linePitch="360"/>
        </w:sectPr>
      </w:pPr>
    </w:p>
    <w:p w:rsidR="00EB3422" w:rsidRDefault="00EB3422" w:rsidP="00EB3422">
      <w:pPr>
        <w:pStyle w:val="Heading1"/>
        <w:spacing w:before="0"/>
      </w:pPr>
      <w:r>
        <w:lastRenderedPageBreak/>
        <w:t>Outcomes</w:t>
      </w:r>
    </w:p>
    <w:p w:rsidR="00C23DB1" w:rsidRDefault="001D287F" w:rsidP="00C23DB1">
      <w:pPr>
        <w:pStyle w:val="DHHSbody"/>
      </w:pPr>
      <w:r>
        <w:t>The Radiation T</w:t>
      </w:r>
      <w:r w:rsidR="00C23DB1">
        <w:t>eam’s work is focused on protecting the Victorian community (including both occupationally exposed persons and the general public) and the environment from the harmful effects of radiation.</w:t>
      </w:r>
    </w:p>
    <w:p w:rsidR="00C23DB1" w:rsidRDefault="001D287F" w:rsidP="00C23DB1">
      <w:pPr>
        <w:pStyle w:val="DHHSbody"/>
      </w:pPr>
      <w:r>
        <w:t>The Radiation T</w:t>
      </w:r>
      <w:r w:rsidR="00C23DB1">
        <w:t>eam achieves this protection by:</w:t>
      </w:r>
    </w:p>
    <w:p w:rsidR="00C23DB1" w:rsidRDefault="000B5A8E" w:rsidP="00C23DB1">
      <w:pPr>
        <w:pStyle w:val="DHHSbullet1"/>
      </w:pPr>
      <w:r>
        <w:t>l</w:t>
      </w:r>
      <w:r w:rsidR="00C23DB1">
        <w:t>icensing radiation practices and persons who use radiation sources.</w:t>
      </w:r>
    </w:p>
    <w:p w:rsidR="00C23DB1" w:rsidRDefault="000B5A8E" w:rsidP="00C23DB1">
      <w:pPr>
        <w:pStyle w:val="DHHSbullet1"/>
      </w:pPr>
      <w:r>
        <w:t>i</w:t>
      </w:r>
      <w:r w:rsidR="00C23DB1">
        <w:t>ncreasing the understanding of licence holders about the potential health risks</w:t>
      </w:r>
    </w:p>
    <w:p w:rsidR="00C23DB1" w:rsidRDefault="000B5A8E" w:rsidP="00C23DB1">
      <w:pPr>
        <w:pStyle w:val="DHHSbullet1"/>
      </w:pPr>
      <w:r>
        <w:t>e</w:t>
      </w:r>
      <w:r w:rsidR="00C23DB1">
        <w:t>nforcing relevant radiation protection requirements.</w:t>
      </w:r>
    </w:p>
    <w:p w:rsidR="00EB3422" w:rsidRDefault="00EB3422" w:rsidP="00EB3422">
      <w:pPr>
        <w:pStyle w:val="Heading1"/>
      </w:pPr>
      <w:r>
        <w:t>Who we regulate</w:t>
      </w:r>
    </w:p>
    <w:p w:rsidR="0014502A" w:rsidRDefault="0014502A" w:rsidP="00EB3422">
      <w:pPr>
        <w:pStyle w:val="DHHSbody"/>
      </w:pPr>
      <w:r w:rsidRPr="0014502A">
        <w:t>There are approximately 2,600 active management licences operating at over 3,500 sites across Victoria. There are also over 1</w:t>
      </w:r>
      <w:r w:rsidR="007B0EA1">
        <w:t>4</w:t>
      </w:r>
      <w:r w:rsidRPr="0014502A">
        <w:t xml:space="preserve">,000 active use licences. Regulated entities include companies, organisations and individuals that conduct ‘radiation practices’, or wish to construct a radiation facility. </w:t>
      </w:r>
    </w:p>
    <w:p w:rsidR="004D4322" w:rsidRPr="004D4322" w:rsidRDefault="004D4322" w:rsidP="004D4322">
      <w:pPr>
        <w:pStyle w:val="DHHSbody"/>
        <w:jc w:val="center"/>
        <w:rPr>
          <w:b/>
          <w:sz w:val="24"/>
          <w:szCs w:val="24"/>
        </w:rPr>
      </w:pPr>
      <w:r>
        <w:rPr>
          <w:b/>
          <w:sz w:val="24"/>
          <w:szCs w:val="24"/>
        </w:rPr>
        <w:br w:type="column"/>
      </w:r>
      <w:r w:rsidRPr="004D4322">
        <w:rPr>
          <w:b/>
          <w:i/>
          <w:sz w:val="24"/>
          <w:szCs w:val="24"/>
        </w:rPr>
        <w:lastRenderedPageBreak/>
        <w:t>Radiation Act</w:t>
      </w:r>
      <w:r>
        <w:rPr>
          <w:b/>
          <w:i/>
          <w:sz w:val="24"/>
          <w:szCs w:val="24"/>
        </w:rPr>
        <w:t xml:space="preserve"> 2005</w:t>
      </w:r>
      <w:r>
        <w:rPr>
          <w:b/>
          <w:i/>
          <w:sz w:val="24"/>
          <w:szCs w:val="24"/>
        </w:rPr>
        <w:br/>
      </w:r>
      <w:r>
        <w:rPr>
          <w:b/>
          <w:sz w:val="24"/>
          <w:szCs w:val="24"/>
        </w:rPr>
        <w:t>Radiation Regulations 2017.</w:t>
      </w:r>
    </w:p>
    <w:p w:rsidR="004D4322" w:rsidRPr="004D4322" w:rsidRDefault="004D4322" w:rsidP="004D4322">
      <w:pPr>
        <w:pStyle w:val="DHHSbody"/>
        <w:jc w:val="center"/>
        <w:rPr>
          <w:b/>
          <w:sz w:val="24"/>
          <w:szCs w:val="24"/>
        </w:rPr>
      </w:pPr>
    </w:p>
    <w:p w:rsidR="00BB6F41" w:rsidRPr="00BB6F41" w:rsidRDefault="00F35257" w:rsidP="00BB6F41">
      <w:pPr>
        <w:pStyle w:val="DHHSbody"/>
      </w:pPr>
      <w:bookmarkStart w:id="1" w:name="_GoBack"/>
      <w:r>
        <w:rPr>
          <w:noProof/>
          <w:lang w:eastAsia="en-AU"/>
        </w:rPr>
        <w:drawing>
          <wp:inline distT="0" distB="0" distL="0" distR="0">
            <wp:extent cx="5784090" cy="5486400"/>
            <wp:effectExtent l="0" t="0" r="7620" b="0"/>
            <wp:docPr id="3" name="Picture 3" descr="See description of the regulation tools at the end of this document." title="Regulation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ation safety triangle.png"/>
                    <pic:cNvPicPr/>
                  </pic:nvPicPr>
                  <pic:blipFill>
                    <a:blip r:embed="rId19">
                      <a:extLst>
                        <a:ext uri="{28A0092B-C50C-407E-A947-70E740481C1C}">
                          <a14:useLocalDpi xmlns:a14="http://schemas.microsoft.com/office/drawing/2010/main" val="0"/>
                        </a:ext>
                      </a:extLst>
                    </a:blip>
                    <a:stretch>
                      <a:fillRect/>
                    </a:stretch>
                  </pic:blipFill>
                  <pic:spPr>
                    <a:xfrm>
                      <a:off x="0" y="0"/>
                      <a:ext cx="5790345" cy="5492333"/>
                    </a:xfrm>
                    <a:prstGeom prst="rect">
                      <a:avLst/>
                    </a:prstGeom>
                  </pic:spPr>
                </pic:pic>
              </a:graphicData>
            </a:graphic>
          </wp:inline>
        </w:drawing>
      </w:r>
      <w:bookmarkEnd w:id="1"/>
    </w:p>
    <w:p w:rsidR="00C47436" w:rsidRDefault="00F35257" w:rsidP="00C47436">
      <w:pPr>
        <w:pStyle w:val="Heading1"/>
      </w:pPr>
      <w:r>
        <w:br w:type="column"/>
      </w:r>
      <w:r w:rsidR="00C47436">
        <w:lastRenderedPageBreak/>
        <w:t>Contribution story</w:t>
      </w:r>
    </w:p>
    <w:tbl>
      <w:tblPr>
        <w:tblStyle w:val="TableGrid"/>
        <w:tblW w:w="5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E5DB"/>
        <w:tblCellMar>
          <w:top w:w="284" w:type="dxa"/>
          <w:left w:w="284" w:type="dxa"/>
          <w:bottom w:w="284" w:type="dxa"/>
          <w:right w:w="284" w:type="dxa"/>
        </w:tblCellMar>
        <w:tblLook w:val="04A0" w:firstRow="1" w:lastRow="0" w:firstColumn="1" w:lastColumn="0" w:noHBand="0" w:noVBand="1"/>
      </w:tblPr>
      <w:tblGrid>
        <w:gridCol w:w="5988"/>
      </w:tblGrid>
      <w:tr w:rsidR="00C47436" w:rsidRPr="001F2F2D" w:rsidTr="00BB6F41">
        <w:trPr>
          <w:trHeight w:val="274"/>
        </w:trPr>
        <w:tc>
          <w:tcPr>
            <w:tcW w:w="5988" w:type="dxa"/>
            <w:shd w:val="clear" w:color="auto" w:fill="CCE5DB"/>
          </w:tcPr>
          <w:p w:rsidR="00C47436" w:rsidRDefault="00C47436" w:rsidP="0006109C">
            <w:pPr>
              <w:pStyle w:val="DHHStabletext"/>
            </w:pPr>
            <w:r>
              <w:t>By working with groups such as the Cancer Council and medical specialist colleges, the Radiation Team has worked to continually enforce the ban on commercial tanning, reduce CT dose levels particularly for children, and reduce the theft of portable density moisture gauge</w:t>
            </w:r>
            <w:r w:rsidR="001D287F">
              <w:t>s</w:t>
            </w:r>
            <w:r>
              <w:t xml:space="preserve">. </w:t>
            </w:r>
          </w:p>
          <w:p w:rsidR="00C47436" w:rsidRPr="001F2F2D" w:rsidRDefault="00C47436" w:rsidP="0006109C">
            <w:pPr>
              <w:pStyle w:val="DHHStabletext"/>
            </w:pPr>
            <w:r>
              <w:t>The outcome is a reduction in radiation exposure. An important part of the Radiation Team’s role is to limit the unjustified use of radiation sources and to apply the principles of radiation protection to achieve the intended outcome.</w:t>
            </w:r>
          </w:p>
        </w:tc>
      </w:tr>
    </w:tbl>
    <w:p w:rsidR="00C47436" w:rsidRDefault="00C47436" w:rsidP="00C47436">
      <w:pPr>
        <w:pStyle w:val="Heading1"/>
      </w:pPr>
      <w:r>
        <w:t>Measuring our impacts</w:t>
      </w:r>
    </w:p>
    <w:p w:rsidR="00C47436" w:rsidRDefault="00C47436" w:rsidP="00C47436">
      <w:pPr>
        <w:pStyle w:val="DHHSbody"/>
      </w:pPr>
      <w:r>
        <w:t xml:space="preserve">The Radiation Team monitors how it contributes to reducing harm from radiation by monitoring and reporting on a range of indicators including: </w:t>
      </w:r>
    </w:p>
    <w:p w:rsidR="00C47436" w:rsidRDefault="000B5A8E" w:rsidP="00C47436">
      <w:pPr>
        <w:pStyle w:val="DHHSbullet1"/>
      </w:pPr>
      <w:r>
        <w:t>t</w:t>
      </w:r>
      <w:r w:rsidR="00C47436">
        <w:t>he investigations of ill</w:t>
      </w:r>
      <w:r>
        <w:t>egal commercial tanning salons</w:t>
      </w:r>
    </w:p>
    <w:p w:rsidR="00C47436" w:rsidRDefault="000B5A8E" w:rsidP="00C47436">
      <w:pPr>
        <w:pStyle w:val="DHHSbullet1"/>
      </w:pPr>
      <w:r>
        <w:t>t</w:t>
      </w:r>
      <w:r w:rsidR="00C47436">
        <w:t>he number of inspections. The Key Performance Indicator of 480 inspections per year is a Victorian Budget Paper 3 measure.</w:t>
      </w:r>
    </w:p>
    <w:p w:rsidR="00BB6F41" w:rsidRDefault="00FC0756" w:rsidP="00FC0756">
      <w:pPr>
        <w:pStyle w:val="DHHSbullet1"/>
      </w:pPr>
      <w:r>
        <w:t>t</w:t>
      </w:r>
      <w:r w:rsidR="00C47436">
        <w:t xml:space="preserve">he percentage of incident reports involving </w:t>
      </w:r>
      <w:r w:rsidR="008B615B">
        <w:t>high-risk</w:t>
      </w:r>
      <w:r w:rsidR="00C47436">
        <w:t xml:space="preserve"> radiation</w:t>
      </w:r>
      <w:r w:rsidR="00BB6F41">
        <w:t xml:space="preserve"> practices that are investigate</w:t>
      </w:r>
      <w:r>
        <w:t>d.</w:t>
      </w:r>
    </w:p>
    <w:p w:rsidR="00BB6F41" w:rsidRDefault="00BB6F41" w:rsidP="00C47436">
      <w:pPr>
        <w:pStyle w:val="DHHSbody"/>
        <w:sectPr w:rsidR="00BB6F41" w:rsidSect="00F35257">
          <w:footerReference w:type="default" r:id="rId20"/>
          <w:type w:val="continuous"/>
          <w:pgSz w:w="23814" w:h="16840" w:orient="landscape" w:code="8"/>
          <w:pgMar w:top="1134" w:right="851" w:bottom="1134" w:left="851" w:header="567" w:footer="510" w:gutter="0"/>
          <w:cols w:num="3" w:space="283" w:equalWidth="0">
            <w:col w:w="6237" w:space="283"/>
            <w:col w:w="9072" w:space="283"/>
            <w:col w:w="6237"/>
          </w:cols>
          <w:titlePg/>
          <w:docGrid w:linePitch="360"/>
        </w:sectPr>
      </w:pPr>
    </w:p>
    <w:p w:rsidR="00BB6F41" w:rsidRDefault="00BB6F41" w:rsidP="00C47436">
      <w:pPr>
        <w:pStyle w:val="DHHSbody"/>
      </w:pPr>
    </w:p>
    <w:p w:rsidR="00382207" w:rsidRDefault="00382207" w:rsidP="00382207">
      <w:pPr>
        <w:pStyle w:val="Heading1"/>
        <w:spacing w:before="0"/>
      </w:pPr>
      <w:r>
        <w:t xml:space="preserve">Diagram text </w:t>
      </w:r>
    </w:p>
    <w:p w:rsidR="00382207" w:rsidRPr="00A37343" w:rsidRDefault="00382207" w:rsidP="00382207">
      <w:pPr>
        <w:pStyle w:val="DHHSbody"/>
      </w:pPr>
      <w:r>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advice and persuasion and ‘warning letters’, through to licence cancellation at the top of the pyramid, where regulated parties deliberately work against intended outcomes and intend to evade compliance obligations.  </w:t>
      </w:r>
    </w:p>
    <w:p w:rsidR="00382207" w:rsidRDefault="00382207" w:rsidP="00C47436">
      <w:pPr>
        <w:pStyle w:val="DHHSbody"/>
      </w:pPr>
    </w:p>
    <w:tbl>
      <w:tblPr>
        <w:tblW w:w="21967" w:type="dxa"/>
        <w:tblInd w:w="113" w:type="dxa"/>
        <w:tblCellMar>
          <w:top w:w="113" w:type="dxa"/>
          <w:bottom w:w="57" w:type="dxa"/>
        </w:tblCellMar>
        <w:tblLook w:val="00A0" w:firstRow="1" w:lastRow="0" w:firstColumn="1" w:lastColumn="0" w:noHBand="0" w:noVBand="0"/>
      </w:tblPr>
      <w:tblGrid>
        <w:gridCol w:w="21967"/>
      </w:tblGrid>
      <w:tr w:rsidR="002802E3" w:rsidRPr="002802E3" w:rsidTr="00EB342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7B0EA1" w:rsidRDefault="00254F58" w:rsidP="007B0EA1">
            <w:pPr>
              <w:pStyle w:val="DHHSaccessibilitypara"/>
            </w:pPr>
            <w:r w:rsidRPr="007B0EA1">
              <w:t>To receive this publication in an accessible format phone</w:t>
            </w:r>
            <w:r w:rsidR="007B0EA1">
              <w:t xml:space="preserve"> </w:t>
            </w:r>
            <w:r w:rsidR="007B0EA1" w:rsidRPr="002A27CB">
              <w:t>1300 767 469</w:t>
            </w:r>
            <w:r w:rsidRPr="007B0EA1">
              <w:t xml:space="preserve">, using the National Relay Service 13 36 77 if required, or </w:t>
            </w:r>
            <w:hyperlink r:id="rId21" w:history="1">
              <w:r w:rsidRPr="000B5A8E">
                <w:rPr>
                  <w:rStyle w:val="Hyperlink"/>
                </w:rPr>
                <w:t>email</w:t>
              </w:r>
              <w:r w:rsidR="007B0EA1" w:rsidRPr="000B5A8E">
                <w:rPr>
                  <w:rStyle w:val="Hyperlink"/>
                </w:rPr>
                <w:t xml:space="preserve"> the Radiation team</w:t>
              </w:r>
            </w:hyperlink>
            <w:r w:rsidR="007B0EA1" w:rsidRPr="007B0EA1">
              <w:t xml:space="preserve"> &lt;radiation.safety@dhhs.vic.gov.au&gt;.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State of Vic</w:t>
            </w:r>
            <w:r w:rsidR="008B2F9E">
              <w:t>toria, Department of Health and</w:t>
            </w:r>
            <w:r w:rsidRPr="00254F58">
              <w:t xml:space="preserve"> Human Services</w:t>
            </w:r>
            <w:r w:rsidR="00A101F4">
              <w:t xml:space="preserve">, </w:t>
            </w:r>
            <w:r w:rsidR="00AB672E">
              <w:t>March</w:t>
            </w:r>
            <w:r w:rsidR="00A101F4">
              <w:t xml:space="preserve"> 2018</w:t>
            </w:r>
            <w:r w:rsidR="00F61A9F">
              <w:t>.</w:t>
            </w:r>
          </w:p>
          <w:p w:rsidR="00254F58" w:rsidRPr="005B5F83" w:rsidRDefault="00254F58" w:rsidP="00254F58">
            <w:pPr>
              <w:pStyle w:val="DHHSbody"/>
            </w:pPr>
            <w:r w:rsidRPr="00254F58">
              <w:t>ISBN</w:t>
            </w:r>
            <w:r w:rsidR="005B5F83">
              <w:t xml:space="preserve"> </w:t>
            </w:r>
            <w:r w:rsidR="005B5F83" w:rsidRPr="005B5F83">
              <w:t>978-1-76069-325-1</w:t>
            </w:r>
            <w:r w:rsidR="005B5F83">
              <w:t xml:space="preserve"> (online)</w:t>
            </w:r>
          </w:p>
          <w:p w:rsidR="002802E3" w:rsidRPr="007B0EA1" w:rsidRDefault="00254F58" w:rsidP="00254F58">
            <w:pPr>
              <w:pStyle w:val="DHHSbody"/>
              <w:rPr>
                <w:szCs w:val="19"/>
              </w:rPr>
            </w:pPr>
            <w:r w:rsidRPr="00254F58">
              <w:rPr>
                <w:szCs w:val="19"/>
              </w:rPr>
              <w:t xml:space="preserve">Available at </w:t>
            </w:r>
            <w:hyperlink r:id="rId22" w:history="1">
              <w:r w:rsidR="007B0EA1" w:rsidRPr="007B0EA1">
                <w:rPr>
                  <w:rStyle w:val="Hyperlink"/>
                  <w:szCs w:val="19"/>
                </w:rPr>
                <w:t>Regulatory practice framework</w:t>
              </w:r>
            </w:hyperlink>
            <w:r w:rsidR="007B0EA1" w:rsidRPr="007B0EA1">
              <w:rPr>
                <w:szCs w:val="19"/>
              </w:rPr>
              <w:t xml:space="preserve"> &lt;https://www.dhhs.vic.gov.au/better-regulatory-practice-framework</w:t>
            </w:r>
            <w:r w:rsidR="007B0EA1">
              <w:rPr>
                <w:szCs w:val="19"/>
              </w:rPr>
              <w:t>&gt;</w:t>
            </w:r>
          </w:p>
        </w:tc>
      </w:tr>
    </w:tbl>
    <w:p w:rsidR="00B2752E" w:rsidRPr="00906490" w:rsidRDefault="00B2752E" w:rsidP="00FF6D9D">
      <w:pPr>
        <w:pStyle w:val="DHHSbody"/>
      </w:pPr>
    </w:p>
    <w:sectPr w:rsidR="00B2752E" w:rsidRPr="00906490" w:rsidSect="00BB6F41">
      <w:pgSz w:w="23814" w:h="16840" w:orient="landscape" w:code="8"/>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38" w:rsidRDefault="00EE6B38">
      <w:r>
        <w:separator/>
      </w:r>
    </w:p>
  </w:endnote>
  <w:endnote w:type="continuationSeparator" w:id="0">
    <w:p w:rsidR="00EE6B38" w:rsidRDefault="00E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3E" w:rsidRDefault="00DE5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E3D31" w:rsidP="007034E7">
    <w:pPr>
      <w:pStyle w:val="DHHSfooter"/>
    </w:pPr>
    <w:r>
      <w:rPr>
        <w:noProof/>
        <w:lang w:eastAsia="en-AU"/>
      </w:rPr>
      <w:drawing>
        <wp:anchor distT="0" distB="0" distL="114300" distR="114300" simplePos="0" relativeHeight="251659264" behindDoc="1" locked="1" layoutInCell="0" allowOverlap="1" wp14:anchorId="500B49CB" wp14:editId="5C1ADBE4">
          <wp:simplePos x="0" y="0"/>
          <wp:positionH relativeFrom="page">
            <wp:posOffset>4522470</wp:posOffset>
          </wp:positionH>
          <wp:positionV relativeFrom="page">
            <wp:posOffset>9917430</wp:posOffset>
          </wp:positionV>
          <wp:extent cx="10691495" cy="791845"/>
          <wp:effectExtent l="0" t="0" r="0" b="8255"/>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8E" w:rsidRPr="000B5A8E" w:rsidRDefault="000B5A8E" w:rsidP="000B5A8E">
    <w:pPr>
      <w:pStyle w:val="DHHSfooter"/>
      <w:tabs>
        <w:tab w:val="clear" w:pos="15139"/>
        <w:tab w:val="right" w:pos="22113"/>
      </w:tabs>
      <w:rPr>
        <w:color w:val="007B4B"/>
      </w:rPr>
    </w:pPr>
    <w:r w:rsidRPr="00BB6F41">
      <w:rPr>
        <w:color w:val="007B4B"/>
      </w:rPr>
      <w:t>Radiation safety regulator plan on a page: R</w:t>
    </w:r>
    <w:r w:rsidR="00555375">
      <w:rPr>
        <w:color w:val="007B4B"/>
      </w:rPr>
      <w:t>adiation safety regulator plan March</w:t>
    </w:r>
    <w:r w:rsidRPr="00BB6F41">
      <w:rPr>
        <w:color w:val="007B4B"/>
      </w:rPr>
      <w:t xml:space="preserve"> 2018 – June 2019</w:t>
    </w:r>
    <w:r w:rsidRPr="00BB6F41">
      <w:rPr>
        <w:color w:val="007B4B"/>
      </w:rPr>
      <w:tab/>
    </w:r>
    <w:r w:rsidRPr="00BB6F41">
      <w:rPr>
        <w:color w:val="007B4B"/>
      </w:rPr>
      <w:fldChar w:fldCharType="begin"/>
    </w:r>
    <w:r w:rsidRPr="00BB6F41">
      <w:rPr>
        <w:color w:val="007B4B"/>
      </w:rPr>
      <w:instrText xml:space="preserve"> PAGE </w:instrText>
    </w:r>
    <w:r w:rsidRPr="00BB6F41">
      <w:rPr>
        <w:color w:val="007B4B"/>
      </w:rPr>
      <w:fldChar w:fldCharType="separate"/>
    </w:r>
    <w:r w:rsidR="002123D9">
      <w:rPr>
        <w:noProof/>
        <w:color w:val="007B4B"/>
      </w:rPr>
      <w:t>2</w:t>
    </w:r>
    <w:r w:rsidRPr="00BB6F41">
      <w:rPr>
        <w:color w:val="007B4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BB6F41" w:rsidRDefault="00BB6F41" w:rsidP="00BB6F41">
    <w:pPr>
      <w:pStyle w:val="DHHSfooter"/>
      <w:tabs>
        <w:tab w:val="clear" w:pos="15139"/>
        <w:tab w:val="right" w:pos="22113"/>
      </w:tabs>
      <w:rPr>
        <w:color w:val="007B4B"/>
      </w:rPr>
    </w:pPr>
    <w:r w:rsidRPr="00BB6F41">
      <w:rPr>
        <w:color w:val="007B4B"/>
      </w:rPr>
      <w:t>Radiation safety regulator plan on a page: Radiation safety regulator plan January 2018 – June 2019</w:t>
    </w:r>
    <w:r w:rsidR="009D70A4" w:rsidRPr="00BB6F41">
      <w:rPr>
        <w:color w:val="007B4B"/>
      </w:rPr>
      <w:tab/>
    </w:r>
    <w:r w:rsidR="009D70A4" w:rsidRPr="00BB6F41">
      <w:rPr>
        <w:color w:val="007B4B"/>
      </w:rPr>
      <w:fldChar w:fldCharType="begin"/>
    </w:r>
    <w:r w:rsidR="009D70A4" w:rsidRPr="00BB6F41">
      <w:rPr>
        <w:color w:val="007B4B"/>
      </w:rPr>
      <w:instrText xml:space="preserve"> PAGE </w:instrText>
    </w:r>
    <w:r w:rsidR="009D70A4" w:rsidRPr="00BB6F41">
      <w:rPr>
        <w:color w:val="007B4B"/>
      </w:rPr>
      <w:fldChar w:fldCharType="separate"/>
    </w:r>
    <w:r>
      <w:rPr>
        <w:noProof/>
        <w:color w:val="007B4B"/>
      </w:rPr>
      <w:t>2</w:t>
    </w:r>
    <w:r w:rsidR="009D70A4" w:rsidRPr="00BB6F41">
      <w:rPr>
        <w:color w:val="007B4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41" w:rsidRPr="00BB6F41" w:rsidRDefault="00BB6F41" w:rsidP="00BB6F41">
    <w:pPr>
      <w:pStyle w:val="DHHSfooter"/>
      <w:tabs>
        <w:tab w:val="clear" w:pos="15139"/>
        <w:tab w:val="right" w:pos="22113"/>
      </w:tabs>
      <w:rPr>
        <w:color w:val="007B4B"/>
      </w:rPr>
    </w:pPr>
    <w:r w:rsidRPr="00BB6F41">
      <w:rPr>
        <w:color w:val="007B4B"/>
      </w:rPr>
      <w:t>Radiation safety regulator plan on a page: Radiation safety regulator plan January 2018 – June 2019</w:t>
    </w:r>
    <w:r w:rsidRPr="00BB6F41">
      <w:rPr>
        <w:color w:val="007B4B"/>
      </w:rPr>
      <w:tab/>
    </w:r>
    <w:r w:rsidRPr="00BB6F41">
      <w:rPr>
        <w:color w:val="007B4B"/>
      </w:rPr>
      <w:fldChar w:fldCharType="begin"/>
    </w:r>
    <w:r w:rsidRPr="00BB6F41">
      <w:rPr>
        <w:color w:val="007B4B"/>
      </w:rPr>
      <w:instrText xml:space="preserve"> PAGE </w:instrText>
    </w:r>
    <w:r w:rsidRPr="00BB6F41">
      <w:rPr>
        <w:color w:val="007B4B"/>
      </w:rPr>
      <w:fldChar w:fldCharType="separate"/>
    </w:r>
    <w:r w:rsidR="004D4322">
      <w:rPr>
        <w:noProof/>
        <w:color w:val="007B4B"/>
      </w:rPr>
      <w:t>2</w:t>
    </w:r>
    <w:r w:rsidRPr="00BB6F41">
      <w:rPr>
        <w:color w:val="007B4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38" w:rsidRDefault="00EE6B38" w:rsidP="002862F1">
      <w:pPr>
        <w:spacing w:before="120"/>
      </w:pPr>
      <w:r>
        <w:separator/>
      </w:r>
    </w:p>
  </w:footnote>
  <w:footnote w:type="continuationSeparator" w:id="0">
    <w:p w:rsidR="00EE6B38" w:rsidRDefault="00EE6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3E" w:rsidRDefault="00DE5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3E" w:rsidRDefault="00DE54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43E" w:rsidRDefault="00DE54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8D2F4B" w:rsidRDefault="009D70A4" w:rsidP="008D2F4B">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B370F66"/>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38"/>
    <w:rsid w:val="000072B6"/>
    <w:rsid w:val="0001021B"/>
    <w:rsid w:val="00011D89"/>
    <w:rsid w:val="000216A4"/>
    <w:rsid w:val="00024D89"/>
    <w:rsid w:val="00033D81"/>
    <w:rsid w:val="00041BF0"/>
    <w:rsid w:val="0004326C"/>
    <w:rsid w:val="0004536B"/>
    <w:rsid w:val="00046B68"/>
    <w:rsid w:val="000527DD"/>
    <w:rsid w:val="000578B2"/>
    <w:rsid w:val="00060959"/>
    <w:rsid w:val="00064864"/>
    <w:rsid w:val="000663CD"/>
    <w:rsid w:val="000669AD"/>
    <w:rsid w:val="00074219"/>
    <w:rsid w:val="00074ED5"/>
    <w:rsid w:val="0008494B"/>
    <w:rsid w:val="00094DA3"/>
    <w:rsid w:val="00096CD1"/>
    <w:rsid w:val="000A012C"/>
    <w:rsid w:val="000A0EB9"/>
    <w:rsid w:val="000A186C"/>
    <w:rsid w:val="000B543D"/>
    <w:rsid w:val="000B5A8E"/>
    <w:rsid w:val="000B5BF7"/>
    <w:rsid w:val="000B6BC8"/>
    <w:rsid w:val="000C42EA"/>
    <w:rsid w:val="000C4546"/>
    <w:rsid w:val="000D1242"/>
    <w:rsid w:val="000E3CC7"/>
    <w:rsid w:val="000E6BD4"/>
    <w:rsid w:val="000F1F1E"/>
    <w:rsid w:val="000F2259"/>
    <w:rsid w:val="001005E4"/>
    <w:rsid w:val="0010392D"/>
    <w:rsid w:val="00104FE3"/>
    <w:rsid w:val="00120BD3"/>
    <w:rsid w:val="00122FEA"/>
    <w:rsid w:val="001232BD"/>
    <w:rsid w:val="00124ED5"/>
    <w:rsid w:val="00143749"/>
    <w:rsid w:val="001447B3"/>
    <w:rsid w:val="0014502A"/>
    <w:rsid w:val="00152073"/>
    <w:rsid w:val="00161939"/>
    <w:rsid w:val="00161AA0"/>
    <w:rsid w:val="00162093"/>
    <w:rsid w:val="001645B1"/>
    <w:rsid w:val="001666C9"/>
    <w:rsid w:val="001771DD"/>
    <w:rsid w:val="00177995"/>
    <w:rsid w:val="00177A8C"/>
    <w:rsid w:val="00186B33"/>
    <w:rsid w:val="00187F13"/>
    <w:rsid w:val="00192F9D"/>
    <w:rsid w:val="00196EB8"/>
    <w:rsid w:val="001979FF"/>
    <w:rsid w:val="00197B17"/>
    <w:rsid w:val="001A3ACE"/>
    <w:rsid w:val="001C2A72"/>
    <w:rsid w:val="001D0B75"/>
    <w:rsid w:val="001D287F"/>
    <w:rsid w:val="001D3C09"/>
    <w:rsid w:val="001D44E8"/>
    <w:rsid w:val="001D60EC"/>
    <w:rsid w:val="001D773D"/>
    <w:rsid w:val="001E44DF"/>
    <w:rsid w:val="001E68A5"/>
    <w:rsid w:val="001E73EF"/>
    <w:rsid w:val="001F3826"/>
    <w:rsid w:val="001F6E46"/>
    <w:rsid w:val="001F7C91"/>
    <w:rsid w:val="00206463"/>
    <w:rsid w:val="00206F2F"/>
    <w:rsid w:val="0021053D"/>
    <w:rsid w:val="00210A92"/>
    <w:rsid w:val="002123D9"/>
    <w:rsid w:val="002131E2"/>
    <w:rsid w:val="00216C03"/>
    <w:rsid w:val="002206B2"/>
    <w:rsid w:val="00220C04"/>
    <w:rsid w:val="0022701F"/>
    <w:rsid w:val="002333F5"/>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213D"/>
    <w:rsid w:val="002862F1"/>
    <w:rsid w:val="00291373"/>
    <w:rsid w:val="0029597D"/>
    <w:rsid w:val="002962C3"/>
    <w:rsid w:val="002A27CB"/>
    <w:rsid w:val="002A483C"/>
    <w:rsid w:val="002B1729"/>
    <w:rsid w:val="002B4DD4"/>
    <w:rsid w:val="002B5277"/>
    <w:rsid w:val="002B77C1"/>
    <w:rsid w:val="002C2728"/>
    <w:rsid w:val="002D5006"/>
    <w:rsid w:val="002E01D0"/>
    <w:rsid w:val="002E161D"/>
    <w:rsid w:val="002E6C95"/>
    <w:rsid w:val="002E7C36"/>
    <w:rsid w:val="002F4F6F"/>
    <w:rsid w:val="002F5F31"/>
    <w:rsid w:val="002F7F61"/>
    <w:rsid w:val="00302216"/>
    <w:rsid w:val="00303E53"/>
    <w:rsid w:val="003041C3"/>
    <w:rsid w:val="00305D25"/>
    <w:rsid w:val="00306E5F"/>
    <w:rsid w:val="00307E14"/>
    <w:rsid w:val="00310351"/>
    <w:rsid w:val="00314054"/>
    <w:rsid w:val="00316F27"/>
    <w:rsid w:val="00327870"/>
    <w:rsid w:val="0033259D"/>
    <w:rsid w:val="003406C6"/>
    <w:rsid w:val="003418CC"/>
    <w:rsid w:val="00344EBE"/>
    <w:rsid w:val="003459BD"/>
    <w:rsid w:val="00350D38"/>
    <w:rsid w:val="0036022F"/>
    <w:rsid w:val="003613F9"/>
    <w:rsid w:val="0037290E"/>
    <w:rsid w:val="003744CF"/>
    <w:rsid w:val="00374717"/>
    <w:rsid w:val="0037676C"/>
    <w:rsid w:val="00382207"/>
    <w:rsid w:val="003829E5"/>
    <w:rsid w:val="003956CC"/>
    <w:rsid w:val="00395C9A"/>
    <w:rsid w:val="003A3438"/>
    <w:rsid w:val="003A6B67"/>
    <w:rsid w:val="003B15E6"/>
    <w:rsid w:val="003C2045"/>
    <w:rsid w:val="003C2440"/>
    <w:rsid w:val="003C43A1"/>
    <w:rsid w:val="003C4FC0"/>
    <w:rsid w:val="003C55F4"/>
    <w:rsid w:val="003C7A3F"/>
    <w:rsid w:val="003D3E8F"/>
    <w:rsid w:val="003D6475"/>
    <w:rsid w:val="003E2E5F"/>
    <w:rsid w:val="003F0445"/>
    <w:rsid w:val="003F0CF0"/>
    <w:rsid w:val="003F3289"/>
    <w:rsid w:val="003F44F4"/>
    <w:rsid w:val="00401FCF"/>
    <w:rsid w:val="00406285"/>
    <w:rsid w:val="00406D62"/>
    <w:rsid w:val="004148F9"/>
    <w:rsid w:val="0042084E"/>
    <w:rsid w:val="0042175D"/>
    <w:rsid w:val="00421EEF"/>
    <w:rsid w:val="00424D65"/>
    <w:rsid w:val="00425CC4"/>
    <w:rsid w:val="004367B3"/>
    <w:rsid w:val="00442C6C"/>
    <w:rsid w:val="00443CBE"/>
    <w:rsid w:val="00443E8A"/>
    <w:rsid w:val="004441BC"/>
    <w:rsid w:val="0045230A"/>
    <w:rsid w:val="00457337"/>
    <w:rsid w:val="0047372D"/>
    <w:rsid w:val="004743DD"/>
    <w:rsid w:val="00474CEA"/>
    <w:rsid w:val="00483968"/>
    <w:rsid w:val="0048442F"/>
    <w:rsid w:val="00484F86"/>
    <w:rsid w:val="00490746"/>
    <w:rsid w:val="00490852"/>
    <w:rsid w:val="00492D85"/>
    <w:rsid w:val="00492F30"/>
    <w:rsid w:val="004946F4"/>
    <w:rsid w:val="0049487E"/>
    <w:rsid w:val="004A160D"/>
    <w:rsid w:val="004A3E81"/>
    <w:rsid w:val="004A5C62"/>
    <w:rsid w:val="004A707D"/>
    <w:rsid w:val="004C6EEE"/>
    <w:rsid w:val="004C702B"/>
    <w:rsid w:val="004D016B"/>
    <w:rsid w:val="004D1B22"/>
    <w:rsid w:val="004D36F2"/>
    <w:rsid w:val="004D4322"/>
    <w:rsid w:val="004E138F"/>
    <w:rsid w:val="004E3D31"/>
    <w:rsid w:val="004E4649"/>
    <w:rsid w:val="004E5C2B"/>
    <w:rsid w:val="004E7DBA"/>
    <w:rsid w:val="004E7E8C"/>
    <w:rsid w:val="004F00DD"/>
    <w:rsid w:val="004F2133"/>
    <w:rsid w:val="004F55F1"/>
    <w:rsid w:val="004F6936"/>
    <w:rsid w:val="005027C0"/>
    <w:rsid w:val="00503DC6"/>
    <w:rsid w:val="00506F5D"/>
    <w:rsid w:val="005126D0"/>
    <w:rsid w:val="0051568D"/>
    <w:rsid w:val="00526C15"/>
    <w:rsid w:val="005273B4"/>
    <w:rsid w:val="00536499"/>
    <w:rsid w:val="00541ADB"/>
    <w:rsid w:val="00543903"/>
    <w:rsid w:val="00547A95"/>
    <w:rsid w:val="00555375"/>
    <w:rsid w:val="00557E03"/>
    <w:rsid w:val="005678F4"/>
    <w:rsid w:val="00572031"/>
    <w:rsid w:val="00576E84"/>
    <w:rsid w:val="00582B8C"/>
    <w:rsid w:val="0058757E"/>
    <w:rsid w:val="00596A4B"/>
    <w:rsid w:val="00597507"/>
    <w:rsid w:val="005B21B6"/>
    <w:rsid w:val="005B3A08"/>
    <w:rsid w:val="005B5F83"/>
    <w:rsid w:val="005B7A63"/>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408D"/>
    <w:rsid w:val="006240CC"/>
    <w:rsid w:val="00627DA7"/>
    <w:rsid w:val="006358B4"/>
    <w:rsid w:val="0064049C"/>
    <w:rsid w:val="006419AA"/>
    <w:rsid w:val="006447F0"/>
    <w:rsid w:val="0064497F"/>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016F"/>
    <w:rsid w:val="006A18C2"/>
    <w:rsid w:val="006B077C"/>
    <w:rsid w:val="006D2A3F"/>
    <w:rsid w:val="006E138B"/>
    <w:rsid w:val="006F1FDC"/>
    <w:rsid w:val="007013EF"/>
    <w:rsid w:val="007034E7"/>
    <w:rsid w:val="007216AA"/>
    <w:rsid w:val="00721AB5"/>
    <w:rsid w:val="00721DEF"/>
    <w:rsid w:val="00724A43"/>
    <w:rsid w:val="007346E4"/>
    <w:rsid w:val="00740F22"/>
    <w:rsid w:val="00741F1A"/>
    <w:rsid w:val="007450F8"/>
    <w:rsid w:val="0074696E"/>
    <w:rsid w:val="00750135"/>
    <w:rsid w:val="00752B28"/>
    <w:rsid w:val="00754E36"/>
    <w:rsid w:val="00760D84"/>
    <w:rsid w:val="00763139"/>
    <w:rsid w:val="00770F37"/>
    <w:rsid w:val="00772D5E"/>
    <w:rsid w:val="00776928"/>
    <w:rsid w:val="00786F16"/>
    <w:rsid w:val="00796E20"/>
    <w:rsid w:val="00797C32"/>
    <w:rsid w:val="007A21D8"/>
    <w:rsid w:val="007B0914"/>
    <w:rsid w:val="007B0EA1"/>
    <w:rsid w:val="007B1374"/>
    <w:rsid w:val="007B589F"/>
    <w:rsid w:val="007B6186"/>
    <w:rsid w:val="007C14D9"/>
    <w:rsid w:val="007C7301"/>
    <w:rsid w:val="007C7859"/>
    <w:rsid w:val="007D2BDE"/>
    <w:rsid w:val="007D2FB6"/>
    <w:rsid w:val="007E0DE2"/>
    <w:rsid w:val="007F31B6"/>
    <w:rsid w:val="007F546C"/>
    <w:rsid w:val="007F665E"/>
    <w:rsid w:val="00800412"/>
    <w:rsid w:val="0080587B"/>
    <w:rsid w:val="00806468"/>
    <w:rsid w:val="00814111"/>
    <w:rsid w:val="008155F0"/>
    <w:rsid w:val="00816735"/>
    <w:rsid w:val="00820141"/>
    <w:rsid w:val="008204A8"/>
    <w:rsid w:val="00820E0C"/>
    <w:rsid w:val="008338A2"/>
    <w:rsid w:val="00840DF3"/>
    <w:rsid w:val="0084417C"/>
    <w:rsid w:val="00852D57"/>
    <w:rsid w:val="00853EE4"/>
    <w:rsid w:val="00855535"/>
    <w:rsid w:val="00856385"/>
    <w:rsid w:val="008633F0"/>
    <w:rsid w:val="0086791C"/>
    <w:rsid w:val="00867D9D"/>
    <w:rsid w:val="00872E0A"/>
    <w:rsid w:val="00875285"/>
    <w:rsid w:val="00884B62"/>
    <w:rsid w:val="0088529C"/>
    <w:rsid w:val="00887903"/>
    <w:rsid w:val="0089270A"/>
    <w:rsid w:val="00893AF6"/>
    <w:rsid w:val="00894BC4"/>
    <w:rsid w:val="008B2D99"/>
    <w:rsid w:val="008B2EE4"/>
    <w:rsid w:val="008B2F9E"/>
    <w:rsid w:val="008B4D3D"/>
    <w:rsid w:val="008B57C7"/>
    <w:rsid w:val="008B615B"/>
    <w:rsid w:val="008C2F92"/>
    <w:rsid w:val="008C3808"/>
    <w:rsid w:val="008C65EB"/>
    <w:rsid w:val="008D2F4B"/>
    <w:rsid w:val="008D4236"/>
    <w:rsid w:val="008D462F"/>
    <w:rsid w:val="008E4376"/>
    <w:rsid w:val="008E7A0A"/>
    <w:rsid w:val="008F7EA5"/>
    <w:rsid w:val="00900719"/>
    <w:rsid w:val="009017AC"/>
    <w:rsid w:val="00905030"/>
    <w:rsid w:val="00906490"/>
    <w:rsid w:val="009111B2"/>
    <w:rsid w:val="00923937"/>
    <w:rsid w:val="00924AE1"/>
    <w:rsid w:val="009269B1"/>
    <w:rsid w:val="0092724D"/>
    <w:rsid w:val="00937BD9"/>
    <w:rsid w:val="00950E2C"/>
    <w:rsid w:val="00951D50"/>
    <w:rsid w:val="009525EB"/>
    <w:rsid w:val="0095645E"/>
    <w:rsid w:val="00961400"/>
    <w:rsid w:val="00963646"/>
    <w:rsid w:val="009853E1"/>
    <w:rsid w:val="00986E6B"/>
    <w:rsid w:val="00991769"/>
    <w:rsid w:val="00994386"/>
    <w:rsid w:val="009A13D8"/>
    <w:rsid w:val="009A279E"/>
    <w:rsid w:val="009B0A6F"/>
    <w:rsid w:val="009B2FCB"/>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030AE"/>
    <w:rsid w:val="00A101F4"/>
    <w:rsid w:val="00A11421"/>
    <w:rsid w:val="00A157B1"/>
    <w:rsid w:val="00A22229"/>
    <w:rsid w:val="00A36213"/>
    <w:rsid w:val="00A44882"/>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B672E"/>
    <w:rsid w:val="00AC274B"/>
    <w:rsid w:val="00AC4764"/>
    <w:rsid w:val="00AC6D36"/>
    <w:rsid w:val="00AD0CBA"/>
    <w:rsid w:val="00AD26E2"/>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31E8"/>
    <w:rsid w:val="00B45141"/>
    <w:rsid w:val="00B5273A"/>
    <w:rsid w:val="00B62B50"/>
    <w:rsid w:val="00B635B7"/>
    <w:rsid w:val="00B63AE8"/>
    <w:rsid w:val="00B65950"/>
    <w:rsid w:val="00B672C0"/>
    <w:rsid w:val="00B75646"/>
    <w:rsid w:val="00B81E28"/>
    <w:rsid w:val="00B90729"/>
    <w:rsid w:val="00B907DA"/>
    <w:rsid w:val="00B950BC"/>
    <w:rsid w:val="00B9714C"/>
    <w:rsid w:val="00BA3F8D"/>
    <w:rsid w:val="00BA4845"/>
    <w:rsid w:val="00BB6F41"/>
    <w:rsid w:val="00BB7A10"/>
    <w:rsid w:val="00BC7D4F"/>
    <w:rsid w:val="00BC7ED7"/>
    <w:rsid w:val="00BD2850"/>
    <w:rsid w:val="00BE28D2"/>
    <w:rsid w:val="00BF5F6F"/>
    <w:rsid w:val="00BF7F58"/>
    <w:rsid w:val="00C01381"/>
    <w:rsid w:val="00C079B8"/>
    <w:rsid w:val="00C123EA"/>
    <w:rsid w:val="00C125E4"/>
    <w:rsid w:val="00C12A49"/>
    <w:rsid w:val="00C133EE"/>
    <w:rsid w:val="00C17EFB"/>
    <w:rsid w:val="00C23DB1"/>
    <w:rsid w:val="00C27DE9"/>
    <w:rsid w:val="00C33388"/>
    <w:rsid w:val="00C4173A"/>
    <w:rsid w:val="00C461FB"/>
    <w:rsid w:val="00C47436"/>
    <w:rsid w:val="00C47C8F"/>
    <w:rsid w:val="00C602FF"/>
    <w:rsid w:val="00C61174"/>
    <w:rsid w:val="00C6148F"/>
    <w:rsid w:val="00C62F7A"/>
    <w:rsid w:val="00C63B9C"/>
    <w:rsid w:val="00C6682F"/>
    <w:rsid w:val="00C7275E"/>
    <w:rsid w:val="00C74C5D"/>
    <w:rsid w:val="00C863C4"/>
    <w:rsid w:val="00C93C3E"/>
    <w:rsid w:val="00CA12E3"/>
    <w:rsid w:val="00CA6611"/>
    <w:rsid w:val="00CA6B58"/>
    <w:rsid w:val="00CC0C72"/>
    <w:rsid w:val="00CC2BFD"/>
    <w:rsid w:val="00CD3476"/>
    <w:rsid w:val="00CD64DF"/>
    <w:rsid w:val="00CF0B09"/>
    <w:rsid w:val="00CF2F50"/>
    <w:rsid w:val="00CF41DA"/>
    <w:rsid w:val="00D02919"/>
    <w:rsid w:val="00D04C61"/>
    <w:rsid w:val="00D0539B"/>
    <w:rsid w:val="00D05B8D"/>
    <w:rsid w:val="00D065A2"/>
    <w:rsid w:val="00D07F00"/>
    <w:rsid w:val="00D1790F"/>
    <w:rsid w:val="00D32B8A"/>
    <w:rsid w:val="00D33E72"/>
    <w:rsid w:val="00D35BD6"/>
    <w:rsid w:val="00D361B5"/>
    <w:rsid w:val="00D411A2"/>
    <w:rsid w:val="00D50B9C"/>
    <w:rsid w:val="00D52D73"/>
    <w:rsid w:val="00D52E58"/>
    <w:rsid w:val="00D714CC"/>
    <w:rsid w:val="00D75EA7"/>
    <w:rsid w:val="00D81F21"/>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543E"/>
    <w:rsid w:val="00DE6028"/>
    <w:rsid w:val="00DE78A3"/>
    <w:rsid w:val="00DF1A71"/>
    <w:rsid w:val="00DF68C7"/>
    <w:rsid w:val="00DF731A"/>
    <w:rsid w:val="00E14388"/>
    <w:rsid w:val="00E170DC"/>
    <w:rsid w:val="00E21842"/>
    <w:rsid w:val="00E23265"/>
    <w:rsid w:val="00E26818"/>
    <w:rsid w:val="00E27FFC"/>
    <w:rsid w:val="00E30B15"/>
    <w:rsid w:val="00E40181"/>
    <w:rsid w:val="00E43426"/>
    <w:rsid w:val="00E45931"/>
    <w:rsid w:val="00E53A79"/>
    <w:rsid w:val="00E629A1"/>
    <w:rsid w:val="00E81BCE"/>
    <w:rsid w:val="00E82C55"/>
    <w:rsid w:val="00E87893"/>
    <w:rsid w:val="00E92AC3"/>
    <w:rsid w:val="00E968F3"/>
    <w:rsid w:val="00EB00E0"/>
    <w:rsid w:val="00EB3422"/>
    <w:rsid w:val="00EC059F"/>
    <w:rsid w:val="00EC1F24"/>
    <w:rsid w:val="00EC22F6"/>
    <w:rsid w:val="00EC4749"/>
    <w:rsid w:val="00ED5B9B"/>
    <w:rsid w:val="00ED6BAD"/>
    <w:rsid w:val="00ED7447"/>
    <w:rsid w:val="00ED79F1"/>
    <w:rsid w:val="00EE1488"/>
    <w:rsid w:val="00EE4D5D"/>
    <w:rsid w:val="00EE5131"/>
    <w:rsid w:val="00EE6B38"/>
    <w:rsid w:val="00EF109B"/>
    <w:rsid w:val="00EF36AF"/>
    <w:rsid w:val="00F00F9C"/>
    <w:rsid w:val="00F02ABA"/>
    <w:rsid w:val="00F0437A"/>
    <w:rsid w:val="00F11037"/>
    <w:rsid w:val="00F16F1B"/>
    <w:rsid w:val="00F203D3"/>
    <w:rsid w:val="00F213F4"/>
    <w:rsid w:val="00F250A9"/>
    <w:rsid w:val="00F26794"/>
    <w:rsid w:val="00F30FF4"/>
    <w:rsid w:val="00F3122E"/>
    <w:rsid w:val="00F331AD"/>
    <w:rsid w:val="00F35257"/>
    <w:rsid w:val="00F43081"/>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0AE7"/>
    <w:rsid w:val="00F725AE"/>
    <w:rsid w:val="00F72C2C"/>
    <w:rsid w:val="00F76CAB"/>
    <w:rsid w:val="00F772C6"/>
    <w:rsid w:val="00F85195"/>
    <w:rsid w:val="00F92503"/>
    <w:rsid w:val="00F938BA"/>
    <w:rsid w:val="00F947D2"/>
    <w:rsid w:val="00FA2C46"/>
    <w:rsid w:val="00FA6B67"/>
    <w:rsid w:val="00FB4CDA"/>
    <w:rsid w:val="00FC0756"/>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EB3422"/>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F35257"/>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F35257"/>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character" w:customStyle="1" w:styleId="DHHSbodyChar">
    <w:name w:val="DHHS body Char"/>
    <w:link w:val="DHHSbody"/>
    <w:uiPriority w:val="99"/>
    <w:rsid w:val="00382207"/>
    <w:rPr>
      <w:rFonts w:ascii="Arial" w:eastAsia="Times"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EB3422"/>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F35257"/>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F35257"/>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character" w:customStyle="1" w:styleId="DHHSbodyChar">
    <w:name w:val="DHHS body Char"/>
    <w:link w:val="DHHSbody"/>
    <w:uiPriority w:val="99"/>
    <w:rsid w:val="00382207"/>
    <w:rPr>
      <w:rFonts w:ascii="Arial" w:eastAsia="Times"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radiation.safety@dhhs.vic.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dhhs.vic.gov.au/better-regulatory-practice-framewor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s://www.dhhs.vic.gov.au/better-regulatory-practice-framewor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Landscape%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7590-9E14-4EA0-84F5-DAD37D60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Landscape 04 Green 7726.dot</Template>
  <TotalTime>10</TotalTime>
  <Pages>2</Pages>
  <Words>497</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Radiation safety regulator plan on a page: Radiation safety regulator plan March 2018 – June 2019</vt:lpstr>
    </vt:vector>
  </TitlesOfParts>
  <Company>Department of Health and Human Services</Company>
  <LinksUpToDate>false</LinksUpToDate>
  <CharactersWithSpaces>3793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regulator plan on a page: Radiation safety regulator plan March 2018 – June 2019</dc:title>
  <dc:subject>regulator plan on a page</dc:subject>
  <dc:creator>Radiation Team</dc:creator>
  <cp:keywords>radiation, regulation, Better regulatory practice framework, plan on a page</cp:keywords>
  <cp:revision>9</cp:revision>
  <cp:lastPrinted>2018-03-26T02:03:00Z</cp:lastPrinted>
  <dcterms:created xsi:type="dcterms:W3CDTF">2018-03-26T01:17:00Z</dcterms:created>
  <dcterms:modified xsi:type="dcterms:W3CDTF">2018-03-29T07:00:00Z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