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04A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0F3606B" wp14:editId="63C6A7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DEE0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B11068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5D081D1" w14:textId="0CEA966B" w:rsidR="003B5733" w:rsidRPr="003B5733" w:rsidRDefault="00CA1CD2" w:rsidP="003B5733">
            <w:pPr>
              <w:pStyle w:val="Documenttitle"/>
            </w:pPr>
            <w:r>
              <w:t xml:space="preserve">Addendum </w:t>
            </w:r>
            <w:r w:rsidR="00FC467B">
              <w:t xml:space="preserve">to </w:t>
            </w:r>
            <w:r>
              <w:t>Specifications for revisions to the Victorian Alcohol &amp; Drug Collection (VADC) for 1 July 2022</w:t>
            </w:r>
          </w:p>
        </w:tc>
      </w:tr>
      <w:tr w:rsidR="003B5733" w14:paraId="6BA8BA0B" w14:textId="77777777" w:rsidTr="00B07FF7">
        <w:tc>
          <w:tcPr>
            <w:tcW w:w="10348" w:type="dxa"/>
          </w:tcPr>
          <w:p w14:paraId="0733DCC2" w14:textId="5E11ED2F" w:rsidR="003B5733" w:rsidRPr="00A1389F" w:rsidRDefault="00882EF2" w:rsidP="005F44C0">
            <w:pPr>
              <w:pStyle w:val="Documentsubtitle"/>
            </w:pPr>
            <w:r>
              <w:t>2</w:t>
            </w:r>
            <w:r w:rsidR="0053164C">
              <w:t>7</w:t>
            </w:r>
            <w:r>
              <w:t xml:space="preserve"> January 2022</w:t>
            </w:r>
          </w:p>
        </w:tc>
      </w:tr>
      <w:tr w:rsidR="003B5733" w14:paraId="776A15CA" w14:textId="77777777" w:rsidTr="00B07FF7">
        <w:tc>
          <w:tcPr>
            <w:tcW w:w="10348" w:type="dxa"/>
          </w:tcPr>
          <w:p w14:paraId="42F62158" w14:textId="77777777" w:rsidR="003B5733" w:rsidRPr="001E5058" w:rsidRDefault="00F8028F" w:rsidP="001E5058">
            <w:pPr>
              <w:pStyle w:val="Bannermarking"/>
            </w:pPr>
            <w:fldSimple w:instr=" FILLIN  &quot;Type the protective marking&quot; \d OFFICIAL \o  \* MERGEFORMAT ">
              <w:r w:rsidR="00CA1CD2">
                <w:t>OFFICIAL</w:t>
              </w:r>
            </w:fldSimple>
          </w:p>
        </w:tc>
      </w:tr>
    </w:tbl>
    <w:p w14:paraId="3BD2EB02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D7FE221" w14:textId="44E7CEE8" w:rsidR="00C33FA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4188053" w:history="1">
        <w:r w:rsidR="00C33FAD" w:rsidRPr="004218F4">
          <w:rPr>
            <w:rStyle w:val="Hyperlink"/>
          </w:rPr>
          <w:t>Executive Summary</w:t>
        </w:r>
        <w:r w:rsidR="00C33FAD">
          <w:rPr>
            <w:webHidden/>
          </w:rPr>
          <w:tab/>
        </w:r>
        <w:r w:rsidR="00C33FAD">
          <w:rPr>
            <w:webHidden/>
          </w:rPr>
          <w:fldChar w:fldCharType="begin"/>
        </w:r>
        <w:r w:rsidR="00C33FAD">
          <w:rPr>
            <w:webHidden/>
          </w:rPr>
          <w:instrText xml:space="preserve"> PAGEREF _Toc94188053 \h </w:instrText>
        </w:r>
        <w:r w:rsidR="00C33FAD">
          <w:rPr>
            <w:webHidden/>
          </w:rPr>
        </w:r>
        <w:r w:rsidR="00C33FAD">
          <w:rPr>
            <w:webHidden/>
          </w:rPr>
          <w:fldChar w:fldCharType="separate"/>
        </w:r>
        <w:r w:rsidR="00C33FAD">
          <w:rPr>
            <w:webHidden/>
          </w:rPr>
          <w:t>2</w:t>
        </w:r>
        <w:r w:rsidR="00C33FAD">
          <w:rPr>
            <w:webHidden/>
          </w:rPr>
          <w:fldChar w:fldCharType="end"/>
        </w:r>
      </w:hyperlink>
    </w:p>
    <w:p w14:paraId="7E12CAB3" w14:textId="701C911F" w:rsidR="00C33FAD" w:rsidRDefault="00D0701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188054" w:history="1">
        <w:r w:rsidR="00C33FAD" w:rsidRPr="004218F4">
          <w:rPr>
            <w:rStyle w:val="Hyperlink"/>
            <w:rFonts w:eastAsia="Times"/>
          </w:rPr>
          <w:t>Orientation to this document</w:t>
        </w:r>
        <w:r w:rsidR="00C33FAD">
          <w:rPr>
            <w:webHidden/>
          </w:rPr>
          <w:tab/>
        </w:r>
        <w:r w:rsidR="00C33FAD">
          <w:rPr>
            <w:webHidden/>
          </w:rPr>
          <w:fldChar w:fldCharType="begin"/>
        </w:r>
        <w:r w:rsidR="00C33FAD">
          <w:rPr>
            <w:webHidden/>
          </w:rPr>
          <w:instrText xml:space="preserve"> PAGEREF _Toc94188054 \h </w:instrText>
        </w:r>
        <w:r w:rsidR="00C33FAD">
          <w:rPr>
            <w:webHidden/>
          </w:rPr>
        </w:r>
        <w:r w:rsidR="00C33FAD">
          <w:rPr>
            <w:webHidden/>
          </w:rPr>
          <w:fldChar w:fldCharType="separate"/>
        </w:r>
        <w:r w:rsidR="00C33FAD">
          <w:rPr>
            <w:webHidden/>
          </w:rPr>
          <w:t>2</w:t>
        </w:r>
        <w:r w:rsidR="00C33FAD">
          <w:rPr>
            <w:webHidden/>
          </w:rPr>
          <w:fldChar w:fldCharType="end"/>
        </w:r>
      </w:hyperlink>
    </w:p>
    <w:p w14:paraId="31F73681" w14:textId="1B6D2A01" w:rsidR="00C33FAD" w:rsidRDefault="00D0701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4188055" w:history="1">
        <w:r w:rsidR="00C33FAD" w:rsidRPr="004218F4">
          <w:rPr>
            <w:rStyle w:val="Hyperlink"/>
          </w:rPr>
          <w:t>Clarification on Proposal 16 – Change AOD140 validation from a warning to an error</w:t>
        </w:r>
        <w:r w:rsidR="00C33FAD">
          <w:rPr>
            <w:webHidden/>
          </w:rPr>
          <w:tab/>
        </w:r>
        <w:r w:rsidR="00C33FAD">
          <w:rPr>
            <w:webHidden/>
          </w:rPr>
          <w:fldChar w:fldCharType="begin"/>
        </w:r>
        <w:r w:rsidR="00C33FAD">
          <w:rPr>
            <w:webHidden/>
          </w:rPr>
          <w:instrText xml:space="preserve"> PAGEREF _Toc94188055 \h </w:instrText>
        </w:r>
        <w:r w:rsidR="00C33FAD">
          <w:rPr>
            <w:webHidden/>
          </w:rPr>
        </w:r>
        <w:r w:rsidR="00C33FAD">
          <w:rPr>
            <w:webHidden/>
          </w:rPr>
          <w:fldChar w:fldCharType="separate"/>
        </w:r>
        <w:r w:rsidR="00C33FAD">
          <w:rPr>
            <w:webHidden/>
          </w:rPr>
          <w:t>3</w:t>
        </w:r>
        <w:r w:rsidR="00C33FAD">
          <w:rPr>
            <w:webHidden/>
          </w:rPr>
          <w:fldChar w:fldCharType="end"/>
        </w:r>
      </w:hyperlink>
    </w:p>
    <w:p w14:paraId="73F2C7E7" w14:textId="04571890" w:rsidR="00C33FAD" w:rsidRDefault="00D0701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188056" w:history="1">
        <w:r w:rsidR="00C33FAD" w:rsidRPr="004218F4">
          <w:rPr>
            <w:rStyle w:val="Hyperlink"/>
          </w:rPr>
          <w:t>Business reason for change</w:t>
        </w:r>
        <w:r w:rsidR="00C33FAD">
          <w:rPr>
            <w:webHidden/>
          </w:rPr>
          <w:tab/>
        </w:r>
        <w:r w:rsidR="00C33FAD">
          <w:rPr>
            <w:webHidden/>
          </w:rPr>
          <w:fldChar w:fldCharType="begin"/>
        </w:r>
        <w:r w:rsidR="00C33FAD">
          <w:rPr>
            <w:webHidden/>
          </w:rPr>
          <w:instrText xml:space="preserve"> PAGEREF _Toc94188056 \h </w:instrText>
        </w:r>
        <w:r w:rsidR="00C33FAD">
          <w:rPr>
            <w:webHidden/>
          </w:rPr>
        </w:r>
        <w:r w:rsidR="00C33FAD">
          <w:rPr>
            <w:webHidden/>
          </w:rPr>
          <w:fldChar w:fldCharType="separate"/>
        </w:r>
        <w:r w:rsidR="00C33FAD">
          <w:rPr>
            <w:webHidden/>
          </w:rPr>
          <w:t>3</w:t>
        </w:r>
        <w:r w:rsidR="00C33FAD">
          <w:rPr>
            <w:webHidden/>
          </w:rPr>
          <w:fldChar w:fldCharType="end"/>
        </w:r>
      </w:hyperlink>
    </w:p>
    <w:p w14:paraId="43EBEF57" w14:textId="6288C956" w:rsidR="00C33FAD" w:rsidRDefault="00D0701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4188057" w:history="1">
        <w:r w:rsidR="00C33FAD" w:rsidRPr="004218F4">
          <w:rPr>
            <w:rStyle w:val="Hyperlink"/>
          </w:rPr>
          <w:t>Change details</w:t>
        </w:r>
        <w:r w:rsidR="00C33FAD">
          <w:rPr>
            <w:webHidden/>
          </w:rPr>
          <w:tab/>
        </w:r>
        <w:r w:rsidR="00C33FAD">
          <w:rPr>
            <w:webHidden/>
          </w:rPr>
          <w:fldChar w:fldCharType="begin"/>
        </w:r>
        <w:r w:rsidR="00C33FAD">
          <w:rPr>
            <w:webHidden/>
          </w:rPr>
          <w:instrText xml:space="preserve"> PAGEREF _Toc94188057 \h </w:instrText>
        </w:r>
        <w:r w:rsidR="00C33FAD">
          <w:rPr>
            <w:webHidden/>
          </w:rPr>
        </w:r>
        <w:r w:rsidR="00C33FAD">
          <w:rPr>
            <w:webHidden/>
          </w:rPr>
          <w:fldChar w:fldCharType="separate"/>
        </w:r>
        <w:r w:rsidR="00C33FAD">
          <w:rPr>
            <w:webHidden/>
          </w:rPr>
          <w:t>3</w:t>
        </w:r>
        <w:r w:rsidR="00C33FAD">
          <w:rPr>
            <w:webHidden/>
          </w:rPr>
          <w:fldChar w:fldCharType="end"/>
        </w:r>
      </w:hyperlink>
    </w:p>
    <w:p w14:paraId="2DB8B017" w14:textId="4D49B159" w:rsidR="007173CA" w:rsidRDefault="00AD784C" w:rsidP="00D079AA">
      <w:pPr>
        <w:pStyle w:val="Body"/>
      </w:pPr>
      <w:r>
        <w:fldChar w:fldCharType="end"/>
      </w:r>
    </w:p>
    <w:p w14:paraId="21483BD2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B2BBC7B" w14:textId="77777777" w:rsidR="00F32368" w:rsidRPr="00F32368" w:rsidRDefault="00F32368" w:rsidP="00F32368">
      <w:pPr>
        <w:pStyle w:val="Body"/>
      </w:pPr>
      <w:bookmarkStart w:id="0" w:name="_Hlk41913885"/>
    </w:p>
    <w:bookmarkEnd w:id="0"/>
    <w:p w14:paraId="4D7C53A4" w14:textId="77777777" w:rsidR="00FC2F37" w:rsidRDefault="00FC2F37" w:rsidP="00E261B3">
      <w:pPr>
        <w:pStyle w:val="Heading1"/>
      </w:pPr>
    </w:p>
    <w:p w14:paraId="1417EF6A" w14:textId="77777777" w:rsidR="00FC2F37" w:rsidRDefault="00FC2F37" w:rsidP="00E261B3">
      <w:pPr>
        <w:pStyle w:val="Heading1"/>
      </w:pPr>
    </w:p>
    <w:p w14:paraId="4F6A6410" w14:textId="77777777" w:rsidR="00FC2F37" w:rsidRDefault="00FC2F37" w:rsidP="00E261B3">
      <w:pPr>
        <w:pStyle w:val="Heading1"/>
      </w:pPr>
    </w:p>
    <w:p w14:paraId="353B2148" w14:textId="77777777" w:rsidR="00FC2F37" w:rsidRDefault="00FC2F37" w:rsidP="00E261B3">
      <w:pPr>
        <w:pStyle w:val="Heading1"/>
      </w:pPr>
    </w:p>
    <w:p w14:paraId="30605F04" w14:textId="7B47118E" w:rsidR="00FC2F37" w:rsidRDefault="00FC2F37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2182BE5D" w14:textId="0F9A57DD" w:rsidR="00EE29AD" w:rsidRDefault="00CA1CD2" w:rsidP="00E261B3">
      <w:pPr>
        <w:pStyle w:val="Heading1"/>
      </w:pPr>
      <w:bookmarkStart w:id="1" w:name="_Toc94188053"/>
      <w:r>
        <w:lastRenderedPageBreak/>
        <w:t>Executive Summary</w:t>
      </w:r>
      <w:bookmarkEnd w:id="1"/>
    </w:p>
    <w:p w14:paraId="7DB6E634" w14:textId="25123796" w:rsidR="00CA1CD2" w:rsidRPr="00B56D8C" w:rsidRDefault="00CA1CD2" w:rsidP="00CA1CD2">
      <w:pPr>
        <w:pStyle w:val="DHHSbody"/>
        <w:rPr>
          <w:sz w:val="21"/>
          <w:szCs w:val="21"/>
        </w:rPr>
      </w:pPr>
      <w:r w:rsidRPr="00B56D8C">
        <w:rPr>
          <w:sz w:val="21"/>
          <w:szCs w:val="21"/>
        </w:rPr>
        <w:t>This document provides an addendum</w:t>
      </w:r>
      <w:r w:rsidR="00932080">
        <w:rPr>
          <w:sz w:val="21"/>
          <w:szCs w:val="21"/>
        </w:rPr>
        <w:t xml:space="preserve"> to </w:t>
      </w:r>
      <w:r w:rsidRPr="00B56D8C">
        <w:rPr>
          <w:sz w:val="21"/>
          <w:szCs w:val="21"/>
        </w:rPr>
        <w:t xml:space="preserve">the </w:t>
      </w:r>
      <w:r w:rsidRPr="00B56D8C">
        <w:rPr>
          <w:i/>
          <w:sz w:val="21"/>
          <w:szCs w:val="21"/>
        </w:rPr>
        <w:t xml:space="preserve">Specifications for revisions to the Victorian Alcohol &amp; Drug Collection (VADC) for 1 July 2022 </w:t>
      </w:r>
      <w:r w:rsidRPr="00B56D8C">
        <w:rPr>
          <w:sz w:val="21"/>
          <w:szCs w:val="21"/>
        </w:rPr>
        <w:t>published in December 2021</w:t>
      </w:r>
      <w:r w:rsidR="00EA5598" w:rsidRPr="00B56D8C">
        <w:rPr>
          <w:sz w:val="21"/>
          <w:szCs w:val="21"/>
        </w:rPr>
        <w:t>.</w:t>
      </w:r>
    </w:p>
    <w:p w14:paraId="39838E33" w14:textId="0310004B" w:rsidR="00EA5598" w:rsidRPr="00B56D8C" w:rsidRDefault="00EA5598" w:rsidP="00CA1CD2">
      <w:pPr>
        <w:pStyle w:val="DHHSbody"/>
        <w:rPr>
          <w:iCs/>
          <w:sz w:val="21"/>
          <w:szCs w:val="21"/>
        </w:rPr>
      </w:pPr>
      <w:r w:rsidRPr="00B56D8C">
        <w:rPr>
          <w:sz w:val="21"/>
          <w:szCs w:val="21"/>
        </w:rPr>
        <w:t xml:space="preserve">The published </w:t>
      </w:r>
      <w:r w:rsidRPr="00B56D8C">
        <w:rPr>
          <w:i/>
          <w:sz w:val="21"/>
          <w:szCs w:val="21"/>
        </w:rPr>
        <w:t>Specifications for revisions to the Victorian Alcohol &amp; Drug Collection (VADC) for 1 July 2022</w:t>
      </w:r>
      <w:r w:rsidRPr="00B56D8C">
        <w:rPr>
          <w:iCs/>
          <w:sz w:val="21"/>
          <w:szCs w:val="21"/>
        </w:rPr>
        <w:t xml:space="preserve"> </w:t>
      </w:r>
      <w:r w:rsidR="00932080">
        <w:rPr>
          <w:iCs/>
          <w:sz w:val="21"/>
          <w:szCs w:val="21"/>
        </w:rPr>
        <w:t xml:space="preserve">must be read in conjunction </w:t>
      </w:r>
      <w:r w:rsidRPr="00B56D8C">
        <w:rPr>
          <w:iCs/>
          <w:sz w:val="21"/>
          <w:szCs w:val="21"/>
        </w:rPr>
        <w:t xml:space="preserve">with this </w:t>
      </w:r>
      <w:r w:rsidRPr="003A2A98">
        <w:rPr>
          <w:iCs/>
          <w:sz w:val="21"/>
          <w:szCs w:val="21"/>
        </w:rPr>
        <w:t>Addendum</w:t>
      </w:r>
      <w:r w:rsidRPr="00B56D8C">
        <w:rPr>
          <w:iCs/>
          <w:sz w:val="21"/>
          <w:szCs w:val="21"/>
        </w:rPr>
        <w:t xml:space="preserve"> </w:t>
      </w:r>
      <w:r w:rsidR="00932080">
        <w:rPr>
          <w:iCs/>
          <w:sz w:val="21"/>
          <w:szCs w:val="21"/>
        </w:rPr>
        <w:t xml:space="preserve">to </w:t>
      </w:r>
      <w:r w:rsidRPr="00B56D8C">
        <w:rPr>
          <w:iCs/>
          <w:sz w:val="21"/>
          <w:szCs w:val="21"/>
        </w:rPr>
        <w:t>form the complete narrative</w:t>
      </w:r>
      <w:r w:rsidR="00245E61" w:rsidRPr="00B56D8C">
        <w:rPr>
          <w:iCs/>
          <w:sz w:val="21"/>
          <w:szCs w:val="21"/>
        </w:rPr>
        <w:t xml:space="preserve"> for VADC implementation in 2022-23.</w:t>
      </w:r>
    </w:p>
    <w:p w14:paraId="292BF166" w14:textId="596B939F" w:rsidR="00EA5598" w:rsidRPr="00B56D8C" w:rsidRDefault="00EF4FFD" w:rsidP="00CA1CD2">
      <w:pPr>
        <w:pStyle w:val="DHHSbody"/>
        <w:rPr>
          <w:sz w:val="21"/>
          <w:szCs w:val="21"/>
        </w:rPr>
      </w:pPr>
      <w:r w:rsidRPr="00B56D8C">
        <w:rPr>
          <w:sz w:val="21"/>
          <w:szCs w:val="21"/>
        </w:rPr>
        <w:t>The Addendum details were communicated via VADC Bulletin No.18 on 14 January 2022.</w:t>
      </w:r>
    </w:p>
    <w:p w14:paraId="4D71536D" w14:textId="77777777" w:rsidR="00E3691F" w:rsidRDefault="00E3691F" w:rsidP="00D95CD6">
      <w:pPr>
        <w:pStyle w:val="Heading2"/>
        <w:rPr>
          <w:rFonts w:eastAsia="Times"/>
        </w:rPr>
      </w:pPr>
    </w:p>
    <w:p w14:paraId="3FC7D0BD" w14:textId="44340616" w:rsidR="00EF4FFD" w:rsidRPr="00EF4FFD" w:rsidRDefault="00EF4FFD" w:rsidP="00D95CD6">
      <w:pPr>
        <w:pStyle w:val="Heading2"/>
        <w:rPr>
          <w:rFonts w:eastAsia="Times"/>
        </w:rPr>
      </w:pPr>
      <w:bookmarkStart w:id="2" w:name="_Toc94188054"/>
      <w:r w:rsidRPr="00EF4FFD">
        <w:rPr>
          <w:rFonts w:eastAsia="Times"/>
        </w:rPr>
        <w:t>Orientation to this document</w:t>
      </w:r>
      <w:bookmarkEnd w:id="2"/>
    </w:p>
    <w:p w14:paraId="6F9FAF76" w14:textId="2EFC7A54" w:rsidR="00EF4FFD" w:rsidRPr="00EF4FFD" w:rsidRDefault="00EF4FFD" w:rsidP="00EF4FFD">
      <w:pPr>
        <w:pStyle w:val="DHHSbody"/>
        <w:numPr>
          <w:ilvl w:val="0"/>
          <w:numId w:val="40"/>
        </w:numPr>
        <w:rPr>
          <w:sz w:val="21"/>
          <w:szCs w:val="21"/>
        </w:rPr>
      </w:pPr>
      <w:r w:rsidRPr="00EF4FFD">
        <w:rPr>
          <w:sz w:val="21"/>
          <w:szCs w:val="21"/>
        </w:rPr>
        <w:t xml:space="preserve">New elements and changes to existing data elements are highlighted in </w:t>
      </w:r>
      <w:r w:rsidRPr="00B56D8C">
        <w:rPr>
          <w:sz w:val="21"/>
          <w:szCs w:val="21"/>
          <w:highlight w:val="green"/>
        </w:rPr>
        <w:t>green</w:t>
      </w:r>
      <w:r w:rsidRPr="00B56D8C">
        <w:rPr>
          <w:sz w:val="21"/>
          <w:szCs w:val="21"/>
        </w:rPr>
        <w:t>.</w:t>
      </w:r>
    </w:p>
    <w:p w14:paraId="5C1B22AC" w14:textId="5D932C48" w:rsidR="00EF4FFD" w:rsidRPr="00EF4FFD" w:rsidRDefault="00EF4FFD" w:rsidP="00EF4FFD">
      <w:pPr>
        <w:pStyle w:val="DHHSbody"/>
        <w:numPr>
          <w:ilvl w:val="0"/>
          <w:numId w:val="40"/>
        </w:numPr>
        <w:spacing w:line="240" w:lineRule="auto"/>
        <w:rPr>
          <w:sz w:val="21"/>
          <w:szCs w:val="21"/>
        </w:rPr>
      </w:pPr>
      <w:r w:rsidRPr="00EF4FFD">
        <w:rPr>
          <w:sz w:val="21"/>
          <w:szCs w:val="21"/>
        </w:rPr>
        <w:t xml:space="preserve">Redundant values and definitions relating to existing items </w:t>
      </w:r>
      <w:r w:rsidRPr="00B56D8C">
        <w:rPr>
          <w:sz w:val="21"/>
          <w:szCs w:val="21"/>
        </w:rPr>
        <w:t xml:space="preserve">are </w:t>
      </w:r>
      <w:r w:rsidRPr="00B56D8C">
        <w:rPr>
          <w:strike/>
          <w:sz w:val="21"/>
          <w:szCs w:val="21"/>
          <w:highlight w:val="yellow"/>
        </w:rPr>
        <w:t>highlighted yellow and struck through</w:t>
      </w:r>
      <w:r w:rsidRPr="00B56D8C">
        <w:rPr>
          <w:sz w:val="21"/>
          <w:szCs w:val="21"/>
        </w:rPr>
        <w:t>.</w:t>
      </w:r>
    </w:p>
    <w:p w14:paraId="180E1467" w14:textId="49C19D6A" w:rsidR="00EF4FFD" w:rsidRPr="00EF4FFD" w:rsidRDefault="005078F8" w:rsidP="00EF4FFD">
      <w:pPr>
        <w:pStyle w:val="DHHSbody"/>
        <w:numPr>
          <w:ilvl w:val="0"/>
          <w:numId w:val="40"/>
        </w:numPr>
        <w:rPr>
          <w:sz w:val="21"/>
          <w:szCs w:val="21"/>
        </w:rPr>
      </w:pPr>
      <w:r w:rsidRPr="005078F8">
        <w:rPr>
          <w:sz w:val="21"/>
          <w:szCs w:val="21"/>
        </w:rPr>
        <w:t xml:space="preserve">Comments relating only to the </w:t>
      </w:r>
      <w:r w:rsidR="00EC58E3">
        <w:rPr>
          <w:sz w:val="21"/>
          <w:szCs w:val="21"/>
        </w:rPr>
        <w:t>s</w:t>
      </w:r>
      <w:r w:rsidRPr="005078F8">
        <w:rPr>
          <w:sz w:val="21"/>
          <w:szCs w:val="21"/>
        </w:rPr>
        <w:t xml:space="preserve">pecifications document appear in </w:t>
      </w:r>
      <w:r w:rsidR="00EF4FFD" w:rsidRPr="00C33FAD">
        <w:rPr>
          <w:i/>
          <w:iCs/>
          <w:sz w:val="21"/>
          <w:szCs w:val="21"/>
        </w:rPr>
        <w:t>[</w:t>
      </w:r>
      <w:r w:rsidR="00EF4FFD" w:rsidRPr="00EF4FFD">
        <w:rPr>
          <w:i/>
          <w:iCs/>
          <w:sz w:val="21"/>
          <w:szCs w:val="21"/>
        </w:rPr>
        <w:t>square brackets and italics</w:t>
      </w:r>
      <w:r w:rsidR="00EF4FFD" w:rsidRPr="00C33FAD">
        <w:rPr>
          <w:i/>
          <w:iCs/>
          <w:sz w:val="21"/>
          <w:szCs w:val="21"/>
        </w:rPr>
        <w:t>]</w:t>
      </w:r>
      <w:r w:rsidR="00EF4FFD" w:rsidRPr="00EF4FFD">
        <w:rPr>
          <w:sz w:val="21"/>
          <w:szCs w:val="21"/>
        </w:rPr>
        <w:t>.</w:t>
      </w:r>
    </w:p>
    <w:p w14:paraId="6F3166D1" w14:textId="77777777" w:rsidR="00EF4FFD" w:rsidRPr="00EF4FFD" w:rsidRDefault="00EF4FFD" w:rsidP="00EF4FFD">
      <w:pPr>
        <w:pStyle w:val="DHHSbody"/>
        <w:numPr>
          <w:ilvl w:val="0"/>
          <w:numId w:val="40"/>
        </w:numPr>
        <w:rPr>
          <w:sz w:val="21"/>
          <w:szCs w:val="21"/>
        </w:rPr>
      </w:pPr>
      <w:r w:rsidRPr="00EF4FFD">
        <w:rPr>
          <w:sz w:val="21"/>
          <w:szCs w:val="21"/>
        </w:rPr>
        <w:t xml:space="preserve">Validations to be changed are marked * when listed as part of a data item or below a validation table. </w:t>
      </w:r>
    </w:p>
    <w:p w14:paraId="3CEB25E2" w14:textId="7C58CC9E" w:rsidR="00EF4FFD" w:rsidRPr="00B56D8C" w:rsidRDefault="00EF4FFD" w:rsidP="00CA1CD2">
      <w:pPr>
        <w:pStyle w:val="DHHSbody"/>
        <w:numPr>
          <w:ilvl w:val="0"/>
          <w:numId w:val="40"/>
        </w:numPr>
        <w:rPr>
          <w:sz w:val="21"/>
          <w:szCs w:val="21"/>
        </w:rPr>
      </w:pPr>
      <w:r w:rsidRPr="00EF4FFD">
        <w:rPr>
          <w:sz w:val="21"/>
          <w:szCs w:val="21"/>
        </w:rPr>
        <w:t>Anticipated changes are shown under the appropriate manual section headings.</w:t>
      </w:r>
    </w:p>
    <w:p w14:paraId="00BF6E15" w14:textId="77777777" w:rsidR="00A762D5" w:rsidRDefault="00A762D5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0E7756FB" w14:textId="45298A5B" w:rsidR="00371FC4" w:rsidRDefault="00371FC4" w:rsidP="00371FC4">
      <w:pPr>
        <w:pStyle w:val="Heading1"/>
      </w:pPr>
      <w:bookmarkStart w:id="3" w:name="_Toc94188055"/>
      <w:r>
        <w:lastRenderedPageBreak/>
        <w:t>Clarification on Proposal 16 – Change AOD140 validation from a warning to an error</w:t>
      </w:r>
      <w:bookmarkEnd w:id="3"/>
    </w:p>
    <w:p w14:paraId="6CC46AE4" w14:textId="19BEBB1E" w:rsidR="00A81066" w:rsidRDefault="00A81066" w:rsidP="00A81066">
      <w:pPr>
        <w:pStyle w:val="Heading2"/>
      </w:pPr>
      <w:bookmarkStart w:id="4" w:name="_Toc94188056"/>
      <w:r>
        <w:t>Busin</w:t>
      </w:r>
      <w:r w:rsidR="006B3683">
        <w:t>ess reason f</w:t>
      </w:r>
      <w:r w:rsidR="0080611E">
        <w:t>or</w:t>
      </w:r>
      <w:r w:rsidR="006B3683">
        <w:t xml:space="preserve"> change</w:t>
      </w:r>
      <w:bookmarkEnd w:id="4"/>
    </w:p>
    <w:p w14:paraId="7CD0E5B3" w14:textId="1C7F7436" w:rsidR="000E5192" w:rsidRDefault="000E5192" w:rsidP="000E5192">
      <w:pPr>
        <w:pStyle w:val="Body"/>
      </w:pPr>
      <w:r>
        <w:t xml:space="preserve">To </w:t>
      </w:r>
      <w:r w:rsidR="0063592E">
        <w:t xml:space="preserve">ensure </w:t>
      </w:r>
      <w:r>
        <w:t>the correct application of business rules across years</w:t>
      </w:r>
      <w:r w:rsidR="00D95CD6">
        <w:t xml:space="preserve">, </w:t>
      </w:r>
      <w:r>
        <w:t xml:space="preserve">a minor change </w:t>
      </w:r>
      <w:r w:rsidR="00D95CD6">
        <w:t xml:space="preserve">is necessary </w:t>
      </w:r>
      <w:r>
        <w:t xml:space="preserve">to the specification </w:t>
      </w:r>
      <w:r w:rsidR="00D8325E">
        <w:t xml:space="preserve">for </w:t>
      </w:r>
      <w:r>
        <w:t>Proposal 16</w:t>
      </w:r>
      <w:r w:rsidR="00F87C3A">
        <w:t xml:space="preserve"> in the </w:t>
      </w:r>
      <w:r w:rsidR="00F82D95">
        <w:t xml:space="preserve">VADC </w:t>
      </w:r>
      <w:r w:rsidR="00F87C3A">
        <w:t>2022-23 reporting year</w:t>
      </w:r>
      <w:r>
        <w:t>.  AOD140 will remain as a warning validation and will apply for submission files with a reporting period prior to 1 July 2022.</w:t>
      </w:r>
    </w:p>
    <w:p w14:paraId="04044B92" w14:textId="3953D2C7" w:rsidR="0080611E" w:rsidRDefault="00A81066" w:rsidP="00A81066">
      <w:pPr>
        <w:pStyle w:val="Heading2"/>
      </w:pPr>
      <w:bookmarkStart w:id="5" w:name="_Toc94188057"/>
      <w:r>
        <w:t>C</w:t>
      </w:r>
      <w:r w:rsidR="0080611E">
        <w:t>hange</w:t>
      </w:r>
      <w:r>
        <w:t xml:space="preserve"> details</w:t>
      </w:r>
      <w:bookmarkEnd w:id="5"/>
    </w:p>
    <w:p w14:paraId="3F2A5D32" w14:textId="13E885A8" w:rsidR="003A2A98" w:rsidRDefault="003A2A98" w:rsidP="004A064B">
      <w:pPr>
        <w:pStyle w:val="Bullet1"/>
      </w:pPr>
      <w:r>
        <w:t>AOD140</w:t>
      </w:r>
      <w:r w:rsidR="004A064B">
        <w:t xml:space="preserve"> validation is retained as warning and will only apply </w:t>
      </w:r>
      <w:r w:rsidR="009C17FA">
        <w:t xml:space="preserve">to </w:t>
      </w:r>
      <w:r w:rsidR="0092674A">
        <w:t xml:space="preserve">service events </w:t>
      </w:r>
      <w:r w:rsidR="00FC0747">
        <w:t>in r</w:t>
      </w:r>
      <w:r w:rsidR="004A064B">
        <w:t>eport</w:t>
      </w:r>
      <w:r w:rsidR="00FC0747">
        <w:t xml:space="preserve">ing periods </w:t>
      </w:r>
      <w:r w:rsidR="004A064B" w:rsidRPr="00F82D95">
        <w:rPr>
          <w:b/>
          <w:bCs/>
        </w:rPr>
        <w:t>before</w:t>
      </w:r>
      <w:r w:rsidR="004A064B">
        <w:t xml:space="preserve"> 1 July 2022. </w:t>
      </w:r>
      <w:r w:rsidR="00C33FAD">
        <w:t>Refer</w:t>
      </w:r>
      <w:r w:rsidR="004A064B">
        <w:t xml:space="preserve"> Table 1.</w:t>
      </w:r>
    </w:p>
    <w:p w14:paraId="63A6547E" w14:textId="632C0F1C" w:rsidR="003A2A98" w:rsidRPr="006B0D46" w:rsidRDefault="003A2A98" w:rsidP="004A064B">
      <w:pPr>
        <w:pStyle w:val="Bullet1"/>
      </w:pPr>
      <w:r w:rsidRPr="006B0D46">
        <w:t>A new validation code (AOD143) will be created as an error validation</w:t>
      </w:r>
      <w:r w:rsidR="00FC0747">
        <w:t xml:space="preserve"> </w:t>
      </w:r>
      <w:r w:rsidR="00AD44C4">
        <w:t xml:space="preserve">and will be applied </w:t>
      </w:r>
      <w:r w:rsidR="00FC0747">
        <w:t xml:space="preserve">to service events in reporting periods </w:t>
      </w:r>
      <w:r w:rsidR="00FC0747" w:rsidRPr="00F82D95">
        <w:rPr>
          <w:b/>
          <w:bCs/>
        </w:rPr>
        <w:t>after</w:t>
      </w:r>
      <w:r w:rsidR="00FC0747" w:rsidRPr="00FC0747">
        <w:t xml:space="preserve"> </w:t>
      </w:r>
      <w:r w:rsidR="00FC0747">
        <w:t>1 July 2022</w:t>
      </w:r>
      <w:r w:rsidRPr="006B0D46">
        <w:t xml:space="preserve">. </w:t>
      </w:r>
      <w:r w:rsidR="004A064B">
        <w:t xml:space="preserve">There is no change to the </w:t>
      </w:r>
      <w:r w:rsidRPr="006B0D46">
        <w:t>pseudo</w:t>
      </w:r>
      <w:r>
        <w:t>-</w:t>
      </w:r>
      <w:r w:rsidRPr="006B0D46">
        <w:t xml:space="preserve">code logic </w:t>
      </w:r>
      <w:r>
        <w:t xml:space="preserve">as </w:t>
      </w:r>
      <w:r w:rsidRPr="006B0D46">
        <w:t xml:space="preserve">outlined in the </w:t>
      </w:r>
      <w:r>
        <w:t xml:space="preserve">published </w:t>
      </w:r>
      <w:r w:rsidRPr="006B0D46">
        <w:rPr>
          <w:i/>
          <w:iCs/>
        </w:rPr>
        <w:t>Specifications for revisions to the VADC for 1 July 2022</w:t>
      </w:r>
      <w:r w:rsidRPr="006B0D46">
        <w:t xml:space="preserve"> for Proposal 16.  </w:t>
      </w:r>
      <w:r w:rsidR="00C33FAD">
        <w:t>Refer</w:t>
      </w:r>
      <w:r w:rsidRPr="006B0D46">
        <w:t xml:space="preserve"> Table </w:t>
      </w:r>
      <w:r>
        <w:t>2</w:t>
      </w:r>
      <w:r w:rsidRPr="006B0D46">
        <w:t>.</w:t>
      </w:r>
    </w:p>
    <w:p w14:paraId="0C327FC2" w14:textId="77777777" w:rsidR="00AD7A67" w:rsidRDefault="002365B4" w:rsidP="00BA3524">
      <w:pPr>
        <w:pStyle w:val="Tablecaption"/>
      </w:pPr>
      <w:r>
        <w:t>T</w:t>
      </w:r>
      <w:r w:rsidR="000F1F1E">
        <w:t xml:space="preserve">able </w:t>
      </w:r>
      <w:r w:rsidR="00A81066">
        <w:t>1</w:t>
      </w:r>
      <w:r w:rsidR="00E10495">
        <w:t xml:space="preserve"> </w:t>
      </w:r>
    </w:p>
    <w:p w14:paraId="1D7FFA3E" w14:textId="0806E958" w:rsidR="000F1F1E" w:rsidRPr="00C33FAD" w:rsidRDefault="00E10495" w:rsidP="00BA3524">
      <w:pPr>
        <w:pStyle w:val="Tablecaption"/>
        <w:rPr>
          <w:b w:val="0"/>
          <w:bCs/>
        </w:rPr>
      </w:pPr>
      <w:r w:rsidRPr="00C33FAD">
        <w:rPr>
          <w:b w:val="0"/>
          <w:bCs/>
          <w:i/>
          <w:iCs/>
        </w:rPr>
        <w:t>[</w:t>
      </w:r>
      <w:r w:rsidRPr="0025711B">
        <w:rPr>
          <w:b w:val="0"/>
          <w:bCs/>
          <w:i/>
          <w:iCs/>
        </w:rPr>
        <w:t>Section 6 Edit/Validation Rules -</w:t>
      </w:r>
      <w:r w:rsidRPr="0025711B">
        <w:rPr>
          <w:b w:val="0"/>
          <w:bCs/>
        </w:rPr>
        <w:t xml:space="preserve"> </w:t>
      </w:r>
      <w:r w:rsidRPr="0025711B">
        <w:rPr>
          <w:b w:val="0"/>
          <w:bCs/>
          <w:i/>
          <w:iCs/>
        </w:rPr>
        <w:t>Table 5.c Data Element edit/validation rules</w:t>
      </w:r>
      <w:r w:rsidRPr="00C33FAD">
        <w:rPr>
          <w:b w:val="0"/>
          <w:bCs/>
          <w:i/>
          <w:iCs/>
        </w:rPr>
        <w:t>]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544"/>
        <w:gridCol w:w="1984"/>
        <w:gridCol w:w="2552"/>
        <w:gridCol w:w="992"/>
        <w:gridCol w:w="1134"/>
      </w:tblGrid>
      <w:tr w:rsidR="00FB7307" w:rsidRPr="00FB7307" w14:paraId="585DF4FD" w14:textId="77777777" w:rsidTr="00FB7307">
        <w:trPr>
          <w:trHeight w:val="389"/>
        </w:trPr>
        <w:tc>
          <w:tcPr>
            <w:tcW w:w="1029" w:type="dxa"/>
            <w:shd w:val="clear" w:color="auto" w:fill="auto"/>
          </w:tcPr>
          <w:p w14:paraId="123B6A89" w14:textId="6E286DA7" w:rsidR="00FB7307" w:rsidRPr="00FB7307" w:rsidRDefault="00FB7307" w:rsidP="00FB7307">
            <w:pPr>
              <w:pStyle w:val="Tablecolhead"/>
            </w:pPr>
            <w:r w:rsidRPr="00AF022B">
              <w:t>ID</w:t>
            </w:r>
          </w:p>
        </w:tc>
        <w:tc>
          <w:tcPr>
            <w:tcW w:w="2544" w:type="dxa"/>
            <w:shd w:val="clear" w:color="auto" w:fill="auto"/>
          </w:tcPr>
          <w:p w14:paraId="0C72BF1F" w14:textId="20038007" w:rsidR="00FB7307" w:rsidRPr="00FB7307" w:rsidRDefault="00FB7307" w:rsidP="00FB7307">
            <w:pPr>
              <w:pStyle w:val="Tablecolhead"/>
            </w:pPr>
            <w:r w:rsidRPr="00AF022B">
              <w:t>Edit name/description</w:t>
            </w:r>
          </w:p>
        </w:tc>
        <w:tc>
          <w:tcPr>
            <w:tcW w:w="1984" w:type="dxa"/>
            <w:shd w:val="clear" w:color="auto" w:fill="auto"/>
          </w:tcPr>
          <w:p w14:paraId="291AC854" w14:textId="415356CC" w:rsidR="00FB7307" w:rsidRPr="00FB7307" w:rsidRDefault="00FB7307" w:rsidP="00FB7307">
            <w:pPr>
              <w:pStyle w:val="Tablecolhead"/>
            </w:pPr>
            <w:r w:rsidRPr="00AF022B">
              <w:t>Data elements</w:t>
            </w:r>
          </w:p>
        </w:tc>
        <w:tc>
          <w:tcPr>
            <w:tcW w:w="2552" w:type="dxa"/>
          </w:tcPr>
          <w:p w14:paraId="0383FD9C" w14:textId="3535AA2D" w:rsidR="00FB7307" w:rsidRPr="00FB7307" w:rsidRDefault="00FB7307" w:rsidP="00FB7307">
            <w:pPr>
              <w:pStyle w:val="Tablecolhead"/>
            </w:pPr>
            <w:r w:rsidRPr="00AF022B">
              <w:t>Pseudo code/rule</w:t>
            </w:r>
          </w:p>
        </w:tc>
        <w:tc>
          <w:tcPr>
            <w:tcW w:w="992" w:type="dxa"/>
          </w:tcPr>
          <w:p w14:paraId="79A4FAE6" w14:textId="66CE408F" w:rsidR="00FB7307" w:rsidRPr="00FB7307" w:rsidRDefault="00FB7307" w:rsidP="00FB7307">
            <w:pPr>
              <w:pStyle w:val="Tablecolhead"/>
            </w:pPr>
            <w:r w:rsidRPr="00AF022B">
              <w:t>Source</w:t>
            </w:r>
          </w:p>
        </w:tc>
        <w:tc>
          <w:tcPr>
            <w:tcW w:w="1134" w:type="dxa"/>
          </w:tcPr>
          <w:p w14:paraId="493A305B" w14:textId="118FA158" w:rsidR="00FB7307" w:rsidRPr="00FB7307" w:rsidRDefault="00FB7307" w:rsidP="00FB7307">
            <w:pPr>
              <w:pStyle w:val="Tablecolhead"/>
            </w:pPr>
            <w:r w:rsidRPr="00AF022B">
              <w:t>Status</w:t>
            </w:r>
          </w:p>
        </w:tc>
      </w:tr>
      <w:tr w:rsidR="00FB7307" w:rsidRPr="00FB7307" w14:paraId="22215BDD" w14:textId="77777777" w:rsidTr="00FB7307">
        <w:trPr>
          <w:trHeight w:val="2123"/>
        </w:trPr>
        <w:tc>
          <w:tcPr>
            <w:tcW w:w="1029" w:type="dxa"/>
            <w:shd w:val="clear" w:color="auto" w:fill="auto"/>
          </w:tcPr>
          <w:p w14:paraId="779FCC9B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AOD140</w:t>
            </w:r>
          </w:p>
        </w:tc>
        <w:tc>
          <w:tcPr>
            <w:tcW w:w="2544" w:type="dxa"/>
            <w:shd w:val="clear" w:color="auto" w:fill="auto"/>
          </w:tcPr>
          <w:p w14:paraId="487953BD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 xml:space="preserve">At least one Drug of concern group not reported within an Outcome measure for closed service event </w:t>
            </w:r>
            <w:r w:rsidRPr="0037724D">
              <w:rPr>
                <w:sz w:val="20"/>
                <w:highlight w:val="green"/>
              </w:rPr>
              <w:t>(Only applies for reporting periods before 1 July 2022)</w:t>
            </w:r>
          </w:p>
        </w:tc>
        <w:tc>
          <w:tcPr>
            <w:tcW w:w="1984" w:type="dxa"/>
            <w:shd w:val="clear" w:color="auto" w:fill="auto"/>
          </w:tcPr>
          <w:p w14:paraId="718E5632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Outcome measure</w:t>
            </w:r>
          </w:p>
          <w:p w14:paraId="7C8DA283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Drug of concern</w:t>
            </w:r>
          </w:p>
          <w:p w14:paraId="60A08096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Event-end date</w:t>
            </w:r>
          </w:p>
          <w:p w14:paraId="0871E438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</w:p>
          <w:p w14:paraId="144CF723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</w:p>
        </w:tc>
        <w:tc>
          <w:tcPr>
            <w:tcW w:w="2552" w:type="dxa"/>
          </w:tcPr>
          <w:p w14:paraId="67B1B56E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 xml:space="preserve">Event-end date != null AND for each Outcome measure (count(Drug of concern) &lt; 1) </w:t>
            </w:r>
          </w:p>
        </w:tc>
        <w:tc>
          <w:tcPr>
            <w:tcW w:w="992" w:type="dxa"/>
          </w:tcPr>
          <w:p w14:paraId="278A3440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DH</w:t>
            </w:r>
          </w:p>
        </w:tc>
        <w:tc>
          <w:tcPr>
            <w:tcW w:w="1134" w:type="dxa"/>
          </w:tcPr>
          <w:p w14:paraId="7C033551" w14:textId="77777777" w:rsidR="00FB7307" w:rsidRPr="0037724D" w:rsidRDefault="00FB7307" w:rsidP="002E25BE">
            <w:pPr>
              <w:pStyle w:val="Body"/>
              <w:rPr>
                <w:sz w:val="20"/>
              </w:rPr>
            </w:pPr>
            <w:r w:rsidRPr="0037724D">
              <w:rPr>
                <w:sz w:val="20"/>
              </w:rPr>
              <w:t>warning</w:t>
            </w:r>
          </w:p>
        </w:tc>
      </w:tr>
    </w:tbl>
    <w:p w14:paraId="016B16CC" w14:textId="77777777" w:rsidR="001D5C80" w:rsidRDefault="001D5C80" w:rsidP="007B21D4">
      <w:pPr>
        <w:pStyle w:val="Tablecaption"/>
      </w:pPr>
    </w:p>
    <w:p w14:paraId="7B85AD82" w14:textId="77777777" w:rsidR="001D5C80" w:rsidRDefault="001D5C80">
      <w:pPr>
        <w:spacing w:after="0" w:line="240" w:lineRule="auto"/>
        <w:rPr>
          <w:b/>
        </w:rPr>
      </w:pPr>
      <w:r>
        <w:br w:type="page"/>
      </w:r>
    </w:p>
    <w:p w14:paraId="1E6BF3C3" w14:textId="04563D98" w:rsidR="007B21D4" w:rsidRDefault="007B21D4" w:rsidP="007B21D4">
      <w:pPr>
        <w:pStyle w:val="Tablecaption"/>
      </w:pPr>
      <w:r>
        <w:lastRenderedPageBreak/>
        <w:t xml:space="preserve">Table </w:t>
      </w:r>
      <w:r w:rsidR="00A81066">
        <w:t>2</w:t>
      </w:r>
    </w:p>
    <w:p w14:paraId="30D45887" w14:textId="4B23081E" w:rsidR="001D5C80" w:rsidRPr="00C33FAD" w:rsidRDefault="001D5C80" w:rsidP="001D5C80">
      <w:pPr>
        <w:pStyle w:val="Tablecaption"/>
        <w:rPr>
          <w:b w:val="0"/>
          <w:bCs/>
          <w:i/>
          <w:iCs/>
        </w:rPr>
      </w:pPr>
      <w:r w:rsidRPr="00C33FAD">
        <w:rPr>
          <w:b w:val="0"/>
          <w:bCs/>
          <w:i/>
          <w:iCs/>
        </w:rPr>
        <w:t>[</w:t>
      </w:r>
      <w:r w:rsidRPr="0025711B">
        <w:rPr>
          <w:b w:val="0"/>
          <w:bCs/>
          <w:i/>
          <w:iCs/>
        </w:rPr>
        <w:t>Section 6 Edit/Validation Rules -</w:t>
      </w:r>
      <w:r w:rsidRPr="0025711B">
        <w:rPr>
          <w:b w:val="0"/>
          <w:bCs/>
        </w:rPr>
        <w:t xml:space="preserve"> </w:t>
      </w:r>
      <w:r w:rsidRPr="0025711B">
        <w:rPr>
          <w:b w:val="0"/>
          <w:bCs/>
          <w:i/>
          <w:iCs/>
        </w:rPr>
        <w:t xml:space="preserve">Table 5.c Data Element edit/validation </w:t>
      </w:r>
      <w:r w:rsidRPr="00C33FAD">
        <w:rPr>
          <w:b w:val="0"/>
          <w:bCs/>
          <w:i/>
          <w:iCs/>
        </w:rPr>
        <w:t>rules</w:t>
      </w:r>
      <w:r w:rsidR="00C33FAD" w:rsidRPr="00C33FAD">
        <w:rPr>
          <w:b w:val="0"/>
          <w:bCs/>
          <w:i/>
          <w:iCs/>
        </w:rPr>
        <w:t>]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544"/>
        <w:gridCol w:w="1984"/>
        <w:gridCol w:w="2552"/>
        <w:gridCol w:w="992"/>
        <w:gridCol w:w="1134"/>
      </w:tblGrid>
      <w:tr w:rsidR="007B21D4" w:rsidRPr="00FB7307" w14:paraId="3AED3D9A" w14:textId="77777777" w:rsidTr="003A24D5">
        <w:trPr>
          <w:trHeight w:val="389"/>
        </w:trPr>
        <w:tc>
          <w:tcPr>
            <w:tcW w:w="1029" w:type="dxa"/>
            <w:shd w:val="clear" w:color="auto" w:fill="auto"/>
          </w:tcPr>
          <w:p w14:paraId="2E734407" w14:textId="77777777" w:rsidR="007B21D4" w:rsidRPr="00FB7307" w:rsidRDefault="007B21D4" w:rsidP="003A24D5">
            <w:pPr>
              <w:pStyle w:val="Tablecolhead"/>
            </w:pPr>
            <w:r w:rsidRPr="00AF022B">
              <w:t>ID</w:t>
            </w:r>
          </w:p>
        </w:tc>
        <w:tc>
          <w:tcPr>
            <w:tcW w:w="2544" w:type="dxa"/>
            <w:shd w:val="clear" w:color="auto" w:fill="auto"/>
          </w:tcPr>
          <w:p w14:paraId="17057F43" w14:textId="77777777" w:rsidR="007B21D4" w:rsidRPr="00FB7307" w:rsidRDefault="007B21D4" w:rsidP="003A24D5">
            <w:pPr>
              <w:pStyle w:val="Tablecolhead"/>
            </w:pPr>
            <w:r w:rsidRPr="00AF022B">
              <w:t>Edit name/description</w:t>
            </w:r>
          </w:p>
        </w:tc>
        <w:tc>
          <w:tcPr>
            <w:tcW w:w="1984" w:type="dxa"/>
            <w:shd w:val="clear" w:color="auto" w:fill="auto"/>
          </w:tcPr>
          <w:p w14:paraId="48EFE217" w14:textId="77777777" w:rsidR="007B21D4" w:rsidRPr="00FB7307" w:rsidRDefault="007B21D4" w:rsidP="003A24D5">
            <w:pPr>
              <w:pStyle w:val="Tablecolhead"/>
            </w:pPr>
            <w:r w:rsidRPr="00AF022B">
              <w:t>Data elements</w:t>
            </w:r>
          </w:p>
        </w:tc>
        <w:tc>
          <w:tcPr>
            <w:tcW w:w="2552" w:type="dxa"/>
          </w:tcPr>
          <w:p w14:paraId="35C16166" w14:textId="77777777" w:rsidR="007B21D4" w:rsidRPr="00FB7307" w:rsidRDefault="007B21D4" w:rsidP="003A24D5">
            <w:pPr>
              <w:pStyle w:val="Tablecolhead"/>
            </w:pPr>
            <w:r w:rsidRPr="00AF022B">
              <w:t>Pseudo code/rule</w:t>
            </w:r>
          </w:p>
        </w:tc>
        <w:tc>
          <w:tcPr>
            <w:tcW w:w="992" w:type="dxa"/>
          </w:tcPr>
          <w:p w14:paraId="56C2661D" w14:textId="77777777" w:rsidR="007B21D4" w:rsidRPr="00FB7307" w:rsidRDefault="007B21D4" w:rsidP="003A24D5">
            <w:pPr>
              <w:pStyle w:val="Tablecolhead"/>
            </w:pPr>
            <w:r w:rsidRPr="00AF022B">
              <w:t>Source</w:t>
            </w:r>
          </w:p>
        </w:tc>
        <w:tc>
          <w:tcPr>
            <w:tcW w:w="1134" w:type="dxa"/>
          </w:tcPr>
          <w:p w14:paraId="7AD43B20" w14:textId="77777777" w:rsidR="007B21D4" w:rsidRPr="00FB7307" w:rsidRDefault="007B21D4" w:rsidP="003A24D5">
            <w:pPr>
              <w:pStyle w:val="Tablecolhead"/>
            </w:pPr>
            <w:r w:rsidRPr="00AF022B">
              <w:t>Status</w:t>
            </w:r>
          </w:p>
        </w:tc>
      </w:tr>
      <w:tr w:rsidR="007B21D4" w:rsidRPr="00FB7307" w14:paraId="1A2F20F0" w14:textId="77777777" w:rsidTr="003A24D5">
        <w:trPr>
          <w:trHeight w:val="2123"/>
        </w:trPr>
        <w:tc>
          <w:tcPr>
            <w:tcW w:w="1029" w:type="dxa"/>
            <w:shd w:val="clear" w:color="auto" w:fill="auto"/>
          </w:tcPr>
          <w:p w14:paraId="3A6103E7" w14:textId="2D3192DB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  <w:lang w:eastAsia="en-AU"/>
              </w:rPr>
              <w:t>AOD143</w:t>
            </w:r>
          </w:p>
        </w:tc>
        <w:tc>
          <w:tcPr>
            <w:tcW w:w="2544" w:type="dxa"/>
            <w:shd w:val="clear" w:color="auto" w:fill="auto"/>
          </w:tcPr>
          <w:p w14:paraId="36DF8F48" w14:textId="426F36E3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At least one Drug of concern group not reported within an Outcome measure for closed service event where the client is a person of concern (Only applies for reporting periods from July 2022)</w:t>
            </w:r>
          </w:p>
        </w:tc>
        <w:tc>
          <w:tcPr>
            <w:tcW w:w="1984" w:type="dxa"/>
            <w:shd w:val="clear" w:color="auto" w:fill="auto"/>
          </w:tcPr>
          <w:p w14:paraId="3F996AEC" w14:textId="77777777" w:rsidR="007B21D4" w:rsidRPr="0037724D" w:rsidRDefault="007B21D4" w:rsidP="0037724D">
            <w:pPr>
              <w:pStyle w:val="Body"/>
              <w:rPr>
                <w:sz w:val="20"/>
                <w:highlight w:val="green"/>
                <w:lang w:eastAsia="en-AU"/>
              </w:rPr>
            </w:pPr>
            <w:r w:rsidRPr="0037724D">
              <w:rPr>
                <w:sz w:val="20"/>
                <w:highlight w:val="green"/>
                <w:lang w:eastAsia="en-AU"/>
              </w:rPr>
              <w:t>Outcome measure</w:t>
            </w:r>
          </w:p>
          <w:p w14:paraId="7BA7AC02" w14:textId="77777777" w:rsidR="007B21D4" w:rsidRPr="0037724D" w:rsidRDefault="007B21D4" w:rsidP="0037724D">
            <w:pPr>
              <w:pStyle w:val="Body"/>
              <w:rPr>
                <w:sz w:val="20"/>
                <w:highlight w:val="green"/>
                <w:lang w:eastAsia="en-AU"/>
              </w:rPr>
            </w:pPr>
            <w:r w:rsidRPr="0037724D">
              <w:rPr>
                <w:sz w:val="20"/>
                <w:highlight w:val="green"/>
                <w:lang w:eastAsia="en-AU"/>
              </w:rPr>
              <w:t>Drug of concern</w:t>
            </w:r>
          </w:p>
          <w:p w14:paraId="6A7EC57B" w14:textId="77777777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Event-end date</w:t>
            </w:r>
          </w:p>
          <w:p w14:paraId="1C6AEA29" w14:textId="77777777" w:rsidR="007B21D4" w:rsidRPr="0037724D" w:rsidRDefault="007B21D4" w:rsidP="0037724D">
            <w:pPr>
              <w:pStyle w:val="Body"/>
              <w:rPr>
                <w:sz w:val="20"/>
                <w:highlight w:val="green"/>
              </w:rPr>
            </w:pPr>
            <w:r w:rsidRPr="0037724D">
              <w:rPr>
                <w:sz w:val="20"/>
                <w:highlight w:val="green"/>
              </w:rPr>
              <w:t>Contact-relationship to client</w:t>
            </w:r>
          </w:p>
          <w:p w14:paraId="4CA5DEA4" w14:textId="77777777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Event-service stream</w:t>
            </w:r>
          </w:p>
          <w:p w14:paraId="1BD16AF4" w14:textId="77777777" w:rsidR="007B21D4" w:rsidRPr="0037724D" w:rsidRDefault="007B21D4" w:rsidP="0037724D">
            <w:pPr>
              <w:pStyle w:val="Body"/>
              <w:rPr>
                <w:sz w:val="20"/>
              </w:rPr>
            </w:pPr>
          </w:p>
        </w:tc>
        <w:tc>
          <w:tcPr>
            <w:tcW w:w="2552" w:type="dxa"/>
          </w:tcPr>
          <w:p w14:paraId="4C00DA59" w14:textId="4BD3B83B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Event-end date != null AND for each Outcome measure (count(Drug of concern) &lt; 1) AND (ISNULL(Contact-relationship to client, 9) = 0) OR Event service stream = (Table 3 Activity Type = R))</w:t>
            </w:r>
          </w:p>
        </w:tc>
        <w:tc>
          <w:tcPr>
            <w:tcW w:w="992" w:type="dxa"/>
          </w:tcPr>
          <w:p w14:paraId="57C55BA7" w14:textId="4BC7C34A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DH</w:t>
            </w:r>
          </w:p>
        </w:tc>
        <w:tc>
          <w:tcPr>
            <w:tcW w:w="1134" w:type="dxa"/>
          </w:tcPr>
          <w:p w14:paraId="4959EEE8" w14:textId="786C5453" w:rsidR="007B21D4" w:rsidRPr="0037724D" w:rsidRDefault="007B21D4" w:rsidP="0037724D">
            <w:pPr>
              <w:pStyle w:val="Body"/>
              <w:rPr>
                <w:sz w:val="20"/>
              </w:rPr>
            </w:pPr>
            <w:r w:rsidRPr="0037724D">
              <w:rPr>
                <w:sz w:val="20"/>
                <w:highlight w:val="green"/>
              </w:rPr>
              <w:t>error</w:t>
            </w:r>
          </w:p>
        </w:tc>
      </w:tr>
    </w:tbl>
    <w:p w14:paraId="5445E999" w14:textId="1F6C4C66" w:rsidR="00C959FE" w:rsidRDefault="007E4CB0" w:rsidP="004364C8">
      <w:pPr>
        <w:pStyle w:val="DHHSbody"/>
      </w:pPr>
      <w:r w:rsidRPr="00085A49">
        <w:rPr>
          <w:highlight w:val="green"/>
        </w:rPr>
        <w:t>Note: For AOD14</w:t>
      </w:r>
      <w:r>
        <w:rPr>
          <w:highlight w:val="green"/>
        </w:rPr>
        <w:t>3</w:t>
      </w:r>
      <w:r w:rsidRPr="00085A49">
        <w:rPr>
          <w:highlight w:val="green"/>
        </w:rPr>
        <w:t xml:space="preserve"> - Contact-relationship to client has been added. Add </w:t>
      </w:r>
      <w:r w:rsidRPr="00085A49">
        <w:rPr>
          <w:b/>
          <w:bCs/>
          <w:highlight w:val="green"/>
        </w:rPr>
        <w:t>service event level checks for both</w:t>
      </w:r>
      <w:r w:rsidRPr="00085A49">
        <w:rPr>
          <w:highlight w:val="green"/>
        </w:rPr>
        <w:t xml:space="preserve"> “Contact-relationship to client” and “Service stream- Activity Type != R”.</w:t>
      </w:r>
      <w:r w:rsidRPr="005B0F46">
        <w:t xml:space="preserve"> </w:t>
      </w:r>
    </w:p>
    <w:p w14:paraId="64E2D021" w14:textId="107FF257" w:rsidR="00C959FE" w:rsidRDefault="00C959FE" w:rsidP="004364C8">
      <w:pPr>
        <w:pStyle w:val="DHHSbody"/>
      </w:pPr>
    </w:p>
    <w:p w14:paraId="17809EB1" w14:textId="3C54B0C9" w:rsidR="004A064B" w:rsidRDefault="004A064B" w:rsidP="004364C8">
      <w:pPr>
        <w:pStyle w:val="DHHSbody"/>
      </w:pPr>
    </w:p>
    <w:p w14:paraId="180EE99C" w14:textId="0F24D04E" w:rsidR="004A064B" w:rsidRDefault="004A064B" w:rsidP="004364C8">
      <w:pPr>
        <w:pStyle w:val="DHHSbody"/>
      </w:pPr>
    </w:p>
    <w:p w14:paraId="1257F085" w14:textId="52B2C9ED" w:rsidR="004A064B" w:rsidRDefault="004A064B" w:rsidP="004364C8">
      <w:pPr>
        <w:pStyle w:val="DHHSbody"/>
      </w:pPr>
    </w:p>
    <w:p w14:paraId="2FF95800" w14:textId="0BB1B5BF" w:rsidR="004A064B" w:rsidRDefault="004A064B" w:rsidP="004364C8">
      <w:pPr>
        <w:pStyle w:val="DHHSbody"/>
      </w:pPr>
    </w:p>
    <w:p w14:paraId="3B960746" w14:textId="05A1ECB0" w:rsidR="004A064B" w:rsidRDefault="004A064B" w:rsidP="004364C8">
      <w:pPr>
        <w:pStyle w:val="DHHSbody"/>
      </w:pPr>
    </w:p>
    <w:p w14:paraId="3001D0C3" w14:textId="50B2A4DA" w:rsidR="004A064B" w:rsidRDefault="004A064B" w:rsidP="004364C8">
      <w:pPr>
        <w:pStyle w:val="DHHSbody"/>
      </w:pPr>
    </w:p>
    <w:p w14:paraId="706B1B21" w14:textId="57FCBC52" w:rsidR="004A064B" w:rsidRDefault="004A064B" w:rsidP="004364C8">
      <w:pPr>
        <w:pStyle w:val="DHHSbody"/>
      </w:pPr>
    </w:p>
    <w:p w14:paraId="15D16F08" w14:textId="1E9D4632" w:rsidR="004A064B" w:rsidRDefault="004A064B" w:rsidP="004364C8">
      <w:pPr>
        <w:pStyle w:val="DHHSbody"/>
      </w:pPr>
    </w:p>
    <w:p w14:paraId="55601637" w14:textId="6B48B451" w:rsidR="00C959FE" w:rsidRDefault="00C959FE" w:rsidP="004364C8">
      <w:pPr>
        <w:pStyle w:val="DHHSbody"/>
      </w:pPr>
    </w:p>
    <w:p w14:paraId="5F3A7F16" w14:textId="622A4BFA" w:rsidR="00AD44C4" w:rsidRDefault="00AD44C4" w:rsidP="004364C8">
      <w:pPr>
        <w:pStyle w:val="DHHSbody"/>
      </w:pPr>
    </w:p>
    <w:p w14:paraId="0BB19F9F" w14:textId="77777777" w:rsidR="00AD44C4" w:rsidRDefault="00AD44C4" w:rsidP="004364C8">
      <w:pPr>
        <w:pStyle w:val="DHHS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B43DCD" w14:paraId="17A74C70" w14:textId="77777777" w:rsidTr="003A24D5">
        <w:tc>
          <w:tcPr>
            <w:tcW w:w="10194" w:type="dxa"/>
          </w:tcPr>
          <w:p w14:paraId="328A9717" w14:textId="77777777" w:rsidR="00B43DCD" w:rsidRPr="0055119B" w:rsidRDefault="00B43DCD" w:rsidP="003A24D5">
            <w:pPr>
              <w:pStyle w:val="Accessibilitypara"/>
            </w:pPr>
            <w:bookmarkStart w:id="6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email </w:t>
            </w:r>
            <w:hyperlink r:id="rId16" w:history="1">
              <w:r w:rsidRPr="00C424D3">
                <w:rPr>
                  <w:rStyle w:val="Hyperlink"/>
                </w:rPr>
                <w:t>vadc_data@health.vic.gov.au</w:t>
              </w:r>
            </w:hyperlink>
          </w:p>
          <w:p w14:paraId="09D32DDE" w14:textId="77777777" w:rsidR="00B43DCD" w:rsidRPr="0055119B" w:rsidRDefault="00B43DCD" w:rsidP="003A24D5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5934F54" w14:textId="77777777" w:rsidR="00B43DCD" w:rsidRPr="0055119B" w:rsidRDefault="00B43DCD" w:rsidP="003A24D5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t>January 2022</w:t>
            </w:r>
            <w:r w:rsidRPr="0055119B">
              <w:t>.</w:t>
            </w:r>
          </w:p>
          <w:p w14:paraId="7F570D66" w14:textId="77777777" w:rsidR="00B43DCD" w:rsidRPr="0055119B" w:rsidRDefault="00B43DCD" w:rsidP="003A24D5">
            <w:pPr>
              <w:pStyle w:val="Imprint"/>
            </w:pPr>
            <w:r w:rsidRPr="0055119B">
              <w:t xml:space="preserve">ISBN </w:t>
            </w:r>
            <w:r>
              <w:rPr>
                <w:rFonts w:cs="Arial"/>
                <w:color w:val="000000"/>
              </w:rPr>
              <w:t xml:space="preserve">978-1-76096-674-4 </w:t>
            </w:r>
            <w:r w:rsidRPr="0055119B">
              <w:t>(online/PDF/Word)</w:t>
            </w:r>
          </w:p>
          <w:p w14:paraId="49A9F19F" w14:textId="77777777" w:rsidR="00B43DCD" w:rsidRDefault="00B43DCD" w:rsidP="003A24D5">
            <w:pPr>
              <w:pStyle w:val="Imprint"/>
            </w:pPr>
            <w:r w:rsidRPr="0055119B">
              <w:t xml:space="preserve">Available at </w:t>
            </w:r>
            <w:hyperlink r:id="rId17" w:history="1">
              <w:r>
                <w:rPr>
                  <w:rStyle w:val="Hyperlink"/>
                </w:rPr>
                <w:t>VADC Annual Changes</w:t>
              </w:r>
            </w:hyperlink>
            <w:r>
              <w:t xml:space="preserve"> </w:t>
            </w:r>
            <w:r w:rsidRPr="0055119B">
              <w:t>&lt;</w:t>
            </w:r>
            <w:r w:rsidRPr="006D5DFF">
              <w:t>https://www.health.vic.gov.au/funding-and-reporting-aod-services/annual-changes</w:t>
            </w:r>
            <w:r w:rsidRPr="0055119B">
              <w:t>&gt;</w:t>
            </w:r>
          </w:p>
        </w:tc>
      </w:tr>
      <w:bookmarkEnd w:id="6"/>
    </w:tbl>
    <w:p w14:paraId="68153732" w14:textId="77777777" w:rsidR="00162CA9" w:rsidRDefault="00162CA9" w:rsidP="00B43DCD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D479" w14:textId="77777777" w:rsidR="00CA1CD2" w:rsidRDefault="00CA1CD2">
      <w:r>
        <w:separator/>
      </w:r>
    </w:p>
  </w:endnote>
  <w:endnote w:type="continuationSeparator" w:id="0">
    <w:p w14:paraId="5F14B0A0" w14:textId="77777777" w:rsidR="00CA1CD2" w:rsidRDefault="00CA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61B7" w14:textId="77777777" w:rsidR="00D0701C" w:rsidRDefault="00D07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47D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CDB8BCA" wp14:editId="2D8E8F3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119DC3E" wp14:editId="682322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EAF6D" w14:textId="1658A201" w:rsidR="00E261B3" w:rsidRPr="00B21F90" w:rsidRDefault="009B73D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9DC3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F2EAF6D" w14:textId="1658A201" w:rsidR="00E261B3" w:rsidRPr="00B21F90" w:rsidRDefault="009B73D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D70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6EF3229" wp14:editId="4164286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7AD522" w14:textId="079F1CB8" w:rsidR="00E261B3" w:rsidRPr="00B21F90" w:rsidRDefault="009B73D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F3229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D7AD522" w14:textId="079F1CB8" w:rsidR="00E261B3" w:rsidRPr="00B21F90" w:rsidRDefault="009B73D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6BD3" w14:textId="5A46DAA8" w:rsidR="00373890" w:rsidRPr="005B70F5" w:rsidRDefault="005B70F5" w:rsidP="005B70F5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6B3F502C" wp14:editId="3AA609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1704f259a212633c53599ed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607B08" w14:textId="764BAE9C" w:rsidR="005B70F5" w:rsidRPr="005B70F5" w:rsidRDefault="009B73DC" w:rsidP="005B70F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F502C" id="_x0000_t202" coordsize="21600,21600" o:spt="202" path="m,l,21600r21600,l21600,xe">
              <v:stroke joinstyle="miter"/>
              <v:path gradientshapeok="t" o:connecttype="rect"/>
            </v:shapetype>
            <v:shape id="MSIPCMd1704f259a212633c53599ed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vdVkW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78607B08" w14:textId="764BAE9C" w:rsidR="005B70F5" w:rsidRPr="005B70F5" w:rsidRDefault="009B73DC" w:rsidP="005B70F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9232" behindDoc="1" locked="1" layoutInCell="1" allowOverlap="1" wp14:anchorId="49E1D1B6" wp14:editId="7737151F">
          <wp:simplePos x="0" y="0"/>
          <wp:positionH relativeFrom="page">
            <wp:posOffset>540385</wp:posOffset>
          </wp:positionH>
          <wp:positionV relativeFrom="page">
            <wp:posOffset>9815195</wp:posOffset>
          </wp:positionV>
          <wp:extent cx="7560000" cy="964800"/>
          <wp:effectExtent l="0" t="0" r="3175" b="6985"/>
          <wp:wrapNone/>
          <wp:docPr id="9" name="Picture 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5130" w14:textId="77777777" w:rsidR="00CA1CD2" w:rsidRDefault="00CA1CD2" w:rsidP="002862F1">
      <w:pPr>
        <w:spacing w:before="120"/>
      </w:pPr>
      <w:r>
        <w:separator/>
      </w:r>
    </w:p>
  </w:footnote>
  <w:footnote w:type="continuationSeparator" w:id="0">
    <w:p w14:paraId="79FC1497" w14:textId="77777777" w:rsidR="00CA1CD2" w:rsidRDefault="00CA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F049" w14:textId="77777777" w:rsidR="00D0701C" w:rsidRDefault="00D07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94A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913E" w14:textId="77777777" w:rsidR="00D0701C" w:rsidRDefault="00D070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557A" w14:textId="3DE71680" w:rsidR="009D4DC1" w:rsidRDefault="004364C8" w:rsidP="0011701A">
    <w:pPr>
      <w:pStyle w:val="Header"/>
    </w:pPr>
    <w:r>
      <w:rPr>
        <w:noProof/>
      </w:rPr>
      <w:drawing>
        <wp:anchor distT="0" distB="0" distL="114300" distR="114300" simplePos="0" relativeHeight="251677184" behindDoc="1" locked="1" layoutInCell="1" allowOverlap="0" wp14:anchorId="498B2164" wp14:editId="4907E4A2">
          <wp:simplePos x="0" y="0"/>
          <wp:positionH relativeFrom="margin">
            <wp:align>left</wp:align>
          </wp:positionH>
          <wp:positionV relativeFrom="page">
            <wp:posOffset>428625</wp:posOffset>
          </wp:positionV>
          <wp:extent cx="7552690" cy="600075"/>
          <wp:effectExtent l="0" t="0" r="0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69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80A43D" w14:textId="77777777" w:rsidR="002E0606" w:rsidRDefault="002E0606" w:rsidP="0011701A">
    <w:pPr>
      <w:pStyle w:val="Header"/>
    </w:pPr>
  </w:p>
  <w:p w14:paraId="63321249" w14:textId="44565827" w:rsidR="00E261B3" w:rsidRPr="0051568D" w:rsidRDefault="009D4DC1" w:rsidP="0011701A">
    <w:pPr>
      <w:pStyle w:val="Header"/>
    </w:pPr>
    <w:r>
      <w:t>Addendum to Specifications for revisions to the VADC for 1 July 2022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>
      <w:rPr>
        <w:b w:val="0"/>
        <w:bCs/>
      </w:rPr>
      <w:t>5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5B6D58"/>
    <w:multiLevelType w:val="hybridMultilevel"/>
    <w:tmpl w:val="678A8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C42AAA"/>
    <w:multiLevelType w:val="hybridMultilevel"/>
    <w:tmpl w:val="CC44FAD6"/>
    <w:lvl w:ilvl="0" w:tplc="7EDEB18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F910A1B"/>
    <w:multiLevelType w:val="hybridMultilevel"/>
    <w:tmpl w:val="B620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26"/>
  </w:num>
  <w:num w:numId="26">
    <w:abstractNumId w:val="21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0"/>
  </w:num>
  <w:num w:numId="4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D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3DCF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246"/>
    <w:rsid w:val="000B2F74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92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5BF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F03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C80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5E1E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2A5E"/>
    <w:rsid w:val="0022701F"/>
    <w:rsid w:val="00227C68"/>
    <w:rsid w:val="002333F5"/>
    <w:rsid w:val="00233724"/>
    <w:rsid w:val="002365B4"/>
    <w:rsid w:val="002432E1"/>
    <w:rsid w:val="00245E61"/>
    <w:rsid w:val="00246207"/>
    <w:rsid w:val="00246C5E"/>
    <w:rsid w:val="00250960"/>
    <w:rsid w:val="00251343"/>
    <w:rsid w:val="002536A4"/>
    <w:rsid w:val="00254F58"/>
    <w:rsid w:val="0025711B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0606"/>
    <w:rsid w:val="002E161D"/>
    <w:rsid w:val="002E25BE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430F"/>
    <w:rsid w:val="00327870"/>
    <w:rsid w:val="0033259D"/>
    <w:rsid w:val="003333D2"/>
    <w:rsid w:val="0034039E"/>
    <w:rsid w:val="003406C6"/>
    <w:rsid w:val="003418CC"/>
    <w:rsid w:val="003459BD"/>
    <w:rsid w:val="00350D38"/>
    <w:rsid w:val="00351B36"/>
    <w:rsid w:val="00357B4E"/>
    <w:rsid w:val="003716FD"/>
    <w:rsid w:val="00371FC4"/>
    <w:rsid w:val="0037204B"/>
    <w:rsid w:val="00373890"/>
    <w:rsid w:val="003744CF"/>
    <w:rsid w:val="00374717"/>
    <w:rsid w:val="0037676C"/>
    <w:rsid w:val="0037724D"/>
    <w:rsid w:val="00381043"/>
    <w:rsid w:val="003829E5"/>
    <w:rsid w:val="00386109"/>
    <w:rsid w:val="00386944"/>
    <w:rsid w:val="00387225"/>
    <w:rsid w:val="003956CC"/>
    <w:rsid w:val="00395C9A"/>
    <w:rsid w:val="003A0853"/>
    <w:rsid w:val="003A2A98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16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64C8"/>
    <w:rsid w:val="00442953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CC4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64B"/>
    <w:rsid w:val="004A160D"/>
    <w:rsid w:val="004A1BF7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0EF6"/>
    <w:rsid w:val="00503DC6"/>
    <w:rsid w:val="0050444E"/>
    <w:rsid w:val="00506F5D"/>
    <w:rsid w:val="005078F8"/>
    <w:rsid w:val="00510C37"/>
    <w:rsid w:val="005126D0"/>
    <w:rsid w:val="0051568D"/>
    <w:rsid w:val="00526AC7"/>
    <w:rsid w:val="00526C15"/>
    <w:rsid w:val="0053164C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0F5"/>
    <w:rsid w:val="005B7A63"/>
    <w:rsid w:val="005C0955"/>
    <w:rsid w:val="005C49DA"/>
    <w:rsid w:val="005C50F3"/>
    <w:rsid w:val="005C54B5"/>
    <w:rsid w:val="005C5D80"/>
    <w:rsid w:val="005C5D91"/>
    <w:rsid w:val="005D07B8"/>
    <w:rsid w:val="005D5D2F"/>
    <w:rsid w:val="005D6597"/>
    <w:rsid w:val="005E14E7"/>
    <w:rsid w:val="005E26A3"/>
    <w:rsid w:val="005E2ECB"/>
    <w:rsid w:val="005E447E"/>
    <w:rsid w:val="005E4FD1"/>
    <w:rsid w:val="005F0775"/>
    <w:rsid w:val="005F0CF5"/>
    <w:rsid w:val="005F0D47"/>
    <w:rsid w:val="005F21EB"/>
    <w:rsid w:val="005F430C"/>
    <w:rsid w:val="00605908"/>
    <w:rsid w:val="00607ADA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592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0D46"/>
    <w:rsid w:val="006B3561"/>
    <w:rsid w:val="006B3683"/>
    <w:rsid w:val="006B6803"/>
    <w:rsid w:val="006C0581"/>
    <w:rsid w:val="006D0F16"/>
    <w:rsid w:val="006D2A3F"/>
    <w:rsid w:val="006D2FBC"/>
    <w:rsid w:val="006D5DFF"/>
    <w:rsid w:val="006E0541"/>
    <w:rsid w:val="006E138B"/>
    <w:rsid w:val="006F0330"/>
    <w:rsid w:val="006F1FDC"/>
    <w:rsid w:val="006F6B8C"/>
    <w:rsid w:val="007013EF"/>
    <w:rsid w:val="007055BD"/>
    <w:rsid w:val="007147A9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7342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1D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4CB0"/>
    <w:rsid w:val="007F31B6"/>
    <w:rsid w:val="007F546C"/>
    <w:rsid w:val="007F625F"/>
    <w:rsid w:val="007F665E"/>
    <w:rsid w:val="00800412"/>
    <w:rsid w:val="0080587B"/>
    <w:rsid w:val="0080611E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088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2EF2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1A85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74A"/>
    <w:rsid w:val="009269B1"/>
    <w:rsid w:val="0092724D"/>
    <w:rsid w:val="009272B3"/>
    <w:rsid w:val="009315BE"/>
    <w:rsid w:val="00932080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4101"/>
    <w:rsid w:val="009B59E9"/>
    <w:rsid w:val="009B70AA"/>
    <w:rsid w:val="009B73DC"/>
    <w:rsid w:val="009C17FA"/>
    <w:rsid w:val="009C5E77"/>
    <w:rsid w:val="009C7A7E"/>
    <w:rsid w:val="009D02E8"/>
    <w:rsid w:val="009D4DC1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0D2"/>
    <w:rsid w:val="00A67263"/>
    <w:rsid w:val="00A7161C"/>
    <w:rsid w:val="00A762D5"/>
    <w:rsid w:val="00A77AA3"/>
    <w:rsid w:val="00A81066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656"/>
    <w:rsid w:val="00AD177A"/>
    <w:rsid w:val="00AD2087"/>
    <w:rsid w:val="00AD26E2"/>
    <w:rsid w:val="00AD44C4"/>
    <w:rsid w:val="00AD784C"/>
    <w:rsid w:val="00AD7A67"/>
    <w:rsid w:val="00AE126A"/>
    <w:rsid w:val="00AE1BAE"/>
    <w:rsid w:val="00AE3005"/>
    <w:rsid w:val="00AE3BD5"/>
    <w:rsid w:val="00AE59A0"/>
    <w:rsid w:val="00AF0C57"/>
    <w:rsid w:val="00AF26F3"/>
    <w:rsid w:val="00AF4D79"/>
    <w:rsid w:val="00AF5F04"/>
    <w:rsid w:val="00B00672"/>
    <w:rsid w:val="00B01B4D"/>
    <w:rsid w:val="00B06571"/>
    <w:rsid w:val="00B068BA"/>
    <w:rsid w:val="00B07FF7"/>
    <w:rsid w:val="00B13106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3DCD"/>
    <w:rsid w:val="00B45141"/>
    <w:rsid w:val="00B46DE7"/>
    <w:rsid w:val="00B519CD"/>
    <w:rsid w:val="00B5273A"/>
    <w:rsid w:val="00B56D8C"/>
    <w:rsid w:val="00B57329"/>
    <w:rsid w:val="00B60E61"/>
    <w:rsid w:val="00B62B50"/>
    <w:rsid w:val="00B635B7"/>
    <w:rsid w:val="00B63AE8"/>
    <w:rsid w:val="00B64706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97C48"/>
    <w:rsid w:val="00BA29AD"/>
    <w:rsid w:val="00BA33CF"/>
    <w:rsid w:val="00BA3524"/>
    <w:rsid w:val="00BA3F8D"/>
    <w:rsid w:val="00BB7A10"/>
    <w:rsid w:val="00BC3E8F"/>
    <w:rsid w:val="00BC60BE"/>
    <w:rsid w:val="00BC634B"/>
    <w:rsid w:val="00BC66D3"/>
    <w:rsid w:val="00BC7468"/>
    <w:rsid w:val="00BC7D4F"/>
    <w:rsid w:val="00BC7ED7"/>
    <w:rsid w:val="00BD2850"/>
    <w:rsid w:val="00BE0056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3FAD"/>
    <w:rsid w:val="00C35484"/>
    <w:rsid w:val="00C4173A"/>
    <w:rsid w:val="00C424D3"/>
    <w:rsid w:val="00C50DED"/>
    <w:rsid w:val="00C525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9FE"/>
    <w:rsid w:val="00CA12E3"/>
    <w:rsid w:val="00CA1476"/>
    <w:rsid w:val="00CA1CD2"/>
    <w:rsid w:val="00CA6611"/>
    <w:rsid w:val="00CA68C7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01C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46CC4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325E"/>
    <w:rsid w:val="00D864F2"/>
    <w:rsid w:val="00D92F95"/>
    <w:rsid w:val="00D943F8"/>
    <w:rsid w:val="00D95470"/>
    <w:rsid w:val="00D95CD6"/>
    <w:rsid w:val="00D963A8"/>
    <w:rsid w:val="00D96B55"/>
    <w:rsid w:val="00DA2619"/>
    <w:rsid w:val="00DA4239"/>
    <w:rsid w:val="00DA65DE"/>
    <w:rsid w:val="00DB0B61"/>
    <w:rsid w:val="00DB1474"/>
    <w:rsid w:val="00DB2962"/>
    <w:rsid w:val="00DB33DE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29A"/>
    <w:rsid w:val="00E06B75"/>
    <w:rsid w:val="00E1049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691F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5598"/>
    <w:rsid w:val="00EB00E0"/>
    <w:rsid w:val="00EC059F"/>
    <w:rsid w:val="00EC1F24"/>
    <w:rsid w:val="00EC22F6"/>
    <w:rsid w:val="00EC40D5"/>
    <w:rsid w:val="00EC58E3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FFD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213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403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77CFF"/>
    <w:rsid w:val="00F8028F"/>
    <w:rsid w:val="00F815B5"/>
    <w:rsid w:val="00F82D95"/>
    <w:rsid w:val="00F84FA0"/>
    <w:rsid w:val="00F85195"/>
    <w:rsid w:val="00F868E3"/>
    <w:rsid w:val="00F87C3A"/>
    <w:rsid w:val="00F938BA"/>
    <w:rsid w:val="00F97919"/>
    <w:rsid w:val="00FA2C46"/>
    <w:rsid w:val="00FA3525"/>
    <w:rsid w:val="00FA5A53"/>
    <w:rsid w:val="00FB0629"/>
    <w:rsid w:val="00FB2551"/>
    <w:rsid w:val="00FB4769"/>
    <w:rsid w:val="00FB4CDA"/>
    <w:rsid w:val="00FB6481"/>
    <w:rsid w:val="00FB6D36"/>
    <w:rsid w:val="00FB7307"/>
    <w:rsid w:val="00FC0747"/>
    <w:rsid w:val="00FC0965"/>
    <w:rsid w:val="00FC0F81"/>
    <w:rsid w:val="00FC252F"/>
    <w:rsid w:val="00FC2F37"/>
    <w:rsid w:val="00FC395C"/>
    <w:rsid w:val="00FC467B"/>
    <w:rsid w:val="00FC5E8E"/>
    <w:rsid w:val="00FC604A"/>
    <w:rsid w:val="00FD3766"/>
    <w:rsid w:val="00FD47C4"/>
    <w:rsid w:val="00FD70F5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83F7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CA1CD2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EF4FFD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health.vic.gov.au/funding-and-reporting-aod-services/annual-chang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dc_data@health.vic.gov.au?subject=VADC%20Addendum%20to%20Specifications%20for%20revisions%20in%202022-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specification for revisions to the VADC for 1 July 2022</vt:lpstr>
    </vt:vector>
  </TitlesOfParts>
  <Manager/>
  <Company/>
  <LinksUpToDate>false</LinksUpToDate>
  <CharactersWithSpaces>4523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specification for revisions to the VADC for 1 July 2022</dc:title>
  <dc:subject>Addendum to specification for revisions to the VADC for 1 July 2022</dc:subject>
  <dc:creator/>
  <cp:keywords/>
  <dc:description/>
  <cp:lastModifiedBy/>
  <cp:revision>1</cp:revision>
  <dcterms:created xsi:type="dcterms:W3CDTF">2022-01-27T05:21:00Z</dcterms:created>
  <dcterms:modified xsi:type="dcterms:W3CDTF">2022-01-27T05:25:00Z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2022-01-27T05:25:33Z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51ac3673-04be-4aed-8710-7316660c44c7</vt:lpwstr>
  </property>
  <property fmtid="{D5CDD505-2E9C-101B-9397-08002B2CF9AE}" pid="8" name="MSIP_Label_43e64453-338c-4f93-8a4d-0039a0a41f2a_ContentBits">
    <vt:lpwstr>2</vt:lpwstr>
  </property>
</Properties>
</file>