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48EC5" w14:textId="77777777" w:rsidR="0074696E" w:rsidRPr="004C6EEE" w:rsidRDefault="0074696E" w:rsidP="00EC40D5">
      <w:pPr>
        <w:pStyle w:val="Sectionbreakfirstpage"/>
      </w:pPr>
    </w:p>
    <w:p w14:paraId="4A95D3C3"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F1CB0E9" wp14:editId="1ABBB6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2D84A9F" w14:textId="77777777" w:rsidTr="00B07FF7">
        <w:trPr>
          <w:trHeight w:val="622"/>
        </w:trPr>
        <w:tc>
          <w:tcPr>
            <w:tcW w:w="10348" w:type="dxa"/>
            <w:tcMar>
              <w:top w:w="1531" w:type="dxa"/>
              <w:left w:w="0" w:type="dxa"/>
              <w:right w:w="0" w:type="dxa"/>
            </w:tcMar>
          </w:tcPr>
          <w:p w14:paraId="70E9C285" w14:textId="75467BC4" w:rsidR="003B5733" w:rsidRPr="003B5733" w:rsidRDefault="004C3D8A" w:rsidP="003B5733">
            <w:pPr>
              <w:pStyle w:val="Documenttitle"/>
            </w:pPr>
            <w:r>
              <w:t xml:space="preserve">Patient Care Records </w:t>
            </w:r>
          </w:p>
        </w:tc>
      </w:tr>
      <w:tr w:rsidR="003B5733" w14:paraId="5B64C3EC" w14:textId="77777777" w:rsidTr="00B07FF7">
        <w:tc>
          <w:tcPr>
            <w:tcW w:w="10348" w:type="dxa"/>
          </w:tcPr>
          <w:p w14:paraId="4EB39B97" w14:textId="3B2F2EC0" w:rsidR="003B5733" w:rsidRPr="00A1389F" w:rsidRDefault="00D40099" w:rsidP="005F44C0">
            <w:pPr>
              <w:pStyle w:val="Documentsubtitle"/>
            </w:pPr>
            <w:r>
              <w:t>Non emergency patient transport</w:t>
            </w:r>
          </w:p>
        </w:tc>
      </w:tr>
      <w:tr w:rsidR="003B5733" w14:paraId="4B7F7A0D" w14:textId="77777777" w:rsidTr="00B07FF7">
        <w:tc>
          <w:tcPr>
            <w:tcW w:w="10348" w:type="dxa"/>
          </w:tcPr>
          <w:p w14:paraId="43BD2D4B" w14:textId="77777777" w:rsidR="003B5733" w:rsidRPr="001E5058" w:rsidRDefault="006771C7" w:rsidP="001E5058">
            <w:pPr>
              <w:pStyle w:val="Bannermarking"/>
            </w:pPr>
            <w:fldSimple w:instr=" FILLIN  &quot;Type the protective marking&quot; \d OFFICIAL \o  \* MERGEFORMAT ">
              <w:r w:rsidR="00D40099">
                <w:t>OFFICIAL</w:t>
              </w:r>
            </w:fldSimple>
          </w:p>
        </w:tc>
      </w:tr>
    </w:tbl>
    <w:p w14:paraId="4D5C5588" w14:textId="0490DC98" w:rsidR="00EE29AD" w:rsidRDefault="00453E5B" w:rsidP="00E261B3">
      <w:pPr>
        <w:pStyle w:val="Heading1"/>
      </w:pPr>
      <w:r>
        <w:t>Reference</w:t>
      </w:r>
    </w:p>
    <w:p w14:paraId="5EC8D1C8" w14:textId="5B8CFBA4" w:rsidR="00EE29AD" w:rsidRDefault="00453E5B" w:rsidP="612FC72F">
      <w:pPr>
        <w:pStyle w:val="Body"/>
        <w:rPr>
          <w:szCs w:val="21"/>
        </w:rPr>
      </w:pPr>
      <w:r w:rsidRPr="612FC72F">
        <w:rPr>
          <w:szCs w:val="21"/>
        </w:rPr>
        <w:t>Non-Emergency Patient Transport Regulations 2016 Part 6, Regulation 38</w:t>
      </w:r>
    </w:p>
    <w:p w14:paraId="7D928FC4" w14:textId="3D37818D" w:rsidR="00EE29AD" w:rsidRDefault="003166D4" w:rsidP="00E261B3">
      <w:pPr>
        <w:pStyle w:val="Heading1"/>
      </w:pPr>
      <w:r>
        <w:t>Introduction</w:t>
      </w:r>
    </w:p>
    <w:p w14:paraId="03B7D13A" w14:textId="2E145A67" w:rsidR="000235E8" w:rsidRPr="002365B4" w:rsidRDefault="003166D4" w:rsidP="002365B4">
      <w:pPr>
        <w:pStyle w:val="Body"/>
      </w:pPr>
      <w:r>
        <w:t>Patient Care Records (PCR) are an important part of the process of quality assurance and continuous improvement in patient care and can be used as reference in investigating risks to patient safety, adverse patient outcomes, or sentinel events. PCRs are also important as they allow for a formal</w:t>
      </w:r>
      <w:r w:rsidR="004D1540">
        <w:t>ised</w:t>
      </w:r>
      <w:r>
        <w:t xml:space="preserve"> transfer of relevant information about a patient between Non Emergency patient transport (NEPT) sector and other parts of the health system</w:t>
      </w:r>
      <w:r w:rsidR="00B23ACD">
        <w:t xml:space="preserve"> which assist in establishing a robust continuum of care</w:t>
      </w:r>
      <w:r>
        <w:t xml:space="preserve">. </w:t>
      </w:r>
    </w:p>
    <w:p w14:paraId="66368EC2" w14:textId="2A0FA13C" w:rsidR="00C133EE" w:rsidRDefault="00B23ACD" w:rsidP="00FB4769">
      <w:pPr>
        <w:pStyle w:val="Heading1"/>
      </w:pPr>
      <w:bookmarkStart w:id="0" w:name="_Hlk83893572"/>
      <w:r>
        <w:t>Items to be included in PCR</w:t>
      </w:r>
    </w:p>
    <w:bookmarkEnd w:id="0"/>
    <w:p w14:paraId="7E56EC77" w14:textId="255851DB" w:rsidR="00B23127" w:rsidRPr="00B23ACD" w:rsidRDefault="00B23ACD" w:rsidP="00E31856">
      <w:pPr>
        <w:pStyle w:val="Body"/>
      </w:pPr>
      <w:r>
        <w:t>The</w:t>
      </w:r>
      <w:r w:rsidR="00B23127">
        <w:t xml:space="preserve">re is </w:t>
      </w:r>
      <w:r>
        <w:t>minimum expected information</w:t>
      </w:r>
      <w:r w:rsidR="00F46FA6">
        <w:t xml:space="preserve"> to be included</w:t>
      </w:r>
      <w:r w:rsidR="00E31856">
        <w:t xml:space="preserve"> </w:t>
      </w:r>
      <w:r>
        <w:t xml:space="preserve">as part of a PCR. </w:t>
      </w:r>
      <w:r w:rsidR="2A015EA9">
        <w:t>Amendments</w:t>
      </w:r>
      <w:r w:rsidDel="003F12E0">
        <w:t xml:space="preserve"> </w:t>
      </w:r>
      <w:r w:rsidR="003F12E0">
        <w:t xml:space="preserve">to </w:t>
      </w:r>
      <w:r>
        <w:t xml:space="preserve">the Non Emergency Patient Transport Regulations </w:t>
      </w:r>
      <w:r w:rsidR="003F12E0">
        <w:t xml:space="preserve">2016 </w:t>
      </w:r>
      <w:r>
        <w:t xml:space="preserve">(the regulations) </w:t>
      </w:r>
      <w:r w:rsidR="00D72636">
        <w:t xml:space="preserve">include </w:t>
      </w:r>
      <w:r>
        <w:t>extra requirements for low acuity PCRs to now include details of monitoring and treatment provided during transport</w:t>
      </w:r>
      <w:r w:rsidDel="00E359A4">
        <w:t>.</w:t>
      </w:r>
      <w:r w:rsidR="00B23127" w:rsidDel="00E359A4">
        <w:t xml:space="preserve"> </w:t>
      </w:r>
      <w:r w:rsidR="00E359A4">
        <w:t>T</w:t>
      </w:r>
      <w:r w:rsidR="00B23127">
        <w:t>he minimum information to be included in a PCR</w:t>
      </w:r>
      <w:r w:rsidR="5B1EECB3">
        <w:t>:</w:t>
      </w:r>
    </w:p>
    <w:tbl>
      <w:tblPr>
        <w:tblStyle w:val="TableGrid"/>
        <w:tblpPr w:leftFromText="180" w:rightFromText="180" w:vertAnchor="text" w:horzAnchor="margin" w:tblpY="131"/>
        <w:tblW w:w="10060" w:type="dxa"/>
        <w:tblLook w:val="06A0" w:firstRow="1" w:lastRow="0" w:firstColumn="1" w:lastColumn="0" w:noHBand="1" w:noVBand="1"/>
      </w:tblPr>
      <w:tblGrid>
        <w:gridCol w:w="5807"/>
        <w:gridCol w:w="1985"/>
        <w:gridCol w:w="2268"/>
      </w:tblGrid>
      <w:tr w:rsidR="00F46FA6" w14:paraId="1F71CFDA" w14:textId="77777777" w:rsidTr="000520C4">
        <w:trPr>
          <w:trHeight w:val="231"/>
          <w:tblHeader/>
        </w:trPr>
        <w:tc>
          <w:tcPr>
            <w:tcW w:w="5807" w:type="dxa"/>
          </w:tcPr>
          <w:p w14:paraId="66247DCC" w14:textId="4E4EFCF4" w:rsidR="00F46FA6" w:rsidRPr="00CB3285" w:rsidRDefault="00E31856" w:rsidP="00B23ACD">
            <w:pPr>
              <w:pStyle w:val="Tablecolhead"/>
            </w:pPr>
            <w:r>
              <w:t>Information type</w:t>
            </w:r>
          </w:p>
        </w:tc>
        <w:tc>
          <w:tcPr>
            <w:tcW w:w="1985" w:type="dxa"/>
          </w:tcPr>
          <w:p w14:paraId="20FAE7FB" w14:textId="7F3E8D2A" w:rsidR="00F46FA6" w:rsidRPr="00D72636" w:rsidRDefault="00F46FA6" w:rsidP="000520C4">
            <w:pPr>
              <w:pStyle w:val="Tablecolhead"/>
              <w:jc w:val="center"/>
            </w:pPr>
            <w:r w:rsidRPr="00D72636">
              <w:t>Low acuity</w:t>
            </w:r>
          </w:p>
        </w:tc>
        <w:tc>
          <w:tcPr>
            <w:tcW w:w="2268" w:type="dxa"/>
          </w:tcPr>
          <w:p w14:paraId="54A25F19" w14:textId="44554872" w:rsidR="00F46FA6" w:rsidRDefault="00F46FA6" w:rsidP="00B23ACD">
            <w:pPr>
              <w:pStyle w:val="Tablecolhead"/>
            </w:pPr>
            <w:r>
              <w:t>Medium-high acuity</w:t>
            </w:r>
          </w:p>
        </w:tc>
      </w:tr>
      <w:tr w:rsidR="00F46FA6" w14:paraId="3CA8E77D" w14:textId="77777777" w:rsidTr="000520C4">
        <w:trPr>
          <w:trHeight w:val="436"/>
        </w:trPr>
        <w:tc>
          <w:tcPr>
            <w:tcW w:w="5807" w:type="dxa"/>
          </w:tcPr>
          <w:p w14:paraId="5F9BAFF2" w14:textId="01E36358" w:rsidR="00F46FA6" w:rsidRDefault="004C48A4" w:rsidP="00B23ACD">
            <w:pPr>
              <w:pStyle w:val="Tabletext"/>
            </w:pPr>
            <w:r>
              <w:t xml:space="preserve">Patient </w:t>
            </w:r>
            <w:r w:rsidR="00567898">
              <w:t>details (</w:t>
            </w:r>
            <w:r>
              <w:t>name</w:t>
            </w:r>
            <w:r w:rsidR="00567898">
              <w:t>,</w:t>
            </w:r>
            <w:r w:rsidR="00F32829">
              <w:t xml:space="preserve"> </w:t>
            </w:r>
            <w:r w:rsidR="00567898">
              <w:t xml:space="preserve">address, </w:t>
            </w:r>
            <w:r w:rsidR="00F32829">
              <w:t>birthdate, gender)</w:t>
            </w:r>
          </w:p>
        </w:tc>
        <w:tc>
          <w:tcPr>
            <w:tcW w:w="1985" w:type="dxa"/>
          </w:tcPr>
          <w:p w14:paraId="5AE694F4" w14:textId="510A8164" w:rsidR="00F46FA6" w:rsidRDefault="00A170A7" w:rsidP="00E31856">
            <w:pPr>
              <w:pStyle w:val="Tabletext"/>
              <w:jc w:val="center"/>
            </w:pPr>
            <w:r w:rsidRPr="00667491">
              <w:rPr>
                <w:rFonts w:ascii="Wingdings 2" w:hAnsi="Wingdings 2"/>
                <w:lang w:eastAsia="en-AU"/>
              </w:rPr>
              <w:t>P</w:t>
            </w:r>
          </w:p>
        </w:tc>
        <w:tc>
          <w:tcPr>
            <w:tcW w:w="2268" w:type="dxa"/>
          </w:tcPr>
          <w:p w14:paraId="5A395E0A" w14:textId="0EFACEB5" w:rsidR="00F46FA6" w:rsidRDefault="00A170A7" w:rsidP="00E31856">
            <w:pPr>
              <w:pStyle w:val="Tablebullet2"/>
              <w:numPr>
                <w:ilvl w:val="0"/>
                <w:numId w:val="0"/>
              </w:numPr>
              <w:ind w:left="454"/>
              <w:jc w:val="center"/>
            </w:pPr>
            <w:r w:rsidRPr="00667491">
              <w:rPr>
                <w:rFonts w:ascii="Wingdings 2" w:hAnsi="Wingdings 2"/>
                <w:lang w:eastAsia="en-AU"/>
              </w:rPr>
              <w:t>P</w:t>
            </w:r>
          </w:p>
        </w:tc>
      </w:tr>
      <w:tr w:rsidR="00A170A7" w14:paraId="20A3C64B" w14:textId="77777777" w:rsidTr="000520C4">
        <w:trPr>
          <w:trHeight w:val="468"/>
        </w:trPr>
        <w:tc>
          <w:tcPr>
            <w:tcW w:w="5807" w:type="dxa"/>
          </w:tcPr>
          <w:p w14:paraId="572B8596" w14:textId="13968CC4" w:rsidR="00A170A7" w:rsidRDefault="00A170A7" w:rsidP="00B23ACD">
            <w:pPr>
              <w:pStyle w:val="Tabletext6pt"/>
            </w:pPr>
            <w:r>
              <w:t>Time and date of patient transport (or flight time</w:t>
            </w:r>
            <w:r w:rsidR="00643A7F">
              <w:t>)</w:t>
            </w:r>
          </w:p>
        </w:tc>
        <w:tc>
          <w:tcPr>
            <w:tcW w:w="1985" w:type="dxa"/>
          </w:tcPr>
          <w:p w14:paraId="3BB0B3F1" w14:textId="1A7141DB" w:rsidR="00A170A7" w:rsidRPr="002365B4" w:rsidRDefault="00E31856" w:rsidP="00E31856">
            <w:pPr>
              <w:pStyle w:val="Tabletext6pt"/>
              <w:jc w:val="center"/>
            </w:pPr>
            <w:r w:rsidRPr="00667491">
              <w:rPr>
                <w:rFonts w:ascii="Wingdings 2" w:hAnsi="Wingdings 2"/>
                <w:lang w:eastAsia="en-AU"/>
              </w:rPr>
              <w:t>P</w:t>
            </w:r>
          </w:p>
        </w:tc>
        <w:tc>
          <w:tcPr>
            <w:tcW w:w="2268" w:type="dxa"/>
          </w:tcPr>
          <w:p w14:paraId="04F40656" w14:textId="05F83AB1" w:rsidR="00A170A7" w:rsidRPr="00667491" w:rsidRDefault="00E31856" w:rsidP="00E31856">
            <w:pPr>
              <w:pStyle w:val="Tablebullet2"/>
              <w:numPr>
                <w:ilvl w:val="0"/>
                <w:numId w:val="0"/>
              </w:numPr>
              <w:ind w:left="454"/>
              <w:jc w:val="center"/>
              <w:rPr>
                <w:rFonts w:ascii="Wingdings 2" w:hAnsi="Wingdings 2"/>
                <w:lang w:eastAsia="en-AU"/>
              </w:rPr>
            </w:pPr>
            <w:r w:rsidRPr="00667491">
              <w:rPr>
                <w:rFonts w:ascii="Wingdings 2" w:hAnsi="Wingdings 2"/>
                <w:lang w:eastAsia="en-AU"/>
              </w:rPr>
              <w:t>P</w:t>
            </w:r>
          </w:p>
        </w:tc>
      </w:tr>
      <w:tr w:rsidR="00A170A7" w14:paraId="4CF792D2" w14:textId="77777777" w:rsidTr="000520C4">
        <w:trPr>
          <w:trHeight w:val="468"/>
        </w:trPr>
        <w:tc>
          <w:tcPr>
            <w:tcW w:w="5807" w:type="dxa"/>
          </w:tcPr>
          <w:p w14:paraId="6AB9E1EF" w14:textId="7DE81EB7" w:rsidR="00A170A7" w:rsidRDefault="00A170A7" w:rsidP="00B23ACD">
            <w:pPr>
              <w:pStyle w:val="Tabletext6pt"/>
            </w:pPr>
            <w:r>
              <w:t>Reason for patient transport</w:t>
            </w:r>
          </w:p>
        </w:tc>
        <w:tc>
          <w:tcPr>
            <w:tcW w:w="1985" w:type="dxa"/>
          </w:tcPr>
          <w:p w14:paraId="781D6EEE" w14:textId="1EF03A65" w:rsidR="00A170A7" w:rsidRPr="002365B4" w:rsidRDefault="00E31856" w:rsidP="00E31856">
            <w:pPr>
              <w:pStyle w:val="Tabletext6pt"/>
              <w:jc w:val="center"/>
            </w:pPr>
            <w:r w:rsidRPr="00667491">
              <w:rPr>
                <w:rFonts w:ascii="Wingdings 2" w:hAnsi="Wingdings 2"/>
                <w:lang w:eastAsia="en-AU"/>
              </w:rPr>
              <w:t>P</w:t>
            </w:r>
          </w:p>
        </w:tc>
        <w:tc>
          <w:tcPr>
            <w:tcW w:w="2268" w:type="dxa"/>
          </w:tcPr>
          <w:p w14:paraId="1C3589E3" w14:textId="00FD00F9" w:rsidR="00A170A7" w:rsidRPr="00667491" w:rsidRDefault="00E31856" w:rsidP="00E31856">
            <w:pPr>
              <w:pStyle w:val="Tablebullet2"/>
              <w:numPr>
                <w:ilvl w:val="0"/>
                <w:numId w:val="0"/>
              </w:numPr>
              <w:ind w:left="454"/>
              <w:jc w:val="center"/>
              <w:rPr>
                <w:rFonts w:ascii="Wingdings 2" w:hAnsi="Wingdings 2"/>
                <w:lang w:eastAsia="en-AU"/>
              </w:rPr>
            </w:pPr>
            <w:r w:rsidRPr="00667491">
              <w:rPr>
                <w:rFonts w:ascii="Wingdings 2" w:hAnsi="Wingdings 2"/>
                <w:lang w:eastAsia="en-AU"/>
              </w:rPr>
              <w:t>P</w:t>
            </w:r>
          </w:p>
        </w:tc>
      </w:tr>
      <w:tr w:rsidR="00A170A7" w14:paraId="0B863C10" w14:textId="77777777" w:rsidTr="000520C4">
        <w:trPr>
          <w:trHeight w:val="468"/>
        </w:trPr>
        <w:tc>
          <w:tcPr>
            <w:tcW w:w="5807" w:type="dxa"/>
          </w:tcPr>
          <w:p w14:paraId="1428F92A" w14:textId="7AF83B64" w:rsidR="00A170A7" w:rsidRDefault="00A170A7" w:rsidP="00B23ACD">
            <w:pPr>
              <w:pStyle w:val="Tabletext6pt"/>
            </w:pPr>
            <w:r>
              <w:t>Patient pick up location and destination</w:t>
            </w:r>
          </w:p>
        </w:tc>
        <w:tc>
          <w:tcPr>
            <w:tcW w:w="1985" w:type="dxa"/>
          </w:tcPr>
          <w:p w14:paraId="02EB8C04" w14:textId="051B007D" w:rsidR="00A170A7" w:rsidRPr="002365B4" w:rsidRDefault="00E31856" w:rsidP="00E31856">
            <w:pPr>
              <w:pStyle w:val="Tabletext6pt"/>
              <w:jc w:val="center"/>
            </w:pPr>
            <w:r w:rsidRPr="00667491">
              <w:rPr>
                <w:rFonts w:ascii="Wingdings 2" w:hAnsi="Wingdings 2"/>
                <w:lang w:eastAsia="en-AU"/>
              </w:rPr>
              <w:t>P</w:t>
            </w:r>
          </w:p>
        </w:tc>
        <w:tc>
          <w:tcPr>
            <w:tcW w:w="2268" w:type="dxa"/>
          </w:tcPr>
          <w:p w14:paraId="21671B12" w14:textId="77EE7F71" w:rsidR="00A170A7" w:rsidRPr="00667491" w:rsidRDefault="00E31856" w:rsidP="00E31856">
            <w:pPr>
              <w:pStyle w:val="Tablebullet2"/>
              <w:numPr>
                <w:ilvl w:val="0"/>
                <w:numId w:val="0"/>
              </w:numPr>
              <w:ind w:left="454"/>
              <w:jc w:val="center"/>
              <w:rPr>
                <w:rFonts w:ascii="Wingdings 2" w:hAnsi="Wingdings 2"/>
                <w:lang w:eastAsia="en-AU"/>
              </w:rPr>
            </w:pPr>
            <w:r w:rsidRPr="00667491">
              <w:rPr>
                <w:rFonts w:ascii="Wingdings 2" w:hAnsi="Wingdings 2"/>
                <w:lang w:eastAsia="en-AU"/>
              </w:rPr>
              <w:t>P</w:t>
            </w:r>
          </w:p>
        </w:tc>
      </w:tr>
      <w:tr w:rsidR="00A170A7" w14:paraId="2687C2CD" w14:textId="77777777" w:rsidTr="000520C4">
        <w:trPr>
          <w:trHeight w:val="468"/>
        </w:trPr>
        <w:tc>
          <w:tcPr>
            <w:tcW w:w="5807" w:type="dxa"/>
          </w:tcPr>
          <w:p w14:paraId="4AD4761A" w14:textId="27625709" w:rsidR="00A170A7" w:rsidRDefault="00E31856" w:rsidP="00B23ACD">
            <w:pPr>
              <w:pStyle w:val="Tabletext6pt"/>
            </w:pPr>
            <w:r>
              <w:t>Details of monitoring or treatment provided during transport</w:t>
            </w:r>
          </w:p>
        </w:tc>
        <w:tc>
          <w:tcPr>
            <w:tcW w:w="1985" w:type="dxa"/>
          </w:tcPr>
          <w:p w14:paraId="53C39F9B" w14:textId="139C1B0E" w:rsidR="00A170A7" w:rsidRPr="002365B4" w:rsidRDefault="00E31856" w:rsidP="00E31856">
            <w:pPr>
              <w:pStyle w:val="Tabletext6pt"/>
              <w:jc w:val="center"/>
            </w:pPr>
            <w:r w:rsidRPr="00667491">
              <w:rPr>
                <w:rFonts w:ascii="Wingdings 2" w:hAnsi="Wingdings 2"/>
                <w:lang w:eastAsia="en-AU"/>
              </w:rPr>
              <w:t>P</w:t>
            </w:r>
          </w:p>
        </w:tc>
        <w:tc>
          <w:tcPr>
            <w:tcW w:w="2268" w:type="dxa"/>
          </w:tcPr>
          <w:p w14:paraId="12CEE72F" w14:textId="66C6AC32" w:rsidR="00A170A7" w:rsidRPr="00667491" w:rsidRDefault="00E31856" w:rsidP="00E31856">
            <w:pPr>
              <w:pStyle w:val="Tablebullet2"/>
              <w:numPr>
                <w:ilvl w:val="0"/>
                <w:numId w:val="0"/>
              </w:numPr>
              <w:ind w:left="454"/>
              <w:jc w:val="center"/>
              <w:rPr>
                <w:rFonts w:ascii="Wingdings 2" w:hAnsi="Wingdings 2"/>
                <w:lang w:eastAsia="en-AU"/>
              </w:rPr>
            </w:pPr>
            <w:r w:rsidRPr="00667491">
              <w:rPr>
                <w:rFonts w:ascii="Wingdings 2" w:hAnsi="Wingdings 2"/>
                <w:lang w:eastAsia="en-AU"/>
              </w:rPr>
              <w:t>P</w:t>
            </w:r>
          </w:p>
        </w:tc>
      </w:tr>
      <w:tr w:rsidR="00A170A7" w14:paraId="799B5543" w14:textId="77777777" w:rsidTr="000520C4">
        <w:trPr>
          <w:trHeight w:val="468"/>
        </w:trPr>
        <w:tc>
          <w:tcPr>
            <w:tcW w:w="5807" w:type="dxa"/>
          </w:tcPr>
          <w:p w14:paraId="6E259A00" w14:textId="44A32AD9" w:rsidR="00A170A7" w:rsidRDefault="00E31856" w:rsidP="00B23ACD">
            <w:pPr>
              <w:pStyle w:val="Tabletext6pt"/>
            </w:pPr>
            <w:r>
              <w:t>Names and titles of crew undertaking transport</w:t>
            </w:r>
          </w:p>
        </w:tc>
        <w:tc>
          <w:tcPr>
            <w:tcW w:w="1985" w:type="dxa"/>
          </w:tcPr>
          <w:p w14:paraId="3391D32F" w14:textId="6EC8D845" w:rsidR="00A170A7" w:rsidRPr="002365B4" w:rsidRDefault="00E31856" w:rsidP="00E31856">
            <w:pPr>
              <w:pStyle w:val="Tabletext6pt"/>
              <w:jc w:val="center"/>
            </w:pPr>
            <w:r w:rsidRPr="00667491">
              <w:rPr>
                <w:rFonts w:ascii="Wingdings 2" w:hAnsi="Wingdings 2"/>
                <w:lang w:eastAsia="en-AU"/>
              </w:rPr>
              <w:t>P</w:t>
            </w:r>
          </w:p>
        </w:tc>
        <w:tc>
          <w:tcPr>
            <w:tcW w:w="2268" w:type="dxa"/>
          </w:tcPr>
          <w:p w14:paraId="7C5F931A" w14:textId="2A1DD4AA" w:rsidR="00A170A7" w:rsidRPr="00667491" w:rsidRDefault="00E31856" w:rsidP="00E31856">
            <w:pPr>
              <w:pStyle w:val="Tablebullet2"/>
              <w:numPr>
                <w:ilvl w:val="0"/>
                <w:numId w:val="0"/>
              </w:numPr>
              <w:ind w:left="454"/>
              <w:jc w:val="center"/>
              <w:rPr>
                <w:rFonts w:ascii="Wingdings 2" w:hAnsi="Wingdings 2"/>
                <w:lang w:eastAsia="en-AU"/>
              </w:rPr>
            </w:pPr>
            <w:r w:rsidRPr="00667491">
              <w:rPr>
                <w:rFonts w:ascii="Wingdings 2" w:hAnsi="Wingdings 2"/>
                <w:lang w:eastAsia="en-AU"/>
              </w:rPr>
              <w:t>P</w:t>
            </w:r>
          </w:p>
        </w:tc>
      </w:tr>
      <w:tr w:rsidR="00A170A7" w14:paraId="3ED91C1D" w14:textId="77777777" w:rsidTr="000520C4">
        <w:trPr>
          <w:trHeight w:val="468"/>
        </w:trPr>
        <w:tc>
          <w:tcPr>
            <w:tcW w:w="5807" w:type="dxa"/>
          </w:tcPr>
          <w:p w14:paraId="7066A331" w14:textId="54C69502" w:rsidR="00A170A7" w:rsidRDefault="00E31856" w:rsidP="00B23ACD">
            <w:pPr>
              <w:pStyle w:val="Tabletext6pt"/>
            </w:pPr>
            <w:r>
              <w:t xml:space="preserve">Differentiation between medium and high acuity transport </w:t>
            </w:r>
          </w:p>
        </w:tc>
        <w:tc>
          <w:tcPr>
            <w:tcW w:w="1985" w:type="dxa"/>
          </w:tcPr>
          <w:p w14:paraId="2C8F942D" w14:textId="5EF3B48B" w:rsidR="00A170A7" w:rsidRPr="002365B4" w:rsidRDefault="00E31856" w:rsidP="00E31856">
            <w:pPr>
              <w:pStyle w:val="Tabletext6pt"/>
              <w:jc w:val="center"/>
            </w:pPr>
            <w:r w:rsidRPr="00667491">
              <w:rPr>
                <w:rFonts w:ascii="Wingdings 2" w:hAnsi="Wingdings 2"/>
                <w:lang w:eastAsia="en-AU"/>
              </w:rPr>
              <w:t>O</w:t>
            </w:r>
          </w:p>
        </w:tc>
        <w:tc>
          <w:tcPr>
            <w:tcW w:w="2268" w:type="dxa"/>
          </w:tcPr>
          <w:p w14:paraId="1B34421D" w14:textId="55745280" w:rsidR="00A170A7" w:rsidRPr="00667491" w:rsidRDefault="00E31856" w:rsidP="00E31856">
            <w:pPr>
              <w:pStyle w:val="Tablebullet2"/>
              <w:numPr>
                <w:ilvl w:val="0"/>
                <w:numId w:val="0"/>
              </w:numPr>
              <w:ind w:left="454"/>
              <w:jc w:val="center"/>
              <w:rPr>
                <w:rFonts w:ascii="Wingdings 2" w:hAnsi="Wingdings 2"/>
                <w:lang w:eastAsia="en-AU"/>
              </w:rPr>
            </w:pPr>
            <w:r w:rsidRPr="00667491">
              <w:rPr>
                <w:rFonts w:ascii="Wingdings 2" w:hAnsi="Wingdings 2"/>
                <w:lang w:eastAsia="en-AU"/>
              </w:rPr>
              <w:t>P</w:t>
            </w:r>
          </w:p>
        </w:tc>
      </w:tr>
      <w:tr w:rsidR="00E31856" w14:paraId="129ACFA4" w14:textId="77777777" w:rsidTr="000520C4">
        <w:trPr>
          <w:trHeight w:val="468"/>
        </w:trPr>
        <w:tc>
          <w:tcPr>
            <w:tcW w:w="5807" w:type="dxa"/>
          </w:tcPr>
          <w:p w14:paraId="508805E0" w14:textId="74246369" w:rsidR="00E31856" w:rsidRDefault="00E31856" w:rsidP="00B23ACD">
            <w:pPr>
              <w:pStyle w:val="Tabletext6pt"/>
            </w:pPr>
            <w:r>
              <w:t>Complete list of relevant clinical details (eg past history, medications, comorbidities)</w:t>
            </w:r>
          </w:p>
        </w:tc>
        <w:tc>
          <w:tcPr>
            <w:tcW w:w="1985" w:type="dxa"/>
          </w:tcPr>
          <w:p w14:paraId="0D563D31" w14:textId="10DB66FB" w:rsidR="00E31856" w:rsidRPr="002365B4" w:rsidRDefault="00E31856" w:rsidP="00E31856">
            <w:pPr>
              <w:pStyle w:val="Tabletext6pt"/>
              <w:jc w:val="center"/>
            </w:pPr>
            <w:r w:rsidRPr="00667491">
              <w:rPr>
                <w:rFonts w:ascii="Wingdings 2" w:hAnsi="Wingdings 2"/>
                <w:lang w:eastAsia="en-AU"/>
              </w:rPr>
              <w:t>O</w:t>
            </w:r>
          </w:p>
        </w:tc>
        <w:tc>
          <w:tcPr>
            <w:tcW w:w="2268" w:type="dxa"/>
          </w:tcPr>
          <w:p w14:paraId="407639F9" w14:textId="4855DBAF" w:rsidR="00E31856" w:rsidRPr="00667491" w:rsidRDefault="00E31856" w:rsidP="00E31856">
            <w:pPr>
              <w:pStyle w:val="Tablebullet2"/>
              <w:numPr>
                <w:ilvl w:val="0"/>
                <w:numId w:val="0"/>
              </w:numPr>
              <w:ind w:left="454"/>
              <w:jc w:val="center"/>
              <w:rPr>
                <w:rFonts w:ascii="Wingdings 2" w:hAnsi="Wingdings 2"/>
                <w:lang w:eastAsia="en-AU"/>
              </w:rPr>
            </w:pPr>
            <w:r w:rsidRPr="00667491">
              <w:rPr>
                <w:rFonts w:ascii="Wingdings 2" w:hAnsi="Wingdings 2"/>
                <w:lang w:eastAsia="en-AU"/>
              </w:rPr>
              <w:t>P</w:t>
            </w:r>
          </w:p>
        </w:tc>
      </w:tr>
      <w:tr w:rsidR="00E31856" w14:paraId="485EA9A1" w14:textId="77777777" w:rsidTr="000520C4">
        <w:trPr>
          <w:trHeight w:val="468"/>
        </w:trPr>
        <w:tc>
          <w:tcPr>
            <w:tcW w:w="5807" w:type="dxa"/>
          </w:tcPr>
          <w:p w14:paraId="14881277" w14:textId="3132943D" w:rsidR="00E31856" w:rsidRDefault="00E31856" w:rsidP="00B23ACD">
            <w:pPr>
              <w:pStyle w:val="Tabletext6pt"/>
            </w:pPr>
            <w:r>
              <w:t>Name and title of person who assessed the patient as being haemodynamically stable for duration of transport</w:t>
            </w:r>
          </w:p>
        </w:tc>
        <w:tc>
          <w:tcPr>
            <w:tcW w:w="1985" w:type="dxa"/>
          </w:tcPr>
          <w:p w14:paraId="43391195" w14:textId="2CA03856" w:rsidR="00E31856" w:rsidRPr="002365B4" w:rsidRDefault="00E31856" w:rsidP="00E31856">
            <w:pPr>
              <w:pStyle w:val="Tabletext6pt"/>
              <w:jc w:val="center"/>
            </w:pPr>
            <w:r w:rsidRPr="00667491">
              <w:rPr>
                <w:rFonts w:ascii="Wingdings 2" w:hAnsi="Wingdings 2"/>
                <w:lang w:eastAsia="en-AU"/>
              </w:rPr>
              <w:t>O</w:t>
            </w:r>
          </w:p>
        </w:tc>
        <w:tc>
          <w:tcPr>
            <w:tcW w:w="2268" w:type="dxa"/>
          </w:tcPr>
          <w:p w14:paraId="7F645D5D" w14:textId="20D9A530" w:rsidR="00E31856" w:rsidRPr="00667491" w:rsidRDefault="00E31856" w:rsidP="00E31856">
            <w:pPr>
              <w:pStyle w:val="Tablebullet2"/>
              <w:numPr>
                <w:ilvl w:val="0"/>
                <w:numId w:val="0"/>
              </w:numPr>
              <w:ind w:left="454"/>
              <w:jc w:val="center"/>
              <w:rPr>
                <w:rFonts w:ascii="Wingdings 2" w:hAnsi="Wingdings 2"/>
                <w:lang w:eastAsia="en-AU"/>
              </w:rPr>
            </w:pPr>
            <w:r w:rsidRPr="00667491">
              <w:rPr>
                <w:rFonts w:ascii="Wingdings 2" w:hAnsi="Wingdings 2"/>
                <w:lang w:eastAsia="en-AU"/>
              </w:rPr>
              <w:t>P</w:t>
            </w:r>
          </w:p>
        </w:tc>
      </w:tr>
    </w:tbl>
    <w:p w14:paraId="2ACBAC04" w14:textId="77777777" w:rsidR="00200176" w:rsidRPr="00200176" w:rsidRDefault="00200176" w:rsidP="00200176">
      <w:pPr>
        <w:pStyle w:val="Body"/>
      </w:pPr>
    </w:p>
    <w:p w14:paraId="3CFDF94D" w14:textId="7598607E" w:rsidR="009848F5" w:rsidRDefault="009848F5" w:rsidP="009848F5">
      <w:pPr>
        <w:pStyle w:val="Heading1"/>
      </w:pPr>
      <w:r>
        <w:lastRenderedPageBreak/>
        <w:t>Handover of PCR information</w:t>
      </w:r>
    </w:p>
    <w:p w14:paraId="71BAB16A" w14:textId="0234B557" w:rsidR="009848F5" w:rsidRDefault="009848F5" w:rsidP="009848F5">
      <w:pPr>
        <w:pStyle w:val="Body"/>
      </w:pPr>
      <w:r>
        <w:t>When a NEPT crew arrives at</w:t>
      </w:r>
      <w:r w:rsidR="00B23127">
        <w:t xml:space="preserve"> the</w:t>
      </w:r>
      <w:r>
        <w:t xml:space="preserve"> destination </w:t>
      </w:r>
      <w:r w:rsidR="00B23127">
        <w:t xml:space="preserve">where a transfer of care takes place </w:t>
      </w:r>
      <w:r>
        <w:t>it is important that handover of information contained in the PCR occurs</w:t>
      </w:r>
      <w:r w:rsidR="009030A9">
        <w:t>:</w:t>
      </w:r>
    </w:p>
    <w:p w14:paraId="5BC29D2A" w14:textId="4852FF9A" w:rsidR="009848F5" w:rsidRDefault="009848F5" w:rsidP="009848F5">
      <w:pPr>
        <w:pStyle w:val="Body"/>
        <w:numPr>
          <w:ilvl w:val="0"/>
          <w:numId w:val="40"/>
        </w:numPr>
      </w:pPr>
      <w:r>
        <w:t>For low acuity transport</w:t>
      </w:r>
      <w:r w:rsidR="00764C2E">
        <w:t>,</w:t>
      </w:r>
      <w:r>
        <w:t xml:space="preserve"> a verbal handover to the person receiving the patient must </w:t>
      </w:r>
      <w:r w:rsidR="00F656E9">
        <w:t>be provided</w:t>
      </w:r>
    </w:p>
    <w:p w14:paraId="3D862B53" w14:textId="278CE8FB" w:rsidR="009848F5" w:rsidRPr="009848F5" w:rsidRDefault="009848F5" w:rsidP="009848F5">
      <w:pPr>
        <w:pStyle w:val="Body"/>
        <w:numPr>
          <w:ilvl w:val="0"/>
          <w:numId w:val="40"/>
        </w:numPr>
      </w:pPr>
      <w:r>
        <w:t>For medium</w:t>
      </w:r>
      <w:r w:rsidR="2B5A1F8B">
        <w:t xml:space="preserve"> or </w:t>
      </w:r>
      <w:r>
        <w:t>high acuity transport</w:t>
      </w:r>
      <w:r w:rsidR="00764C2E">
        <w:t>,</w:t>
      </w:r>
      <w:r w:rsidR="00F656E9">
        <w:t xml:space="preserve"> a verbal handover in addition to a copy of the PCR must be provided to the person receiving the patient.</w:t>
      </w:r>
    </w:p>
    <w:p w14:paraId="7DDC9773" w14:textId="2BC68FC5" w:rsidR="00CB22B6" w:rsidRDefault="00CB22B6" w:rsidP="00CB22B6">
      <w:pPr>
        <w:pStyle w:val="Heading1"/>
      </w:pPr>
      <w:r>
        <w:t xml:space="preserve">PCR Audit </w:t>
      </w:r>
    </w:p>
    <w:p w14:paraId="7B863EB2" w14:textId="5FAF6F3E" w:rsidR="00CB22B6" w:rsidRPr="00CB22B6" w:rsidRDefault="00CB22B6" w:rsidP="00CB22B6">
      <w:pPr>
        <w:pStyle w:val="Body"/>
      </w:pPr>
      <w:r>
        <w:t xml:space="preserve">It is a requirement that </w:t>
      </w:r>
      <w:r w:rsidR="00102556">
        <w:t xml:space="preserve">fifty </w:t>
      </w:r>
      <w:r>
        <w:t>per cent of PCRs for medium</w:t>
      </w:r>
      <w:r w:rsidR="4FFD8059">
        <w:t xml:space="preserve"> or </w:t>
      </w:r>
      <w:r>
        <w:t>high acuity patients are reviewed to determine if any clinical issues or risks to patient safety are identified. This is one of the key responsibilities of the Clinical Oversight Committee and records of this must be retained for inspection by</w:t>
      </w:r>
      <w:r w:rsidR="4DA29C93">
        <w:t xml:space="preserve"> Authorised Officers.</w:t>
      </w:r>
    </w:p>
    <w:tbl>
      <w:tblPr>
        <w:tblStyle w:val="TableGrid"/>
        <w:tblpPr w:leftFromText="180" w:rightFromText="180" w:vertAnchor="text" w:horzAnchor="margin" w:tblpY="6221"/>
        <w:tblW w:w="0" w:type="auto"/>
        <w:tblCellMar>
          <w:bottom w:w="108" w:type="dxa"/>
        </w:tblCellMar>
        <w:tblLook w:val="0600" w:firstRow="0" w:lastRow="0" w:firstColumn="0" w:lastColumn="0" w:noHBand="1" w:noVBand="1"/>
      </w:tblPr>
      <w:tblGrid>
        <w:gridCol w:w="10194"/>
      </w:tblGrid>
      <w:tr w:rsidR="0070244A" w14:paraId="24AAC359" w14:textId="77777777" w:rsidTr="0070244A">
        <w:tc>
          <w:tcPr>
            <w:tcW w:w="10194" w:type="dxa"/>
          </w:tcPr>
          <w:p w14:paraId="16823357" w14:textId="77777777" w:rsidR="0070244A" w:rsidRPr="005A0FDA" w:rsidRDefault="0070244A" w:rsidP="0070244A">
            <w:pPr>
              <w:pStyle w:val="Accessibilitypara"/>
              <w:rPr>
                <w:sz w:val="20"/>
                <w:szCs w:val="20"/>
              </w:rPr>
            </w:pPr>
            <w:bookmarkStart w:id="1" w:name="_Hlk37240926"/>
            <w:r w:rsidRPr="0055119B">
              <w:t>To receive this document in another format</w:t>
            </w:r>
            <w:r>
              <w:t>,</w:t>
            </w:r>
            <w:r w:rsidRPr="0055119B">
              <w:t xml:space="preserve"> </w:t>
            </w:r>
            <w:hyperlink r:id="rId15" w:history="1">
              <w:r w:rsidRPr="005A0FDA">
                <w:rPr>
                  <w:rStyle w:val="Hyperlink"/>
                  <w:sz w:val="20"/>
                  <w:szCs w:val="20"/>
                </w:rPr>
                <w:t>email NEPT, First Aid and Investigations</w:t>
              </w:r>
            </w:hyperlink>
            <w:r w:rsidRPr="005A0FDA">
              <w:rPr>
                <w:color w:val="004C97"/>
                <w:sz w:val="20"/>
                <w:szCs w:val="20"/>
              </w:rPr>
              <w:t xml:space="preserve"> </w:t>
            </w:r>
            <w:r w:rsidRPr="005A0FDA">
              <w:rPr>
                <w:sz w:val="20"/>
                <w:szCs w:val="20"/>
              </w:rPr>
              <w:t>&lt; NEPTFirstAidRegulation@health.vic.gov.au&gt;.</w:t>
            </w:r>
          </w:p>
          <w:p w14:paraId="1BF8425C" w14:textId="77777777" w:rsidR="0070244A" w:rsidRPr="0055119B" w:rsidRDefault="0070244A" w:rsidP="0070244A">
            <w:pPr>
              <w:pStyle w:val="Imprint"/>
            </w:pPr>
            <w:r w:rsidRPr="0055119B">
              <w:t>Authorised and published by the Victorian Government, 1 Treasury Place, Melbourne.</w:t>
            </w:r>
          </w:p>
          <w:p w14:paraId="1E168E47" w14:textId="4EC4E5C9" w:rsidR="0070244A" w:rsidRPr="0055119B" w:rsidRDefault="0070244A" w:rsidP="0070244A">
            <w:pPr>
              <w:pStyle w:val="Imprint"/>
            </w:pPr>
            <w:r w:rsidRPr="0055119B">
              <w:t xml:space="preserve">© State of Victoria, Australia, </w:t>
            </w:r>
            <w:r w:rsidRPr="001E2A36">
              <w:t>Department of Health</w:t>
            </w:r>
            <w:r w:rsidRPr="0055119B">
              <w:t xml:space="preserve">, </w:t>
            </w:r>
            <w:r w:rsidR="001F799A">
              <w:rPr>
                <w:color w:val="004C97"/>
              </w:rPr>
              <w:t xml:space="preserve">December </w:t>
            </w:r>
            <w:r>
              <w:rPr>
                <w:color w:val="004C97"/>
              </w:rPr>
              <w:t>2021</w:t>
            </w:r>
            <w:r w:rsidRPr="0055119B">
              <w:t>.</w:t>
            </w:r>
          </w:p>
          <w:p w14:paraId="625CFEE0" w14:textId="77777777" w:rsidR="0070244A" w:rsidRDefault="0070244A" w:rsidP="0070244A">
            <w:pPr>
              <w:pStyle w:val="Imprint"/>
            </w:pPr>
            <w:r w:rsidRPr="0055119B">
              <w:t xml:space="preserve">Available at </w:t>
            </w:r>
            <w:hyperlink r:id="rId16" w:history="1">
              <w:r w:rsidRPr="00D40099">
                <w:rPr>
                  <w:rStyle w:val="Hyperlink"/>
                </w:rPr>
                <w:t>NEPT</w:t>
              </w:r>
            </w:hyperlink>
            <w:r w:rsidRPr="0055119B">
              <w:t xml:space="preserve"> &lt;</w:t>
            </w:r>
            <w:r>
              <w:t xml:space="preserve"> </w:t>
            </w:r>
            <w:r w:rsidRPr="00D40099">
              <w:rPr>
                <w:color w:val="004C97"/>
              </w:rPr>
              <w:t>https://www2.health.vic.gov.au/hospitals-and-health-services/patient-care/non-emergency-transport</w:t>
            </w:r>
            <w:r w:rsidRPr="0055119B">
              <w:t>&gt;</w:t>
            </w:r>
          </w:p>
        </w:tc>
      </w:tr>
      <w:bookmarkEnd w:id="1"/>
    </w:tbl>
    <w:p w14:paraId="51413F0D" w14:textId="284BC54B" w:rsidR="00162CA9" w:rsidRDefault="00162CA9" w:rsidP="00CB22B6">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E5EF0" w14:textId="77777777" w:rsidR="00D40099" w:rsidRDefault="00D40099">
      <w:r>
        <w:separator/>
      </w:r>
    </w:p>
  </w:endnote>
  <w:endnote w:type="continuationSeparator" w:id="0">
    <w:p w14:paraId="45CF1EE8" w14:textId="77777777" w:rsidR="00D40099" w:rsidRDefault="00D40099">
      <w:r>
        <w:continuationSeparator/>
      </w:r>
    </w:p>
  </w:endnote>
  <w:endnote w:type="continuationNotice" w:id="1">
    <w:p w14:paraId="20D7D52D" w14:textId="77777777" w:rsidR="00746CED" w:rsidRDefault="00746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4B68"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070EACE" wp14:editId="76ECA47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F6F76CC" wp14:editId="222D683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AE0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6F76C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5CAE0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217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43040CC7" wp14:editId="0D6AFF5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2C6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040CC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382C6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3D21" w14:textId="04DD42B5" w:rsidR="00373890" w:rsidRPr="00F65AA9" w:rsidRDefault="00576A12" w:rsidP="00F84FA0">
    <w:pPr>
      <w:pStyle w:val="Footer"/>
    </w:pPr>
    <w:r>
      <w:rPr>
        <w:noProof/>
      </w:rPr>
      <mc:AlternateContent>
        <mc:Choice Requires="wps">
          <w:drawing>
            <wp:anchor distT="0" distB="0" distL="114300" distR="114300" simplePos="0" relativeHeight="251658244" behindDoc="0" locked="0" layoutInCell="0" allowOverlap="1" wp14:anchorId="3754BA46" wp14:editId="648AED27">
              <wp:simplePos x="0" y="0"/>
              <wp:positionH relativeFrom="page">
                <wp:posOffset>0</wp:posOffset>
              </wp:positionH>
              <wp:positionV relativeFrom="page">
                <wp:posOffset>10189210</wp:posOffset>
              </wp:positionV>
              <wp:extent cx="7560310" cy="311785"/>
              <wp:effectExtent l="0" t="0" r="0" b="12065"/>
              <wp:wrapNone/>
              <wp:docPr id="3" name="MSIPCMc94b42feb7588b9ea328b1c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11274" w14:textId="45CCCC3E" w:rsidR="00576A12" w:rsidRPr="00576A12" w:rsidRDefault="00576A12" w:rsidP="00576A12">
                          <w:pPr>
                            <w:spacing w:after="0"/>
                            <w:jc w:val="center"/>
                            <w:rPr>
                              <w:rFonts w:ascii="Arial Black" w:hAnsi="Arial Black"/>
                              <w:color w:val="000000"/>
                              <w:sz w:val="20"/>
                            </w:rPr>
                          </w:pPr>
                          <w:r w:rsidRPr="00576A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54BA46" id="_x0000_t202" coordsize="21600,21600" o:spt="202" path="m,l,21600r21600,l21600,xe">
              <v:stroke joinstyle="miter"/>
              <v:path gradientshapeok="t" o:connecttype="rect"/>
            </v:shapetype>
            <v:shape id="MSIPCMc94b42feb7588b9ea328b1c8"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XmH5grgIAAEwFAAAOAAAA&#10;AAAAAAAAAAAAAC4CAABkcnMvZTJvRG9jLnhtbFBLAQItABQABgAIAAAAIQBIDV6a3wAAAAsBAAAP&#10;AAAAAAAAAAAAAAAAAAgFAABkcnMvZG93bnJldi54bWxQSwUGAAAAAAQABADzAAAAFAYAAAAA&#10;" o:allowincell="f" filled="f" stroked="f" strokeweight=".5pt">
              <v:textbox inset=",0,,0">
                <w:txbxContent>
                  <w:p w14:paraId="54611274" w14:textId="45CCCC3E" w:rsidR="00576A12" w:rsidRPr="00576A12" w:rsidRDefault="00576A12" w:rsidP="00576A12">
                    <w:pPr>
                      <w:spacing w:after="0"/>
                      <w:jc w:val="center"/>
                      <w:rPr>
                        <w:rFonts w:ascii="Arial Black" w:hAnsi="Arial Black"/>
                        <w:color w:val="000000"/>
                        <w:sz w:val="20"/>
                      </w:rPr>
                    </w:pPr>
                    <w:r w:rsidRPr="00576A1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5CD38127" wp14:editId="390EA45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1B8C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D38127"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4C81B8C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ED289" w14:textId="77777777" w:rsidR="00D40099" w:rsidRDefault="00D40099" w:rsidP="002862F1">
      <w:pPr>
        <w:spacing w:before="120"/>
      </w:pPr>
      <w:r>
        <w:separator/>
      </w:r>
    </w:p>
  </w:footnote>
  <w:footnote w:type="continuationSeparator" w:id="0">
    <w:p w14:paraId="35955FD4" w14:textId="77777777" w:rsidR="00D40099" w:rsidRDefault="00D40099">
      <w:r>
        <w:continuationSeparator/>
      </w:r>
    </w:p>
  </w:footnote>
  <w:footnote w:type="continuationNotice" w:id="1">
    <w:p w14:paraId="07DC1690" w14:textId="77777777" w:rsidR="00746CED" w:rsidRDefault="00746C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6918" w14:textId="0EA92818" w:rsidR="00EC40D5" w:rsidRDefault="009848F5" w:rsidP="00EC40D5">
    <w:pPr>
      <w:pStyle w:val="Header"/>
      <w:spacing w:after="0"/>
    </w:pPr>
    <w:r>
      <w:t>Patient Care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324CE"/>
    <w:multiLevelType w:val="hybridMultilevel"/>
    <w:tmpl w:val="625CD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99"/>
    <w:rsid w:val="00000719"/>
    <w:rsid w:val="00003403"/>
    <w:rsid w:val="00005347"/>
    <w:rsid w:val="000072B6"/>
    <w:rsid w:val="0001021B"/>
    <w:rsid w:val="00011D89"/>
    <w:rsid w:val="000154FD"/>
    <w:rsid w:val="00016FBF"/>
    <w:rsid w:val="00022271"/>
    <w:rsid w:val="000235E8"/>
    <w:rsid w:val="00023A61"/>
    <w:rsid w:val="00024D89"/>
    <w:rsid w:val="000250B6"/>
    <w:rsid w:val="00033D81"/>
    <w:rsid w:val="00036E80"/>
    <w:rsid w:val="00037366"/>
    <w:rsid w:val="00041BF0"/>
    <w:rsid w:val="00042C8A"/>
    <w:rsid w:val="0004536B"/>
    <w:rsid w:val="00046B68"/>
    <w:rsid w:val="000520C4"/>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A6879"/>
    <w:rsid w:val="000B3672"/>
    <w:rsid w:val="000B3EDB"/>
    <w:rsid w:val="000B543D"/>
    <w:rsid w:val="000B55F9"/>
    <w:rsid w:val="000B5BF7"/>
    <w:rsid w:val="000B6BC8"/>
    <w:rsid w:val="000C0303"/>
    <w:rsid w:val="000C42EA"/>
    <w:rsid w:val="000C4546"/>
    <w:rsid w:val="000D1242"/>
    <w:rsid w:val="000E0970"/>
    <w:rsid w:val="000E1910"/>
    <w:rsid w:val="000E3CC7"/>
    <w:rsid w:val="000E4D81"/>
    <w:rsid w:val="000E6BD4"/>
    <w:rsid w:val="000E6D6D"/>
    <w:rsid w:val="000F09EE"/>
    <w:rsid w:val="000F1F1E"/>
    <w:rsid w:val="000F2259"/>
    <w:rsid w:val="000F2DDA"/>
    <w:rsid w:val="000F5213"/>
    <w:rsid w:val="00101001"/>
    <w:rsid w:val="00102556"/>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99A"/>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58EA"/>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6D4"/>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2E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3E5B"/>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D8A"/>
    <w:rsid w:val="004C48A4"/>
    <w:rsid w:val="004C5541"/>
    <w:rsid w:val="004C6EEE"/>
    <w:rsid w:val="004C702B"/>
    <w:rsid w:val="004D0033"/>
    <w:rsid w:val="004D016B"/>
    <w:rsid w:val="004D1540"/>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7898"/>
    <w:rsid w:val="00572031"/>
    <w:rsid w:val="00572282"/>
    <w:rsid w:val="00573CE3"/>
    <w:rsid w:val="00576A12"/>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6C42"/>
    <w:rsid w:val="00610D7C"/>
    <w:rsid w:val="00613414"/>
    <w:rsid w:val="00620154"/>
    <w:rsid w:val="0062408D"/>
    <w:rsid w:val="006240CC"/>
    <w:rsid w:val="00624940"/>
    <w:rsid w:val="006254F8"/>
    <w:rsid w:val="00627DA7"/>
    <w:rsid w:val="00630DA4"/>
    <w:rsid w:val="00632597"/>
    <w:rsid w:val="006358B4"/>
    <w:rsid w:val="006419AA"/>
    <w:rsid w:val="00643A7F"/>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166"/>
    <w:rsid w:val="006771C7"/>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244A"/>
    <w:rsid w:val="007055BD"/>
    <w:rsid w:val="007173CA"/>
    <w:rsid w:val="007216AA"/>
    <w:rsid w:val="00721AB5"/>
    <w:rsid w:val="00721CFB"/>
    <w:rsid w:val="00721DEF"/>
    <w:rsid w:val="0072251A"/>
    <w:rsid w:val="00724A43"/>
    <w:rsid w:val="007273AC"/>
    <w:rsid w:val="00731AD4"/>
    <w:rsid w:val="007346E4"/>
    <w:rsid w:val="00734FCA"/>
    <w:rsid w:val="0073582E"/>
    <w:rsid w:val="007370B4"/>
    <w:rsid w:val="00740F22"/>
    <w:rsid w:val="00741CF0"/>
    <w:rsid w:val="00741F1A"/>
    <w:rsid w:val="007447DA"/>
    <w:rsid w:val="007450F8"/>
    <w:rsid w:val="0074696E"/>
    <w:rsid w:val="00746CED"/>
    <w:rsid w:val="00750135"/>
    <w:rsid w:val="00750EC2"/>
    <w:rsid w:val="00752B28"/>
    <w:rsid w:val="007541A9"/>
    <w:rsid w:val="00754E36"/>
    <w:rsid w:val="00763139"/>
    <w:rsid w:val="00764C2E"/>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30A9"/>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48F5"/>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170A7"/>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30CB"/>
    <w:rsid w:val="00AF5F04"/>
    <w:rsid w:val="00B00672"/>
    <w:rsid w:val="00B01B4D"/>
    <w:rsid w:val="00B06571"/>
    <w:rsid w:val="00B068BA"/>
    <w:rsid w:val="00B07FF7"/>
    <w:rsid w:val="00B13851"/>
    <w:rsid w:val="00B13B1C"/>
    <w:rsid w:val="00B14780"/>
    <w:rsid w:val="00B21F90"/>
    <w:rsid w:val="00B22291"/>
    <w:rsid w:val="00B23127"/>
    <w:rsid w:val="00B23ACD"/>
    <w:rsid w:val="00B23F9A"/>
    <w:rsid w:val="00B2417B"/>
    <w:rsid w:val="00B24E6F"/>
    <w:rsid w:val="00B26CB5"/>
    <w:rsid w:val="00B2752E"/>
    <w:rsid w:val="00B307CC"/>
    <w:rsid w:val="00B326B7"/>
    <w:rsid w:val="00B3588E"/>
    <w:rsid w:val="00B3719C"/>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26CB"/>
    <w:rsid w:val="00BF30B2"/>
    <w:rsid w:val="00BF557D"/>
    <w:rsid w:val="00BF7F58"/>
    <w:rsid w:val="00C01381"/>
    <w:rsid w:val="00C01AB1"/>
    <w:rsid w:val="00C026A0"/>
    <w:rsid w:val="00C06137"/>
    <w:rsid w:val="00C079B8"/>
    <w:rsid w:val="00C10037"/>
    <w:rsid w:val="00C123EA"/>
    <w:rsid w:val="00C12A49"/>
    <w:rsid w:val="00C133EE"/>
    <w:rsid w:val="00C149D0"/>
    <w:rsid w:val="00C16FDE"/>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2B6"/>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099"/>
    <w:rsid w:val="00D405AC"/>
    <w:rsid w:val="00D411A2"/>
    <w:rsid w:val="00D4606D"/>
    <w:rsid w:val="00D46C92"/>
    <w:rsid w:val="00D50B9C"/>
    <w:rsid w:val="00D52D73"/>
    <w:rsid w:val="00D52E58"/>
    <w:rsid w:val="00D56B20"/>
    <w:rsid w:val="00D578B3"/>
    <w:rsid w:val="00D618F4"/>
    <w:rsid w:val="00D714CC"/>
    <w:rsid w:val="00D72636"/>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1856"/>
    <w:rsid w:val="00E33237"/>
    <w:rsid w:val="00E359A4"/>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2829"/>
    <w:rsid w:val="00F331AD"/>
    <w:rsid w:val="00F35287"/>
    <w:rsid w:val="00F40A70"/>
    <w:rsid w:val="00F43A37"/>
    <w:rsid w:val="00F451AB"/>
    <w:rsid w:val="00F4641B"/>
    <w:rsid w:val="00F46EB8"/>
    <w:rsid w:val="00F46FA6"/>
    <w:rsid w:val="00F50CD1"/>
    <w:rsid w:val="00F511E4"/>
    <w:rsid w:val="00F52D09"/>
    <w:rsid w:val="00F52E08"/>
    <w:rsid w:val="00F53A66"/>
    <w:rsid w:val="00F53DDD"/>
    <w:rsid w:val="00F5462D"/>
    <w:rsid w:val="00F55B21"/>
    <w:rsid w:val="00F56EF6"/>
    <w:rsid w:val="00F60082"/>
    <w:rsid w:val="00F61A9F"/>
    <w:rsid w:val="00F61B5F"/>
    <w:rsid w:val="00F64696"/>
    <w:rsid w:val="00F656E9"/>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478DEE3"/>
    <w:rsid w:val="0C5CEB3D"/>
    <w:rsid w:val="13339AAE"/>
    <w:rsid w:val="1DB2344F"/>
    <w:rsid w:val="24016389"/>
    <w:rsid w:val="2A015EA9"/>
    <w:rsid w:val="2B5A1F8B"/>
    <w:rsid w:val="49E7C083"/>
    <w:rsid w:val="4DA29C93"/>
    <w:rsid w:val="4FFD8059"/>
    <w:rsid w:val="54409FCD"/>
    <w:rsid w:val="5B1EECB3"/>
    <w:rsid w:val="612FC72F"/>
    <w:rsid w:val="63AEB629"/>
    <w:rsid w:val="67281C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A14B1E3"/>
  <w15:docId w15:val="{69F21618-D7DE-49B8-A818-96047BB3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HeaderChar">
    <w:name w:val="Header Char"/>
    <w:basedOn w:val="DefaultParagraphFont"/>
    <w:link w:val="Header"/>
    <w:uiPriority w:val="99"/>
    <w:rsid w:val="00B23ACD"/>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2.health.vic.gov.au/hospitals-and-health-services/patient-care/non-emergency-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Benjamin Imrie-Quintyn (Health)</DisplayName>
        <AccountId>54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51ee8a1-a92c-40bc-9e81-d80532d07b49"/>
  </ds:schemaRefs>
</ds:datastoreItem>
</file>

<file path=customXml/itemProps4.xml><?xml version="1.0" encoding="utf-8"?>
<ds:datastoreItem xmlns:ds="http://schemas.openxmlformats.org/officeDocument/2006/customXml" ds:itemID="{9683313B-5C71-4082-A6DB-D425EC39D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2</TotalTime>
  <Pages>2</Pages>
  <Words>457</Words>
  <Characters>2607</Characters>
  <Application>Microsoft Office Word</Application>
  <DocSecurity>4</DocSecurity>
  <Lines>21</Lines>
  <Paragraphs>6</Paragraphs>
  <ScaleCrop>false</ScaleCrop>
  <Manager/>
  <Company>Victoria State Government, Department of Health</Company>
  <LinksUpToDate>false</LinksUpToDate>
  <CharactersWithSpaces>3058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care records</dc:title>
  <dc:subject>Patient care records</dc:subject>
  <dc:creator>Department of Health</dc:creator>
  <cp:keywords/>
  <dc:description/>
  <cp:revision>2</cp:revision>
  <cp:lastPrinted>2020-03-30T03:28:00Z</cp:lastPrinted>
  <dcterms:created xsi:type="dcterms:W3CDTF">2021-12-22T06:55:00Z</dcterms:created>
  <dcterms:modified xsi:type="dcterms:W3CDTF">2021-12-22T06:55:00Z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2021-12-22T06:55:11Z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