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A1E7C" w14:textId="1CA76523"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00C01933">
        <w:tc>
          <w:tcPr>
            <w:tcW w:w="0" w:type="auto"/>
          </w:tcPr>
          <w:p w14:paraId="23D4323B" w14:textId="209954DE" w:rsidR="003B5733" w:rsidRPr="00A1389F" w:rsidRDefault="009A244B" w:rsidP="00C01933">
            <w:pPr>
              <w:pStyle w:val="Documentsubtitle"/>
            </w:pPr>
            <w:r>
              <w:t xml:space="preserve">Issue 254: </w:t>
            </w:r>
            <w:r w:rsidR="00D5480D">
              <w:t>17</w:t>
            </w:r>
            <w:r>
              <w:t xml:space="preserve"> </w:t>
            </w:r>
            <w:r w:rsidR="00034325">
              <w:t>December</w:t>
            </w:r>
            <w:r>
              <w:t xml:space="preserve"> 2021</w:t>
            </w:r>
          </w:p>
        </w:tc>
      </w:tr>
      <w:tr w:rsidR="003B5733" w14:paraId="01A0A997" w14:textId="77777777" w:rsidTr="00C01933">
        <w:tc>
          <w:tcPr>
            <w:tcW w:w="0" w:type="auto"/>
          </w:tcPr>
          <w:p w14:paraId="3E5FF0AB" w14:textId="77777777" w:rsidR="003B5733" w:rsidRDefault="00093B52" w:rsidP="00C01933">
            <w:pPr>
              <w:pStyle w:val="Bannermarking"/>
            </w:pPr>
            <w:fldSimple w:instr="FILLIN  &quot;Type the protective marking&quot; \d OFFICIAL \o  \* MERGEFORMAT">
              <w:r w:rsidR="00274726">
                <w:t>OFFICIAL</w:t>
              </w:r>
            </w:fldSimple>
          </w:p>
        </w:tc>
      </w:tr>
    </w:tbl>
    <w:p w14:paraId="2AC07295" w14:textId="77777777" w:rsidR="009A244B" w:rsidRPr="009A244B" w:rsidRDefault="009A244B" w:rsidP="009A244B">
      <w:pPr>
        <w:pStyle w:val="Body"/>
      </w:pPr>
    </w:p>
    <w:p w14:paraId="0B96B4B0" w14:textId="01837231" w:rsidR="00AD784C" w:rsidRPr="009A244B" w:rsidRDefault="00AD784C" w:rsidP="009A244B">
      <w:pPr>
        <w:pStyle w:val="Body"/>
        <w:rPr>
          <w:b/>
          <w:bCs/>
          <w:sz w:val="32"/>
          <w:szCs w:val="32"/>
        </w:rPr>
      </w:pPr>
      <w:r w:rsidRPr="009A244B">
        <w:rPr>
          <w:b/>
          <w:bCs/>
          <w:color w:val="53565A"/>
          <w:sz w:val="32"/>
          <w:szCs w:val="32"/>
        </w:rPr>
        <w:t>Contents</w:t>
      </w:r>
    </w:p>
    <w:p w14:paraId="5AE16FE4" w14:textId="37478FA0" w:rsidR="00093B52"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0970277" w:history="1">
        <w:r w:rsidR="00093B52" w:rsidRPr="000A3947">
          <w:rPr>
            <w:rStyle w:val="Hyperlink"/>
          </w:rPr>
          <w:t>Global updates</w:t>
        </w:r>
        <w:r w:rsidR="00093B52">
          <w:rPr>
            <w:webHidden/>
          </w:rPr>
          <w:tab/>
        </w:r>
        <w:r w:rsidR="00093B52">
          <w:rPr>
            <w:webHidden/>
          </w:rPr>
          <w:fldChar w:fldCharType="begin"/>
        </w:r>
        <w:r w:rsidR="00093B52">
          <w:rPr>
            <w:webHidden/>
          </w:rPr>
          <w:instrText xml:space="preserve"> PAGEREF _Toc90970277 \h </w:instrText>
        </w:r>
        <w:r w:rsidR="00093B52">
          <w:rPr>
            <w:webHidden/>
          </w:rPr>
        </w:r>
        <w:r w:rsidR="00093B52">
          <w:rPr>
            <w:webHidden/>
          </w:rPr>
          <w:fldChar w:fldCharType="separate"/>
        </w:r>
        <w:r w:rsidR="00093B52">
          <w:rPr>
            <w:webHidden/>
          </w:rPr>
          <w:t>2</w:t>
        </w:r>
        <w:r w:rsidR="00093B52">
          <w:rPr>
            <w:webHidden/>
          </w:rPr>
          <w:fldChar w:fldCharType="end"/>
        </w:r>
      </w:hyperlink>
    </w:p>
    <w:p w14:paraId="158E52E0" w14:textId="78B742C1" w:rsidR="00093B52" w:rsidRDefault="009E53A0">
      <w:pPr>
        <w:pStyle w:val="TOC2"/>
        <w:tabs>
          <w:tab w:val="left" w:pos="851"/>
        </w:tabs>
        <w:rPr>
          <w:rFonts w:asciiTheme="minorHAnsi" w:eastAsiaTheme="minorEastAsia" w:hAnsiTheme="minorHAnsi" w:cstheme="minorBidi"/>
          <w:sz w:val="22"/>
          <w:szCs w:val="22"/>
          <w:lang w:eastAsia="en-AU"/>
        </w:rPr>
      </w:pPr>
      <w:hyperlink w:anchor="_Toc90970278" w:history="1">
        <w:r w:rsidR="00093B52" w:rsidRPr="000A3947">
          <w:rPr>
            <w:rStyle w:val="Hyperlink"/>
            <w:bCs/>
            <w14:scene3d>
              <w14:camera w14:prst="orthographicFront"/>
              <w14:lightRig w14:rig="threePt" w14:dir="t">
                <w14:rot w14:lat="0" w14:lon="0" w14:rev="0"/>
              </w14:lightRig>
            </w14:scene3d>
          </w:rPr>
          <w:t>254.1</w:t>
        </w:r>
        <w:r w:rsidR="00093B52">
          <w:rPr>
            <w:rFonts w:asciiTheme="minorHAnsi" w:eastAsiaTheme="minorEastAsia" w:hAnsiTheme="minorHAnsi" w:cstheme="minorBidi"/>
            <w:sz w:val="22"/>
            <w:szCs w:val="22"/>
            <w:lang w:eastAsia="en-AU"/>
          </w:rPr>
          <w:tab/>
        </w:r>
        <w:r w:rsidR="00093B52" w:rsidRPr="000A3947">
          <w:rPr>
            <w:rStyle w:val="Hyperlink"/>
          </w:rPr>
          <w:t>Circulars</w:t>
        </w:r>
        <w:r w:rsidR="00093B52">
          <w:rPr>
            <w:webHidden/>
          </w:rPr>
          <w:tab/>
        </w:r>
        <w:r w:rsidR="00093B52">
          <w:rPr>
            <w:webHidden/>
          </w:rPr>
          <w:fldChar w:fldCharType="begin"/>
        </w:r>
        <w:r w:rsidR="00093B52">
          <w:rPr>
            <w:webHidden/>
          </w:rPr>
          <w:instrText xml:space="preserve"> PAGEREF _Toc90970278 \h </w:instrText>
        </w:r>
        <w:r w:rsidR="00093B52">
          <w:rPr>
            <w:webHidden/>
          </w:rPr>
        </w:r>
        <w:r w:rsidR="00093B52">
          <w:rPr>
            <w:webHidden/>
          </w:rPr>
          <w:fldChar w:fldCharType="separate"/>
        </w:r>
        <w:r w:rsidR="00093B52">
          <w:rPr>
            <w:webHidden/>
          </w:rPr>
          <w:t>2</w:t>
        </w:r>
        <w:r w:rsidR="00093B52">
          <w:rPr>
            <w:webHidden/>
          </w:rPr>
          <w:fldChar w:fldCharType="end"/>
        </w:r>
      </w:hyperlink>
    </w:p>
    <w:p w14:paraId="100E1513" w14:textId="4B343A49" w:rsidR="00093B52" w:rsidRDefault="009E53A0">
      <w:pPr>
        <w:pStyle w:val="TOC2"/>
        <w:tabs>
          <w:tab w:val="left" w:pos="851"/>
        </w:tabs>
        <w:rPr>
          <w:rFonts w:asciiTheme="minorHAnsi" w:eastAsiaTheme="minorEastAsia" w:hAnsiTheme="minorHAnsi" w:cstheme="minorBidi"/>
          <w:sz w:val="22"/>
          <w:szCs w:val="22"/>
          <w:lang w:eastAsia="en-AU"/>
        </w:rPr>
      </w:pPr>
      <w:hyperlink w:anchor="_Toc90970279" w:history="1">
        <w:r w:rsidR="00093B52" w:rsidRPr="000A3947">
          <w:rPr>
            <w:rStyle w:val="Hyperlink"/>
            <w:bCs/>
            <w14:scene3d>
              <w14:camera w14:prst="orthographicFront"/>
              <w14:lightRig w14:rig="threePt" w14:dir="t">
                <w14:rot w14:lat="0" w14:lon="0" w14:rev="0"/>
              </w14:lightRig>
            </w14:scene3d>
          </w:rPr>
          <w:t>254.2</w:t>
        </w:r>
        <w:r w:rsidR="00093B52">
          <w:rPr>
            <w:rFonts w:asciiTheme="minorHAnsi" w:eastAsiaTheme="minorEastAsia" w:hAnsiTheme="minorHAnsi" w:cstheme="minorBidi"/>
            <w:sz w:val="22"/>
            <w:szCs w:val="22"/>
            <w:lang w:eastAsia="en-AU"/>
          </w:rPr>
          <w:tab/>
        </w:r>
        <w:r w:rsidR="00093B52" w:rsidRPr="000A3947">
          <w:rPr>
            <w:rStyle w:val="Hyperlink"/>
          </w:rPr>
          <w:t>Updated campus code table</w:t>
        </w:r>
        <w:r w:rsidR="00093B52">
          <w:rPr>
            <w:webHidden/>
          </w:rPr>
          <w:tab/>
        </w:r>
        <w:r w:rsidR="00093B52">
          <w:rPr>
            <w:webHidden/>
          </w:rPr>
          <w:fldChar w:fldCharType="begin"/>
        </w:r>
        <w:r w:rsidR="00093B52">
          <w:rPr>
            <w:webHidden/>
          </w:rPr>
          <w:instrText xml:space="preserve"> PAGEREF _Toc90970279 \h </w:instrText>
        </w:r>
        <w:r w:rsidR="00093B52">
          <w:rPr>
            <w:webHidden/>
          </w:rPr>
        </w:r>
        <w:r w:rsidR="00093B52">
          <w:rPr>
            <w:webHidden/>
          </w:rPr>
          <w:fldChar w:fldCharType="separate"/>
        </w:r>
        <w:r w:rsidR="00093B52">
          <w:rPr>
            <w:webHidden/>
          </w:rPr>
          <w:t>2</w:t>
        </w:r>
        <w:r w:rsidR="00093B52">
          <w:rPr>
            <w:webHidden/>
          </w:rPr>
          <w:fldChar w:fldCharType="end"/>
        </w:r>
      </w:hyperlink>
    </w:p>
    <w:p w14:paraId="074B2823" w14:textId="7EB64701" w:rsidR="00093B52" w:rsidRDefault="009E53A0">
      <w:pPr>
        <w:pStyle w:val="TOC1"/>
        <w:rPr>
          <w:rFonts w:asciiTheme="minorHAnsi" w:eastAsiaTheme="minorEastAsia" w:hAnsiTheme="minorHAnsi" w:cstheme="minorBidi"/>
          <w:b w:val="0"/>
          <w:sz w:val="22"/>
          <w:szCs w:val="22"/>
          <w:lang w:eastAsia="en-AU"/>
        </w:rPr>
      </w:pPr>
      <w:hyperlink w:anchor="_Toc90970280" w:history="1">
        <w:r w:rsidR="00093B52" w:rsidRPr="000A3947">
          <w:rPr>
            <w:rStyle w:val="Hyperlink"/>
          </w:rPr>
          <w:t>Christmas / New Year Reporting</w:t>
        </w:r>
        <w:r w:rsidR="00093B52">
          <w:rPr>
            <w:webHidden/>
          </w:rPr>
          <w:tab/>
        </w:r>
        <w:r w:rsidR="00093B52">
          <w:rPr>
            <w:webHidden/>
          </w:rPr>
          <w:fldChar w:fldCharType="begin"/>
        </w:r>
        <w:r w:rsidR="00093B52">
          <w:rPr>
            <w:webHidden/>
          </w:rPr>
          <w:instrText xml:space="preserve"> PAGEREF _Toc90970280 \h </w:instrText>
        </w:r>
        <w:r w:rsidR="00093B52">
          <w:rPr>
            <w:webHidden/>
          </w:rPr>
        </w:r>
        <w:r w:rsidR="00093B52">
          <w:rPr>
            <w:webHidden/>
          </w:rPr>
          <w:fldChar w:fldCharType="separate"/>
        </w:r>
        <w:r w:rsidR="00093B52">
          <w:rPr>
            <w:webHidden/>
          </w:rPr>
          <w:t>2</w:t>
        </w:r>
        <w:r w:rsidR="00093B52">
          <w:rPr>
            <w:webHidden/>
          </w:rPr>
          <w:fldChar w:fldCharType="end"/>
        </w:r>
      </w:hyperlink>
    </w:p>
    <w:p w14:paraId="694F7CF6" w14:textId="7ADA5FFE" w:rsidR="00093B52" w:rsidRDefault="009E53A0">
      <w:pPr>
        <w:pStyle w:val="TOC2"/>
        <w:tabs>
          <w:tab w:val="left" w:pos="851"/>
        </w:tabs>
        <w:rPr>
          <w:rFonts w:asciiTheme="minorHAnsi" w:eastAsiaTheme="minorEastAsia" w:hAnsiTheme="minorHAnsi" w:cstheme="minorBidi"/>
          <w:sz w:val="22"/>
          <w:szCs w:val="22"/>
          <w:lang w:eastAsia="en-AU"/>
        </w:rPr>
      </w:pPr>
      <w:hyperlink w:anchor="_Toc90970281" w:history="1">
        <w:r w:rsidR="00093B52" w:rsidRPr="000A3947">
          <w:rPr>
            <w:rStyle w:val="Hyperlink"/>
            <w:bCs/>
            <w14:scene3d>
              <w14:camera w14:prst="orthographicFront"/>
              <w14:lightRig w14:rig="threePt" w14:dir="t">
                <w14:rot w14:lat="0" w14:lon="0" w14:rev="0"/>
              </w14:lightRig>
            </w14:scene3d>
          </w:rPr>
          <w:t>254.3</w:t>
        </w:r>
        <w:r w:rsidR="00093B52">
          <w:rPr>
            <w:rFonts w:asciiTheme="minorHAnsi" w:eastAsiaTheme="minorEastAsia" w:hAnsiTheme="minorHAnsi" w:cstheme="minorBidi"/>
            <w:sz w:val="22"/>
            <w:szCs w:val="22"/>
            <w:lang w:eastAsia="en-AU"/>
          </w:rPr>
          <w:tab/>
        </w:r>
        <w:r w:rsidR="00093B52" w:rsidRPr="000A3947">
          <w:rPr>
            <w:rStyle w:val="Hyperlink"/>
          </w:rPr>
          <w:t>Daily Reporting Expectations: DESA, DCOR &amp; VEMD</w:t>
        </w:r>
        <w:r w:rsidR="00093B52">
          <w:rPr>
            <w:webHidden/>
          </w:rPr>
          <w:tab/>
        </w:r>
        <w:r w:rsidR="00093B52">
          <w:rPr>
            <w:webHidden/>
          </w:rPr>
          <w:fldChar w:fldCharType="begin"/>
        </w:r>
        <w:r w:rsidR="00093B52">
          <w:rPr>
            <w:webHidden/>
          </w:rPr>
          <w:instrText xml:space="preserve"> PAGEREF _Toc90970281 \h </w:instrText>
        </w:r>
        <w:r w:rsidR="00093B52">
          <w:rPr>
            <w:webHidden/>
          </w:rPr>
        </w:r>
        <w:r w:rsidR="00093B52">
          <w:rPr>
            <w:webHidden/>
          </w:rPr>
          <w:fldChar w:fldCharType="separate"/>
        </w:r>
        <w:r w:rsidR="00093B52">
          <w:rPr>
            <w:webHidden/>
          </w:rPr>
          <w:t>2</w:t>
        </w:r>
        <w:r w:rsidR="00093B52">
          <w:rPr>
            <w:webHidden/>
          </w:rPr>
          <w:fldChar w:fldCharType="end"/>
        </w:r>
      </w:hyperlink>
    </w:p>
    <w:p w14:paraId="2979D6B0" w14:textId="48CB9469" w:rsidR="00093B52" w:rsidRDefault="009E53A0">
      <w:pPr>
        <w:pStyle w:val="TOC1"/>
        <w:rPr>
          <w:rFonts w:asciiTheme="minorHAnsi" w:eastAsiaTheme="minorEastAsia" w:hAnsiTheme="minorHAnsi" w:cstheme="minorBidi"/>
          <w:b w:val="0"/>
          <w:sz w:val="22"/>
          <w:szCs w:val="22"/>
          <w:lang w:eastAsia="en-AU"/>
        </w:rPr>
      </w:pPr>
      <w:hyperlink w:anchor="_Toc90970282" w:history="1">
        <w:r w:rsidR="00093B52" w:rsidRPr="000A3947">
          <w:rPr>
            <w:rStyle w:val="Hyperlink"/>
          </w:rPr>
          <w:t>COVID positive care pathway program</w:t>
        </w:r>
        <w:r w:rsidR="00093B52">
          <w:rPr>
            <w:webHidden/>
          </w:rPr>
          <w:tab/>
        </w:r>
        <w:r w:rsidR="00093B52">
          <w:rPr>
            <w:webHidden/>
          </w:rPr>
          <w:fldChar w:fldCharType="begin"/>
        </w:r>
        <w:r w:rsidR="00093B52">
          <w:rPr>
            <w:webHidden/>
          </w:rPr>
          <w:instrText xml:space="preserve"> PAGEREF _Toc90970282 \h </w:instrText>
        </w:r>
        <w:r w:rsidR="00093B52">
          <w:rPr>
            <w:webHidden/>
          </w:rPr>
        </w:r>
        <w:r w:rsidR="00093B52">
          <w:rPr>
            <w:webHidden/>
          </w:rPr>
          <w:fldChar w:fldCharType="separate"/>
        </w:r>
        <w:r w:rsidR="00093B52">
          <w:rPr>
            <w:webHidden/>
          </w:rPr>
          <w:t>2</w:t>
        </w:r>
        <w:r w:rsidR="00093B52">
          <w:rPr>
            <w:webHidden/>
          </w:rPr>
          <w:fldChar w:fldCharType="end"/>
        </w:r>
      </w:hyperlink>
    </w:p>
    <w:p w14:paraId="422DF84D" w14:textId="7236E0A4" w:rsidR="00093B52" w:rsidRDefault="009E53A0">
      <w:pPr>
        <w:pStyle w:val="TOC2"/>
        <w:tabs>
          <w:tab w:val="left" w:pos="851"/>
        </w:tabs>
        <w:rPr>
          <w:rFonts w:asciiTheme="minorHAnsi" w:eastAsiaTheme="minorEastAsia" w:hAnsiTheme="minorHAnsi" w:cstheme="minorBidi"/>
          <w:sz w:val="22"/>
          <w:szCs w:val="22"/>
          <w:lang w:eastAsia="en-AU"/>
        </w:rPr>
      </w:pPr>
      <w:hyperlink w:anchor="_Toc90970283" w:history="1">
        <w:r w:rsidR="00093B52" w:rsidRPr="000A3947">
          <w:rPr>
            <w:rStyle w:val="Hyperlink"/>
            <w:bCs/>
            <w14:scene3d>
              <w14:camera w14:prst="orthographicFront"/>
              <w14:lightRig w14:rig="threePt" w14:dir="t">
                <w14:rot w14:lat="0" w14:lon="0" w14:rev="0"/>
              </w14:lightRig>
            </w14:scene3d>
          </w:rPr>
          <w:t>254.4</w:t>
        </w:r>
        <w:r w:rsidR="00093B52">
          <w:rPr>
            <w:rFonts w:asciiTheme="minorHAnsi" w:eastAsiaTheme="minorEastAsia" w:hAnsiTheme="minorHAnsi" w:cstheme="minorBidi"/>
            <w:sz w:val="22"/>
            <w:szCs w:val="22"/>
            <w:lang w:eastAsia="en-AU"/>
          </w:rPr>
          <w:tab/>
        </w:r>
        <w:r w:rsidR="00093B52" w:rsidRPr="000A3947">
          <w:rPr>
            <w:rStyle w:val="Hyperlink"/>
          </w:rPr>
          <w:t>Reporting admitted activity</w:t>
        </w:r>
        <w:r w:rsidR="00093B52">
          <w:rPr>
            <w:webHidden/>
          </w:rPr>
          <w:tab/>
        </w:r>
        <w:r w:rsidR="00093B52">
          <w:rPr>
            <w:webHidden/>
          </w:rPr>
          <w:fldChar w:fldCharType="begin"/>
        </w:r>
        <w:r w:rsidR="00093B52">
          <w:rPr>
            <w:webHidden/>
          </w:rPr>
          <w:instrText xml:space="preserve"> PAGEREF _Toc90970283 \h </w:instrText>
        </w:r>
        <w:r w:rsidR="00093B52">
          <w:rPr>
            <w:webHidden/>
          </w:rPr>
        </w:r>
        <w:r w:rsidR="00093B52">
          <w:rPr>
            <w:webHidden/>
          </w:rPr>
          <w:fldChar w:fldCharType="separate"/>
        </w:r>
        <w:r w:rsidR="00093B52">
          <w:rPr>
            <w:webHidden/>
          </w:rPr>
          <w:t>3</w:t>
        </w:r>
        <w:r w:rsidR="00093B52">
          <w:rPr>
            <w:webHidden/>
          </w:rPr>
          <w:fldChar w:fldCharType="end"/>
        </w:r>
      </w:hyperlink>
    </w:p>
    <w:p w14:paraId="789B7E0E" w14:textId="0336C783" w:rsidR="00093B52" w:rsidRDefault="009E53A0">
      <w:pPr>
        <w:pStyle w:val="TOC2"/>
        <w:tabs>
          <w:tab w:val="left" w:pos="851"/>
        </w:tabs>
        <w:rPr>
          <w:rFonts w:asciiTheme="minorHAnsi" w:eastAsiaTheme="minorEastAsia" w:hAnsiTheme="minorHAnsi" w:cstheme="minorBidi"/>
          <w:sz w:val="22"/>
          <w:szCs w:val="22"/>
          <w:lang w:eastAsia="en-AU"/>
        </w:rPr>
      </w:pPr>
      <w:hyperlink w:anchor="_Toc90970284" w:history="1">
        <w:r w:rsidR="00093B52" w:rsidRPr="000A3947">
          <w:rPr>
            <w:rStyle w:val="Hyperlink"/>
            <w:bCs/>
            <w14:scene3d>
              <w14:camera w14:prst="orthographicFront"/>
              <w14:lightRig w14:rig="threePt" w14:dir="t">
                <w14:rot w14:lat="0" w14:lon="0" w14:rev="0"/>
              </w14:lightRig>
            </w14:scene3d>
          </w:rPr>
          <w:t>254.5</w:t>
        </w:r>
        <w:r w:rsidR="00093B52">
          <w:rPr>
            <w:rFonts w:asciiTheme="minorHAnsi" w:eastAsiaTheme="minorEastAsia" w:hAnsiTheme="minorHAnsi" w:cstheme="minorBidi"/>
            <w:sz w:val="22"/>
            <w:szCs w:val="22"/>
            <w:lang w:eastAsia="en-AU"/>
          </w:rPr>
          <w:tab/>
        </w:r>
        <w:r w:rsidR="00093B52" w:rsidRPr="000A3947">
          <w:rPr>
            <w:rStyle w:val="Hyperlink"/>
          </w:rPr>
          <w:t>Reporting non-admitted activity</w:t>
        </w:r>
        <w:r w:rsidR="00093B52">
          <w:rPr>
            <w:webHidden/>
          </w:rPr>
          <w:tab/>
        </w:r>
        <w:r w:rsidR="00093B52">
          <w:rPr>
            <w:webHidden/>
          </w:rPr>
          <w:fldChar w:fldCharType="begin"/>
        </w:r>
        <w:r w:rsidR="00093B52">
          <w:rPr>
            <w:webHidden/>
          </w:rPr>
          <w:instrText xml:space="preserve"> PAGEREF _Toc90970284 \h </w:instrText>
        </w:r>
        <w:r w:rsidR="00093B52">
          <w:rPr>
            <w:webHidden/>
          </w:rPr>
        </w:r>
        <w:r w:rsidR="00093B52">
          <w:rPr>
            <w:webHidden/>
          </w:rPr>
          <w:fldChar w:fldCharType="separate"/>
        </w:r>
        <w:r w:rsidR="00093B52">
          <w:rPr>
            <w:webHidden/>
          </w:rPr>
          <w:t>3</w:t>
        </w:r>
        <w:r w:rsidR="00093B52">
          <w:rPr>
            <w:webHidden/>
          </w:rPr>
          <w:fldChar w:fldCharType="end"/>
        </w:r>
      </w:hyperlink>
    </w:p>
    <w:p w14:paraId="003FE85C" w14:textId="5B255B18" w:rsidR="00093B52" w:rsidRDefault="009E53A0">
      <w:pPr>
        <w:pStyle w:val="TOC1"/>
        <w:rPr>
          <w:rFonts w:asciiTheme="minorHAnsi" w:eastAsiaTheme="minorEastAsia" w:hAnsiTheme="minorHAnsi" w:cstheme="minorBidi"/>
          <w:b w:val="0"/>
          <w:sz w:val="22"/>
          <w:szCs w:val="22"/>
          <w:lang w:eastAsia="en-AU"/>
        </w:rPr>
      </w:pPr>
      <w:hyperlink w:anchor="_Toc90970285" w:history="1">
        <w:r w:rsidR="00093B52" w:rsidRPr="000A3947">
          <w:rPr>
            <w:rStyle w:val="Hyperlink"/>
          </w:rPr>
          <w:t>WorkSafe statements</w:t>
        </w:r>
        <w:r w:rsidR="00093B52">
          <w:rPr>
            <w:webHidden/>
          </w:rPr>
          <w:tab/>
        </w:r>
        <w:r w:rsidR="00093B52">
          <w:rPr>
            <w:webHidden/>
          </w:rPr>
          <w:fldChar w:fldCharType="begin"/>
        </w:r>
        <w:r w:rsidR="00093B52">
          <w:rPr>
            <w:webHidden/>
          </w:rPr>
          <w:instrText xml:space="preserve"> PAGEREF _Toc90970285 \h </w:instrText>
        </w:r>
        <w:r w:rsidR="00093B52">
          <w:rPr>
            <w:webHidden/>
          </w:rPr>
        </w:r>
        <w:r w:rsidR="00093B52">
          <w:rPr>
            <w:webHidden/>
          </w:rPr>
          <w:fldChar w:fldCharType="separate"/>
        </w:r>
        <w:r w:rsidR="00093B52">
          <w:rPr>
            <w:webHidden/>
          </w:rPr>
          <w:t>3</w:t>
        </w:r>
        <w:r w:rsidR="00093B52">
          <w:rPr>
            <w:webHidden/>
          </w:rPr>
          <w:fldChar w:fldCharType="end"/>
        </w:r>
      </w:hyperlink>
    </w:p>
    <w:p w14:paraId="2EC1BBE8" w14:textId="67AE7490" w:rsidR="00093B52" w:rsidRDefault="009E53A0">
      <w:pPr>
        <w:pStyle w:val="TOC1"/>
        <w:rPr>
          <w:rFonts w:asciiTheme="minorHAnsi" w:eastAsiaTheme="minorEastAsia" w:hAnsiTheme="minorHAnsi" w:cstheme="minorBidi"/>
          <w:b w:val="0"/>
          <w:sz w:val="22"/>
          <w:szCs w:val="22"/>
          <w:lang w:eastAsia="en-AU"/>
        </w:rPr>
      </w:pPr>
      <w:hyperlink w:anchor="_Toc90970286" w:history="1">
        <w:r w:rsidR="00093B52" w:rsidRPr="000A3947">
          <w:rPr>
            <w:rStyle w:val="Hyperlink"/>
          </w:rPr>
          <w:t>Agency Information Management System (AIMS)</w:t>
        </w:r>
        <w:r w:rsidR="00093B52">
          <w:rPr>
            <w:webHidden/>
          </w:rPr>
          <w:tab/>
        </w:r>
        <w:r w:rsidR="00093B52">
          <w:rPr>
            <w:webHidden/>
          </w:rPr>
          <w:fldChar w:fldCharType="begin"/>
        </w:r>
        <w:r w:rsidR="00093B52">
          <w:rPr>
            <w:webHidden/>
          </w:rPr>
          <w:instrText xml:space="preserve"> PAGEREF _Toc90970286 \h </w:instrText>
        </w:r>
        <w:r w:rsidR="00093B52">
          <w:rPr>
            <w:webHidden/>
          </w:rPr>
        </w:r>
        <w:r w:rsidR="00093B52">
          <w:rPr>
            <w:webHidden/>
          </w:rPr>
          <w:fldChar w:fldCharType="separate"/>
        </w:r>
        <w:r w:rsidR="00093B52">
          <w:rPr>
            <w:webHidden/>
          </w:rPr>
          <w:t>4</w:t>
        </w:r>
        <w:r w:rsidR="00093B52">
          <w:rPr>
            <w:webHidden/>
          </w:rPr>
          <w:fldChar w:fldCharType="end"/>
        </w:r>
      </w:hyperlink>
    </w:p>
    <w:p w14:paraId="59528CBF" w14:textId="0807FA07" w:rsidR="00093B52" w:rsidRDefault="009E53A0">
      <w:pPr>
        <w:pStyle w:val="TOC2"/>
        <w:tabs>
          <w:tab w:val="left" w:pos="851"/>
        </w:tabs>
        <w:rPr>
          <w:rFonts w:asciiTheme="minorHAnsi" w:eastAsiaTheme="minorEastAsia" w:hAnsiTheme="minorHAnsi" w:cstheme="minorBidi"/>
          <w:sz w:val="22"/>
          <w:szCs w:val="22"/>
          <w:lang w:eastAsia="en-AU"/>
        </w:rPr>
      </w:pPr>
      <w:hyperlink w:anchor="_Toc90970287" w:history="1">
        <w:r w:rsidR="00093B52" w:rsidRPr="000A3947">
          <w:rPr>
            <w:rStyle w:val="Hyperlink"/>
            <w:bCs/>
            <w14:scene3d>
              <w14:camera w14:prst="orthographicFront"/>
              <w14:lightRig w14:rig="threePt" w14:dir="t">
                <w14:rot w14:lat="0" w14:lon="0" w14:rev="0"/>
              </w14:lightRig>
            </w14:scene3d>
          </w:rPr>
          <w:t>254.6</w:t>
        </w:r>
        <w:r w:rsidR="00093B52">
          <w:rPr>
            <w:rFonts w:asciiTheme="minorHAnsi" w:eastAsiaTheme="minorEastAsia" w:hAnsiTheme="minorHAnsi" w:cstheme="minorBidi"/>
            <w:sz w:val="22"/>
            <w:szCs w:val="22"/>
            <w:lang w:eastAsia="en-AU"/>
          </w:rPr>
          <w:tab/>
        </w:r>
        <w:r w:rsidR="00093B52" w:rsidRPr="000A3947">
          <w:rPr>
            <w:rStyle w:val="Hyperlink"/>
          </w:rPr>
          <w:t>S11A Update to reporting requirements</w:t>
        </w:r>
        <w:r w:rsidR="00093B52">
          <w:rPr>
            <w:webHidden/>
          </w:rPr>
          <w:tab/>
        </w:r>
        <w:r w:rsidR="00093B52">
          <w:rPr>
            <w:webHidden/>
          </w:rPr>
          <w:fldChar w:fldCharType="begin"/>
        </w:r>
        <w:r w:rsidR="00093B52">
          <w:rPr>
            <w:webHidden/>
          </w:rPr>
          <w:instrText xml:space="preserve"> PAGEREF _Toc90970287 \h </w:instrText>
        </w:r>
        <w:r w:rsidR="00093B52">
          <w:rPr>
            <w:webHidden/>
          </w:rPr>
        </w:r>
        <w:r w:rsidR="00093B52">
          <w:rPr>
            <w:webHidden/>
          </w:rPr>
          <w:fldChar w:fldCharType="separate"/>
        </w:r>
        <w:r w:rsidR="00093B52">
          <w:rPr>
            <w:webHidden/>
          </w:rPr>
          <w:t>4</w:t>
        </w:r>
        <w:r w:rsidR="00093B52">
          <w:rPr>
            <w:webHidden/>
          </w:rPr>
          <w:fldChar w:fldCharType="end"/>
        </w:r>
      </w:hyperlink>
    </w:p>
    <w:p w14:paraId="4EEE5EF7" w14:textId="45E70A64" w:rsidR="00093B52" w:rsidRDefault="009E53A0">
      <w:pPr>
        <w:pStyle w:val="TOC2"/>
        <w:tabs>
          <w:tab w:val="left" w:pos="851"/>
        </w:tabs>
        <w:rPr>
          <w:rFonts w:asciiTheme="minorHAnsi" w:eastAsiaTheme="minorEastAsia" w:hAnsiTheme="minorHAnsi" w:cstheme="minorBidi"/>
          <w:sz w:val="22"/>
          <w:szCs w:val="22"/>
          <w:lang w:eastAsia="en-AU"/>
        </w:rPr>
      </w:pPr>
      <w:hyperlink w:anchor="_Toc90970288" w:history="1">
        <w:r w:rsidR="00093B52" w:rsidRPr="000A3947">
          <w:rPr>
            <w:rStyle w:val="Hyperlink"/>
            <w:bCs/>
            <w14:scene3d>
              <w14:camera w14:prst="orthographicFront"/>
              <w14:lightRig w14:rig="threePt" w14:dir="t">
                <w14:rot w14:lat="0" w14:lon="0" w14:rev="0"/>
              </w14:lightRig>
            </w14:scene3d>
          </w:rPr>
          <w:t>254.7</w:t>
        </w:r>
        <w:r w:rsidR="00093B52">
          <w:rPr>
            <w:rFonts w:asciiTheme="minorHAnsi" w:eastAsiaTheme="minorEastAsia" w:hAnsiTheme="minorHAnsi" w:cstheme="minorBidi"/>
            <w:sz w:val="22"/>
            <w:szCs w:val="22"/>
            <w:lang w:eastAsia="en-AU"/>
          </w:rPr>
          <w:tab/>
        </w:r>
        <w:r w:rsidR="00093B52" w:rsidRPr="000A3947">
          <w:rPr>
            <w:rStyle w:val="Hyperlink"/>
          </w:rPr>
          <w:t>New Nursing and Midwifery Workforce collection</w:t>
        </w:r>
        <w:r w:rsidR="00093B52">
          <w:rPr>
            <w:webHidden/>
          </w:rPr>
          <w:tab/>
        </w:r>
        <w:r w:rsidR="00093B52">
          <w:rPr>
            <w:webHidden/>
          </w:rPr>
          <w:fldChar w:fldCharType="begin"/>
        </w:r>
        <w:r w:rsidR="00093B52">
          <w:rPr>
            <w:webHidden/>
          </w:rPr>
          <w:instrText xml:space="preserve"> PAGEREF _Toc90970288 \h </w:instrText>
        </w:r>
        <w:r w:rsidR="00093B52">
          <w:rPr>
            <w:webHidden/>
          </w:rPr>
        </w:r>
        <w:r w:rsidR="00093B52">
          <w:rPr>
            <w:webHidden/>
          </w:rPr>
          <w:fldChar w:fldCharType="separate"/>
        </w:r>
        <w:r w:rsidR="00093B52">
          <w:rPr>
            <w:webHidden/>
          </w:rPr>
          <w:t>4</w:t>
        </w:r>
        <w:r w:rsidR="00093B52">
          <w:rPr>
            <w:webHidden/>
          </w:rPr>
          <w:fldChar w:fldCharType="end"/>
        </w:r>
      </w:hyperlink>
    </w:p>
    <w:p w14:paraId="29BE12EE" w14:textId="7774DAF0" w:rsidR="00093B52" w:rsidRDefault="009E53A0">
      <w:pPr>
        <w:pStyle w:val="TOC1"/>
        <w:rPr>
          <w:rFonts w:asciiTheme="minorHAnsi" w:eastAsiaTheme="minorEastAsia" w:hAnsiTheme="minorHAnsi" w:cstheme="minorBidi"/>
          <w:b w:val="0"/>
          <w:sz w:val="22"/>
          <w:szCs w:val="22"/>
          <w:lang w:eastAsia="en-AU"/>
        </w:rPr>
      </w:pPr>
      <w:hyperlink w:anchor="_Toc90970289" w:history="1">
        <w:r w:rsidR="00093B52" w:rsidRPr="000A3947">
          <w:rPr>
            <w:rStyle w:val="Hyperlink"/>
          </w:rPr>
          <w:t>Elective Surgery Information System (ESIS)</w:t>
        </w:r>
        <w:r w:rsidR="00093B52">
          <w:rPr>
            <w:webHidden/>
          </w:rPr>
          <w:tab/>
        </w:r>
        <w:r w:rsidR="00093B52">
          <w:rPr>
            <w:webHidden/>
          </w:rPr>
          <w:fldChar w:fldCharType="begin"/>
        </w:r>
        <w:r w:rsidR="00093B52">
          <w:rPr>
            <w:webHidden/>
          </w:rPr>
          <w:instrText xml:space="preserve"> PAGEREF _Toc90970289 \h </w:instrText>
        </w:r>
        <w:r w:rsidR="00093B52">
          <w:rPr>
            <w:webHidden/>
          </w:rPr>
        </w:r>
        <w:r w:rsidR="00093B52">
          <w:rPr>
            <w:webHidden/>
          </w:rPr>
          <w:fldChar w:fldCharType="separate"/>
        </w:r>
        <w:r w:rsidR="00093B52">
          <w:rPr>
            <w:webHidden/>
          </w:rPr>
          <w:t>4</w:t>
        </w:r>
        <w:r w:rsidR="00093B52">
          <w:rPr>
            <w:webHidden/>
          </w:rPr>
          <w:fldChar w:fldCharType="end"/>
        </w:r>
      </w:hyperlink>
    </w:p>
    <w:p w14:paraId="7BE90F32" w14:textId="105ACE3D" w:rsidR="00093B52" w:rsidRDefault="009E53A0">
      <w:pPr>
        <w:pStyle w:val="TOC2"/>
        <w:tabs>
          <w:tab w:val="left" w:pos="851"/>
        </w:tabs>
        <w:rPr>
          <w:rFonts w:asciiTheme="minorHAnsi" w:eastAsiaTheme="minorEastAsia" w:hAnsiTheme="minorHAnsi" w:cstheme="minorBidi"/>
          <w:sz w:val="22"/>
          <w:szCs w:val="22"/>
          <w:lang w:eastAsia="en-AU"/>
        </w:rPr>
      </w:pPr>
      <w:hyperlink w:anchor="_Toc90970290" w:history="1">
        <w:r w:rsidR="00093B52" w:rsidRPr="000A3947">
          <w:rPr>
            <w:rStyle w:val="Hyperlink"/>
            <w:bCs/>
            <w14:scene3d>
              <w14:camera w14:prst="orthographicFront"/>
              <w14:lightRig w14:rig="threePt" w14:dir="t">
                <w14:rot w14:lat="0" w14:lon="0" w14:rev="0"/>
              </w14:lightRig>
            </w14:scene3d>
          </w:rPr>
          <w:t>254.8</w:t>
        </w:r>
        <w:r w:rsidR="00093B52">
          <w:rPr>
            <w:rFonts w:asciiTheme="minorHAnsi" w:eastAsiaTheme="minorEastAsia" w:hAnsiTheme="minorHAnsi" w:cstheme="minorBidi"/>
            <w:sz w:val="22"/>
            <w:szCs w:val="22"/>
            <w:lang w:eastAsia="en-AU"/>
          </w:rPr>
          <w:tab/>
        </w:r>
        <w:r w:rsidR="00093B52" w:rsidRPr="000A3947">
          <w:rPr>
            <w:rStyle w:val="Hyperlink"/>
          </w:rPr>
          <w:t>Reminder regarding ESIS reporting timelines</w:t>
        </w:r>
        <w:r w:rsidR="00093B52">
          <w:rPr>
            <w:webHidden/>
          </w:rPr>
          <w:tab/>
        </w:r>
        <w:r w:rsidR="00093B52">
          <w:rPr>
            <w:webHidden/>
          </w:rPr>
          <w:fldChar w:fldCharType="begin"/>
        </w:r>
        <w:r w:rsidR="00093B52">
          <w:rPr>
            <w:webHidden/>
          </w:rPr>
          <w:instrText xml:space="preserve"> PAGEREF _Toc90970290 \h </w:instrText>
        </w:r>
        <w:r w:rsidR="00093B52">
          <w:rPr>
            <w:webHidden/>
          </w:rPr>
        </w:r>
        <w:r w:rsidR="00093B52">
          <w:rPr>
            <w:webHidden/>
          </w:rPr>
          <w:fldChar w:fldCharType="separate"/>
        </w:r>
        <w:r w:rsidR="00093B52">
          <w:rPr>
            <w:webHidden/>
          </w:rPr>
          <w:t>4</w:t>
        </w:r>
        <w:r w:rsidR="00093B52">
          <w:rPr>
            <w:webHidden/>
          </w:rPr>
          <w:fldChar w:fldCharType="end"/>
        </w:r>
      </w:hyperlink>
    </w:p>
    <w:p w14:paraId="36F8F018" w14:textId="42C0610C" w:rsidR="00093B52" w:rsidRDefault="009E53A0">
      <w:pPr>
        <w:pStyle w:val="TOC2"/>
        <w:tabs>
          <w:tab w:val="left" w:pos="851"/>
        </w:tabs>
        <w:rPr>
          <w:rFonts w:asciiTheme="minorHAnsi" w:eastAsiaTheme="minorEastAsia" w:hAnsiTheme="minorHAnsi" w:cstheme="minorBidi"/>
          <w:sz w:val="22"/>
          <w:szCs w:val="22"/>
          <w:lang w:eastAsia="en-AU"/>
        </w:rPr>
      </w:pPr>
      <w:hyperlink w:anchor="_Toc90970291" w:history="1">
        <w:r w:rsidR="00093B52" w:rsidRPr="000A3947">
          <w:rPr>
            <w:rStyle w:val="Hyperlink"/>
            <w:bCs/>
            <w14:scene3d>
              <w14:camera w14:prst="orthographicFront"/>
              <w14:lightRig w14:rig="threePt" w14:dir="t">
                <w14:rot w14:lat="0" w14:lon="0" w14:rev="0"/>
              </w14:lightRig>
            </w14:scene3d>
          </w:rPr>
          <w:t>254.9</w:t>
        </w:r>
        <w:r w:rsidR="00093B52">
          <w:rPr>
            <w:rFonts w:asciiTheme="minorHAnsi" w:eastAsiaTheme="minorEastAsia" w:hAnsiTheme="minorHAnsi" w:cstheme="minorBidi"/>
            <w:sz w:val="22"/>
            <w:szCs w:val="22"/>
            <w:lang w:eastAsia="en-AU"/>
          </w:rPr>
          <w:tab/>
        </w:r>
        <w:r w:rsidR="00093B52" w:rsidRPr="000A3947">
          <w:rPr>
            <w:rStyle w:val="Hyperlink"/>
          </w:rPr>
          <w:t>Readiness for Surgery code V: Ready for Surgery – delayed due to COVID-19 response</w:t>
        </w:r>
        <w:r w:rsidR="00093B52">
          <w:rPr>
            <w:webHidden/>
          </w:rPr>
          <w:tab/>
        </w:r>
        <w:r w:rsidR="00093B52">
          <w:rPr>
            <w:webHidden/>
          </w:rPr>
          <w:fldChar w:fldCharType="begin"/>
        </w:r>
        <w:r w:rsidR="00093B52">
          <w:rPr>
            <w:webHidden/>
          </w:rPr>
          <w:instrText xml:space="preserve"> PAGEREF _Toc90970291 \h </w:instrText>
        </w:r>
        <w:r w:rsidR="00093B52">
          <w:rPr>
            <w:webHidden/>
          </w:rPr>
        </w:r>
        <w:r w:rsidR="00093B52">
          <w:rPr>
            <w:webHidden/>
          </w:rPr>
          <w:fldChar w:fldCharType="separate"/>
        </w:r>
        <w:r w:rsidR="00093B52">
          <w:rPr>
            <w:webHidden/>
          </w:rPr>
          <w:t>5</w:t>
        </w:r>
        <w:r w:rsidR="00093B52">
          <w:rPr>
            <w:webHidden/>
          </w:rPr>
          <w:fldChar w:fldCharType="end"/>
        </w:r>
      </w:hyperlink>
    </w:p>
    <w:p w14:paraId="071F972C" w14:textId="1A36DDEE" w:rsidR="00093B52" w:rsidRDefault="009E53A0">
      <w:pPr>
        <w:pStyle w:val="TOC1"/>
        <w:rPr>
          <w:rFonts w:asciiTheme="minorHAnsi" w:eastAsiaTheme="minorEastAsia" w:hAnsiTheme="minorHAnsi" w:cstheme="minorBidi"/>
          <w:b w:val="0"/>
          <w:sz w:val="22"/>
          <w:szCs w:val="22"/>
          <w:lang w:eastAsia="en-AU"/>
        </w:rPr>
      </w:pPr>
      <w:hyperlink w:anchor="_Toc90970292" w:history="1">
        <w:r w:rsidR="00093B52" w:rsidRPr="000A3947">
          <w:rPr>
            <w:rStyle w:val="Hyperlink"/>
          </w:rPr>
          <w:t>Victorian Admitted Episodes Dataset (VAED)</w:t>
        </w:r>
        <w:r w:rsidR="00093B52">
          <w:rPr>
            <w:webHidden/>
          </w:rPr>
          <w:tab/>
        </w:r>
        <w:r w:rsidR="00093B52">
          <w:rPr>
            <w:webHidden/>
          </w:rPr>
          <w:fldChar w:fldCharType="begin"/>
        </w:r>
        <w:r w:rsidR="00093B52">
          <w:rPr>
            <w:webHidden/>
          </w:rPr>
          <w:instrText xml:space="preserve"> PAGEREF _Toc90970292 \h </w:instrText>
        </w:r>
        <w:r w:rsidR="00093B52">
          <w:rPr>
            <w:webHidden/>
          </w:rPr>
        </w:r>
        <w:r w:rsidR="00093B52">
          <w:rPr>
            <w:webHidden/>
          </w:rPr>
          <w:fldChar w:fldCharType="separate"/>
        </w:r>
        <w:r w:rsidR="00093B52">
          <w:rPr>
            <w:webHidden/>
          </w:rPr>
          <w:t>5</w:t>
        </w:r>
        <w:r w:rsidR="00093B52">
          <w:rPr>
            <w:webHidden/>
          </w:rPr>
          <w:fldChar w:fldCharType="end"/>
        </w:r>
      </w:hyperlink>
    </w:p>
    <w:p w14:paraId="61F72D47" w14:textId="4423F40A" w:rsidR="00093B52" w:rsidRDefault="009E53A0">
      <w:pPr>
        <w:pStyle w:val="TOC2"/>
        <w:tabs>
          <w:tab w:val="left" w:pos="1000"/>
        </w:tabs>
        <w:rPr>
          <w:rFonts w:asciiTheme="minorHAnsi" w:eastAsiaTheme="minorEastAsia" w:hAnsiTheme="minorHAnsi" w:cstheme="minorBidi"/>
          <w:sz w:val="22"/>
          <w:szCs w:val="22"/>
          <w:lang w:eastAsia="en-AU"/>
        </w:rPr>
      </w:pPr>
      <w:hyperlink w:anchor="_Toc90970293" w:history="1">
        <w:r w:rsidR="00093B52" w:rsidRPr="000A3947">
          <w:rPr>
            <w:rStyle w:val="Hyperlink"/>
            <w:bCs/>
            <w14:scene3d>
              <w14:camera w14:prst="orthographicFront"/>
              <w14:lightRig w14:rig="threePt" w14:dir="t">
                <w14:rot w14:lat="0" w14:lon="0" w14:rev="0"/>
              </w14:lightRig>
            </w14:scene3d>
          </w:rPr>
          <w:t>254.10</w:t>
        </w:r>
        <w:r w:rsidR="00093B52">
          <w:rPr>
            <w:rFonts w:asciiTheme="minorHAnsi" w:eastAsiaTheme="minorEastAsia" w:hAnsiTheme="minorHAnsi" w:cstheme="minorBidi"/>
            <w:sz w:val="22"/>
            <w:szCs w:val="22"/>
            <w:lang w:eastAsia="en-AU"/>
          </w:rPr>
          <w:tab/>
        </w:r>
        <w:r w:rsidR="00093B52" w:rsidRPr="000A3947">
          <w:rPr>
            <w:rStyle w:val="Hyperlink"/>
          </w:rPr>
          <w:t>List of operators currently in the PHFA</w:t>
        </w:r>
        <w:r w:rsidR="00093B52">
          <w:rPr>
            <w:webHidden/>
          </w:rPr>
          <w:tab/>
        </w:r>
        <w:r w:rsidR="00093B52">
          <w:rPr>
            <w:webHidden/>
          </w:rPr>
          <w:fldChar w:fldCharType="begin"/>
        </w:r>
        <w:r w:rsidR="00093B52">
          <w:rPr>
            <w:webHidden/>
          </w:rPr>
          <w:instrText xml:space="preserve"> PAGEREF _Toc90970293 \h </w:instrText>
        </w:r>
        <w:r w:rsidR="00093B52">
          <w:rPr>
            <w:webHidden/>
          </w:rPr>
        </w:r>
        <w:r w:rsidR="00093B52">
          <w:rPr>
            <w:webHidden/>
          </w:rPr>
          <w:fldChar w:fldCharType="separate"/>
        </w:r>
        <w:r w:rsidR="00093B52">
          <w:rPr>
            <w:webHidden/>
          </w:rPr>
          <w:t>5</w:t>
        </w:r>
        <w:r w:rsidR="00093B52">
          <w:rPr>
            <w:webHidden/>
          </w:rPr>
          <w:fldChar w:fldCharType="end"/>
        </w:r>
      </w:hyperlink>
    </w:p>
    <w:p w14:paraId="6290E2C5" w14:textId="45E6AB70" w:rsidR="00093B52" w:rsidRDefault="009E53A0">
      <w:pPr>
        <w:pStyle w:val="TOC2"/>
        <w:tabs>
          <w:tab w:val="left" w:pos="1000"/>
        </w:tabs>
        <w:rPr>
          <w:rFonts w:asciiTheme="minorHAnsi" w:eastAsiaTheme="minorEastAsia" w:hAnsiTheme="minorHAnsi" w:cstheme="minorBidi"/>
          <w:sz w:val="22"/>
          <w:szCs w:val="22"/>
          <w:lang w:eastAsia="en-AU"/>
        </w:rPr>
      </w:pPr>
      <w:hyperlink w:anchor="_Toc90970294" w:history="1">
        <w:r w:rsidR="00093B52" w:rsidRPr="000A3947">
          <w:rPr>
            <w:rStyle w:val="Hyperlink"/>
            <w:bCs/>
            <w14:scene3d>
              <w14:camera w14:prst="orthographicFront"/>
              <w14:lightRig w14:rig="threePt" w14:dir="t">
                <w14:rot w14:lat="0" w14:lon="0" w14:rev="0"/>
              </w14:lightRig>
            </w14:scene3d>
          </w:rPr>
          <w:t>254.11</w:t>
        </w:r>
        <w:r w:rsidR="00093B52">
          <w:rPr>
            <w:rFonts w:asciiTheme="minorHAnsi" w:eastAsiaTheme="minorEastAsia" w:hAnsiTheme="minorHAnsi" w:cstheme="minorBidi"/>
            <w:sz w:val="22"/>
            <w:szCs w:val="22"/>
            <w:lang w:eastAsia="en-AU"/>
          </w:rPr>
          <w:tab/>
        </w:r>
        <w:r w:rsidR="00093B52" w:rsidRPr="000A3947">
          <w:rPr>
            <w:rStyle w:val="Hyperlink"/>
          </w:rPr>
          <w:t>Diagnosis outstanding</w:t>
        </w:r>
        <w:r w:rsidR="00093B52">
          <w:rPr>
            <w:webHidden/>
          </w:rPr>
          <w:tab/>
        </w:r>
        <w:r w:rsidR="00093B52">
          <w:rPr>
            <w:webHidden/>
          </w:rPr>
          <w:fldChar w:fldCharType="begin"/>
        </w:r>
        <w:r w:rsidR="00093B52">
          <w:rPr>
            <w:webHidden/>
          </w:rPr>
          <w:instrText xml:space="preserve"> PAGEREF _Toc90970294 \h </w:instrText>
        </w:r>
        <w:r w:rsidR="00093B52">
          <w:rPr>
            <w:webHidden/>
          </w:rPr>
        </w:r>
        <w:r w:rsidR="00093B52">
          <w:rPr>
            <w:webHidden/>
          </w:rPr>
          <w:fldChar w:fldCharType="separate"/>
        </w:r>
        <w:r w:rsidR="00093B52">
          <w:rPr>
            <w:webHidden/>
          </w:rPr>
          <w:t>5</w:t>
        </w:r>
        <w:r w:rsidR="00093B52">
          <w:rPr>
            <w:webHidden/>
          </w:rPr>
          <w:fldChar w:fldCharType="end"/>
        </w:r>
      </w:hyperlink>
    </w:p>
    <w:p w14:paraId="6B588192" w14:textId="69BEDFB9" w:rsidR="00093B52" w:rsidRDefault="009E53A0">
      <w:pPr>
        <w:pStyle w:val="TOC1"/>
        <w:rPr>
          <w:rFonts w:asciiTheme="minorHAnsi" w:eastAsiaTheme="minorEastAsia" w:hAnsiTheme="minorHAnsi" w:cstheme="minorBidi"/>
          <w:b w:val="0"/>
          <w:sz w:val="22"/>
          <w:szCs w:val="22"/>
          <w:lang w:eastAsia="en-AU"/>
        </w:rPr>
      </w:pPr>
      <w:hyperlink w:anchor="_Toc90970295" w:history="1">
        <w:r w:rsidR="00093B52" w:rsidRPr="000A3947">
          <w:rPr>
            <w:rStyle w:val="Hyperlink"/>
          </w:rPr>
          <w:t>Victorian Emergency Minimum Dataset (VEMD)</w:t>
        </w:r>
        <w:r w:rsidR="00093B52">
          <w:rPr>
            <w:webHidden/>
          </w:rPr>
          <w:tab/>
        </w:r>
        <w:r w:rsidR="00093B52">
          <w:rPr>
            <w:webHidden/>
          </w:rPr>
          <w:fldChar w:fldCharType="begin"/>
        </w:r>
        <w:r w:rsidR="00093B52">
          <w:rPr>
            <w:webHidden/>
          </w:rPr>
          <w:instrText xml:space="preserve"> PAGEREF _Toc90970295 \h </w:instrText>
        </w:r>
        <w:r w:rsidR="00093B52">
          <w:rPr>
            <w:webHidden/>
          </w:rPr>
        </w:r>
        <w:r w:rsidR="00093B52">
          <w:rPr>
            <w:webHidden/>
          </w:rPr>
          <w:fldChar w:fldCharType="separate"/>
        </w:r>
        <w:r w:rsidR="00093B52">
          <w:rPr>
            <w:webHidden/>
          </w:rPr>
          <w:t>6</w:t>
        </w:r>
        <w:r w:rsidR="00093B52">
          <w:rPr>
            <w:webHidden/>
          </w:rPr>
          <w:fldChar w:fldCharType="end"/>
        </w:r>
      </w:hyperlink>
    </w:p>
    <w:p w14:paraId="3D6FAE5B" w14:textId="536B72DF" w:rsidR="00093B52" w:rsidRDefault="009E53A0">
      <w:pPr>
        <w:pStyle w:val="TOC2"/>
        <w:tabs>
          <w:tab w:val="left" w:pos="1000"/>
        </w:tabs>
        <w:rPr>
          <w:rFonts w:asciiTheme="minorHAnsi" w:eastAsiaTheme="minorEastAsia" w:hAnsiTheme="minorHAnsi" w:cstheme="minorBidi"/>
          <w:sz w:val="22"/>
          <w:szCs w:val="22"/>
          <w:lang w:eastAsia="en-AU"/>
        </w:rPr>
      </w:pPr>
      <w:hyperlink w:anchor="_Toc90970296" w:history="1">
        <w:r w:rsidR="00093B52" w:rsidRPr="000A3947">
          <w:rPr>
            <w:rStyle w:val="Hyperlink"/>
            <w:bCs/>
            <w14:scene3d>
              <w14:camera w14:prst="orthographicFront"/>
              <w14:lightRig w14:rig="threePt" w14:dir="t">
                <w14:rot w14:lat="0" w14:lon="0" w14:rev="0"/>
              </w14:lightRig>
            </w14:scene3d>
          </w:rPr>
          <w:t>254.12</w:t>
        </w:r>
        <w:r w:rsidR="00093B52">
          <w:rPr>
            <w:rFonts w:asciiTheme="minorHAnsi" w:eastAsiaTheme="minorEastAsia" w:hAnsiTheme="minorHAnsi" w:cstheme="minorBidi"/>
            <w:sz w:val="22"/>
            <w:szCs w:val="22"/>
            <w:lang w:eastAsia="en-AU"/>
          </w:rPr>
          <w:tab/>
        </w:r>
        <w:r w:rsidR="00093B52" w:rsidRPr="000A3947">
          <w:rPr>
            <w:rStyle w:val="Hyperlink"/>
          </w:rPr>
          <w:t>Description of injury event</w:t>
        </w:r>
        <w:r w:rsidR="00093B52">
          <w:rPr>
            <w:webHidden/>
          </w:rPr>
          <w:tab/>
        </w:r>
        <w:r w:rsidR="00093B52">
          <w:rPr>
            <w:webHidden/>
          </w:rPr>
          <w:fldChar w:fldCharType="begin"/>
        </w:r>
        <w:r w:rsidR="00093B52">
          <w:rPr>
            <w:webHidden/>
          </w:rPr>
          <w:instrText xml:space="preserve"> PAGEREF _Toc90970296 \h </w:instrText>
        </w:r>
        <w:r w:rsidR="00093B52">
          <w:rPr>
            <w:webHidden/>
          </w:rPr>
        </w:r>
        <w:r w:rsidR="00093B52">
          <w:rPr>
            <w:webHidden/>
          </w:rPr>
          <w:fldChar w:fldCharType="separate"/>
        </w:r>
        <w:r w:rsidR="00093B52">
          <w:rPr>
            <w:webHidden/>
          </w:rPr>
          <w:t>6</w:t>
        </w:r>
        <w:r w:rsidR="00093B52">
          <w:rPr>
            <w:webHidden/>
          </w:rPr>
          <w:fldChar w:fldCharType="end"/>
        </w:r>
      </w:hyperlink>
    </w:p>
    <w:p w14:paraId="0080BDB1" w14:textId="06912709" w:rsidR="00093B52" w:rsidRDefault="009E53A0">
      <w:pPr>
        <w:pStyle w:val="TOC2"/>
        <w:tabs>
          <w:tab w:val="left" w:pos="1000"/>
        </w:tabs>
        <w:rPr>
          <w:rFonts w:asciiTheme="minorHAnsi" w:eastAsiaTheme="minorEastAsia" w:hAnsiTheme="minorHAnsi" w:cstheme="minorBidi"/>
          <w:sz w:val="22"/>
          <w:szCs w:val="22"/>
          <w:lang w:eastAsia="en-AU"/>
        </w:rPr>
      </w:pPr>
      <w:hyperlink w:anchor="_Toc90970297" w:history="1">
        <w:r w:rsidR="00093B52" w:rsidRPr="000A3947">
          <w:rPr>
            <w:rStyle w:val="Hyperlink"/>
            <w:bCs/>
            <w14:scene3d>
              <w14:camera w14:prst="orthographicFront"/>
              <w14:lightRig w14:rig="threePt" w14:dir="t">
                <w14:rot w14:lat="0" w14:lon="0" w14:rev="0"/>
              </w14:lightRig>
            </w14:scene3d>
          </w:rPr>
          <w:t>254.13</w:t>
        </w:r>
        <w:r w:rsidR="00093B52">
          <w:rPr>
            <w:rFonts w:asciiTheme="minorHAnsi" w:eastAsiaTheme="minorEastAsia" w:hAnsiTheme="minorHAnsi" w:cstheme="minorBidi"/>
            <w:sz w:val="22"/>
            <w:szCs w:val="22"/>
            <w:lang w:eastAsia="en-AU"/>
          </w:rPr>
          <w:tab/>
        </w:r>
        <w:r w:rsidR="00093B52" w:rsidRPr="000A3947">
          <w:rPr>
            <w:rStyle w:val="Hyperlink"/>
          </w:rPr>
          <w:t>Telephone calls in Emergency Departments</w:t>
        </w:r>
        <w:r w:rsidR="00093B52">
          <w:rPr>
            <w:webHidden/>
          </w:rPr>
          <w:tab/>
        </w:r>
        <w:r w:rsidR="00093B52">
          <w:rPr>
            <w:webHidden/>
          </w:rPr>
          <w:fldChar w:fldCharType="begin"/>
        </w:r>
        <w:r w:rsidR="00093B52">
          <w:rPr>
            <w:webHidden/>
          </w:rPr>
          <w:instrText xml:space="preserve"> PAGEREF _Toc90970297 \h </w:instrText>
        </w:r>
        <w:r w:rsidR="00093B52">
          <w:rPr>
            <w:webHidden/>
          </w:rPr>
        </w:r>
        <w:r w:rsidR="00093B52">
          <w:rPr>
            <w:webHidden/>
          </w:rPr>
          <w:fldChar w:fldCharType="separate"/>
        </w:r>
        <w:r w:rsidR="00093B52">
          <w:rPr>
            <w:webHidden/>
          </w:rPr>
          <w:t>6</w:t>
        </w:r>
        <w:r w:rsidR="00093B52">
          <w:rPr>
            <w:webHidden/>
          </w:rPr>
          <w:fldChar w:fldCharType="end"/>
        </w:r>
      </w:hyperlink>
    </w:p>
    <w:p w14:paraId="65F9E09A" w14:textId="63EEA5BA" w:rsidR="00093B52" w:rsidRDefault="009E53A0">
      <w:pPr>
        <w:pStyle w:val="TOC1"/>
        <w:rPr>
          <w:rFonts w:asciiTheme="minorHAnsi" w:eastAsiaTheme="minorEastAsia" w:hAnsiTheme="minorHAnsi" w:cstheme="minorBidi"/>
          <w:b w:val="0"/>
          <w:sz w:val="22"/>
          <w:szCs w:val="22"/>
          <w:lang w:eastAsia="en-AU"/>
        </w:rPr>
      </w:pPr>
      <w:hyperlink w:anchor="_Toc90970298" w:history="1">
        <w:r w:rsidR="00093B52" w:rsidRPr="000A3947">
          <w:rPr>
            <w:rStyle w:val="Hyperlink"/>
          </w:rPr>
          <w:t>Victorian Integrated Non-Admitted Health Minimum Dataset (VINAH)</w:t>
        </w:r>
        <w:r w:rsidR="00093B52">
          <w:rPr>
            <w:webHidden/>
          </w:rPr>
          <w:tab/>
        </w:r>
        <w:r w:rsidR="00093B52">
          <w:rPr>
            <w:webHidden/>
          </w:rPr>
          <w:fldChar w:fldCharType="begin"/>
        </w:r>
        <w:r w:rsidR="00093B52">
          <w:rPr>
            <w:webHidden/>
          </w:rPr>
          <w:instrText xml:space="preserve"> PAGEREF _Toc90970298 \h </w:instrText>
        </w:r>
        <w:r w:rsidR="00093B52">
          <w:rPr>
            <w:webHidden/>
          </w:rPr>
        </w:r>
        <w:r w:rsidR="00093B52">
          <w:rPr>
            <w:webHidden/>
          </w:rPr>
          <w:fldChar w:fldCharType="separate"/>
        </w:r>
        <w:r w:rsidR="00093B52">
          <w:rPr>
            <w:webHidden/>
          </w:rPr>
          <w:t>6</w:t>
        </w:r>
        <w:r w:rsidR="00093B52">
          <w:rPr>
            <w:webHidden/>
          </w:rPr>
          <w:fldChar w:fldCharType="end"/>
        </w:r>
      </w:hyperlink>
    </w:p>
    <w:p w14:paraId="3E2A61B8" w14:textId="2B88F472" w:rsidR="00093B52" w:rsidRDefault="009E53A0">
      <w:pPr>
        <w:pStyle w:val="TOC2"/>
        <w:tabs>
          <w:tab w:val="left" w:pos="1000"/>
        </w:tabs>
        <w:rPr>
          <w:rFonts w:asciiTheme="minorHAnsi" w:eastAsiaTheme="minorEastAsia" w:hAnsiTheme="minorHAnsi" w:cstheme="minorBidi"/>
          <w:sz w:val="22"/>
          <w:szCs w:val="22"/>
          <w:lang w:eastAsia="en-AU"/>
        </w:rPr>
      </w:pPr>
      <w:hyperlink w:anchor="_Toc90970299" w:history="1">
        <w:r w:rsidR="00093B52" w:rsidRPr="000A3947">
          <w:rPr>
            <w:rStyle w:val="Hyperlink"/>
            <w:bCs/>
            <w14:scene3d>
              <w14:camera w14:prst="orthographicFront"/>
              <w14:lightRig w14:rig="threePt" w14:dir="t">
                <w14:rot w14:lat="0" w14:lon="0" w14:rev="0"/>
              </w14:lightRig>
            </w14:scene3d>
          </w:rPr>
          <w:t>254.14</w:t>
        </w:r>
        <w:r w:rsidR="00093B52">
          <w:rPr>
            <w:rFonts w:asciiTheme="minorHAnsi" w:eastAsiaTheme="minorEastAsia" w:hAnsiTheme="minorHAnsi" w:cstheme="minorBidi"/>
            <w:sz w:val="22"/>
            <w:szCs w:val="22"/>
            <w:lang w:eastAsia="en-AU"/>
          </w:rPr>
          <w:tab/>
        </w:r>
        <w:r w:rsidR="00093B52" w:rsidRPr="000A3947">
          <w:rPr>
            <w:rStyle w:val="Hyperlink"/>
          </w:rPr>
          <w:t>Contact Delivery Setting – Reporting guidelines</w:t>
        </w:r>
        <w:r w:rsidR="00093B52">
          <w:rPr>
            <w:webHidden/>
          </w:rPr>
          <w:tab/>
        </w:r>
        <w:r w:rsidR="00093B52">
          <w:rPr>
            <w:webHidden/>
          </w:rPr>
          <w:fldChar w:fldCharType="begin"/>
        </w:r>
        <w:r w:rsidR="00093B52">
          <w:rPr>
            <w:webHidden/>
          </w:rPr>
          <w:instrText xml:space="preserve"> PAGEREF _Toc90970299 \h </w:instrText>
        </w:r>
        <w:r w:rsidR="00093B52">
          <w:rPr>
            <w:webHidden/>
          </w:rPr>
        </w:r>
        <w:r w:rsidR="00093B52">
          <w:rPr>
            <w:webHidden/>
          </w:rPr>
          <w:fldChar w:fldCharType="separate"/>
        </w:r>
        <w:r w:rsidR="00093B52">
          <w:rPr>
            <w:webHidden/>
          </w:rPr>
          <w:t>6</w:t>
        </w:r>
        <w:r w:rsidR="00093B52">
          <w:rPr>
            <w:webHidden/>
          </w:rPr>
          <w:fldChar w:fldCharType="end"/>
        </w:r>
      </w:hyperlink>
    </w:p>
    <w:p w14:paraId="7AF392C0" w14:textId="7BB70DBF" w:rsidR="00093B52" w:rsidRDefault="009E53A0">
      <w:pPr>
        <w:pStyle w:val="TOC2"/>
        <w:tabs>
          <w:tab w:val="left" w:pos="1000"/>
        </w:tabs>
        <w:rPr>
          <w:rFonts w:asciiTheme="minorHAnsi" w:eastAsiaTheme="minorEastAsia" w:hAnsiTheme="minorHAnsi" w:cstheme="minorBidi"/>
          <w:sz w:val="22"/>
          <w:szCs w:val="22"/>
          <w:lang w:eastAsia="en-AU"/>
        </w:rPr>
      </w:pPr>
      <w:hyperlink w:anchor="_Toc90970300" w:history="1">
        <w:r w:rsidR="00093B52" w:rsidRPr="000A3947">
          <w:rPr>
            <w:rStyle w:val="Hyperlink"/>
            <w:bCs/>
            <w14:scene3d>
              <w14:camera w14:prst="orthographicFront"/>
              <w14:lightRig w14:rig="threePt" w14:dir="t">
                <w14:rot w14:lat="0" w14:lon="0" w14:rev="0"/>
              </w14:lightRig>
            </w14:scene3d>
          </w:rPr>
          <w:t>254.15</w:t>
        </w:r>
        <w:r w:rsidR="00093B52">
          <w:rPr>
            <w:rFonts w:asciiTheme="minorHAnsi" w:eastAsiaTheme="minorEastAsia" w:hAnsiTheme="minorHAnsi" w:cstheme="minorBidi"/>
            <w:sz w:val="22"/>
            <w:szCs w:val="22"/>
            <w:lang w:eastAsia="en-AU"/>
          </w:rPr>
          <w:tab/>
        </w:r>
        <w:r w:rsidR="00093B52" w:rsidRPr="000A3947">
          <w:rPr>
            <w:rStyle w:val="Hyperlink"/>
          </w:rPr>
          <w:t>Screening Referrals and Contacts</w:t>
        </w:r>
        <w:r w:rsidR="00093B52">
          <w:rPr>
            <w:webHidden/>
          </w:rPr>
          <w:tab/>
        </w:r>
        <w:r w:rsidR="00093B52">
          <w:rPr>
            <w:webHidden/>
          </w:rPr>
          <w:fldChar w:fldCharType="begin"/>
        </w:r>
        <w:r w:rsidR="00093B52">
          <w:rPr>
            <w:webHidden/>
          </w:rPr>
          <w:instrText xml:space="preserve"> PAGEREF _Toc90970300 \h </w:instrText>
        </w:r>
        <w:r w:rsidR="00093B52">
          <w:rPr>
            <w:webHidden/>
          </w:rPr>
        </w:r>
        <w:r w:rsidR="00093B52">
          <w:rPr>
            <w:webHidden/>
          </w:rPr>
          <w:fldChar w:fldCharType="separate"/>
        </w:r>
        <w:r w:rsidR="00093B52">
          <w:rPr>
            <w:webHidden/>
          </w:rPr>
          <w:t>7</w:t>
        </w:r>
        <w:r w:rsidR="00093B52">
          <w:rPr>
            <w:webHidden/>
          </w:rPr>
          <w:fldChar w:fldCharType="end"/>
        </w:r>
      </w:hyperlink>
    </w:p>
    <w:p w14:paraId="6D51D7D1" w14:textId="14FD3CC9" w:rsidR="00093B52" w:rsidRDefault="009E53A0">
      <w:pPr>
        <w:pStyle w:val="TOC1"/>
        <w:rPr>
          <w:rFonts w:asciiTheme="minorHAnsi" w:eastAsiaTheme="minorEastAsia" w:hAnsiTheme="minorHAnsi" w:cstheme="minorBidi"/>
          <w:b w:val="0"/>
          <w:sz w:val="22"/>
          <w:szCs w:val="22"/>
          <w:lang w:eastAsia="en-AU"/>
        </w:rPr>
      </w:pPr>
      <w:hyperlink w:anchor="_Toc90970301" w:history="1">
        <w:r w:rsidR="00093B52" w:rsidRPr="000A3947">
          <w:rPr>
            <w:rStyle w:val="Hyperlink"/>
          </w:rPr>
          <w:t>Non-Admitted Data Expansion Project</w:t>
        </w:r>
        <w:r w:rsidR="00093B52">
          <w:rPr>
            <w:webHidden/>
          </w:rPr>
          <w:tab/>
        </w:r>
        <w:r w:rsidR="00093B52">
          <w:rPr>
            <w:webHidden/>
          </w:rPr>
          <w:fldChar w:fldCharType="begin"/>
        </w:r>
        <w:r w:rsidR="00093B52">
          <w:rPr>
            <w:webHidden/>
          </w:rPr>
          <w:instrText xml:space="preserve"> PAGEREF _Toc90970301 \h </w:instrText>
        </w:r>
        <w:r w:rsidR="00093B52">
          <w:rPr>
            <w:webHidden/>
          </w:rPr>
        </w:r>
        <w:r w:rsidR="00093B52">
          <w:rPr>
            <w:webHidden/>
          </w:rPr>
          <w:fldChar w:fldCharType="separate"/>
        </w:r>
        <w:r w:rsidR="00093B52">
          <w:rPr>
            <w:webHidden/>
          </w:rPr>
          <w:t>8</w:t>
        </w:r>
        <w:r w:rsidR="00093B52">
          <w:rPr>
            <w:webHidden/>
          </w:rPr>
          <w:fldChar w:fldCharType="end"/>
        </w:r>
      </w:hyperlink>
    </w:p>
    <w:p w14:paraId="77D167BB" w14:textId="3FCCB8B2" w:rsidR="00093B52" w:rsidRDefault="009E53A0">
      <w:pPr>
        <w:pStyle w:val="TOC2"/>
        <w:tabs>
          <w:tab w:val="left" w:pos="1000"/>
        </w:tabs>
        <w:rPr>
          <w:rFonts w:asciiTheme="minorHAnsi" w:eastAsiaTheme="minorEastAsia" w:hAnsiTheme="minorHAnsi" w:cstheme="minorBidi"/>
          <w:sz w:val="22"/>
          <w:szCs w:val="22"/>
          <w:lang w:eastAsia="en-AU"/>
        </w:rPr>
      </w:pPr>
      <w:hyperlink w:anchor="_Toc90970302" w:history="1">
        <w:r w:rsidR="00093B52" w:rsidRPr="000A3947">
          <w:rPr>
            <w:rStyle w:val="Hyperlink"/>
            <w:bCs/>
            <w14:scene3d>
              <w14:camera w14:prst="orthographicFront"/>
              <w14:lightRig w14:rig="threePt" w14:dir="t">
                <w14:rot w14:lat="0" w14:lon="0" w14:rev="0"/>
              </w14:lightRig>
            </w14:scene3d>
          </w:rPr>
          <w:t>254.16</w:t>
        </w:r>
        <w:r w:rsidR="00093B52">
          <w:rPr>
            <w:rFonts w:asciiTheme="minorHAnsi" w:eastAsiaTheme="minorEastAsia" w:hAnsiTheme="minorHAnsi" w:cstheme="minorBidi"/>
            <w:sz w:val="22"/>
            <w:szCs w:val="22"/>
            <w:lang w:eastAsia="en-AU"/>
          </w:rPr>
          <w:tab/>
        </w:r>
        <w:r w:rsidR="00093B52" w:rsidRPr="000A3947">
          <w:rPr>
            <w:rStyle w:val="Hyperlink"/>
          </w:rPr>
          <w:t>Non-Admitted Multidisciplinary Case Conferences Reporting Guidelines</w:t>
        </w:r>
        <w:r w:rsidR="00093B52">
          <w:rPr>
            <w:webHidden/>
          </w:rPr>
          <w:tab/>
        </w:r>
        <w:r w:rsidR="00093B52">
          <w:rPr>
            <w:webHidden/>
          </w:rPr>
          <w:fldChar w:fldCharType="begin"/>
        </w:r>
        <w:r w:rsidR="00093B52">
          <w:rPr>
            <w:webHidden/>
          </w:rPr>
          <w:instrText xml:space="preserve"> PAGEREF _Toc90970302 \h </w:instrText>
        </w:r>
        <w:r w:rsidR="00093B52">
          <w:rPr>
            <w:webHidden/>
          </w:rPr>
        </w:r>
        <w:r w:rsidR="00093B52">
          <w:rPr>
            <w:webHidden/>
          </w:rPr>
          <w:fldChar w:fldCharType="separate"/>
        </w:r>
        <w:r w:rsidR="00093B52">
          <w:rPr>
            <w:webHidden/>
          </w:rPr>
          <w:t>8</w:t>
        </w:r>
        <w:r w:rsidR="00093B52">
          <w:rPr>
            <w:webHidden/>
          </w:rPr>
          <w:fldChar w:fldCharType="end"/>
        </w:r>
      </w:hyperlink>
    </w:p>
    <w:p w14:paraId="0645478F" w14:textId="3785660C"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4A28F08" w14:textId="77777777" w:rsidR="004C78A5" w:rsidRDefault="009A244B" w:rsidP="004C78A5">
      <w:pPr>
        <w:pStyle w:val="Heading1"/>
      </w:pPr>
      <w:bookmarkStart w:id="0" w:name="_Toc64220749"/>
      <w:bookmarkStart w:id="1" w:name="_Toc86840524"/>
      <w:bookmarkStart w:id="2" w:name="_Toc90970277"/>
      <w:r w:rsidRPr="009A244B">
        <w:lastRenderedPageBreak/>
        <w:t>Global update</w:t>
      </w:r>
      <w:bookmarkEnd w:id="0"/>
      <w:r w:rsidRPr="009A244B">
        <w:t>s</w:t>
      </w:r>
      <w:bookmarkStart w:id="3" w:name="_Toc64220750"/>
      <w:bookmarkStart w:id="4" w:name="_Toc86840525"/>
      <w:bookmarkEnd w:id="1"/>
      <w:bookmarkEnd w:id="2"/>
    </w:p>
    <w:p w14:paraId="56BF8179" w14:textId="724538D7" w:rsidR="00E66F5B" w:rsidRPr="00E66F5B" w:rsidRDefault="009A244B" w:rsidP="004C78A5">
      <w:pPr>
        <w:pStyle w:val="Heading2"/>
      </w:pPr>
      <w:bookmarkStart w:id="5" w:name="_Toc90970278"/>
      <w:r w:rsidRPr="009A244B">
        <w:t>Circular</w:t>
      </w:r>
      <w:bookmarkEnd w:id="3"/>
      <w:bookmarkEnd w:id="4"/>
      <w:r w:rsidR="00EB36A9">
        <w:t>s</w:t>
      </w:r>
      <w:bookmarkEnd w:id="5"/>
    </w:p>
    <w:p w14:paraId="131D1D61" w14:textId="45FB2915" w:rsidR="00162CA9" w:rsidRPr="00A21FC2" w:rsidRDefault="009E53A0" w:rsidP="00A21FC2">
      <w:pPr>
        <w:rPr>
          <w:rFonts w:eastAsia="Times"/>
        </w:rPr>
      </w:pPr>
      <w:hyperlink r:id="rId19" w:history="1">
        <w:r w:rsidR="009A244B" w:rsidRPr="009A244B">
          <w:rPr>
            <w:rFonts w:eastAsia="Times"/>
            <w:color w:val="004C97"/>
            <w:u w:val="dotted"/>
          </w:rPr>
          <w:t>Private hospital circulars</w:t>
        </w:r>
      </w:hyperlink>
      <w:r w:rsidR="009A244B" w:rsidRPr="009A244B">
        <w:rPr>
          <w:rFonts w:eastAsia="Times"/>
        </w:rPr>
        <w:t xml:space="preserve"> &lt;https://www.health.gov.au/news/phi-circulars&gt;</w:t>
      </w:r>
    </w:p>
    <w:p w14:paraId="5E98340E" w14:textId="0B8D4826" w:rsidR="009A244B" w:rsidRDefault="009A244B" w:rsidP="00B528FF">
      <w:pPr>
        <w:pStyle w:val="Heading2"/>
      </w:pPr>
      <w:bookmarkStart w:id="6" w:name="_Toc90970279"/>
      <w:r>
        <w:t>Updated campus code table</w:t>
      </w:r>
      <w:bookmarkEnd w:id="6"/>
    </w:p>
    <w:p w14:paraId="46158497" w14:textId="5A6774C9" w:rsidR="009A244B" w:rsidRDefault="009A244B" w:rsidP="009A244B">
      <w:pPr>
        <w:pStyle w:val="Body"/>
      </w:pPr>
      <w:r>
        <w:t xml:space="preserve">The following private facilities have been added to the </w:t>
      </w:r>
      <w:r w:rsidR="008A293F">
        <w:t xml:space="preserve">updated </w:t>
      </w:r>
      <w:r>
        <w:t>campus code table</w:t>
      </w:r>
      <w:r w:rsidR="003327CC">
        <w:t xml:space="preserve"> available on the HDSS website</w:t>
      </w:r>
      <w:r>
        <w:t>.</w:t>
      </w:r>
    </w:p>
    <w:tbl>
      <w:tblPr>
        <w:tblStyle w:val="TableGrid"/>
        <w:tblW w:w="0" w:type="auto"/>
        <w:tblLook w:val="04A0" w:firstRow="1" w:lastRow="0" w:firstColumn="1" w:lastColumn="0" w:noHBand="0" w:noVBand="1"/>
      </w:tblPr>
      <w:tblGrid>
        <w:gridCol w:w="3398"/>
        <w:gridCol w:w="3398"/>
        <w:gridCol w:w="3398"/>
      </w:tblGrid>
      <w:tr w:rsidR="009A244B" w14:paraId="030669B0" w14:textId="77777777" w:rsidTr="009A244B">
        <w:tc>
          <w:tcPr>
            <w:tcW w:w="3398" w:type="dxa"/>
          </w:tcPr>
          <w:p w14:paraId="07B9425D" w14:textId="2E6016E4" w:rsidR="009A244B" w:rsidRDefault="009A244B" w:rsidP="009A244B">
            <w:pPr>
              <w:pStyle w:val="Tablecolhead"/>
            </w:pPr>
            <w:r>
              <w:t>Hospital / Campus name</w:t>
            </w:r>
          </w:p>
        </w:tc>
        <w:tc>
          <w:tcPr>
            <w:tcW w:w="3398" w:type="dxa"/>
          </w:tcPr>
          <w:p w14:paraId="6933A13B" w14:textId="29A50564" w:rsidR="009A244B" w:rsidRDefault="009A244B" w:rsidP="009A244B">
            <w:pPr>
              <w:pStyle w:val="Tablecolhead"/>
            </w:pPr>
            <w:r>
              <w:t>Campus code</w:t>
            </w:r>
          </w:p>
        </w:tc>
        <w:tc>
          <w:tcPr>
            <w:tcW w:w="3398" w:type="dxa"/>
          </w:tcPr>
          <w:p w14:paraId="7CBD3E27" w14:textId="18DF6B7A" w:rsidR="009A244B" w:rsidRDefault="009A244B" w:rsidP="009A244B">
            <w:pPr>
              <w:pStyle w:val="Tablecolhead"/>
            </w:pPr>
            <w:r>
              <w:t>Effective date</w:t>
            </w:r>
          </w:p>
        </w:tc>
      </w:tr>
      <w:tr w:rsidR="0083310A" w14:paraId="494AFC18" w14:textId="77777777" w:rsidTr="009A244B">
        <w:tc>
          <w:tcPr>
            <w:tcW w:w="3398" w:type="dxa"/>
          </w:tcPr>
          <w:p w14:paraId="3FB35BFC" w14:textId="1656BF82" w:rsidR="0083310A" w:rsidRPr="00817CEE" w:rsidRDefault="0083310A" w:rsidP="009A244B">
            <w:pPr>
              <w:pStyle w:val="Tabletext"/>
            </w:pPr>
            <w:r w:rsidRPr="0083310A">
              <w:t>Cosmos Cosmetic Day Surgery</w:t>
            </w:r>
          </w:p>
        </w:tc>
        <w:tc>
          <w:tcPr>
            <w:tcW w:w="3398" w:type="dxa"/>
          </w:tcPr>
          <w:p w14:paraId="5EDCA9F3" w14:textId="11BD16F4" w:rsidR="0083310A" w:rsidRDefault="003B4DF7" w:rsidP="009A244B">
            <w:pPr>
              <w:pStyle w:val="Tabletext"/>
            </w:pPr>
            <w:r>
              <w:t>7080</w:t>
            </w:r>
          </w:p>
        </w:tc>
        <w:tc>
          <w:tcPr>
            <w:tcW w:w="3398" w:type="dxa"/>
          </w:tcPr>
          <w:p w14:paraId="5270B7E0" w14:textId="3ED49756" w:rsidR="0083310A" w:rsidRDefault="0083310A" w:rsidP="009A244B">
            <w:pPr>
              <w:pStyle w:val="Tabletext"/>
            </w:pPr>
            <w:r>
              <w:t>08/01/2021</w:t>
            </w:r>
          </w:p>
        </w:tc>
      </w:tr>
      <w:tr w:rsidR="009A244B" w14:paraId="28CD3BB3" w14:textId="77777777" w:rsidTr="009A244B">
        <w:tc>
          <w:tcPr>
            <w:tcW w:w="3398" w:type="dxa"/>
          </w:tcPr>
          <w:p w14:paraId="1B253900" w14:textId="78E94DB8" w:rsidR="009A244B" w:rsidRDefault="00817CEE" w:rsidP="009A244B">
            <w:pPr>
              <w:pStyle w:val="Tabletext"/>
            </w:pPr>
            <w:r w:rsidRPr="00817CEE">
              <w:t>Knox Day Hospital</w:t>
            </w:r>
          </w:p>
        </w:tc>
        <w:tc>
          <w:tcPr>
            <w:tcW w:w="3398" w:type="dxa"/>
          </w:tcPr>
          <w:p w14:paraId="7E087B0E" w14:textId="5AFC8498" w:rsidR="009A244B" w:rsidRDefault="009A244B" w:rsidP="009A244B">
            <w:pPr>
              <w:pStyle w:val="Tabletext"/>
            </w:pPr>
            <w:r>
              <w:t>8150</w:t>
            </w:r>
          </w:p>
        </w:tc>
        <w:tc>
          <w:tcPr>
            <w:tcW w:w="3398" w:type="dxa"/>
          </w:tcPr>
          <w:p w14:paraId="2665C1EC" w14:textId="04F4BF63" w:rsidR="009A244B" w:rsidRDefault="008A293F" w:rsidP="009A244B">
            <w:pPr>
              <w:pStyle w:val="Tabletext"/>
            </w:pPr>
            <w:r>
              <w:t>0</w:t>
            </w:r>
            <w:r w:rsidR="00817CEE">
              <w:t>1/</w:t>
            </w:r>
            <w:r>
              <w:t>01</w:t>
            </w:r>
            <w:r w:rsidR="00817CEE">
              <w:t>/2021</w:t>
            </w:r>
          </w:p>
        </w:tc>
      </w:tr>
      <w:tr w:rsidR="008A293F" w14:paraId="2C86C3CA" w14:textId="77777777" w:rsidTr="009A244B">
        <w:tc>
          <w:tcPr>
            <w:tcW w:w="3398" w:type="dxa"/>
          </w:tcPr>
          <w:p w14:paraId="7EA6EC72" w14:textId="77711C16" w:rsidR="008A293F" w:rsidRPr="00817CEE" w:rsidRDefault="008A293F" w:rsidP="009A244B">
            <w:pPr>
              <w:pStyle w:val="Tabletext"/>
            </w:pPr>
            <w:r w:rsidRPr="008A293F">
              <w:t>Templestowe Day Surgery</w:t>
            </w:r>
          </w:p>
        </w:tc>
        <w:tc>
          <w:tcPr>
            <w:tcW w:w="3398" w:type="dxa"/>
          </w:tcPr>
          <w:p w14:paraId="64C9BE6F" w14:textId="1D5DF97C" w:rsidR="008A293F" w:rsidRDefault="008A293F" w:rsidP="009A244B">
            <w:pPr>
              <w:pStyle w:val="Tabletext"/>
            </w:pPr>
            <w:r>
              <w:t>7520</w:t>
            </w:r>
          </w:p>
        </w:tc>
        <w:tc>
          <w:tcPr>
            <w:tcW w:w="3398" w:type="dxa"/>
          </w:tcPr>
          <w:p w14:paraId="2A9B8D41" w14:textId="38A6EF37" w:rsidR="008A293F" w:rsidRDefault="008A293F" w:rsidP="009A244B">
            <w:pPr>
              <w:pStyle w:val="Tabletext"/>
            </w:pPr>
            <w:r>
              <w:t>03/11/2020</w:t>
            </w:r>
          </w:p>
        </w:tc>
      </w:tr>
      <w:tr w:rsidR="009A244B" w14:paraId="0C0D37FF" w14:textId="77777777" w:rsidTr="009A244B">
        <w:tc>
          <w:tcPr>
            <w:tcW w:w="3398" w:type="dxa"/>
          </w:tcPr>
          <w:p w14:paraId="18463135" w14:textId="42894FFC" w:rsidR="009A244B" w:rsidRDefault="00817CEE" w:rsidP="009A244B">
            <w:pPr>
              <w:pStyle w:val="Tabletext"/>
            </w:pPr>
            <w:r w:rsidRPr="00817CEE">
              <w:t>GIH Access Endoscopy</w:t>
            </w:r>
          </w:p>
        </w:tc>
        <w:tc>
          <w:tcPr>
            <w:tcW w:w="3398" w:type="dxa"/>
          </w:tcPr>
          <w:p w14:paraId="57DA7028" w14:textId="5D1D58EE" w:rsidR="009A244B" w:rsidRDefault="009A244B" w:rsidP="009A244B">
            <w:pPr>
              <w:pStyle w:val="Tabletext"/>
            </w:pPr>
            <w:r>
              <w:t>8500</w:t>
            </w:r>
          </w:p>
        </w:tc>
        <w:tc>
          <w:tcPr>
            <w:tcW w:w="3398" w:type="dxa"/>
          </w:tcPr>
          <w:p w14:paraId="720D8752" w14:textId="702680BA" w:rsidR="009A244B" w:rsidRDefault="008A293F" w:rsidP="009A244B">
            <w:pPr>
              <w:pStyle w:val="Tabletext"/>
            </w:pPr>
            <w:r>
              <w:t>01/11/2020</w:t>
            </w:r>
          </w:p>
        </w:tc>
      </w:tr>
    </w:tbl>
    <w:p w14:paraId="1EDEA717" w14:textId="3CFFA500" w:rsidR="009A244B" w:rsidRDefault="009A244B" w:rsidP="009A244B">
      <w:pPr>
        <w:pStyle w:val="Body"/>
      </w:pPr>
    </w:p>
    <w:p w14:paraId="77CF8FF7" w14:textId="79DE025D" w:rsidR="00177504" w:rsidRPr="003220D2" w:rsidRDefault="00177504" w:rsidP="00177504">
      <w:pPr>
        <w:pStyle w:val="Heading1"/>
      </w:pPr>
      <w:bookmarkStart w:id="7" w:name="_Toc90970280"/>
      <w:bookmarkStart w:id="8" w:name="_Toc58580809"/>
      <w:bookmarkStart w:id="9" w:name="_Toc86840538"/>
      <w:r w:rsidRPr="003220D2">
        <w:t>Christmas / New Year Reporting</w:t>
      </w:r>
      <w:bookmarkEnd w:id="7"/>
      <w:r w:rsidRPr="003220D2">
        <w:t xml:space="preserve"> </w:t>
      </w:r>
      <w:bookmarkEnd w:id="8"/>
    </w:p>
    <w:p w14:paraId="70D2F907" w14:textId="3D432F9C" w:rsidR="00177504" w:rsidRPr="003220D2" w:rsidRDefault="00177504" w:rsidP="00177504">
      <w:pPr>
        <w:pStyle w:val="Heading2"/>
      </w:pPr>
      <w:bookmarkStart w:id="10" w:name="_Toc90970281"/>
      <w:r w:rsidRPr="003220D2">
        <w:t>Daily Reporting Expectations</w:t>
      </w:r>
      <w:r w:rsidR="000826D7" w:rsidRPr="003220D2">
        <w:t>: DESA, DCOR &amp; VEMD</w:t>
      </w:r>
      <w:bookmarkEnd w:id="10"/>
    </w:p>
    <w:p w14:paraId="5E9078A2" w14:textId="0668FC40" w:rsidR="00177504" w:rsidRPr="003220D2" w:rsidRDefault="00177504" w:rsidP="09F892E5">
      <w:pPr>
        <w:pStyle w:val="Body"/>
      </w:pPr>
      <w:r w:rsidRPr="003220D2">
        <w:t xml:space="preserve">The department is aware that staff leave between Christmas and New Year will have an impact on maintaining daily reporting. </w:t>
      </w:r>
    </w:p>
    <w:p w14:paraId="68A87CF3" w14:textId="708818EF" w:rsidR="00177504" w:rsidRPr="003220D2" w:rsidRDefault="6AA5677A" w:rsidP="00695655">
      <w:pPr>
        <w:pStyle w:val="Body"/>
        <w:rPr>
          <w:szCs w:val="21"/>
        </w:rPr>
      </w:pPr>
      <w:r w:rsidRPr="003220D2">
        <w:t xml:space="preserve">Data for each day will continue to be </w:t>
      </w:r>
      <w:r w:rsidR="00177504" w:rsidRPr="003220D2">
        <w:t>require</w:t>
      </w:r>
      <w:r w:rsidR="294A4CAC" w:rsidRPr="003220D2">
        <w:t>d</w:t>
      </w:r>
      <w:r w:rsidR="00177504" w:rsidRPr="003220D2">
        <w:t xml:space="preserve"> for the daily reports </w:t>
      </w:r>
      <w:r w:rsidR="005A41FB" w:rsidRPr="003220D2">
        <w:t xml:space="preserve">such as Daily Elective </w:t>
      </w:r>
      <w:r w:rsidR="000826D7" w:rsidRPr="003220D2">
        <w:t>Surgery Act</w:t>
      </w:r>
      <w:r w:rsidR="5B303E2F" w:rsidRPr="003220D2">
        <w:t>i</w:t>
      </w:r>
      <w:r w:rsidR="000826D7" w:rsidRPr="003220D2">
        <w:t>vity, Daily Capacity Occupancy Register and Vict</w:t>
      </w:r>
      <w:r w:rsidR="11355924" w:rsidRPr="003220D2">
        <w:t>o</w:t>
      </w:r>
      <w:r w:rsidR="000826D7" w:rsidRPr="003220D2">
        <w:t>rian Emergency Mini</w:t>
      </w:r>
      <w:r w:rsidR="65E3DA19" w:rsidRPr="003220D2">
        <w:t>m</w:t>
      </w:r>
      <w:r w:rsidR="000826D7" w:rsidRPr="003220D2">
        <w:t xml:space="preserve">um Dataset, </w:t>
      </w:r>
      <w:r w:rsidR="6DD1961F" w:rsidRPr="003220D2">
        <w:t xml:space="preserve">and </w:t>
      </w:r>
      <w:r w:rsidR="00177504" w:rsidRPr="003220D2">
        <w:t xml:space="preserve">the department’s automated </w:t>
      </w:r>
      <w:r w:rsidR="32723EE9" w:rsidRPr="003220D2">
        <w:t>comp</w:t>
      </w:r>
      <w:r w:rsidR="003220D2" w:rsidRPr="003220D2">
        <w:t>l</w:t>
      </w:r>
      <w:r w:rsidR="32723EE9" w:rsidRPr="003220D2">
        <w:t xml:space="preserve">iance </w:t>
      </w:r>
      <w:r w:rsidR="00177504" w:rsidRPr="003220D2">
        <w:t>emails will continue to be sent during this period.</w:t>
      </w:r>
      <w:r w:rsidR="584C29A3" w:rsidRPr="003220D2">
        <w:t xml:space="preserve"> However, </w:t>
      </w:r>
      <w:r w:rsidR="00177504" w:rsidRPr="003220D2">
        <w:t>compliance follow-up will be relaxed in the period between 24 December and</w:t>
      </w:r>
      <w:r w:rsidR="00360227">
        <w:t xml:space="preserve"> </w:t>
      </w:r>
      <w:r w:rsidR="00093B52">
        <w:t>4</w:t>
      </w:r>
      <w:r w:rsidR="00177504" w:rsidRPr="003220D2">
        <w:t xml:space="preserve"> January</w:t>
      </w:r>
      <w:r w:rsidR="584C29A3" w:rsidRPr="003220D2">
        <w:t>.</w:t>
      </w:r>
    </w:p>
    <w:p w14:paraId="2E6D7D8D" w14:textId="667CDBB9" w:rsidR="00E71B76" w:rsidRDefault="00177504" w:rsidP="00695655">
      <w:pPr>
        <w:pStyle w:val="Body"/>
      </w:pPr>
      <w:r w:rsidRPr="003220D2">
        <w:t xml:space="preserve">Health services </w:t>
      </w:r>
      <w:r w:rsidR="00D34F4C" w:rsidRPr="003220D2">
        <w:t>that are reporting the above collection</w:t>
      </w:r>
      <w:r w:rsidR="006D54CB" w:rsidRPr="003220D2">
        <w:t>s</w:t>
      </w:r>
      <w:r w:rsidR="00D34F4C" w:rsidRPr="003220D2">
        <w:t xml:space="preserve"> and are </w:t>
      </w:r>
      <w:r w:rsidRPr="003220D2">
        <w:t xml:space="preserve">unable to report </w:t>
      </w:r>
      <w:r w:rsidR="00D34F4C" w:rsidRPr="003220D2">
        <w:t xml:space="preserve">data between Christmas and New </w:t>
      </w:r>
      <w:r w:rsidR="32DD11B5" w:rsidRPr="003220D2">
        <w:t xml:space="preserve">Year </w:t>
      </w:r>
      <w:r w:rsidRPr="003220D2">
        <w:t xml:space="preserve">must ensure </w:t>
      </w:r>
      <w:r w:rsidR="6273DDDA" w:rsidRPr="003220D2">
        <w:t>all</w:t>
      </w:r>
      <w:r w:rsidRPr="003220D2">
        <w:t xml:space="preserve"> data </w:t>
      </w:r>
      <w:r w:rsidR="6273DDDA" w:rsidRPr="003220D2">
        <w:t>for this period</w:t>
      </w:r>
      <w:r w:rsidRPr="003220D2">
        <w:t xml:space="preserve"> for each collection </w:t>
      </w:r>
      <w:r w:rsidR="44073CB7" w:rsidRPr="003220D2">
        <w:t xml:space="preserve">is reported </w:t>
      </w:r>
      <w:r w:rsidRPr="003220D2">
        <w:t xml:space="preserve">by </w:t>
      </w:r>
      <w:r w:rsidR="0F721E53" w:rsidRPr="003220D2">
        <w:t xml:space="preserve">the due time on </w:t>
      </w:r>
      <w:r w:rsidR="00FD3A0D">
        <w:t>3</w:t>
      </w:r>
      <w:r w:rsidRPr="003220D2">
        <w:t xml:space="preserve"> January 202</w:t>
      </w:r>
      <w:r w:rsidR="003C06B5" w:rsidRPr="003220D2">
        <w:t>2</w:t>
      </w:r>
      <w:r w:rsidRPr="003220D2">
        <w:t>.</w:t>
      </w:r>
      <w:r>
        <w:t xml:space="preserve"> </w:t>
      </w:r>
    </w:p>
    <w:p w14:paraId="6A4AA4C7" w14:textId="06BA26C1" w:rsidR="00182351" w:rsidRDefault="00182351" w:rsidP="00182351">
      <w:pPr>
        <w:pStyle w:val="Heading1"/>
      </w:pPr>
      <w:bookmarkStart w:id="11" w:name="_Toc90970282"/>
      <w:r>
        <w:t>COVID positive care pathway program</w:t>
      </w:r>
      <w:bookmarkEnd w:id="11"/>
    </w:p>
    <w:p w14:paraId="56DAF669" w14:textId="006BDD19" w:rsidR="00CF4096" w:rsidRPr="00CF4096" w:rsidRDefault="00CF4096" w:rsidP="00C62188">
      <w:pPr>
        <w:pStyle w:val="Body"/>
      </w:pPr>
      <w:r w:rsidRPr="00CF4096">
        <w:t>COVID Positive Pathways provides clinical care and support for Victorians with a confirmed case of COVID-19.</w:t>
      </w:r>
      <w:r w:rsidR="00C62188">
        <w:t xml:space="preserve"> </w:t>
      </w:r>
      <w:r w:rsidR="00182351">
        <w:t xml:space="preserve">The </w:t>
      </w:r>
      <w:r w:rsidRPr="00CF4096">
        <w:t>program is delivered by Victorian hospitals, community health services, GPs and other providers, and coordinated by the Victorian Department of Health.</w:t>
      </w:r>
      <w:r w:rsidR="00C62188">
        <w:t xml:space="preserve"> </w:t>
      </w:r>
      <w:r w:rsidRPr="00CF4096">
        <w:t>COVID Positive Pathways makes sure every Victorian with COVID-19 is cared for in the best possible place, whether at home or in a hospital bed, depending on their personal needs and circumstances.</w:t>
      </w:r>
    </w:p>
    <w:p w14:paraId="4CA04B98" w14:textId="23483D8B" w:rsidR="00182351" w:rsidRDefault="006A3D54" w:rsidP="00182351">
      <w:pPr>
        <w:pStyle w:val="Body"/>
        <w:rPr>
          <w:rFonts w:ascii="Calibri" w:eastAsiaTheme="minorHAnsi" w:hAnsi="Calibri"/>
        </w:rPr>
      </w:pPr>
      <w:r>
        <w:t>Advice</w:t>
      </w:r>
      <w:r w:rsidR="00182351">
        <w:t xml:space="preserve"> was published </w:t>
      </w:r>
      <w:r>
        <w:t>in</w:t>
      </w:r>
      <w:r w:rsidR="00182351">
        <w:t xml:space="preserve"> </w:t>
      </w:r>
      <w:hyperlink r:id="rId20" w:history="1">
        <w:r w:rsidR="00182351">
          <w:rPr>
            <w:rStyle w:val="Hyperlink"/>
            <w:rFonts w:eastAsiaTheme="minorHAnsi"/>
          </w:rPr>
          <w:t>HDSS Bulletin 239 September 2020</w:t>
        </w:r>
      </w:hyperlink>
      <w:r w:rsidR="00182351">
        <w:t xml:space="preserve"> </w:t>
      </w:r>
      <w:r>
        <w:t>on</w:t>
      </w:r>
      <w:r w:rsidR="00182351">
        <w:t xml:space="preserve"> how to report activity provided to patients in the COVID positive care pathway program. </w:t>
      </w:r>
    </w:p>
    <w:p w14:paraId="3A734AD7" w14:textId="133F4B0E" w:rsidR="00182351" w:rsidRPr="00DF5704" w:rsidRDefault="00B63845" w:rsidP="00DF5704">
      <w:pPr>
        <w:pStyle w:val="Body"/>
      </w:pPr>
      <w:r>
        <w:t xml:space="preserve">This advice has been updated </w:t>
      </w:r>
      <w:r w:rsidR="00B93B79">
        <w:t>to provide additional information</w:t>
      </w:r>
      <w:r w:rsidR="007C7019">
        <w:t>.</w:t>
      </w:r>
    </w:p>
    <w:p w14:paraId="7E2F063D" w14:textId="6D0F4E2A" w:rsidR="000D76CF" w:rsidRDefault="000D76CF" w:rsidP="00DF5704">
      <w:pPr>
        <w:pStyle w:val="Body"/>
      </w:pPr>
    </w:p>
    <w:p w14:paraId="7F3692C5" w14:textId="04807501" w:rsidR="000D76CF" w:rsidRDefault="000D76CF" w:rsidP="00DF5704">
      <w:pPr>
        <w:pStyle w:val="Body"/>
      </w:pPr>
    </w:p>
    <w:p w14:paraId="3DABA129" w14:textId="1DAABBBB" w:rsidR="00DC2E5E" w:rsidRDefault="00AD4ACA" w:rsidP="00DC2E5E">
      <w:pPr>
        <w:pStyle w:val="Heading2"/>
      </w:pPr>
      <w:bookmarkStart w:id="12" w:name="_Toc90970283"/>
      <w:r>
        <w:lastRenderedPageBreak/>
        <w:t>Reporting a</w:t>
      </w:r>
      <w:r w:rsidR="00DC2E5E">
        <w:t>dmitted activity</w:t>
      </w:r>
      <w:bookmarkEnd w:id="12"/>
    </w:p>
    <w:p w14:paraId="64570FE9" w14:textId="5E3F4E4C" w:rsidR="00182351" w:rsidRPr="00DF5704" w:rsidRDefault="00182351" w:rsidP="00DF5704">
      <w:pPr>
        <w:pStyle w:val="Body"/>
      </w:pPr>
      <w:r w:rsidRPr="00DF5704">
        <w:t>For a patient to be reported as an admitted HITH episode</w:t>
      </w:r>
      <w:r w:rsidR="00350C8D">
        <w:t>:</w:t>
      </w:r>
    </w:p>
    <w:p w14:paraId="7B0A492A" w14:textId="06A9BD06" w:rsidR="00182351" w:rsidRDefault="00182351" w:rsidP="00182351">
      <w:pPr>
        <w:pStyle w:val="Bullet1"/>
      </w:pPr>
      <w:r>
        <w:t xml:space="preserve">The admission must meet </w:t>
      </w:r>
      <w:r w:rsidR="007207FC">
        <w:t xml:space="preserve">VAED </w:t>
      </w:r>
      <w:r>
        <w:t>admission criteria (telemonitoring at home as the sole activity does not meet admission criteria)</w:t>
      </w:r>
    </w:p>
    <w:p w14:paraId="54A5C332" w14:textId="77777777" w:rsidR="00182351" w:rsidRDefault="00182351" w:rsidP="00182351">
      <w:pPr>
        <w:pStyle w:val="Bullet1"/>
      </w:pPr>
      <w:r>
        <w:t>Acute admitted care in the home should be equivalent to services provided if the patient was physically in the hospital.</w:t>
      </w:r>
    </w:p>
    <w:p w14:paraId="763E4794" w14:textId="77777777" w:rsidR="00182351" w:rsidRDefault="00182351" w:rsidP="00182351">
      <w:pPr>
        <w:pStyle w:val="Bullet1"/>
      </w:pPr>
      <w:r>
        <w:t>If practicable individual services required to deliver acute admitted care may be delivered via video consultation.</w:t>
      </w:r>
    </w:p>
    <w:p w14:paraId="4E4CE09E" w14:textId="77777777" w:rsidR="00182351" w:rsidRDefault="00182351" w:rsidP="00182351">
      <w:pPr>
        <w:pStyle w:val="Bullet1"/>
      </w:pPr>
      <w:r>
        <w:t>If a HITH patient doesn’t receive acute admitted care every day of their admission, they should be put on leave for that period or discharged.</w:t>
      </w:r>
    </w:p>
    <w:p w14:paraId="7651DDF2" w14:textId="77777777" w:rsidR="00182351" w:rsidRDefault="00182351" w:rsidP="00182351">
      <w:pPr>
        <w:pStyle w:val="Bullet1"/>
      </w:pPr>
      <w:r>
        <w:t>Patients should be discharged from HITH when acute admitted care is no longer required.</w:t>
      </w:r>
    </w:p>
    <w:p w14:paraId="3DBC70DE" w14:textId="77777777" w:rsidR="00182351" w:rsidRDefault="00182351" w:rsidP="00182351">
      <w:pPr>
        <w:pStyle w:val="Bodyafterbullets"/>
      </w:pPr>
      <w:r>
        <w:t>Note: a telephone contact cannot be reported as a HITH day because it is not equivalent to a service provided if the patient was physically in the hospital. A HITH day should not be reported when a visit (face to face or video) or an intervention has not occurred.</w:t>
      </w:r>
    </w:p>
    <w:p w14:paraId="259302CC" w14:textId="56239E96" w:rsidR="00210CDE" w:rsidRDefault="00AD4ACA" w:rsidP="00DC2E5E">
      <w:pPr>
        <w:pStyle w:val="Heading2"/>
      </w:pPr>
      <w:bookmarkStart w:id="13" w:name="_Toc90970284"/>
      <w:r>
        <w:t>Reporting n</w:t>
      </w:r>
      <w:r w:rsidR="00210CDE">
        <w:t>on-admitted</w:t>
      </w:r>
      <w:r w:rsidR="00800376">
        <w:t xml:space="preserve"> </w:t>
      </w:r>
      <w:r w:rsidR="00DC2E5E">
        <w:t>activity</w:t>
      </w:r>
      <w:bookmarkEnd w:id="13"/>
    </w:p>
    <w:p w14:paraId="0142DA7B" w14:textId="43553D18" w:rsidR="00182351" w:rsidRDefault="00182351" w:rsidP="00182351">
      <w:pPr>
        <w:pStyle w:val="Body"/>
      </w:pPr>
      <w:r>
        <w:t xml:space="preserve">If the service provided does not meet </w:t>
      </w:r>
      <w:r w:rsidR="00832DF0">
        <w:t xml:space="preserve">VAED </w:t>
      </w:r>
      <w:r>
        <w:t>admission criteria, it may be able to be reported as non-admitted activity (VINAH and S10 AIMS):</w:t>
      </w:r>
    </w:p>
    <w:p w14:paraId="7CC44E63" w14:textId="77255682" w:rsidR="00182351" w:rsidRDefault="00182351" w:rsidP="00182351">
      <w:pPr>
        <w:pStyle w:val="Bullet1"/>
      </w:pPr>
      <w:r>
        <w:t>A non-admitted contact requires an interaction that is clinical in nature between a patient and a clinician.</w:t>
      </w:r>
    </w:p>
    <w:p w14:paraId="12002487" w14:textId="77777777" w:rsidR="00182351" w:rsidRDefault="00182351" w:rsidP="00182351">
      <w:pPr>
        <w:pStyle w:val="Bullet1"/>
      </w:pPr>
      <w:r>
        <w:t xml:space="preserve">A patient monitoring themselves at home and transmitting readings from monitoring devices such as a pulse oximeter to a clinician should not be reported as a contact (as this is considered an input into the clinical consultation). </w:t>
      </w:r>
    </w:p>
    <w:p w14:paraId="36DB536A" w14:textId="77777777" w:rsidR="00A4165B" w:rsidRDefault="00182351" w:rsidP="00182351">
      <w:pPr>
        <w:pStyle w:val="Bodyafterbullets"/>
      </w:pPr>
      <w:r>
        <w:t xml:space="preserve">If a clinician consults with the patient this can be reported as a contact – either medical, nursing or allied health depending on the clinician and can be reported under the relevant Tier 2 class. </w:t>
      </w:r>
    </w:p>
    <w:p w14:paraId="2A86181A" w14:textId="5EEFF6C9" w:rsidR="00182351" w:rsidRDefault="00182351" w:rsidP="00182351">
      <w:pPr>
        <w:pStyle w:val="Bodyafterbullets"/>
      </w:pPr>
      <w:r>
        <w:t xml:space="preserve">Health services should register a clinic on the Non-Admitted Clinic Management System (NACMS) and assign Tier 2 class 20.57 COVID response (medical / nurse practitioner) or 40.63 COVID response (nurse/allied health). The </w:t>
      </w:r>
      <w:hyperlink r:id="rId21" w:history="1">
        <w:r>
          <w:rPr>
            <w:rStyle w:val="Hyperlink"/>
            <w:rFonts w:eastAsiaTheme="minorHAnsi"/>
          </w:rPr>
          <w:t>2021</w:t>
        </w:r>
        <w:r w:rsidR="00A31995">
          <w:rPr>
            <w:rStyle w:val="Hyperlink"/>
            <w:rFonts w:eastAsiaTheme="minorHAnsi"/>
          </w:rPr>
          <w:t>-</w:t>
        </w:r>
        <w:r>
          <w:rPr>
            <w:rStyle w:val="Hyperlink"/>
            <w:rFonts w:eastAsiaTheme="minorHAnsi"/>
          </w:rPr>
          <w:t>22 NACMS manual</w:t>
        </w:r>
      </w:hyperlink>
      <w:r>
        <w:t xml:space="preserve"> provides advice on how to register a clinic and is located at </w:t>
      </w:r>
      <w:hyperlink r:id="rId22" w:history="1">
        <w:r w:rsidR="00A729B8">
          <w:rPr>
            <w:rStyle w:val="Hyperlink"/>
            <w:rFonts w:eastAsiaTheme="minorHAnsi"/>
          </w:rPr>
          <w:t>NACMS manual</w:t>
        </w:r>
      </w:hyperlink>
      <w:r w:rsidR="00A729B8">
        <w:t xml:space="preserve"> &lt;</w:t>
      </w:r>
      <w:r w:rsidR="00A729B8" w:rsidRPr="00A729B8">
        <w:t>https://www.health.vic.gov.au/publications/non-admitted-clinic-management-system-nacms-manual-2021-22</w:t>
      </w:r>
      <w:r w:rsidR="00512770">
        <w:t>&gt;</w:t>
      </w:r>
      <w:r>
        <w:br/>
        <w:t>Health services reporting VINAH, should report the activity in both VINAH and AIMS S10 collections.</w:t>
      </w:r>
    </w:p>
    <w:p w14:paraId="44029DF1" w14:textId="77777777" w:rsidR="00E007F7" w:rsidRDefault="00E007F7" w:rsidP="00E007F7">
      <w:pPr>
        <w:pStyle w:val="Heading1"/>
      </w:pPr>
      <w:bookmarkStart w:id="14" w:name="_Toc90970285"/>
      <w:bookmarkStart w:id="15" w:name="_Hlk90572177"/>
      <w:r>
        <w:t>WorkSafe statements</w:t>
      </w:r>
      <w:bookmarkEnd w:id="14"/>
    </w:p>
    <w:p w14:paraId="7E16776E" w14:textId="44D6C66B" w:rsidR="00E007F7" w:rsidRPr="00142F75" w:rsidRDefault="00E007F7" w:rsidP="00E007F7">
      <w:pPr>
        <w:pStyle w:val="Body"/>
      </w:pPr>
      <w:r w:rsidRPr="00142F75">
        <w:t xml:space="preserve">Commencing in 2021-22 the department will produce WorkSafe statements for </w:t>
      </w:r>
      <w:r w:rsidR="00FF0310" w:rsidRPr="00142F75">
        <w:t xml:space="preserve">public hospital </w:t>
      </w:r>
      <w:r w:rsidRPr="00142F75">
        <w:t xml:space="preserve">emergency department presentations where the patient is admitted. </w:t>
      </w:r>
    </w:p>
    <w:p w14:paraId="3EF0B2F8" w14:textId="1E605DE7" w:rsidR="00E007F7" w:rsidRDefault="00E007F7" w:rsidP="00E007F7">
      <w:pPr>
        <w:pStyle w:val="Body"/>
      </w:pPr>
      <w:r w:rsidRPr="00142F75">
        <w:t xml:space="preserve">The WorkSafe price for 2021-22 is yet to be confirmed, hence statements for </w:t>
      </w:r>
      <w:r w:rsidR="00564C23" w:rsidRPr="00142F75">
        <w:t xml:space="preserve">public hospital </w:t>
      </w:r>
      <w:r w:rsidRPr="00142F75">
        <w:t xml:space="preserve">acute admitted and admitted emergency </w:t>
      </w:r>
      <w:r w:rsidR="005C1BFA" w:rsidRPr="00142F75">
        <w:t>presentations</w:t>
      </w:r>
      <w:r w:rsidRPr="00142F75">
        <w:t xml:space="preserve"> separated from 1 July</w:t>
      </w:r>
      <w:r w:rsidRPr="00142F75">
        <w:rPr>
          <w:vertAlign w:val="superscript"/>
        </w:rPr>
        <w:t xml:space="preserve"> </w:t>
      </w:r>
      <w:r w:rsidRPr="00142F75">
        <w:t>2021 have not been produced. Once the WorkSafe price for this financial year is confirmed, a YTD extract of WorkSafe statements for public hospitals</w:t>
      </w:r>
      <w:r w:rsidR="00F23F57" w:rsidRPr="00142F75">
        <w:t xml:space="preserve"> will be produced</w:t>
      </w:r>
      <w:r w:rsidRPr="00142F75">
        <w:t xml:space="preserve">. Hospitals will be advised </w:t>
      </w:r>
      <w:r w:rsidR="00DC7363" w:rsidRPr="00142F75">
        <w:t xml:space="preserve">when the </w:t>
      </w:r>
      <w:r w:rsidRPr="00142F75">
        <w:t>YTD Work</w:t>
      </w:r>
      <w:r w:rsidR="00210165" w:rsidRPr="00142F75">
        <w:t>Safe</w:t>
      </w:r>
      <w:r w:rsidRPr="00142F75">
        <w:t xml:space="preserve"> statements file</w:t>
      </w:r>
      <w:r w:rsidR="008F02E4" w:rsidRPr="00142F75">
        <w:t>s</w:t>
      </w:r>
      <w:r w:rsidRPr="00142F75">
        <w:t xml:space="preserve"> ha</w:t>
      </w:r>
      <w:r w:rsidR="008F02E4" w:rsidRPr="00142F75">
        <w:t>ve</w:t>
      </w:r>
      <w:r w:rsidRPr="00142F75">
        <w:t xml:space="preserve"> been produced and</w:t>
      </w:r>
      <w:r w:rsidR="008F02E4" w:rsidRPr="00142F75">
        <w:t xml:space="preserve"> are</w:t>
      </w:r>
      <w:r w:rsidRPr="00142F75">
        <w:t xml:space="preserve"> available to download from the MFT PICKUP folder.</w:t>
      </w:r>
      <w:r w:rsidR="00CF2D55" w:rsidRPr="00142F75">
        <w:t xml:space="preserve"> </w:t>
      </w:r>
      <w:r w:rsidR="00C4191A" w:rsidRPr="00142F75">
        <w:t xml:space="preserve">Subsequent </w:t>
      </w:r>
      <w:r w:rsidR="00CF2D55" w:rsidRPr="00142F75">
        <w:t xml:space="preserve">WorkSafe statements for admitted episodes </w:t>
      </w:r>
      <w:r w:rsidR="00210165" w:rsidRPr="00142F75">
        <w:t>and</w:t>
      </w:r>
      <w:r w:rsidR="00CF2D55" w:rsidRPr="00142F75">
        <w:t xml:space="preserve"> </w:t>
      </w:r>
      <w:r w:rsidR="009904AA" w:rsidRPr="00142F75">
        <w:t xml:space="preserve">admitted </w:t>
      </w:r>
      <w:r w:rsidR="00CF2D55" w:rsidRPr="00142F75">
        <w:t xml:space="preserve">emergency </w:t>
      </w:r>
      <w:r w:rsidR="009904AA" w:rsidRPr="00142F75">
        <w:t>pre</w:t>
      </w:r>
      <w:r w:rsidR="00CF2D55" w:rsidRPr="00142F75">
        <w:t xml:space="preserve">sentations will be produced after the </w:t>
      </w:r>
      <w:r w:rsidR="00175F3A" w:rsidRPr="00142F75">
        <w:t>10</w:t>
      </w:r>
      <w:r w:rsidR="00175F3A" w:rsidRPr="00142F75">
        <w:rPr>
          <w:vertAlign w:val="superscript"/>
        </w:rPr>
        <w:t>th</w:t>
      </w:r>
      <w:r w:rsidR="00175F3A" w:rsidRPr="00142F75">
        <w:t xml:space="preserve"> of each month</w:t>
      </w:r>
      <w:r w:rsidR="00655F9E" w:rsidRPr="00142F75">
        <w:t xml:space="preserve"> and will only pickup episodes/presentations that have changed.</w:t>
      </w:r>
    </w:p>
    <w:p w14:paraId="330E9F3F" w14:textId="3579A20C" w:rsidR="00E007F7" w:rsidRDefault="00E007F7" w:rsidP="00E007F7">
      <w:pPr>
        <w:pStyle w:val="Body"/>
      </w:pPr>
      <w:r w:rsidRPr="00142F75">
        <w:t>An emergency department WorkSafe statement is not proposed to be provided for non-admitted emergency (ED-only) activity as this will continue to be billed as a flat rate per presentation.</w:t>
      </w:r>
      <w:r w:rsidRPr="00926F24">
        <w:t xml:space="preserve"> </w:t>
      </w:r>
    </w:p>
    <w:p w14:paraId="1375D0FE" w14:textId="596680CB" w:rsidR="00817CEE" w:rsidRDefault="00817CEE" w:rsidP="00817CEE">
      <w:pPr>
        <w:pStyle w:val="Heading1"/>
      </w:pPr>
      <w:bookmarkStart w:id="16" w:name="_Toc90970286"/>
      <w:bookmarkEnd w:id="15"/>
      <w:r>
        <w:t>Agency Information Mana</w:t>
      </w:r>
      <w:r w:rsidR="002D33B5">
        <w:t>g</w:t>
      </w:r>
      <w:r>
        <w:t>ement System (AIMS)</w:t>
      </w:r>
      <w:bookmarkEnd w:id="16"/>
    </w:p>
    <w:p w14:paraId="41C60B73" w14:textId="6DB02BAA" w:rsidR="00817CEE" w:rsidRDefault="00C311CE" w:rsidP="00B528FF">
      <w:pPr>
        <w:pStyle w:val="Heading2"/>
      </w:pPr>
      <w:bookmarkStart w:id="17" w:name="_Toc90970287"/>
      <w:r>
        <w:t>S11A</w:t>
      </w:r>
      <w:r w:rsidR="00DE6E24">
        <w:t xml:space="preserve"> </w:t>
      </w:r>
      <w:r w:rsidR="00EC5760">
        <w:t>Update to reporting requirements</w:t>
      </w:r>
      <w:bookmarkEnd w:id="17"/>
      <w:r w:rsidR="00EC5760">
        <w:t xml:space="preserve"> </w:t>
      </w:r>
    </w:p>
    <w:p w14:paraId="6EB74F34" w14:textId="30ADFEA3" w:rsidR="00EC5760" w:rsidRPr="00EC5760" w:rsidRDefault="00FC4681" w:rsidP="00EC5760">
      <w:pPr>
        <w:pStyle w:val="Body"/>
      </w:pPr>
      <w:r>
        <w:t xml:space="preserve">The </w:t>
      </w:r>
      <w:r w:rsidR="00256ADE">
        <w:t>r</w:t>
      </w:r>
      <w:r>
        <w:t xml:space="preserve">eporting </w:t>
      </w:r>
      <w:r w:rsidR="00256ADE">
        <w:t>r</w:t>
      </w:r>
      <w:r>
        <w:t>equirements for the S11A have been updated to coincide with the release of the Non</w:t>
      </w:r>
      <w:r>
        <w:noBreakHyphen/>
        <w:t xml:space="preserve">Admitted Multidisciplinary Case Conferences </w:t>
      </w:r>
      <w:r w:rsidR="001B6933">
        <w:t xml:space="preserve">(MDCC) </w:t>
      </w:r>
      <w:r>
        <w:t xml:space="preserve">Reporting Guidelines.  </w:t>
      </w:r>
    </w:p>
    <w:p w14:paraId="74CB3CDC" w14:textId="59587ED8" w:rsidR="00817CEE" w:rsidRDefault="00E42E98" w:rsidP="00817CEE">
      <w:pPr>
        <w:pStyle w:val="Body"/>
      </w:pPr>
      <w:r>
        <w:t>When c</w:t>
      </w:r>
      <w:r w:rsidR="00B2241C">
        <w:t xml:space="preserve">lassifying </w:t>
      </w:r>
      <w:r w:rsidR="001B6933">
        <w:t>a MDCC as a medical or non-medical service event, the following guidelines apply</w:t>
      </w:r>
      <w:r w:rsidR="00766680">
        <w:t>:</w:t>
      </w:r>
    </w:p>
    <w:p w14:paraId="5B25C1DE" w14:textId="77777777" w:rsidR="005A16CE" w:rsidRPr="00575308" w:rsidRDefault="005A16CE" w:rsidP="00766680">
      <w:pPr>
        <w:pStyle w:val="Bullet1"/>
      </w:pPr>
      <w:r w:rsidRPr="00575308">
        <w:t xml:space="preserve">Where the </w:t>
      </w:r>
      <w:r>
        <w:t xml:space="preserve">majority of </w:t>
      </w:r>
      <w:r w:rsidRPr="00575308">
        <w:t xml:space="preserve">health care providers participating in the MDCC </w:t>
      </w:r>
      <w:r>
        <w:t>are</w:t>
      </w:r>
      <w:r w:rsidRPr="00575308">
        <w:t xml:space="preserve"> medical officers or nurse practitioners, classify this as a medical service event.</w:t>
      </w:r>
    </w:p>
    <w:p w14:paraId="35CA8BBA" w14:textId="528B4441" w:rsidR="001B6933" w:rsidRDefault="005A16CE" w:rsidP="00766680">
      <w:pPr>
        <w:pStyle w:val="Bullet1"/>
      </w:pPr>
      <w:r w:rsidRPr="00575308">
        <w:t xml:space="preserve">Where the </w:t>
      </w:r>
      <w:r>
        <w:t xml:space="preserve">majority of </w:t>
      </w:r>
      <w:r w:rsidRPr="00575308">
        <w:t>health care providers participating in the MDCC are allied health staff, classify this as a non-medical service event. </w:t>
      </w:r>
    </w:p>
    <w:p w14:paraId="4EE34346" w14:textId="606D0617" w:rsidR="00817CEE" w:rsidRDefault="008272B7" w:rsidP="00817CEE">
      <w:pPr>
        <w:pStyle w:val="Body"/>
      </w:pPr>
      <w:r>
        <w:t xml:space="preserve">An updated AIMS Manual 2021-22 </w:t>
      </w:r>
      <w:r w:rsidR="000D5064">
        <w:t>will be</w:t>
      </w:r>
      <w:r w:rsidR="00165BFF">
        <w:t xml:space="preserve"> made </w:t>
      </w:r>
      <w:r w:rsidR="000D5064">
        <w:t xml:space="preserve">available on the </w:t>
      </w:r>
      <w:hyperlink r:id="rId23" w:history="1">
        <w:r w:rsidR="000D5064" w:rsidRPr="00F3245E">
          <w:rPr>
            <w:rStyle w:val="Hyperlink"/>
          </w:rPr>
          <w:t>HDSS website</w:t>
        </w:r>
      </w:hyperlink>
      <w:r w:rsidR="00165BFF">
        <w:t>.</w:t>
      </w:r>
    </w:p>
    <w:p w14:paraId="518F9A30" w14:textId="1D32002A" w:rsidR="00D15EC2" w:rsidRDefault="006C2103" w:rsidP="00CB0852">
      <w:pPr>
        <w:pStyle w:val="Heading2"/>
      </w:pPr>
      <w:bookmarkStart w:id="18" w:name="_Toc90970288"/>
      <w:r>
        <w:t>New Nursing and Midwifery Workforce collection</w:t>
      </w:r>
      <w:bookmarkEnd w:id="18"/>
    </w:p>
    <w:p w14:paraId="3A845817" w14:textId="29DA5985" w:rsidR="006C2103" w:rsidRPr="006E2B3E" w:rsidRDefault="006C2103" w:rsidP="006C2103">
      <w:pPr>
        <w:pStyle w:val="Body"/>
      </w:pPr>
      <w:r>
        <w:t>The Nursing and Midwifery Workforce Data Collection was developed</w:t>
      </w:r>
      <w:r w:rsidDel="005D3888">
        <w:t xml:space="preserve"> </w:t>
      </w:r>
      <w:r>
        <w:t xml:space="preserve">to monitor workforce vacancy and other workforce pressures across the Victorian public health </w:t>
      </w:r>
      <w:bookmarkStart w:id="19" w:name="_Hlk36402315"/>
      <w:r>
        <w:t>system</w:t>
      </w:r>
      <w:bookmarkEnd w:id="19"/>
      <w:r>
        <w:t xml:space="preserve">. </w:t>
      </w:r>
      <w:r w:rsidRPr="005E798B">
        <w:rPr>
          <w:rFonts w:cs="Arial"/>
        </w:rPr>
        <w:t>The pandemic and ongoing increases in workforce demand has created an impetus for the</w:t>
      </w:r>
      <w:r>
        <w:rPr>
          <w:rFonts w:cs="Arial"/>
        </w:rPr>
        <w:t xml:space="preserve"> Department of Health </w:t>
      </w:r>
      <w:r w:rsidRPr="005E798B">
        <w:rPr>
          <w:rFonts w:cs="Arial"/>
        </w:rPr>
        <w:t>to establish the dataset to inform the management of medium and long term workforce supply issues</w:t>
      </w:r>
      <w:r>
        <w:rPr>
          <w:rFonts w:cs="Arial"/>
        </w:rPr>
        <w:t xml:space="preserve">. </w:t>
      </w:r>
      <w:r>
        <w:t xml:space="preserve">The data will be used to monitor and determine where there are significant vacancy levels, compare other workforce indicators across like services and inform workforce priority actions inclusive of the COVID-19 workforce surge response. </w:t>
      </w:r>
    </w:p>
    <w:p w14:paraId="37DB769D" w14:textId="78071E9D" w:rsidR="006C2103" w:rsidRPr="006C2103" w:rsidRDefault="006C2103" w:rsidP="006C2103">
      <w:pPr>
        <w:pStyle w:val="Body"/>
      </w:pPr>
      <w:r w:rsidRPr="006C2103">
        <w:t xml:space="preserve">Reporting is at health service level </w:t>
      </w:r>
      <w:r>
        <w:t>and data must be submitted</w:t>
      </w:r>
      <w:r w:rsidRPr="006C2103">
        <w:t xml:space="preserve"> 11.59pm on the 21st day of each month. </w:t>
      </w:r>
      <w:r>
        <w:t xml:space="preserve">More information about this collection is available </w:t>
      </w:r>
      <w:hyperlink r:id="rId24" w:history="1">
        <w:r w:rsidRPr="006C2103">
          <w:rPr>
            <w:rStyle w:val="Hyperlink"/>
          </w:rPr>
          <w:t>here</w:t>
        </w:r>
      </w:hyperlink>
      <w:r>
        <w:t xml:space="preserve"> on the HDSS website.</w:t>
      </w:r>
    </w:p>
    <w:p w14:paraId="46BEB51E" w14:textId="77777777" w:rsidR="00F350B6" w:rsidRDefault="00F350B6" w:rsidP="00817CEE">
      <w:pPr>
        <w:pStyle w:val="Body"/>
      </w:pPr>
    </w:p>
    <w:p w14:paraId="4FEA9EE3" w14:textId="758ADF31" w:rsidR="00817CEE" w:rsidRPr="00817CEE" w:rsidRDefault="00817CEE" w:rsidP="00817CEE">
      <w:pPr>
        <w:pStyle w:val="Heading1"/>
      </w:pPr>
      <w:bookmarkStart w:id="20" w:name="_Toc90970289"/>
      <w:r>
        <w:t>Elective Surgery Information System (ESIS)</w:t>
      </w:r>
      <w:bookmarkEnd w:id="20"/>
    </w:p>
    <w:p w14:paraId="7A975109" w14:textId="52F53AC8" w:rsidR="00817CEE" w:rsidRDefault="00B528FF" w:rsidP="00B528FF">
      <w:pPr>
        <w:pStyle w:val="Heading2"/>
      </w:pPr>
      <w:bookmarkStart w:id="21" w:name="_Toc90970290"/>
      <w:r>
        <w:t xml:space="preserve">Reminder </w:t>
      </w:r>
      <w:r w:rsidR="00821AF9">
        <w:t xml:space="preserve">regarding </w:t>
      </w:r>
      <w:r w:rsidR="00CA69E9">
        <w:t>ESIS reporting timelines</w:t>
      </w:r>
      <w:bookmarkEnd w:id="21"/>
    </w:p>
    <w:p w14:paraId="31A0A3C4" w14:textId="2A372BF5" w:rsidR="008F3E37" w:rsidRPr="00F04843" w:rsidRDefault="00A424E9" w:rsidP="00117629">
      <w:pPr>
        <w:pStyle w:val="Body"/>
      </w:pPr>
      <w:r>
        <w:t>Health s</w:t>
      </w:r>
      <w:r w:rsidR="00F04843" w:rsidRPr="00F04843">
        <w:t xml:space="preserve">ervices </w:t>
      </w:r>
      <w:r w:rsidR="00F04843">
        <w:t xml:space="preserve">are reminded that they must comply with </w:t>
      </w:r>
      <w:r w:rsidR="009A3B53">
        <w:t xml:space="preserve">the </w:t>
      </w:r>
      <w:r w:rsidR="00541BFB">
        <w:t>ESIS reporting timelines in the ESIS manual</w:t>
      </w:r>
      <w:r w:rsidR="00336527">
        <w:t xml:space="preserve"> and the Policy and </w:t>
      </w:r>
      <w:r w:rsidR="009A3B53">
        <w:t>funding guidelines</w:t>
      </w:r>
      <w:r w:rsidR="00541BFB">
        <w:t>.</w:t>
      </w:r>
    </w:p>
    <w:p w14:paraId="4FE69836" w14:textId="627B8AF7" w:rsidR="001E6B4B" w:rsidRPr="00116E83" w:rsidRDefault="00D1706A" w:rsidP="00213BB0">
      <w:pPr>
        <w:pStyle w:val="Body"/>
      </w:pPr>
      <w:r w:rsidRPr="008F3E37">
        <w:rPr>
          <w:b/>
          <w:bCs/>
        </w:rPr>
        <w:t>Submission dates</w:t>
      </w:r>
      <w:r w:rsidRPr="00D1706A">
        <w:t>: 1-15 data is due on the 3rd working day after the 15th of the month and remainder of the month by the 3rd working day of the following month.</w:t>
      </w:r>
    </w:p>
    <w:p w14:paraId="7F9DCE19" w14:textId="27FB4A77" w:rsidR="00E30709" w:rsidRPr="00E30709" w:rsidRDefault="00213BB0" w:rsidP="00213BB0">
      <w:pPr>
        <w:pStyle w:val="Body"/>
      </w:pPr>
      <w:r w:rsidRPr="001E6B4B">
        <w:rPr>
          <w:b/>
          <w:bCs/>
        </w:rPr>
        <w:t>Clean date</w:t>
      </w:r>
      <w:r>
        <w:t>: All rejections, corrections and notifiables are to be cleared by the 14th day of the following month, or the preceding working day if the 14th falls on a weekend or public holiday.</w:t>
      </w:r>
    </w:p>
    <w:p w14:paraId="7AE3B562" w14:textId="420CC27D" w:rsidR="00817CEE" w:rsidRDefault="00A91546" w:rsidP="00817CEE">
      <w:pPr>
        <w:pStyle w:val="Body"/>
      </w:pPr>
      <w:r>
        <w:t>Waiting list e</w:t>
      </w:r>
      <w:r w:rsidR="002C31C6">
        <w:t>pisodes reported with invalid codes</w:t>
      </w:r>
      <w:r w:rsidR="00DD1E8E">
        <w:t xml:space="preserve">, </w:t>
      </w:r>
      <w:r w:rsidR="00C30703">
        <w:t>and those</w:t>
      </w:r>
      <w:r w:rsidR="00DD1E8E">
        <w:t xml:space="preserve"> triggering </w:t>
      </w:r>
      <w:r w:rsidR="00637013">
        <w:t>notifiables,</w:t>
      </w:r>
      <w:r w:rsidR="00DD1E8E">
        <w:t xml:space="preserve"> </w:t>
      </w:r>
      <w:r w:rsidR="00A31E0D">
        <w:t>are accepted in the ESIS processing database</w:t>
      </w:r>
      <w:r w:rsidR="001A4B63">
        <w:t xml:space="preserve"> </w:t>
      </w:r>
      <w:r w:rsidR="007970A1">
        <w:t>t</w:t>
      </w:r>
      <w:r w:rsidR="00DB3F84">
        <w:t>herefore u</w:t>
      </w:r>
      <w:r w:rsidR="004F7104">
        <w:t>ncleared</w:t>
      </w:r>
      <w:r w:rsidR="00B56A59">
        <w:t xml:space="preserve"> errors</w:t>
      </w:r>
      <w:r w:rsidR="00DE6B32">
        <w:t xml:space="preserve"> </w:t>
      </w:r>
      <w:r w:rsidR="003424BC">
        <w:t xml:space="preserve">have </w:t>
      </w:r>
      <w:r w:rsidR="00FE146F" w:rsidRPr="00FE146F">
        <w:t>an impact on KPIs</w:t>
      </w:r>
      <w:r w:rsidR="00424E20">
        <w:t xml:space="preserve"> and</w:t>
      </w:r>
      <w:r w:rsidR="00FE146F" w:rsidRPr="00FE146F">
        <w:t xml:space="preserve"> public reporting</w:t>
      </w:r>
      <w:r w:rsidR="00326CCE">
        <w:t xml:space="preserve">.  This means </w:t>
      </w:r>
      <w:r w:rsidR="00500ABA">
        <w:t xml:space="preserve">data </w:t>
      </w:r>
      <w:r w:rsidR="0081004A">
        <w:t xml:space="preserve">reported </w:t>
      </w:r>
      <w:r w:rsidR="00F75AB7">
        <w:t>may not be</w:t>
      </w:r>
      <w:r w:rsidR="0081004A">
        <w:t xml:space="preserve"> a</w:t>
      </w:r>
      <w:r w:rsidR="00500ABA">
        <w:t xml:space="preserve"> true reflec</w:t>
      </w:r>
      <w:r w:rsidR="0081004A">
        <w:t>tion of</w:t>
      </w:r>
      <w:r w:rsidR="00805AB1">
        <w:t xml:space="preserve"> </w:t>
      </w:r>
      <w:r w:rsidR="0081004A">
        <w:t xml:space="preserve">the waiting list </w:t>
      </w:r>
      <w:r w:rsidR="00F75AB7">
        <w:t>numbers for your health service.</w:t>
      </w:r>
    </w:p>
    <w:p w14:paraId="3081C564" w14:textId="68466054" w:rsidR="00F14061" w:rsidRDefault="001E040B" w:rsidP="00817CEE">
      <w:pPr>
        <w:pStyle w:val="Body"/>
      </w:pPr>
      <w:r>
        <w:t xml:space="preserve">Health services with outstanding errors must ensure these errors are cleared </w:t>
      </w:r>
      <w:r w:rsidR="007D3BA2">
        <w:t>by the end of December</w:t>
      </w:r>
      <w:r w:rsidR="00E64787">
        <w:t xml:space="preserve"> </w:t>
      </w:r>
      <w:r w:rsidR="00724C3A">
        <w:t xml:space="preserve">in time for </w:t>
      </w:r>
      <w:r w:rsidR="00AC07B4">
        <w:t>quarter</w:t>
      </w:r>
      <w:r w:rsidR="001B63B2">
        <w:t xml:space="preserve"> 2 </w:t>
      </w:r>
      <w:r w:rsidR="00AC07B4">
        <w:t>p</w:t>
      </w:r>
      <w:r w:rsidR="001B63B2">
        <w:t xml:space="preserve">ublic reporting </w:t>
      </w:r>
      <w:r w:rsidR="00F22C38">
        <w:t xml:space="preserve">due in </w:t>
      </w:r>
      <w:r w:rsidR="00424E20" w:rsidRPr="00FE146F">
        <w:t>Jan</w:t>
      </w:r>
      <w:r w:rsidR="00424E20">
        <w:t>uary</w:t>
      </w:r>
      <w:r w:rsidR="00AC07B4">
        <w:t xml:space="preserve"> 2022</w:t>
      </w:r>
      <w:r>
        <w:t>.</w:t>
      </w:r>
    </w:p>
    <w:p w14:paraId="6EEA64CF" w14:textId="77777777" w:rsidR="00CB0852" w:rsidRDefault="00CB0852" w:rsidP="00817CEE">
      <w:pPr>
        <w:pStyle w:val="Body"/>
      </w:pPr>
    </w:p>
    <w:p w14:paraId="27B40949" w14:textId="38E41F7C" w:rsidR="001E040B" w:rsidRDefault="004C23BD" w:rsidP="004C23BD">
      <w:pPr>
        <w:pStyle w:val="Heading2"/>
      </w:pPr>
      <w:bookmarkStart w:id="22" w:name="_Toc90970291"/>
      <w:r>
        <w:t>Readiness for Surgery code V</w:t>
      </w:r>
      <w:r w:rsidR="000D5ABF">
        <w:t>:</w:t>
      </w:r>
      <w:r>
        <w:t xml:space="preserve"> Ready for Surgery – delayed due to COVID-19 response</w:t>
      </w:r>
      <w:bookmarkEnd w:id="22"/>
    </w:p>
    <w:p w14:paraId="6D26DACF" w14:textId="78BE684A" w:rsidR="0050412D" w:rsidRPr="000D5ABF" w:rsidRDefault="00202475" w:rsidP="00817CEE">
      <w:pPr>
        <w:pStyle w:val="Body"/>
      </w:pPr>
      <w:r w:rsidRPr="000D5ABF">
        <w:t xml:space="preserve">As </w:t>
      </w:r>
      <w:r w:rsidR="00E62F22" w:rsidRPr="000D5ABF">
        <w:t xml:space="preserve">elective surgery including non-urgent </w:t>
      </w:r>
      <w:r w:rsidR="00C25DC0" w:rsidRPr="000D5ABF">
        <w:t xml:space="preserve">surgery </w:t>
      </w:r>
      <w:r w:rsidR="00CE3E38" w:rsidRPr="000D5ABF">
        <w:t>starts to recommence</w:t>
      </w:r>
      <w:r w:rsidR="001E5FD6" w:rsidRPr="000D5ABF">
        <w:t xml:space="preserve">, </w:t>
      </w:r>
      <w:r w:rsidR="00551BB0" w:rsidRPr="000D5ABF">
        <w:t>h</w:t>
      </w:r>
      <w:r w:rsidR="00CE3E38" w:rsidRPr="000D5ABF">
        <w:t xml:space="preserve">ealth services are reminded that </w:t>
      </w:r>
      <w:r w:rsidR="00787C8E" w:rsidRPr="000D5ABF">
        <w:t>a</w:t>
      </w:r>
      <w:r w:rsidR="00260AC1" w:rsidRPr="000D5ABF">
        <w:t>s patients with a Readiness for Surgery code of V – Ready for Surgery – delayed due to COVID-19 response are offered a surgery date, the patient’s Readiness for Surgery status should change to R – Ready for Surgery on the date they are offered the surgery. If the patient elects to defer surgery, this status change should be recorded the next day.</w:t>
      </w:r>
    </w:p>
    <w:p w14:paraId="4CC1D320" w14:textId="53E1C70D" w:rsidR="00610812" w:rsidRPr="00610812" w:rsidRDefault="00CD0BA6" w:rsidP="00EC25CB">
      <w:pPr>
        <w:pStyle w:val="Body"/>
      </w:pPr>
      <w:r w:rsidRPr="000D5ABF">
        <w:t xml:space="preserve">Once elective surgery </w:t>
      </w:r>
      <w:r w:rsidR="00752BD9" w:rsidRPr="000D5ABF">
        <w:t xml:space="preserve">caps no longer apply </w:t>
      </w:r>
      <w:r w:rsidR="00834B50" w:rsidRPr="000D5ABF">
        <w:t>a</w:t>
      </w:r>
      <w:r w:rsidR="00610812" w:rsidRPr="000D5ABF">
        <w:t>ll remaining patients with a Readiness for Surgery status of V – Ready for Surgery – delayed due to COVID-19 response should be changed back to R – Ready for Surgery.</w:t>
      </w:r>
    </w:p>
    <w:p w14:paraId="30912EEC" w14:textId="77777777" w:rsidR="00610812" w:rsidRDefault="00610812" w:rsidP="00817CEE">
      <w:pPr>
        <w:pStyle w:val="Body"/>
      </w:pPr>
    </w:p>
    <w:p w14:paraId="35423923" w14:textId="30DFD4AB" w:rsidR="00817CEE" w:rsidRDefault="00817CEE" w:rsidP="00817CEE">
      <w:pPr>
        <w:pStyle w:val="Heading1"/>
      </w:pPr>
      <w:bookmarkStart w:id="23" w:name="_Toc90970292"/>
      <w:r>
        <w:t>Victorian Admitted Episodes Dataset (VAED)</w:t>
      </w:r>
      <w:bookmarkEnd w:id="23"/>
    </w:p>
    <w:p w14:paraId="15EE6F80" w14:textId="14BB759F" w:rsidR="00817CEE" w:rsidRDefault="00786028" w:rsidP="00B528FF">
      <w:pPr>
        <w:pStyle w:val="Heading2"/>
      </w:pPr>
      <w:bookmarkStart w:id="24" w:name="_Toc90970293"/>
      <w:r w:rsidRPr="00786028">
        <w:t>List of operators currently in the PHFA</w:t>
      </w:r>
      <w:bookmarkEnd w:id="24"/>
    </w:p>
    <w:p w14:paraId="79E8C280" w14:textId="77777777" w:rsidR="007A6E59" w:rsidRDefault="007A6E59" w:rsidP="007A6E59">
      <w:pPr>
        <w:pStyle w:val="Body"/>
      </w:pPr>
      <w:r>
        <w:t>A</w:t>
      </w:r>
      <w:r w:rsidR="00786028">
        <w:t xml:space="preserve"> list of</w:t>
      </w:r>
      <w:r w:rsidR="00BD6697">
        <w:t xml:space="preserve"> </w:t>
      </w:r>
      <w:r w:rsidR="00BD6697" w:rsidRPr="00BD6697">
        <w:t xml:space="preserve">Private Hospital Operators (Operators) </w:t>
      </w:r>
      <w:r w:rsidR="001C5CDF">
        <w:t>currently</w:t>
      </w:r>
      <w:r w:rsidR="0007595E">
        <w:t xml:space="preserve"> in the </w:t>
      </w:r>
      <w:r w:rsidR="0007595E" w:rsidRPr="0007595E">
        <w:t>Private Hospital Funding Agreement (PHFA)</w:t>
      </w:r>
      <w:r w:rsidR="001C5CDF">
        <w:t xml:space="preserve"> is </w:t>
      </w:r>
      <w:r>
        <w:t xml:space="preserve">now </w:t>
      </w:r>
      <w:r w:rsidR="00CD2FDC">
        <w:t>available at</w:t>
      </w:r>
      <w:r>
        <w:t xml:space="preserve"> </w:t>
      </w:r>
      <w:hyperlink r:id="rId25" w:history="1">
        <w:r w:rsidR="000E19C6">
          <w:rPr>
            <w:rStyle w:val="Hyperlink"/>
          </w:rPr>
          <w:t>Private hospital operators in the PHFA</w:t>
        </w:r>
      </w:hyperlink>
      <w:r w:rsidR="00155353">
        <w:t xml:space="preserve"> &lt;</w:t>
      </w:r>
      <w:r w:rsidR="00155353" w:rsidRPr="00155353">
        <w:t>https://www.health.vic.gov.au/private-health-service-establishments/private-hospital-funding-agreement</w:t>
      </w:r>
      <w:r w:rsidR="00155353">
        <w:t>&gt;</w:t>
      </w:r>
      <w:r>
        <w:t xml:space="preserve"> This list will be updated monthly. </w:t>
      </w:r>
    </w:p>
    <w:p w14:paraId="075E0D38" w14:textId="36FFC79D" w:rsidR="00125F0F" w:rsidRPr="000B57E7" w:rsidRDefault="00125F0F" w:rsidP="007A6E59">
      <w:pPr>
        <w:pStyle w:val="Body"/>
      </w:pPr>
      <w:r w:rsidRPr="000B57E7">
        <w:t xml:space="preserve">All public and private health services and Day Procedure Centres are encouraged to regularly review this list and to adjust their reporting accordingly. </w:t>
      </w:r>
    </w:p>
    <w:p w14:paraId="668CDF31" w14:textId="13FDADB3" w:rsidR="00125F0F" w:rsidRPr="000B57E7" w:rsidRDefault="00125F0F" w:rsidP="00125F0F">
      <w:pPr>
        <w:pStyle w:val="Body"/>
        <w:rPr>
          <w:rFonts w:ascii="Calibri" w:hAnsi="Calibri"/>
          <w:sz w:val="22"/>
        </w:rPr>
      </w:pPr>
      <w:r w:rsidRPr="000B57E7">
        <w:t xml:space="preserve">Health services are reminded that the Private Hospital Funding Agreement supersedes all other agreements in place between public hospitals and private hospitals/DPC’s. This means that while private hospitals and DPC’s are participating in the PHFA agreement, all public patient episodes at a private hospital/DPC must be reported according to the PHFA reporting </w:t>
      </w:r>
      <w:r w:rsidR="0050412D" w:rsidRPr="000B57E7">
        <w:t>guidelines</w:t>
      </w:r>
      <w:r w:rsidRPr="000B57E7">
        <w:t xml:space="preserve"> available on the HDSS website. </w:t>
      </w:r>
    </w:p>
    <w:p w14:paraId="455B5A8E" w14:textId="2A1A4A82" w:rsidR="00125F0F" w:rsidRDefault="00125F0F" w:rsidP="00125F0F">
      <w:r w:rsidRPr="000B57E7">
        <w:t xml:space="preserve">Private Hospitals and Day Procedure Centres </w:t>
      </w:r>
      <w:r w:rsidR="00D15EC2" w:rsidRPr="000B57E7">
        <w:t xml:space="preserve">participating in the PHFA should not </w:t>
      </w:r>
      <w:r w:rsidRPr="000B57E7">
        <w:t xml:space="preserve">report their public patient </w:t>
      </w:r>
      <w:r w:rsidR="00D15EC2" w:rsidRPr="000B57E7">
        <w:t>episodes</w:t>
      </w:r>
      <w:r w:rsidRPr="000B57E7">
        <w:t xml:space="preserve"> as Elective Surgery Blitz or as standard public contracted episodes</w:t>
      </w:r>
      <w:r w:rsidR="00D15EC2" w:rsidRPr="000B57E7">
        <w:t>, while they are participating in the PHFA</w:t>
      </w:r>
      <w:r w:rsidRPr="000B57E7">
        <w:t xml:space="preserve">. </w:t>
      </w:r>
      <w:r w:rsidR="00D15EC2" w:rsidRPr="000B57E7">
        <w:t>Similarly public hospitals contracting activity to private hospitals/DPC’s should not report the episode in the VAED while the contracting hospital is participating in the PHFA.</w:t>
      </w:r>
    </w:p>
    <w:p w14:paraId="4396BF6C" w14:textId="6208A16B" w:rsidR="007A6E59" w:rsidRDefault="007A6E59" w:rsidP="007A6E59">
      <w:pPr>
        <w:pStyle w:val="Body"/>
      </w:pPr>
    </w:p>
    <w:p w14:paraId="00257F2F" w14:textId="46A33EC9" w:rsidR="00890443" w:rsidRDefault="00890443" w:rsidP="00B528FF">
      <w:pPr>
        <w:pStyle w:val="Heading2"/>
      </w:pPr>
      <w:bookmarkStart w:id="25" w:name="_Toc90970294"/>
      <w:r>
        <w:t>Diagnosis outstanding</w:t>
      </w:r>
      <w:bookmarkEnd w:id="25"/>
      <w:r>
        <w:t xml:space="preserve"> </w:t>
      </w:r>
    </w:p>
    <w:p w14:paraId="4FD22323" w14:textId="41146048" w:rsidR="002D569F" w:rsidRDefault="7E40D39B" w:rsidP="00890443">
      <w:pPr>
        <w:pStyle w:val="Body"/>
        <w:rPr>
          <w:rFonts w:eastAsia="MS Mincho"/>
        </w:rPr>
      </w:pPr>
      <w:r>
        <w:t>Hospitals are remin</w:t>
      </w:r>
      <w:r w:rsidR="15D0F830">
        <w:t>d</w:t>
      </w:r>
      <w:r>
        <w:t>ed</w:t>
      </w:r>
      <w:r w:rsidR="006D22F8">
        <w:t xml:space="preserve"> </w:t>
      </w:r>
      <w:r w:rsidR="00333EFF">
        <w:t>that</w:t>
      </w:r>
      <w:r w:rsidR="00B87327">
        <w:t xml:space="preserve"> </w:t>
      </w:r>
      <w:r w:rsidR="00BB07DD">
        <w:rPr>
          <w:rFonts w:eastAsia="MS Mincho"/>
        </w:rPr>
        <w:t>d</w:t>
      </w:r>
      <w:r w:rsidR="00BB07DD" w:rsidRPr="009C3D79">
        <w:rPr>
          <w:rFonts w:eastAsia="MS Mincho"/>
        </w:rPr>
        <w:t>iagnosis</w:t>
      </w:r>
      <w:r w:rsidR="39614600" w:rsidRPr="60B60439">
        <w:rPr>
          <w:rFonts w:eastAsia="MS Mincho"/>
        </w:rPr>
        <w:t>,</w:t>
      </w:r>
      <w:r w:rsidR="3076FB06" w:rsidRPr="60B60439">
        <w:rPr>
          <w:rFonts w:eastAsia="MS Mincho"/>
        </w:rPr>
        <w:t xml:space="preserve"> </w:t>
      </w:r>
      <w:r w:rsidR="39614600" w:rsidRPr="60B60439">
        <w:rPr>
          <w:rFonts w:eastAsia="MS Mincho"/>
        </w:rPr>
        <w:t xml:space="preserve">palliative </w:t>
      </w:r>
      <w:r w:rsidR="00BB07DD" w:rsidRPr="009C3D79">
        <w:rPr>
          <w:rFonts w:eastAsia="MS Mincho"/>
        </w:rPr>
        <w:t xml:space="preserve">and sub-acute </w:t>
      </w:r>
      <w:r w:rsidR="39614600" w:rsidRPr="60B60439">
        <w:rPr>
          <w:rFonts w:eastAsia="MS Mincho"/>
        </w:rPr>
        <w:t>records</w:t>
      </w:r>
      <w:r w:rsidR="00BB07DD" w:rsidRPr="009C3D79">
        <w:rPr>
          <w:rFonts w:eastAsia="MS Mincho"/>
        </w:rPr>
        <w:t xml:space="preserve"> (X5</w:t>
      </w:r>
      <w:r w:rsidR="5BEC47C1" w:rsidRPr="60B60439">
        <w:rPr>
          <w:rFonts w:eastAsia="MS Mincho"/>
        </w:rPr>
        <w:t>/</w:t>
      </w:r>
      <w:r w:rsidR="00BB07DD" w:rsidRPr="009C3D79">
        <w:rPr>
          <w:rFonts w:eastAsia="MS Mincho"/>
        </w:rPr>
        <w:t xml:space="preserve">Y5, </w:t>
      </w:r>
      <w:r w:rsidR="4AD014CC" w:rsidRPr="60B60439">
        <w:rPr>
          <w:rFonts w:eastAsia="MS Mincho"/>
        </w:rPr>
        <w:t xml:space="preserve">P5 and </w:t>
      </w:r>
      <w:r w:rsidR="00BB07DD" w:rsidRPr="009C3D79">
        <w:rPr>
          <w:rFonts w:eastAsia="MS Mincho"/>
        </w:rPr>
        <w:t>S5)</w:t>
      </w:r>
      <w:r w:rsidR="00BB07DD">
        <w:rPr>
          <w:rFonts w:eastAsia="MS Mincho"/>
        </w:rPr>
        <w:t xml:space="preserve"> </w:t>
      </w:r>
      <w:r w:rsidR="004E06FB">
        <w:rPr>
          <w:rFonts w:eastAsia="MS Mincho"/>
        </w:rPr>
        <w:t>must</w:t>
      </w:r>
      <w:r w:rsidR="00935AFA">
        <w:rPr>
          <w:rFonts w:eastAsia="MS Mincho"/>
        </w:rPr>
        <w:t xml:space="preserve"> be </w:t>
      </w:r>
      <w:r w:rsidR="00BB07DD">
        <w:rPr>
          <w:rFonts w:eastAsia="MS Mincho"/>
        </w:rPr>
        <w:t xml:space="preserve">submitted </w:t>
      </w:r>
      <w:r w:rsidR="000F6819" w:rsidRPr="009C3D79">
        <w:t>by 5.00pm on the 10th day of the second month following separation</w:t>
      </w:r>
      <w:r w:rsidR="004E06FB">
        <w:t>.</w:t>
      </w:r>
      <w:r w:rsidR="00F25834">
        <w:t xml:space="preserve"> </w:t>
      </w:r>
      <w:r w:rsidR="10FD870D">
        <w:t>Some</w:t>
      </w:r>
      <w:r w:rsidR="00817B13">
        <w:t xml:space="preserve"> health services</w:t>
      </w:r>
      <w:r w:rsidR="00F25834">
        <w:t xml:space="preserve"> have outstanding</w:t>
      </w:r>
      <w:r w:rsidR="00817B13">
        <w:t xml:space="preserve"> </w:t>
      </w:r>
      <w:r w:rsidR="005A1F23">
        <w:rPr>
          <w:rFonts w:eastAsia="MS Mincho"/>
        </w:rPr>
        <w:t>diagnosis</w:t>
      </w:r>
      <w:r w:rsidR="285D86F1" w:rsidRPr="60B60439">
        <w:rPr>
          <w:rFonts w:eastAsia="MS Mincho"/>
        </w:rPr>
        <w:t>, palliative and sub-acute</w:t>
      </w:r>
      <w:r w:rsidR="00493D46" w:rsidRPr="009C3D79">
        <w:rPr>
          <w:rFonts w:eastAsia="MS Mincho"/>
        </w:rPr>
        <w:t xml:space="preserve"> records</w:t>
      </w:r>
      <w:r w:rsidR="00493D46">
        <w:rPr>
          <w:rFonts w:eastAsia="MS Mincho"/>
        </w:rPr>
        <w:t xml:space="preserve"> </w:t>
      </w:r>
      <w:r w:rsidR="4D7427A6" w:rsidRPr="60B60439">
        <w:rPr>
          <w:rFonts w:eastAsia="MS Mincho"/>
        </w:rPr>
        <w:t xml:space="preserve">for </w:t>
      </w:r>
      <w:r w:rsidR="4151E2DC" w:rsidRPr="60B60439">
        <w:rPr>
          <w:rFonts w:eastAsia="MS Mincho"/>
        </w:rPr>
        <w:t xml:space="preserve">separated </w:t>
      </w:r>
      <w:r w:rsidR="4D7427A6" w:rsidRPr="60B60439">
        <w:rPr>
          <w:rFonts w:eastAsia="MS Mincho"/>
        </w:rPr>
        <w:t xml:space="preserve">episodes </w:t>
      </w:r>
      <w:r w:rsidR="3F762B49" w:rsidRPr="60B60439">
        <w:rPr>
          <w:rFonts w:eastAsia="MS Mincho"/>
        </w:rPr>
        <w:t xml:space="preserve">from </w:t>
      </w:r>
      <w:r w:rsidR="4D7427A6" w:rsidRPr="60B60439">
        <w:rPr>
          <w:rFonts w:eastAsia="MS Mincho"/>
        </w:rPr>
        <w:t>the beginning of the financial year</w:t>
      </w:r>
      <w:r w:rsidR="306898D6" w:rsidRPr="60B60439">
        <w:rPr>
          <w:rFonts w:eastAsia="MS Mincho"/>
        </w:rPr>
        <w:t>. T</w:t>
      </w:r>
      <w:r w:rsidR="4086AA26" w:rsidRPr="60B60439">
        <w:rPr>
          <w:rFonts w:eastAsia="MS Mincho"/>
        </w:rPr>
        <w:t xml:space="preserve">hese </w:t>
      </w:r>
      <w:r w:rsidR="1C126845" w:rsidRPr="60B60439">
        <w:rPr>
          <w:rFonts w:eastAsia="MS Mincho"/>
        </w:rPr>
        <w:t xml:space="preserve">outstanding </w:t>
      </w:r>
      <w:r w:rsidR="4086AA26" w:rsidRPr="60B60439">
        <w:rPr>
          <w:rFonts w:eastAsia="MS Mincho"/>
        </w:rPr>
        <w:t>records</w:t>
      </w:r>
      <w:r w:rsidR="00FD4CFF">
        <w:rPr>
          <w:rFonts w:eastAsia="MS Mincho"/>
        </w:rPr>
        <w:t xml:space="preserve"> must be submitted </w:t>
      </w:r>
      <w:r w:rsidR="4086AA26" w:rsidRPr="60B60439">
        <w:rPr>
          <w:rFonts w:eastAsia="MS Mincho"/>
        </w:rPr>
        <w:t>or the episodes removed</w:t>
      </w:r>
      <w:r w:rsidR="68C26C38" w:rsidRPr="60B60439">
        <w:rPr>
          <w:rFonts w:eastAsia="MS Mincho"/>
        </w:rPr>
        <w:t xml:space="preserve"> from the VAED</w:t>
      </w:r>
      <w:r w:rsidR="4086AA26" w:rsidRPr="60B60439">
        <w:rPr>
          <w:rFonts w:eastAsia="MS Mincho"/>
        </w:rPr>
        <w:t xml:space="preserve"> </w:t>
      </w:r>
      <w:r w:rsidR="00FD4CFF">
        <w:rPr>
          <w:rFonts w:eastAsia="MS Mincho"/>
        </w:rPr>
        <w:t>a</w:t>
      </w:r>
      <w:r w:rsidR="00100BD8">
        <w:rPr>
          <w:rFonts w:eastAsia="MS Mincho"/>
        </w:rPr>
        <w:t>s soon as possible</w:t>
      </w:r>
      <w:r w:rsidR="00FD4CFF">
        <w:rPr>
          <w:rFonts w:eastAsia="MS Mincho"/>
        </w:rPr>
        <w:t>.</w:t>
      </w:r>
    </w:p>
    <w:p w14:paraId="12321BFA" w14:textId="778BC2E7" w:rsidR="754FF594" w:rsidRDefault="754FF594" w:rsidP="60B60439">
      <w:pPr>
        <w:pStyle w:val="Body"/>
        <w:rPr>
          <w:rFonts w:eastAsia="MS Mincho"/>
        </w:rPr>
      </w:pPr>
      <w:r w:rsidRPr="60B60439">
        <w:rPr>
          <w:rFonts w:eastAsia="MS Mincho"/>
        </w:rPr>
        <w:t xml:space="preserve">The Outstanding List </w:t>
      </w:r>
      <w:r w:rsidR="71BC002E" w:rsidRPr="60B60439">
        <w:rPr>
          <w:rFonts w:eastAsia="MS Mincho"/>
        </w:rPr>
        <w:t xml:space="preserve">tab </w:t>
      </w:r>
      <w:r w:rsidRPr="60B60439">
        <w:rPr>
          <w:rFonts w:eastAsia="MS Mincho"/>
        </w:rPr>
        <w:t xml:space="preserve">in </w:t>
      </w:r>
      <w:r w:rsidR="063591E1" w:rsidRPr="60B60439">
        <w:rPr>
          <w:rFonts w:eastAsia="MS Mincho"/>
        </w:rPr>
        <w:t xml:space="preserve">the latest </w:t>
      </w:r>
      <w:r w:rsidR="008D0C58" w:rsidRPr="60B60439">
        <w:rPr>
          <w:rFonts w:eastAsia="MS Mincho"/>
        </w:rPr>
        <w:t xml:space="preserve">PRS/2 </w:t>
      </w:r>
      <w:r w:rsidR="00FF2AC5" w:rsidRPr="60B60439">
        <w:rPr>
          <w:rFonts w:eastAsia="MS Mincho"/>
        </w:rPr>
        <w:t>Edit report</w:t>
      </w:r>
      <w:r w:rsidR="60EB62D3" w:rsidRPr="60B60439">
        <w:rPr>
          <w:rFonts w:eastAsia="MS Mincho"/>
        </w:rPr>
        <w:t xml:space="preserve">, </w:t>
      </w:r>
      <w:r w:rsidR="7466E2B1" w:rsidRPr="60B60439">
        <w:rPr>
          <w:rFonts w:eastAsia="MS Mincho"/>
        </w:rPr>
        <w:t xml:space="preserve">will provide the </w:t>
      </w:r>
      <w:r w:rsidR="40C277B0" w:rsidRPr="60B60439">
        <w:rPr>
          <w:rFonts w:eastAsia="MS Mincho"/>
        </w:rPr>
        <w:t xml:space="preserve">episode </w:t>
      </w:r>
      <w:r w:rsidR="7466E2B1" w:rsidRPr="60B60439">
        <w:rPr>
          <w:rFonts w:eastAsia="MS Mincho"/>
        </w:rPr>
        <w:t>details for all outstan</w:t>
      </w:r>
      <w:r w:rsidR="3471DC8A" w:rsidRPr="60B60439">
        <w:rPr>
          <w:rFonts w:eastAsia="MS Mincho"/>
        </w:rPr>
        <w:t>di</w:t>
      </w:r>
      <w:r w:rsidR="7466E2B1" w:rsidRPr="60B60439">
        <w:rPr>
          <w:rFonts w:eastAsia="MS Mincho"/>
        </w:rPr>
        <w:t>ng diagnosis</w:t>
      </w:r>
      <w:r w:rsidR="7E3F96B8" w:rsidRPr="60B60439">
        <w:rPr>
          <w:rFonts w:eastAsia="MS Mincho"/>
        </w:rPr>
        <w:t>,</w:t>
      </w:r>
      <w:r w:rsidR="7466E2B1" w:rsidRPr="60B60439">
        <w:rPr>
          <w:rFonts w:eastAsia="MS Mincho"/>
        </w:rPr>
        <w:t xml:space="preserve"> palliative and sub-acute records</w:t>
      </w:r>
      <w:r w:rsidR="6AFD8D8E" w:rsidRPr="60B60439">
        <w:rPr>
          <w:rFonts w:eastAsia="MS Mincho"/>
        </w:rPr>
        <w:t xml:space="preserve"> year to date (YTD).</w:t>
      </w:r>
    </w:p>
    <w:p w14:paraId="3064ED90" w14:textId="11701558" w:rsidR="00817CEE" w:rsidRDefault="00BF1C9D" w:rsidP="00817CEE">
      <w:pPr>
        <w:pStyle w:val="Body"/>
        <w:rPr>
          <w:rFonts w:eastAsia="MS Mincho"/>
        </w:rPr>
      </w:pPr>
      <w:r w:rsidRPr="60B60439">
        <w:rPr>
          <w:rFonts w:eastAsia="MS Mincho"/>
        </w:rPr>
        <w:t>Health ser</w:t>
      </w:r>
      <w:r w:rsidR="007F49BD" w:rsidRPr="60B60439">
        <w:rPr>
          <w:rFonts w:eastAsia="MS Mincho"/>
        </w:rPr>
        <w:t xml:space="preserve">vices are asked </w:t>
      </w:r>
      <w:r w:rsidR="00403045" w:rsidRPr="60B60439">
        <w:rPr>
          <w:rFonts w:eastAsia="MS Mincho"/>
        </w:rPr>
        <w:t xml:space="preserve">to </w:t>
      </w:r>
      <w:r w:rsidR="03E75F17" w:rsidRPr="60B60439">
        <w:rPr>
          <w:rFonts w:eastAsia="MS Mincho"/>
        </w:rPr>
        <w:t xml:space="preserve">regularly </w:t>
      </w:r>
      <w:r w:rsidR="00403045" w:rsidRPr="60B60439">
        <w:rPr>
          <w:rFonts w:eastAsia="MS Mincho"/>
        </w:rPr>
        <w:t xml:space="preserve">review </w:t>
      </w:r>
      <w:r w:rsidR="002459F3" w:rsidRPr="60B60439">
        <w:rPr>
          <w:rFonts w:eastAsia="MS Mincho"/>
        </w:rPr>
        <w:t xml:space="preserve">the </w:t>
      </w:r>
      <w:r w:rsidR="004E5942" w:rsidRPr="60B60439">
        <w:rPr>
          <w:rFonts w:eastAsia="MS Mincho"/>
        </w:rPr>
        <w:t>Ou</w:t>
      </w:r>
      <w:r w:rsidR="4CE8181F" w:rsidRPr="60B60439">
        <w:rPr>
          <w:rFonts w:eastAsia="MS Mincho"/>
        </w:rPr>
        <w:t>t</w:t>
      </w:r>
      <w:r w:rsidR="004E5942" w:rsidRPr="60B60439">
        <w:rPr>
          <w:rFonts w:eastAsia="MS Mincho"/>
        </w:rPr>
        <w:t xml:space="preserve">standing </w:t>
      </w:r>
      <w:r w:rsidR="67A8694D" w:rsidRPr="60B60439">
        <w:rPr>
          <w:rFonts w:eastAsia="MS Mincho"/>
        </w:rPr>
        <w:t xml:space="preserve">List </w:t>
      </w:r>
      <w:r w:rsidR="004E5942" w:rsidRPr="60B60439">
        <w:rPr>
          <w:rFonts w:eastAsia="MS Mincho"/>
        </w:rPr>
        <w:t>tab in</w:t>
      </w:r>
      <w:r w:rsidR="15912870" w:rsidRPr="60B60439">
        <w:rPr>
          <w:rFonts w:eastAsia="MS Mincho"/>
        </w:rPr>
        <w:t xml:space="preserve"> </w:t>
      </w:r>
      <w:r w:rsidR="4CB8C5AE" w:rsidRPr="60B60439">
        <w:rPr>
          <w:rFonts w:eastAsia="MS Mincho"/>
        </w:rPr>
        <w:t>PRS/2 Edit report files to ensure that</w:t>
      </w:r>
      <w:r w:rsidR="0EF81E2D" w:rsidRPr="60B60439">
        <w:rPr>
          <w:rFonts w:eastAsia="MS Mincho"/>
        </w:rPr>
        <w:t xml:space="preserve"> </w:t>
      </w:r>
      <w:r w:rsidR="27BC8758" w:rsidRPr="60B60439">
        <w:rPr>
          <w:rFonts w:eastAsia="MS Mincho"/>
        </w:rPr>
        <w:t xml:space="preserve">all outstanding records </w:t>
      </w:r>
      <w:r w:rsidR="607F0847" w:rsidRPr="60B60439">
        <w:rPr>
          <w:rFonts w:eastAsia="MS Mincho"/>
        </w:rPr>
        <w:t xml:space="preserve">YTD </w:t>
      </w:r>
      <w:r w:rsidR="27BC8758" w:rsidRPr="60B60439">
        <w:rPr>
          <w:rFonts w:eastAsia="MS Mincho"/>
        </w:rPr>
        <w:t>have been submitted</w:t>
      </w:r>
      <w:r w:rsidR="46381144" w:rsidRPr="60B60439">
        <w:rPr>
          <w:rFonts w:eastAsia="MS Mincho"/>
        </w:rPr>
        <w:t>/cleared,</w:t>
      </w:r>
      <w:r w:rsidR="4A606AC0" w:rsidRPr="60B60439">
        <w:rPr>
          <w:rFonts w:eastAsia="MS Mincho"/>
        </w:rPr>
        <w:t xml:space="preserve"> </w:t>
      </w:r>
      <w:r w:rsidR="27BC8758" w:rsidRPr="60B60439">
        <w:rPr>
          <w:rFonts w:eastAsia="MS Mincho"/>
        </w:rPr>
        <w:t xml:space="preserve">and </w:t>
      </w:r>
      <w:r w:rsidR="6FC51120" w:rsidRPr="60B60439">
        <w:rPr>
          <w:rFonts w:eastAsia="MS Mincho"/>
        </w:rPr>
        <w:t xml:space="preserve">any </w:t>
      </w:r>
      <w:r w:rsidR="27BC8758" w:rsidRPr="60B60439">
        <w:rPr>
          <w:rFonts w:eastAsia="MS Mincho"/>
        </w:rPr>
        <w:t>newly li</w:t>
      </w:r>
      <w:r w:rsidR="2840B97A" w:rsidRPr="60B60439">
        <w:rPr>
          <w:rFonts w:eastAsia="MS Mincho"/>
        </w:rPr>
        <w:t>s</w:t>
      </w:r>
      <w:r w:rsidR="27BC8758" w:rsidRPr="60B60439">
        <w:rPr>
          <w:rFonts w:eastAsia="MS Mincho"/>
        </w:rPr>
        <w:t xml:space="preserve">ted episodes are </w:t>
      </w:r>
      <w:r w:rsidR="705685D3" w:rsidRPr="60B60439">
        <w:rPr>
          <w:rFonts w:eastAsia="MS Mincho"/>
        </w:rPr>
        <w:t xml:space="preserve">also </w:t>
      </w:r>
      <w:r w:rsidR="27BC8758" w:rsidRPr="60B60439">
        <w:rPr>
          <w:rFonts w:eastAsia="MS Mincho"/>
        </w:rPr>
        <w:t>identified.</w:t>
      </w:r>
    </w:p>
    <w:p w14:paraId="13EF8BDE" w14:textId="61CAC296" w:rsidR="00CC7B02" w:rsidRDefault="00CC7B02" w:rsidP="00817CEE">
      <w:pPr>
        <w:pStyle w:val="Body"/>
        <w:rPr>
          <w:rFonts w:eastAsia="MS Mincho"/>
        </w:rPr>
      </w:pPr>
    </w:p>
    <w:p w14:paraId="2758E358" w14:textId="33D19AA1" w:rsidR="00817CEE" w:rsidRDefault="00817CEE" w:rsidP="00817CEE">
      <w:pPr>
        <w:pStyle w:val="Heading1"/>
      </w:pPr>
      <w:bookmarkStart w:id="26" w:name="_Toc90970295"/>
      <w:r>
        <w:t>Victorian Emergency Minimum Dataset (VEMD)</w:t>
      </w:r>
      <w:bookmarkEnd w:id="26"/>
    </w:p>
    <w:p w14:paraId="391A17B0" w14:textId="471DC06A" w:rsidR="00817CEE" w:rsidRDefault="0753B0DA" w:rsidP="00B528FF">
      <w:pPr>
        <w:pStyle w:val="Heading2"/>
      </w:pPr>
      <w:bookmarkStart w:id="27" w:name="_Toc90970296"/>
      <w:r>
        <w:t>Description</w:t>
      </w:r>
      <w:r w:rsidR="008F3FE0">
        <w:t xml:space="preserve"> of i</w:t>
      </w:r>
      <w:r w:rsidR="00373D6A">
        <w:t xml:space="preserve">njury </w:t>
      </w:r>
      <w:r w:rsidR="008F3FE0">
        <w:t>event</w:t>
      </w:r>
      <w:bookmarkEnd w:id="27"/>
    </w:p>
    <w:p w14:paraId="42440D27" w14:textId="425EDB26" w:rsidR="00E2625D" w:rsidRDefault="009C4E3F" w:rsidP="0044403D">
      <w:pPr>
        <w:pStyle w:val="Body"/>
      </w:pPr>
      <w:r>
        <w:t>General r</w:t>
      </w:r>
      <w:r w:rsidR="00104D90">
        <w:t xml:space="preserve">eminder about </w:t>
      </w:r>
      <w:r>
        <w:t>r</w:t>
      </w:r>
      <w:r w:rsidR="00104D90">
        <w:t>ecordi</w:t>
      </w:r>
      <w:r w:rsidR="00E374ED">
        <w:t xml:space="preserve">ng </w:t>
      </w:r>
      <w:r w:rsidR="005C53B2">
        <w:t xml:space="preserve">a </w:t>
      </w:r>
      <w:r w:rsidR="00E374ED">
        <w:t xml:space="preserve">brief, clear and concise </w:t>
      </w:r>
      <w:r w:rsidR="2BF8CA06">
        <w:t>description</w:t>
      </w:r>
      <w:r w:rsidR="00BB1220">
        <w:t xml:space="preserve"> </w:t>
      </w:r>
      <w:r w:rsidR="00E71261">
        <w:t xml:space="preserve">about </w:t>
      </w:r>
      <w:r w:rsidR="005C53B2">
        <w:t>injury event</w:t>
      </w:r>
      <w:r w:rsidR="00E71261">
        <w:t>s</w:t>
      </w:r>
      <w:r w:rsidR="005C53B2">
        <w:t xml:space="preserve"> in the </w:t>
      </w:r>
      <w:r w:rsidR="00CC7480">
        <w:t xml:space="preserve">VEMD </w:t>
      </w:r>
      <w:r w:rsidR="005C53B2">
        <w:t>Description of Injury Event field</w:t>
      </w:r>
      <w:r w:rsidR="004D4C7B">
        <w:t xml:space="preserve"> for all presentations where an injury (S or T code) is the primary diagnosis</w:t>
      </w:r>
      <w:r w:rsidR="00EF1831">
        <w:t xml:space="preserve">. </w:t>
      </w:r>
      <w:r w:rsidR="00452884">
        <w:t>The field size is 250 characters so please make sure the important items are positioned at the beginning of the description</w:t>
      </w:r>
      <w:r w:rsidR="3CF0BB96">
        <w:t xml:space="preserve"> and key terms are included</w:t>
      </w:r>
      <w:r w:rsidR="00452884">
        <w:t>.</w:t>
      </w:r>
      <w:r w:rsidR="006A1A47">
        <w:t xml:space="preserve"> </w:t>
      </w:r>
    </w:p>
    <w:p w14:paraId="4DB53521" w14:textId="5B6B8CE8" w:rsidR="0044403D" w:rsidRDefault="004F2DDC" w:rsidP="0044403D">
      <w:pPr>
        <w:pStyle w:val="Body"/>
      </w:pPr>
      <w:r>
        <w:t>Th</w:t>
      </w:r>
      <w:r w:rsidR="00BC22AD">
        <w:t xml:space="preserve">e Description of Injury Event </w:t>
      </w:r>
      <w:r>
        <w:t xml:space="preserve">field is </w:t>
      </w:r>
      <w:r w:rsidR="001D3007">
        <w:t>frequently</w:t>
      </w:r>
      <w:r>
        <w:t xml:space="preserve"> used by researcher</w:t>
      </w:r>
      <w:r w:rsidR="001021CB">
        <w:t>s</w:t>
      </w:r>
      <w:r>
        <w:t xml:space="preserve"> and policy makers </w:t>
      </w:r>
      <w:r w:rsidR="001021CB">
        <w:t xml:space="preserve">to identify </w:t>
      </w:r>
      <w:r w:rsidR="00720B46">
        <w:t xml:space="preserve">injuries related to specific </w:t>
      </w:r>
      <w:r w:rsidR="004041D9">
        <w:t>products</w:t>
      </w:r>
      <w:r w:rsidR="00720B46">
        <w:t xml:space="preserve">. </w:t>
      </w:r>
      <w:r w:rsidR="000C3C70">
        <w:t>For</w:t>
      </w:r>
      <w:r w:rsidR="00160A7D">
        <w:t xml:space="preserve"> </w:t>
      </w:r>
      <w:r w:rsidR="6B11C2C3">
        <w:t>example,</w:t>
      </w:r>
      <w:r w:rsidR="00DD574E">
        <w:t xml:space="preserve"> </w:t>
      </w:r>
      <w:r w:rsidR="7BBEB924">
        <w:t xml:space="preserve">the VEMD will be one of several sources </w:t>
      </w:r>
      <w:r w:rsidR="4AB2EE07">
        <w:t xml:space="preserve">used by </w:t>
      </w:r>
      <w:r w:rsidR="00DD574E">
        <w:t>t</w:t>
      </w:r>
      <w:r w:rsidR="0044403D">
        <w:t>he Victorian Government</w:t>
      </w:r>
      <w:r w:rsidR="000C3C70">
        <w:t xml:space="preserve"> </w:t>
      </w:r>
      <w:r w:rsidR="2149438D">
        <w:t xml:space="preserve">to assess the </w:t>
      </w:r>
      <w:r w:rsidR="4BEBB663">
        <w:t>trail</w:t>
      </w:r>
      <w:r w:rsidR="3C83355C">
        <w:t xml:space="preserve"> of</w:t>
      </w:r>
      <w:r w:rsidR="0044403D">
        <w:t xml:space="preserve"> commercially operated e-scooters</w:t>
      </w:r>
      <w:r w:rsidR="6FAFAAF2">
        <w:t>. The</w:t>
      </w:r>
      <w:r w:rsidR="3289CAD2">
        <w:t xml:space="preserve"> e-scooter</w:t>
      </w:r>
      <w:r w:rsidR="6FAFAAF2">
        <w:t xml:space="preserve"> trial </w:t>
      </w:r>
      <w:r w:rsidR="375D3BF5">
        <w:t>will take place in</w:t>
      </w:r>
      <w:r w:rsidR="0044403D">
        <w:t xml:space="preserve"> several local government areas</w:t>
      </w:r>
      <w:r w:rsidR="75C9E86D">
        <w:t>,</w:t>
      </w:r>
      <w:r w:rsidR="02F53183">
        <w:t xml:space="preserve"> commencing</w:t>
      </w:r>
      <w:r w:rsidR="0044403D">
        <w:t xml:space="preserve"> from December 2021 and will run for up to 12 months. A range of quantitative data and qualitative information will be collected from a range of sources</w:t>
      </w:r>
      <w:r w:rsidR="00523ED2">
        <w:t xml:space="preserve"> </w:t>
      </w:r>
      <w:r w:rsidR="0044403D">
        <w:t xml:space="preserve">to assess the impact of the trial on transport, economic and environmental outcomes. A key measure for the assessment will be the number, severity and cause of injuries sustained whilst riding an e-scooter. </w:t>
      </w:r>
    </w:p>
    <w:p w14:paraId="13F3219F" w14:textId="76723CE6" w:rsidR="00817CEE" w:rsidRDefault="0044403D" w:rsidP="00817CEE">
      <w:pPr>
        <w:pStyle w:val="Body"/>
      </w:pPr>
      <w:r>
        <w:t>For more information</w:t>
      </w:r>
      <w:r w:rsidR="003B577A">
        <w:t xml:space="preserve"> about the trial</w:t>
      </w:r>
      <w:r>
        <w:t xml:space="preserve">, visit the </w:t>
      </w:r>
      <w:hyperlink r:id="rId26" w:history="1">
        <w:r w:rsidRPr="0044403D">
          <w:rPr>
            <w:rStyle w:val="Hyperlink"/>
          </w:rPr>
          <w:t>VicRoads website</w:t>
        </w:r>
      </w:hyperlink>
      <w:r>
        <w:t>:</w:t>
      </w:r>
      <w:r w:rsidR="00117E9C">
        <w:t xml:space="preserve"> &lt;</w:t>
      </w:r>
      <w:r w:rsidR="00117E9C" w:rsidRPr="00117E9C">
        <w:t>https://www.vicroads.vic.gov.au/safety-and-road-rules/road-rules/a-to-z-of-road-rules/scooters-and-wheeled-recreational-devices&gt;</w:t>
      </w:r>
    </w:p>
    <w:p w14:paraId="6DC30494" w14:textId="77777777" w:rsidR="00DF5C5C" w:rsidRDefault="00DF5C5C" w:rsidP="00B976FC">
      <w:pPr>
        <w:pStyle w:val="Body"/>
      </w:pPr>
    </w:p>
    <w:p w14:paraId="25EB16BB" w14:textId="636D28CC" w:rsidR="00730E92" w:rsidRPr="00295B90" w:rsidRDefault="00730E92" w:rsidP="00295B90">
      <w:pPr>
        <w:pStyle w:val="Heading2"/>
      </w:pPr>
      <w:bookmarkStart w:id="28" w:name="_Toc90970297"/>
      <w:r>
        <w:t>Telephone calls in Emergency Departments</w:t>
      </w:r>
      <w:bookmarkEnd w:id="28"/>
    </w:p>
    <w:p w14:paraId="474EF95B" w14:textId="773743D5" w:rsidR="00730E92" w:rsidRDefault="00730E92" w:rsidP="00730E92">
      <w:pPr>
        <w:pStyle w:val="Body"/>
      </w:pPr>
      <w:r>
        <w:t>This is a reminder that telephone cal</w:t>
      </w:r>
      <w:r w:rsidR="00A948F6">
        <w:t>ls</w:t>
      </w:r>
      <w:r>
        <w:t xml:space="preserve"> </w:t>
      </w:r>
      <w:r w:rsidR="00EF75B8">
        <w:t xml:space="preserve">to </w:t>
      </w:r>
      <w:r>
        <w:t>emergency departments are not reportable to the VEMD</w:t>
      </w:r>
      <w:r w:rsidR="00BC4A5F">
        <w:t>.</w:t>
      </w:r>
    </w:p>
    <w:p w14:paraId="04C827E4" w14:textId="0A1DF171" w:rsidR="008C5E9A" w:rsidRPr="00093B52" w:rsidRDefault="00730E92" w:rsidP="008C5E9A">
      <w:pPr>
        <w:pStyle w:val="Body"/>
        <w:rPr>
          <w:strike/>
        </w:rPr>
      </w:pPr>
      <w:r>
        <w:t>An Emergency Department Presentation is the reporting unit of the VEMD</w:t>
      </w:r>
      <w:r w:rsidR="008C5E9A">
        <w:t>.</w:t>
      </w:r>
      <w:r w:rsidR="008C5E9A" w:rsidRPr="00093B52">
        <w:t>All presentations assessed to the extent that they are allocated a Triage Category should be reported. This includes presentations to the Emergency Department via an audio-visual link (refer to Telehealth below) where the patient is physically present with a nurse or doctor at a public urgent care centre, other public emergency department, correctional facility or a Victorian government or non-government residential aged care service.</w:t>
      </w:r>
    </w:p>
    <w:p w14:paraId="4A876BEF" w14:textId="0DAF06D6" w:rsidR="008C5E9A" w:rsidRDefault="008C5E9A" w:rsidP="008C5E9A">
      <w:pPr>
        <w:pStyle w:val="Body"/>
      </w:pPr>
      <w:r w:rsidRPr="00093B52">
        <w:t>For Telehealth presentations, a patient will be triaged into the Emergency Department workload via electronic referral and telephone discussion between nurse or doctor at the patient location.</w:t>
      </w:r>
    </w:p>
    <w:p w14:paraId="1F767048" w14:textId="1DBE4922" w:rsidR="00730E92" w:rsidRDefault="00730E92" w:rsidP="00817CEE">
      <w:pPr>
        <w:pStyle w:val="Body"/>
      </w:pPr>
    </w:p>
    <w:p w14:paraId="2E084E6B" w14:textId="0941B530" w:rsidR="00817CEE" w:rsidRDefault="00817CEE" w:rsidP="00817CEE">
      <w:pPr>
        <w:pStyle w:val="Heading1"/>
      </w:pPr>
      <w:bookmarkStart w:id="29" w:name="_Toc90970298"/>
      <w:r>
        <w:t>Victorian Integrated Non-Admitted Health Minimum Dataset (VINAH)</w:t>
      </w:r>
      <w:bookmarkEnd w:id="29"/>
    </w:p>
    <w:p w14:paraId="494621F3" w14:textId="5AC280DA" w:rsidR="00817CEE" w:rsidRDefault="383D0458" w:rsidP="45B089F2">
      <w:pPr>
        <w:pStyle w:val="Heading2"/>
      </w:pPr>
      <w:bookmarkStart w:id="30" w:name="_Toc90970299"/>
      <w:r>
        <w:t>Contact Deliver</w:t>
      </w:r>
      <w:r w:rsidR="4893B215">
        <w:t>y</w:t>
      </w:r>
      <w:r>
        <w:t xml:space="preserve"> Setting </w:t>
      </w:r>
      <w:r w:rsidR="001642D5">
        <w:t>–</w:t>
      </w:r>
      <w:r>
        <w:t xml:space="preserve"> Reporting </w:t>
      </w:r>
      <w:r w:rsidR="001642D5">
        <w:t>guidelines</w:t>
      </w:r>
      <w:bookmarkEnd w:id="30"/>
      <w:r>
        <w:t xml:space="preserve"> </w:t>
      </w:r>
      <w:r w:rsidR="001642D5">
        <w:t xml:space="preserve">   </w:t>
      </w:r>
    </w:p>
    <w:p w14:paraId="4AFC1AA5" w14:textId="7F08EEBA" w:rsidR="00817CEE" w:rsidRDefault="1678EEFA" w:rsidP="005D2922">
      <w:pPr>
        <w:pStyle w:val="Body"/>
      </w:pPr>
      <w:r>
        <w:t>The following reporting guides were omitted from the VINAH manual and will be included in the next edition.</w:t>
      </w:r>
    </w:p>
    <w:p w14:paraId="32CDEEEF" w14:textId="166CA344" w:rsidR="00817CEE" w:rsidRDefault="5CF3D56B" w:rsidP="45B089F2">
      <w:pPr>
        <w:spacing w:line="257" w:lineRule="auto"/>
        <w:rPr>
          <w:rFonts w:eastAsia="Arial" w:cs="Arial"/>
          <w:b/>
          <w:bCs/>
          <w:color w:val="000000" w:themeColor="text1"/>
          <w:sz w:val="28"/>
          <w:szCs w:val="28"/>
        </w:rPr>
      </w:pPr>
      <w:r w:rsidRPr="45B089F2">
        <w:rPr>
          <w:rFonts w:eastAsia="Arial" w:cs="Arial"/>
          <w:b/>
          <w:bCs/>
          <w:color w:val="000000" w:themeColor="text1"/>
          <w:sz w:val="28"/>
          <w:szCs w:val="28"/>
        </w:rPr>
        <w:t>Contact Deliver Setting</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2130"/>
        <w:gridCol w:w="7785"/>
      </w:tblGrid>
      <w:tr w:rsidR="45B089F2" w14:paraId="4BB90F94" w14:textId="77777777" w:rsidTr="540741D9">
        <w:trPr>
          <w:trHeight w:val="285"/>
        </w:trPr>
        <w:tc>
          <w:tcPr>
            <w:tcW w:w="2130" w:type="dxa"/>
          </w:tcPr>
          <w:p w14:paraId="20EBAFF4" w14:textId="12886C53" w:rsidR="45B089F2" w:rsidRDefault="45B089F2" w:rsidP="00CA3A03">
            <w:pPr>
              <w:spacing w:after="0" w:line="276" w:lineRule="auto"/>
            </w:pPr>
            <w:r w:rsidRPr="45B089F2">
              <w:rPr>
                <w:rFonts w:eastAsia="Arial" w:cs="Arial"/>
                <w:b/>
                <w:bCs/>
                <w:szCs w:val="21"/>
              </w:rPr>
              <w:t>Value domain</w:t>
            </w:r>
          </w:p>
        </w:tc>
        <w:tc>
          <w:tcPr>
            <w:tcW w:w="7785" w:type="dxa"/>
          </w:tcPr>
          <w:p w14:paraId="7753FDA3" w14:textId="505076FC" w:rsidR="45B089F2" w:rsidRDefault="75BF127F" w:rsidP="540741D9">
            <w:pPr>
              <w:spacing w:after="0" w:line="276" w:lineRule="auto"/>
            </w:pPr>
            <w:r w:rsidRPr="540741D9">
              <w:rPr>
                <w:rFonts w:eastAsia="Arial" w:cs="Arial"/>
                <w:b/>
                <w:bCs/>
              </w:rPr>
              <w:t>Enumerated</w:t>
            </w:r>
          </w:p>
        </w:tc>
      </w:tr>
      <w:tr w:rsidR="45B089F2" w14:paraId="5ECC6AC3" w14:textId="77777777" w:rsidTr="540741D9">
        <w:trPr>
          <w:trHeight w:val="285"/>
        </w:trPr>
        <w:tc>
          <w:tcPr>
            <w:tcW w:w="2130" w:type="dxa"/>
          </w:tcPr>
          <w:p w14:paraId="3FFC0C05" w14:textId="3215E89C" w:rsidR="45B089F2" w:rsidRDefault="45B089F2" w:rsidP="00CA3A03">
            <w:pPr>
              <w:spacing w:after="0" w:line="276" w:lineRule="auto"/>
            </w:pPr>
            <w:r w:rsidRPr="45B089F2">
              <w:rPr>
                <w:rFonts w:eastAsia="Arial" w:cs="Arial"/>
                <w:b/>
                <w:bCs/>
                <w:szCs w:val="21"/>
              </w:rPr>
              <w:t xml:space="preserve"> </w:t>
            </w:r>
          </w:p>
        </w:tc>
        <w:tc>
          <w:tcPr>
            <w:tcW w:w="7785" w:type="dxa"/>
          </w:tcPr>
          <w:p w14:paraId="78EB29F4" w14:textId="65BAC0E8" w:rsidR="45B089F2" w:rsidRDefault="75BF127F" w:rsidP="540741D9">
            <w:pPr>
              <w:spacing w:after="0" w:line="276" w:lineRule="auto"/>
            </w:pPr>
            <w:r w:rsidRPr="540741D9">
              <w:rPr>
                <w:rFonts w:eastAsia="Arial" w:cs="Arial"/>
              </w:rPr>
              <w:t>Table identifier HL70305</w:t>
            </w:r>
          </w:p>
        </w:tc>
      </w:tr>
      <w:tr w:rsidR="45B089F2" w14:paraId="58913E9C" w14:textId="77777777" w:rsidTr="540741D9">
        <w:trPr>
          <w:trHeight w:val="285"/>
        </w:trPr>
        <w:tc>
          <w:tcPr>
            <w:tcW w:w="2130" w:type="dxa"/>
          </w:tcPr>
          <w:p w14:paraId="24E2AEB8" w14:textId="6AA22759" w:rsidR="45B089F2" w:rsidRDefault="45B089F2" w:rsidP="00CA3A03">
            <w:pPr>
              <w:spacing w:after="0" w:line="276" w:lineRule="auto"/>
            </w:pPr>
            <w:r w:rsidRPr="45B089F2">
              <w:rPr>
                <w:rFonts w:eastAsia="Arial" w:cs="Arial"/>
                <w:b/>
                <w:bCs/>
                <w:szCs w:val="21"/>
              </w:rPr>
              <w:t xml:space="preserve"> </w:t>
            </w:r>
          </w:p>
        </w:tc>
        <w:tc>
          <w:tcPr>
            <w:tcW w:w="7785" w:type="dxa"/>
          </w:tcPr>
          <w:p w14:paraId="30008907" w14:textId="5063E852" w:rsidR="45B089F2" w:rsidRDefault="75BF127F" w:rsidP="540741D9">
            <w:pPr>
              <w:spacing w:after="0" w:line="276" w:lineRule="auto"/>
              <w:rPr>
                <w:rFonts w:eastAsia="Arial" w:cs="Arial"/>
                <w:b/>
                <w:bCs/>
              </w:rPr>
            </w:pPr>
            <w:r w:rsidRPr="540741D9">
              <w:rPr>
                <w:rFonts w:eastAsia="Arial" w:cs="Arial"/>
                <w:b/>
                <w:bCs/>
              </w:rPr>
              <w:t>Code</w:t>
            </w:r>
            <w:r w:rsidR="427817FB" w:rsidRPr="540741D9">
              <w:rPr>
                <w:rFonts w:eastAsia="Arial" w:cs="Arial"/>
                <w:b/>
                <w:bCs/>
              </w:rPr>
              <w:t xml:space="preserve">     </w:t>
            </w:r>
            <w:r w:rsidRPr="540741D9">
              <w:rPr>
                <w:rFonts w:eastAsia="Arial" w:cs="Arial"/>
                <w:b/>
                <w:bCs/>
              </w:rPr>
              <w:t>Descriptor</w:t>
            </w:r>
          </w:p>
        </w:tc>
      </w:tr>
      <w:tr w:rsidR="45B089F2" w14:paraId="046B9905" w14:textId="77777777" w:rsidTr="540741D9">
        <w:trPr>
          <w:trHeight w:val="285"/>
        </w:trPr>
        <w:tc>
          <w:tcPr>
            <w:tcW w:w="2130" w:type="dxa"/>
          </w:tcPr>
          <w:p w14:paraId="3230E161" w14:textId="37CACF70" w:rsidR="45B089F2" w:rsidRDefault="45B089F2" w:rsidP="00CA3A03">
            <w:pPr>
              <w:spacing w:after="0" w:line="276" w:lineRule="auto"/>
              <w:jc w:val="right"/>
            </w:pPr>
            <w:r w:rsidRPr="45B089F2">
              <w:rPr>
                <w:rFonts w:eastAsia="Arial" w:cs="Arial"/>
                <w:b/>
                <w:bCs/>
                <w:szCs w:val="21"/>
              </w:rPr>
              <w:t xml:space="preserve"> </w:t>
            </w:r>
          </w:p>
        </w:tc>
        <w:tc>
          <w:tcPr>
            <w:tcW w:w="7785" w:type="dxa"/>
          </w:tcPr>
          <w:p w14:paraId="6F0AADFF" w14:textId="3CB0DD2F" w:rsidR="45B089F2" w:rsidRDefault="75BF127F" w:rsidP="540741D9">
            <w:pPr>
              <w:spacing w:after="0" w:line="276" w:lineRule="auto"/>
            </w:pPr>
            <w:r w:rsidRPr="540741D9">
              <w:rPr>
                <w:rFonts w:eastAsia="Arial" w:cs="Arial"/>
              </w:rPr>
              <w:t>15</w:t>
            </w:r>
            <w:r w:rsidR="48ECE061" w:rsidRPr="540741D9">
              <w:rPr>
                <w:rFonts w:eastAsia="Arial" w:cs="Arial"/>
              </w:rPr>
              <w:t xml:space="preserve">          </w:t>
            </w:r>
            <w:r w:rsidRPr="540741D9">
              <w:rPr>
                <w:rFonts w:eastAsia="Arial" w:cs="Arial"/>
              </w:rPr>
              <w:t>Hospital setting – inpatient palliative care unit</w:t>
            </w:r>
          </w:p>
        </w:tc>
      </w:tr>
      <w:tr w:rsidR="45B089F2" w14:paraId="430D9D40" w14:textId="77777777" w:rsidTr="540741D9">
        <w:trPr>
          <w:trHeight w:val="285"/>
        </w:trPr>
        <w:tc>
          <w:tcPr>
            <w:tcW w:w="2130" w:type="dxa"/>
          </w:tcPr>
          <w:p w14:paraId="107E1432" w14:textId="184AA00A" w:rsidR="45B089F2" w:rsidRDefault="45B089F2">
            <w:r w:rsidRPr="45B089F2">
              <w:rPr>
                <w:rFonts w:eastAsia="Arial" w:cs="Arial"/>
                <w:b/>
                <w:bCs/>
                <w:szCs w:val="21"/>
              </w:rPr>
              <w:t xml:space="preserve"> </w:t>
            </w:r>
          </w:p>
        </w:tc>
        <w:tc>
          <w:tcPr>
            <w:tcW w:w="7785" w:type="dxa"/>
          </w:tcPr>
          <w:p w14:paraId="0760D4B3" w14:textId="27D3720E" w:rsidR="45B089F2" w:rsidRDefault="75BF127F" w:rsidP="540741D9">
            <w:pPr>
              <w:spacing w:after="0" w:line="276" w:lineRule="auto"/>
              <w:rPr>
                <w:rFonts w:eastAsia="Arial" w:cs="Arial"/>
              </w:rPr>
            </w:pPr>
            <w:r w:rsidRPr="540741D9">
              <w:rPr>
                <w:rFonts w:eastAsia="Arial" w:cs="Arial"/>
              </w:rPr>
              <w:t>22</w:t>
            </w:r>
            <w:r w:rsidR="37E9D262" w:rsidRPr="540741D9">
              <w:rPr>
                <w:rFonts w:eastAsia="Arial" w:cs="Arial"/>
              </w:rPr>
              <w:t xml:space="preserve">          </w:t>
            </w:r>
            <w:r w:rsidRPr="540741D9">
              <w:rPr>
                <w:rFonts w:eastAsia="Arial" w:cs="Arial"/>
              </w:rPr>
              <w:t>General practice setting</w:t>
            </w:r>
          </w:p>
          <w:p w14:paraId="1A29D163" w14:textId="261E9987" w:rsidR="45B089F2" w:rsidRDefault="45B089F2" w:rsidP="540741D9">
            <w:pPr>
              <w:spacing w:after="0" w:line="276" w:lineRule="auto"/>
              <w:rPr>
                <w:szCs w:val="21"/>
              </w:rPr>
            </w:pPr>
          </w:p>
        </w:tc>
      </w:tr>
    </w:tbl>
    <w:p w14:paraId="6872D9D6" w14:textId="5A37440B" w:rsidR="00817CEE" w:rsidRDefault="1678EEFA" w:rsidP="00CA3A03">
      <w:pPr>
        <w:pStyle w:val="Body"/>
        <w:spacing w:after="0" w:line="276" w:lineRule="auto"/>
        <w:rPr>
          <w:b/>
          <w:bCs/>
          <w:szCs w:val="21"/>
        </w:rPr>
      </w:pPr>
      <w:r w:rsidRPr="45B089F2">
        <w:rPr>
          <w:b/>
          <w:bCs/>
        </w:rPr>
        <w:t>15 - Hospital setting – inpatient palliative care unit</w:t>
      </w:r>
    </w:p>
    <w:p w14:paraId="3644BAAD" w14:textId="21CB101B" w:rsidR="00817CEE" w:rsidRDefault="1678EEFA" w:rsidP="540741D9">
      <w:pPr>
        <w:pStyle w:val="Body"/>
        <w:spacing w:after="0" w:line="276" w:lineRule="auto"/>
      </w:pPr>
      <w:r>
        <w:t xml:space="preserve">This code should be used when a patient/client is physically located in a specialised inpatient palliative care unit or specialised palliative care room/bed. </w:t>
      </w:r>
    </w:p>
    <w:p w14:paraId="7A815855" w14:textId="554086D1" w:rsidR="00817CEE" w:rsidRDefault="1678EEFA" w:rsidP="540741D9">
      <w:pPr>
        <w:pStyle w:val="Body"/>
        <w:spacing w:after="0" w:line="276" w:lineRule="auto"/>
      </w:pPr>
      <w:r>
        <w:t>Excludes:</w:t>
      </w:r>
    </w:p>
    <w:p w14:paraId="46F6BB4C" w14:textId="39ED4F97" w:rsidR="00817CEE" w:rsidRDefault="1678EEFA" w:rsidP="540741D9">
      <w:pPr>
        <w:pStyle w:val="Body"/>
        <w:spacing w:after="0" w:line="276" w:lineRule="auto"/>
      </w:pPr>
      <w:r>
        <w:t>HITH (use code 31)</w:t>
      </w:r>
    </w:p>
    <w:p w14:paraId="1A289472" w14:textId="5815B9ED" w:rsidR="00817CEE" w:rsidRDefault="1678EEFA" w:rsidP="00CA3A03">
      <w:pPr>
        <w:pStyle w:val="Body"/>
        <w:spacing w:after="0" w:line="276" w:lineRule="auto"/>
      </w:pPr>
      <w:r>
        <w:t>Hospital setting – Inpatient setting (use code 11)</w:t>
      </w:r>
    </w:p>
    <w:p w14:paraId="20326BA2" w14:textId="3334AAE3" w:rsidR="540741D9" w:rsidRDefault="540741D9" w:rsidP="540741D9">
      <w:pPr>
        <w:pStyle w:val="Body"/>
        <w:spacing w:line="240" w:lineRule="auto"/>
        <w:rPr>
          <w:b/>
          <w:bCs/>
        </w:rPr>
      </w:pPr>
    </w:p>
    <w:p w14:paraId="36BD3223" w14:textId="4F9C2238" w:rsidR="00817CEE" w:rsidRDefault="1678EEFA" w:rsidP="00CA3A03">
      <w:pPr>
        <w:pStyle w:val="Body"/>
        <w:spacing w:after="0" w:line="276" w:lineRule="auto"/>
      </w:pPr>
      <w:r w:rsidRPr="540741D9">
        <w:rPr>
          <w:b/>
          <w:bCs/>
        </w:rPr>
        <w:t>22 - General practice setting</w:t>
      </w:r>
    </w:p>
    <w:p w14:paraId="12211F0F" w14:textId="2F4E0D9D" w:rsidR="00817CEE" w:rsidRDefault="1678EEFA" w:rsidP="540741D9">
      <w:pPr>
        <w:pStyle w:val="Body"/>
        <w:spacing w:after="0" w:line="276" w:lineRule="auto"/>
      </w:pPr>
      <w:r>
        <w:t>This code should be used when the patient/client is physically present</w:t>
      </w:r>
      <w:r w:rsidR="00D15EC2">
        <w:t xml:space="preserve"> </w:t>
      </w:r>
      <w:r>
        <w:t>at the general practitioner’s (GP) practice.</w:t>
      </w:r>
    </w:p>
    <w:p w14:paraId="226D2D56" w14:textId="77777777" w:rsidR="00184362" w:rsidRDefault="00184362" w:rsidP="540741D9">
      <w:pPr>
        <w:pStyle w:val="Body"/>
        <w:spacing w:after="0" w:line="276" w:lineRule="auto"/>
      </w:pPr>
    </w:p>
    <w:p w14:paraId="701BAF35" w14:textId="7ABC8EDD" w:rsidR="00FD61C9" w:rsidRDefault="00673056" w:rsidP="00FD61C9">
      <w:pPr>
        <w:pStyle w:val="Heading2"/>
      </w:pPr>
      <w:bookmarkStart w:id="31" w:name="_Toc90970300"/>
      <w:r>
        <w:t xml:space="preserve">Screening </w:t>
      </w:r>
      <w:r w:rsidR="00E41EA0">
        <w:t>R</w:t>
      </w:r>
      <w:r>
        <w:t>eferrals</w:t>
      </w:r>
      <w:r w:rsidR="00AB3B69">
        <w:t xml:space="preserve"> and </w:t>
      </w:r>
      <w:r w:rsidR="00E41EA0">
        <w:t>C</w:t>
      </w:r>
      <w:r w:rsidR="00AB3B69">
        <w:t>ontacts</w:t>
      </w:r>
      <w:bookmarkEnd w:id="31"/>
    </w:p>
    <w:p w14:paraId="3D8CEBDF" w14:textId="6D34EF3E" w:rsidR="00A250AB" w:rsidRPr="00802E5A" w:rsidRDefault="004C40FA" w:rsidP="00971E55">
      <w:pPr>
        <w:pStyle w:val="Body"/>
        <w:rPr>
          <w:rFonts w:eastAsia="Arial" w:cs="Arial"/>
        </w:rPr>
      </w:pPr>
      <w:r>
        <w:t>It has been identified health services</w:t>
      </w:r>
      <w:r w:rsidR="00983CA9">
        <w:t xml:space="preserve"> are reporting screening </w:t>
      </w:r>
      <w:r w:rsidR="005F395A">
        <w:t>referrals and contacts</w:t>
      </w:r>
      <w:r w:rsidR="002670C0">
        <w:t xml:space="preserve"> </w:t>
      </w:r>
      <w:r w:rsidR="003B2D9E">
        <w:t>for</w:t>
      </w:r>
      <w:r w:rsidR="00994A09">
        <w:t xml:space="preserve"> </w:t>
      </w:r>
      <w:r w:rsidR="000B2133">
        <w:t xml:space="preserve">program streams other than </w:t>
      </w:r>
      <w:r w:rsidR="778AE481" w:rsidRPr="41165709">
        <w:rPr>
          <w:rFonts w:eastAsia="Arial" w:cs="Arial"/>
        </w:rPr>
        <w:t xml:space="preserve">Community-based </w:t>
      </w:r>
      <w:r w:rsidR="000B2133" w:rsidRPr="41165709">
        <w:rPr>
          <w:rFonts w:eastAsia="Arial" w:cs="Arial"/>
        </w:rPr>
        <w:t>Palliative Care.</w:t>
      </w:r>
    </w:p>
    <w:p w14:paraId="4BF76AE7" w14:textId="0825A1F3" w:rsidR="000B2133" w:rsidRDefault="00473A3D" w:rsidP="0075299C">
      <w:pPr>
        <w:pStyle w:val="Body"/>
        <w:spacing w:after="0" w:line="240" w:lineRule="auto"/>
        <w:rPr>
          <w:rFonts w:eastAsia="Arial" w:cs="Arial"/>
          <w:bCs/>
        </w:rPr>
      </w:pPr>
      <w:r w:rsidRPr="00930347">
        <w:t xml:space="preserve">This is a reminder that screening </w:t>
      </w:r>
      <w:r w:rsidR="002E2499" w:rsidRPr="00930347">
        <w:t>referrals</w:t>
      </w:r>
      <w:r w:rsidRPr="00930347">
        <w:t xml:space="preserve"> </w:t>
      </w:r>
      <w:r w:rsidR="00712D72" w:rsidRPr="00930347">
        <w:t xml:space="preserve">and </w:t>
      </w:r>
      <w:r w:rsidR="002E2499" w:rsidRPr="00930347">
        <w:t>contacts</w:t>
      </w:r>
      <w:r w:rsidR="00712D72" w:rsidRPr="00930347">
        <w:t xml:space="preserve"> are reportable for </w:t>
      </w:r>
      <w:r w:rsidR="0068534D">
        <w:t>P</w:t>
      </w:r>
      <w:r w:rsidR="00923C1D">
        <w:t xml:space="preserve">rogram </w:t>
      </w:r>
      <w:r w:rsidR="0068534D">
        <w:t>S</w:t>
      </w:r>
      <w:r w:rsidR="00923C1D">
        <w:t>tream</w:t>
      </w:r>
      <w:r w:rsidR="00923C1D" w:rsidRPr="00930347">
        <w:t xml:space="preserve"> </w:t>
      </w:r>
      <w:r w:rsidR="00712D72" w:rsidRPr="00930347">
        <w:t>code</w:t>
      </w:r>
      <w:r w:rsidR="00712D72">
        <w:t xml:space="preserve"> </w:t>
      </w:r>
      <w:r w:rsidR="00712D72" w:rsidRPr="41165709">
        <w:rPr>
          <w:b/>
        </w:rPr>
        <w:t>41 -</w:t>
      </w:r>
      <w:r w:rsidR="00712D72">
        <w:t xml:space="preserve"> </w:t>
      </w:r>
      <w:r w:rsidR="35F87FF3" w:rsidRPr="41165709">
        <w:rPr>
          <w:rFonts w:eastAsia="Arial" w:cs="Arial"/>
          <w:b/>
          <w:bCs/>
        </w:rPr>
        <w:t xml:space="preserve">Community-based </w:t>
      </w:r>
      <w:r w:rsidR="00712D72" w:rsidRPr="41165709">
        <w:rPr>
          <w:rFonts w:eastAsia="Arial" w:cs="Arial"/>
          <w:b/>
        </w:rPr>
        <w:t>Palliative Care</w:t>
      </w:r>
      <w:r w:rsidR="001B1AB1">
        <w:rPr>
          <w:rFonts w:eastAsia="Arial" w:cs="Arial"/>
          <w:b/>
        </w:rPr>
        <w:t xml:space="preserve"> </w:t>
      </w:r>
      <w:r w:rsidR="001B1AB1" w:rsidRPr="001B1AB1">
        <w:rPr>
          <w:rFonts w:eastAsia="Arial" w:cs="Arial"/>
          <w:bCs/>
        </w:rPr>
        <w:t>only</w:t>
      </w:r>
      <w:r w:rsidR="00712D72" w:rsidRPr="001B1AB1">
        <w:rPr>
          <w:rFonts w:eastAsia="Arial" w:cs="Arial"/>
          <w:bCs/>
        </w:rPr>
        <w:t>.</w:t>
      </w:r>
    </w:p>
    <w:p w14:paraId="09D343E8" w14:textId="77777777" w:rsidR="00A250AB" w:rsidRDefault="00A250AB" w:rsidP="0075299C">
      <w:pPr>
        <w:pStyle w:val="Body"/>
        <w:spacing w:after="0" w:line="240" w:lineRule="auto"/>
      </w:pPr>
    </w:p>
    <w:p w14:paraId="049522A5" w14:textId="6B8BA120" w:rsidR="004D3204" w:rsidRDefault="00A32231" w:rsidP="0075299C">
      <w:pPr>
        <w:pStyle w:val="Body"/>
        <w:spacing w:after="0" w:line="240" w:lineRule="auto"/>
        <w:rPr>
          <w:rFonts w:cs="Arial"/>
        </w:rPr>
      </w:pPr>
      <w:r>
        <w:t>For data quality purposes</w:t>
      </w:r>
      <w:r w:rsidR="00DB079A">
        <w:t xml:space="preserve"> </w:t>
      </w:r>
      <w:r w:rsidR="00DB079A" w:rsidRPr="41165709">
        <w:rPr>
          <w:rFonts w:cs="Arial"/>
        </w:rPr>
        <w:t>t</w:t>
      </w:r>
      <w:r w:rsidR="00FD61C9" w:rsidRPr="41165709">
        <w:rPr>
          <w:rFonts w:cs="Arial"/>
        </w:rPr>
        <w:t>he following validation and business rule has been deployed</w:t>
      </w:r>
      <w:r w:rsidR="00AC313F" w:rsidRPr="41165709">
        <w:rPr>
          <w:rFonts w:cs="Arial"/>
        </w:rPr>
        <w:t xml:space="preserve"> </w:t>
      </w:r>
      <w:r w:rsidR="00E87930" w:rsidRPr="41165709">
        <w:rPr>
          <w:rFonts w:cs="Arial"/>
        </w:rPr>
        <w:t>to identify</w:t>
      </w:r>
      <w:r w:rsidR="00830817" w:rsidRPr="41165709">
        <w:rPr>
          <w:rFonts w:cs="Arial"/>
        </w:rPr>
        <w:t xml:space="preserve"> </w:t>
      </w:r>
      <w:r w:rsidR="00280322" w:rsidRPr="41165709">
        <w:rPr>
          <w:rFonts w:cs="Arial"/>
        </w:rPr>
        <w:t>report</w:t>
      </w:r>
      <w:r w:rsidR="00F442A7" w:rsidRPr="41165709">
        <w:rPr>
          <w:rFonts w:cs="Arial"/>
        </w:rPr>
        <w:t>ing under</w:t>
      </w:r>
      <w:r w:rsidR="001B5A22" w:rsidRPr="41165709">
        <w:rPr>
          <w:rFonts w:cs="Arial"/>
        </w:rPr>
        <w:t xml:space="preserve"> the incorrect </w:t>
      </w:r>
      <w:r w:rsidR="009B3596">
        <w:rPr>
          <w:rFonts w:cs="Arial"/>
        </w:rPr>
        <w:t>P</w:t>
      </w:r>
      <w:r w:rsidR="001B5A22" w:rsidRPr="41165709">
        <w:rPr>
          <w:rFonts w:cs="Arial"/>
        </w:rPr>
        <w:t xml:space="preserve">rogram </w:t>
      </w:r>
      <w:r w:rsidR="009B3596">
        <w:rPr>
          <w:rFonts w:cs="Arial"/>
        </w:rPr>
        <w:t>S</w:t>
      </w:r>
      <w:r w:rsidR="001B5A22" w:rsidRPr="41165709">
        <w:rPr>
          <w:rFonts w:cs="Arial"/>
        </w:rPr>
        <w:t>tream</w:t>
      </w:r>
      <w:r w:rsidR="008D3177" w:rsidRPr="41165709">
        <w:rPr>
          <w:rFonts w:cs="Arial"/>
        </w:rPr>
        <w:t>.</w:t>
      </w:r>
    </w:p>
    <w:p w14:paraId="70956786" w14:textId="77777777" w:rsidR="00E31E55" w:rsidRPr="00E31E55" w:rsidRDefault="00E31E55" w:rsidP="00E31E55">
      <w:pPr>
        <w:pStyle w:val="Body"/>
      </w:pPr>
    </w:p>
    <w:p w14:paraId="0FCC23BE" w14:textId="72741FFF" w:rsidR="00FD61C9" w:rsidRPr="00464353" w:rsidRDefault="00FD61C9" w:rsidP="00FD61C9">
      <w:pPr>
        <w:rPr>
          <w:rFonts w:cs="Arial"/>
          <w:b/>
        </w:rPr>
      </w:pPr>
      <w:r w:rsidRPr="6A404F92">
        <w:rPr>
          <w:rFonts w:cs="Arial"/>
          <w:b/>
        </w:rPr>
        <w:t xml:space="preserve">Section 4 </w:t>
      </w:r>
      <w:r w:rsidR="7EE19BB4" w:rsidRPr="6A404F92">
        <w:rPr>
          <w:rFonts w:cs="Arial"/>
          <w:b/>
          <w:bCs/>
        </w:rPr>
        <w:t>-</w:t>
      </w:r>
      <w:r w:rsidRPr="6A404F92">
        <w:rPr>
          <w:rFonts w:cs="Arial"/>
          <w:b/>
        </w:rPr>
        <w:t xml:space="preserve"> Business rules</w:t>
      </w:r>
    </w:p>
    <w:tbl>
      <w:tblPr>
        <w:tblW w:w="5000" w:type="pct"/>
        <w:tblCellMar>
          <w:left w:w="0" w:type="dxa"/>
          <w:right w:w="0" w:type="dxa"/>
        </w:tblCellMar>
        <w:tblLook w:val="04A0" w:firstRow="1" w:lastRow="0" w:firstColumn="1" w:lastColumn="0" w:noHBand="0" w:noVBand="1"/>
      </w:tblPr>
      <w:tblGrid>
        <w:gridCol w:w="2646"/>
        <w:gridCol w:w="1344"/>
        <w:gridCol w:w="6194"/>
      </w:tblGrid>
      <w:tr w:rsidR="00FD61C9" w:rsidRPr="00464353" w14:paraId="5E3C1C1E" w14:textId="77777777" w:rsidTr="00DC2742">
        <w:trPr>
          <w:trHeight w:val="121"/>
        </w:trPr>
        <w:tc>
          <w:tcPr>
            <w:tcW w:w="129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5" w:type="dxa"/>
              <w:bottom w:w="0" w:type="dxa"/>
              <w:right w:w="105" w:type="dxa"/>
            </w:tcMar>
            <w:hideMark/>
          </w:tcPr>
          <w:p w14:paraId="2583D8B6" w14:textId="77777777" w:rsidR="00FD61C9" w:rsidRPr="00464353" w:rsidRDefault="00FD61C9" w:rsidP="00341C01">
            <w:pPr>
              <w:rPr>
                <w:rFonts w:cs="Arial"/>
                <w:szCs w:val="21"/>
              </w:rPr>
            </w:pPr>
            <w:r w:rsidRPr="00464353">
              <w:rPr>
                <w:rFonts w:cs="Arial"/>
                <w:b/>
                <w:bCs/>
                <w:szCs w:val="21"/>
              </w:rPr>
              <w:t>BR-DAT-CNT-033</w:t>
            </w:r>
            <w:r w:rsidRPr="00464353">
              <w:rPr>
                <w:rFonts w:cs="Arial"/>
                <w:szCs w:val="21"/>
              </w:rPr>
              <w:t xml:space="preserve"> </w:t>
            </w:r>
          </w:p>
        </w:tc>
        <w:tc>
          <w:tcPr>
            <w:tcW w:w="3701" w:type="pct"/>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5" w:type="dxa"/>
              <w:bottom w:w="0" w:type="dxa"/>
              <w:right w:w="105" w:type="dxa"/>
            </w:tcMar>
            <w:hideMark/>
          </w:tcPr>
          <w:p w14:paraId="4E1D89CB" w14:textId="77777777" w:rsidR="00FD61C9" w:rsidRPr="00464353" w:rsidRDefault="00FD61C9" w:rsidP="00341C01">
            <w:pPr>
              <w:rPr>
                <w:rFonts w:cs="Arial"/>
                <w:szCs w:val="21"/>
              </w:rPr>
            </w:pPr>
            <w:r w:rsidRPr="00464353">
              <w:rPr>
                <w:rFonts w:cs="Arial"/>
                <w:szCs w:val="21"/>
              </w:rPr>
              <w:t>When Contact Purpose code is ’10 – Screening contact’, Referral In Outcome ’50 – Screening’ must be reported</w:t>
            </w:r>
          </w:p>
        </w:tc>
      </w:tr>
      <w:tr w:rsidR="00FD61C9" w:rsidRPr="00464353" w14:paraId="5B01EFFA" w14:textId="77777777" w:rsidTr="00DC2742">
        <w:trPr>
          <w:trHeight w:val="121"/>
        </w:trPr>
        <w:tc>
          <w:tcPr>
            <w:tcW w:w="12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5" w:type="dxa"/>
              <w:bottom w:w="0" w:type="dxa"/>
              <w:right w:w="105" w:type="dxa"/>
            </w:tcMar>
            <w:hideMark/>
          </w:tcPr>
          <w:p w14:paraId="430F8FE7" w14:textId="77777777" w:rsidR="00FD61C9" w:rsidRPr="00464353" w:rsidRDefault="00FD61C9" w:rsidP="00341C01">
            <w:pPr>
              <w:rPr>
                <w:rFonts w:cs="Arial"/>
                <w:szCs w:val="21"/>
              </w:rPr>
            </w:pPr>
            <w:r w:rsidRPr="00464353">
              <w:rPr>
                <w:rFonts w:cs="Arial"/>
                <w:b/>
                <w:bCs/>
                <w:szCs w:val="21"/>
              </w:rPr>
              <w:t>Data quality objective</w:t>
            </w:r>
            <w:r w:rsidRPr="00464353">
              <w:rPr>
                <w:rFonts w:cs="Arial"/>
                <w:szCs w:val="21"/>
              </w:rPr>
              <w:t xml:space="preserve"> </w:t>
            </w:r>
          </w:p>
        </w:tc>
        <w:tc>
          <w:tcPr>
            <w:tcW w:w="3701" w:type="pct"/>
            <w:gridSpan w:val="2"/>
            <w:tcBorders>
              <w:top w:val="nil"/>
              <w:left w:val="nil"/>
              <w:bottom w:val="single" w:sz="8" w:space="0" w:color="BFBFBF" w:themeColor="background1" w:themeShade="BF"/>
              <w:right w:val="single" w:sz="8" w:space="0" w:color="BFBFBF" w:themeColor="background1" w:themeShade="BF"/>
            </w:tcBorders>
            <w:tcMar>
              <w:top w:w="0" w:type="dxa"/>
              <w:left w:w="105" w:type="dxa"/>
              <w:bottom w:w="0" w:type="dxa"/>
              <w:right w:w="105" w:type="dxa"/>
            </w:tcMar>
          </w:tcPr>
          <w:p w14:paraId="47106510" w14:textId="77777777" w:rsidR="00FD61C9" w:rsidRPr="00464353" w:rsidRDefault="00FD61C9" w:rsidP="00341C01">
            <w:pPr>
              <w:rPr>
                <w:rFonts w:cs="Arial"/>
                <w:szCs w:val="21"/>
              </w:rPr>
            </w:pPr>
            <w:r w:rsidRPr="00464353">
              <w:rPr>
                <w:rFonts w:cs="Arial"/>
                <w:szCs w:val="21"/>
              </w:rPr>
              <w:t>Data elements defined as requiring a value are provided</w:t>
            </w:r>
          </w:p>
        </w:tc>
      </w:tr>
      <w:tr w:rsidR="00FD61C9" w:rsidRPr="00464353" w14:paraId="097565B8" w14:textId="77777777" w:rsidTr="00DC2742">
        <w:trPr>
          <w:trHeight w:val="121"/>
        </w:trPr>
        <w:tc>
          <w:tcPr>
            <w:tcW w:w="12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5" w:type="dxa"/>
              <w:bottom w:w="0" w:type="dxa"/>
              <w:right w:w="105" w:type="dxa"/>
            </w:tcMar>
            <w:hideMark/>
          </w:tcPr>
          <w:p w14:paraId="74602980" w14:textId="77777777" w:rsidR="00FD61C9" w:rsidRPr="00464353" w:rsidRDefault="00FD61C9" w:rsidP="00341C01">
            <w:pPr>
              <w:rPr>
                <w:rFonts w:cs="Arial"/>
                <w:szCs w:val="21"/>
              </w:rPr>
            </w:pPr>
            <w:r w:rsidRPr="00464353">
              <w:rPr>
                <w:rFonts w:cs="Arial"/>
                <w:b/>
                <w:bCs/>
                <w:szCs w:val="21"/>
              </w:rPr>
              <w:t>Validations</w:t>
            </w:r>
            <w:r w:rsidRPr="00464353">
              <w:rPr>
                <w:rFonts w:cs="Arial"/>
                <w:szCs w:val="21"/>
              </w:rPr>
              <w:t xml:space="preserve"> </w:t>
            </w:r>
          </w:p>
        </w:tc>
        <w:tc>
          <w:tcPr>
            <w:tcW w:w="660" w:type="pct"/>
            <w:tcBorders>
              <w:top w:val="nil"/>
              <w:left w:val="nil"/>
              <w:bottom w:val="single" w:sz="8" w:space="0" w:color="BFBFBF" w:themeColor="background1" w:themeShade="BF"/>
              <w:right w:val="single" w:sz="8" w:space="0" w:color="BFBFBF" w:themeColor="background1" w:themeShade="BF"/>
            </w:tcBorders>
            <w:tcMar>
              <w:top w:w="0" w:type="dxa"/>
              <w:left w:w="105" w:type="dxa"/>
              <w:bottom w:w="0" w:type="dxa"/>
              <w:right w:w="105" w:type="dxa"/>
            </w:tcMar>
            <w:hideMark/>
          </w:tcPr>
          <w:p w14:paraId="282511FB" w14:textId="77777777" w:rsidR="00FD61C9" w:rsidRPr="00464353" w:rsidRDefault="00FD61C9" w:rsidP="00341C01">
            <w:pPr>
              <w:rPr>
                <w:rFonts w:cs="Arial"/>
                <w:szCs w:val="21"/>
              </w:rPr>
            </w:pPr>
            <w:r w:rsidRPr="00464353">
              <w:rPr>
                <w:rFonts w:cs="Arial"/>
                <w:szCs w:val="21"/>
              </w:rPr>
              <w:t xml:space="preserve">E383       </w:t>
            </w:r>
          </w:p>
        </w:tc>
        <w:tc>
          <w:tcPr>
            <w:tcW w:w="3041" w:type="pct"/>
            <w:tcBorders>
              <w:top w:val="nil"/>
              <w:left w:val="nil"/>
              <w:bottom w:val="single" w:sz="8" w:space="0" w:color="BFBFBF" w:themeColor="background1" w:themeShade="BF"/>
              <w:right w:val="single" w:sz="8" w:space="0" w:color="BFBFBF" w:themeColor="background1" w:themeShade="BF"/>
            </w:tcBorders>
            <w:tcMar>
              <w:top w:w="0" w:type="dxa"/>
              <w:left w:w="105" w:type="dxa"/>
              <w:bottom w:w="0" w:type="dxa"/>
              <w:right w:w="105" w:type="dxa"/>
            </w:tcMar>
            <w:hideMark/>
          </w:tcPr>
          <w:p w14:paraId="312F950A" w14:textId="77777777" w:rsidR="00FD61C9" w:rsidRPr="00464353" w:rsidRDefault="00FD61C9" w:rsidP="00341C01">
            <w:pPr>
              <w:rPr>
                <w:rFonts w:cs="Arial"/>
                <w:szCs w:val="21"/>
              </w:rPr>
            </w:pPr>
            <w:r w:rsidRPr="00464353">
              <w:rPr>
                <w:rFonts w:cs="Arial"/>
                <w:szCs w:val="21"/>
              </w:rPr>
              <w:t>Contact Client Present Status is ’10 – Screening Contact’ but Referral In Outcome ’50 – Screening’ has not been reported</w:t>
            </w:r>
          </w:p>
        </w:tc>
      </w:tr>
    </w:tbl>
    <w:p w14:paraId="77CC0973" w14:textId="77777777" w:rsidR="00FD61C9" w:rsidRPr="00464353" w:rsidRDefault="00FD61C9" w:rsidP="00FD61C9">
      <w:pPr>
        <w:rPr>
          <w:rFonts w:cs="Arial"/>
          <w:szCs w:val="21"/>
        </w:rPr>
      </w:pPr>
    </w:p>
    <w:p w14:paraId="69937729" w14:textId="2714A0BC" w:rsidR="00FD61C9" w:rsidRPr="00464353" w:rsidRDefault="00FD61C9" w:rsidP="00FD61C9">
      <w:pPr>
        <w:rPr>
          <w:rFonts w:cs="Arial"/>
          <w:b/>
        </w:rPr>
      </w:pPr>
      <w:r w:rsidRPr="6A404F92">
        <w:rPr>
          <w:rFonts w:cs="Arial"/>
          <w:b/>
        </w:rPr>
        <w:t xml:space="preserve">Section 8 </w:t>
      </w:r>
      <w:r w:rsidR="2328DC0E" w:rsidRPr="6A404F92">
        <w:rPr>
          <w:rFonts w:cs="Arial"/>
          <w:b/>
          <w:bCs/>
        </w:rPr>
        <w:t>-</w:t>
      </w:r>
      <w:r w:rsidRPr="6A404F92">
        <w:rPr>
          <w:rFonts w:cs="Arial"/>
          <w:b/>
        </w:rPr>
        <w:t xml:space="preserve"> Validations</w:t>
      </w:r>
    </w:p>
    <w:tbl>
      <w:tblPr>
        <w:tblW w:w="5000" w:type="pct"/>
        <w:tblCellMar>
          <w:left w:w="0" w:type="dxa"/>
          <w:right w:w="0" w:type="dxa"/>
        </w:tblCellMar>
        <w:tblLook w:val="04A0" w:firstRow="1" w:lastRow="0" w:firstColumn="1" w:lastColumn="0" w:noHBand="0" w:noVBand="1"/>
      </w:tblPr>
      <w:tblGrid>
        <w:gridCol w:w="1291"/>
        <w:gridCol w:w="3290"/>
        <w:gridCol w:w="3282"/>
        <w:gridCol w:w="2341"/>
      </w:tblGrid>
      <w:tr w:rsidR="00FD61C9" w:rsidRPr="00464353" w14:paraId="46E874A2" w14:textId="77777777" w:rsidTr="00DC2742">
        <w:tc>
          <w:tcPr>
            <w:tcW w:w="633" w:type="pct"/>
            <w:tcBorders>
              <w:top w:val="single" w:sz="8" w:space="0" w:color="auto"/>
              <w:left w:val="nil"/>
              <w:bottom w:val="nil"/>
              <w:right w:val="nil"/>
            </w:tcBorders>
            <w:tcMar>
              <w:top w:w="0" w:type="dxa"/>
              <w:left w:w="108" w:type="dxa"/>
              <w:bottom w:w="0" w:type="dxa"/>
              <w:right w:w="108" w:type="dxa"/>
            </w:tcMar>
            <w:hideMark/>
          </w:tcPr>
          <w:p w14:paraId="594F5FCC" w14:textId="77777777" w:rsidR="00FD61C9" w:rsidRPr="00464353" w:rsidRDefault="00FD61C9" w:rsidP="00341C01">
            <w:pPr>
              <w:pStyle w:val="DHHStabletext"/>
              <w:rPr>
                <w:sz w:val="21"/>
                <w:szCs w:val="21"/>
              </w:rPr>
            </w:pPr>
            <w:r w:rsidRPr="00464353">
              <w:rPr>
                <w:sz w:val="21"/>
                <w:szCs w:val="21"/>
              </w:rPr>
              <w:t>Validation ID</w:t>
            </w:r>
          </w:p>
        </w:tc>
        <w:tc>
          <w:tcPr>
            <w:tcW w:w="1612" w:type="pct"/>
            <w:tcBorders>
              <w:top w:val="single" w:sz="8" w:space="0" w:color="auto"/>
              <w:left w:val="nil"/>
              <w:bottom w:val="nil"/>
              <w:right w:val="nil"/>
            </w:tcBorders>
            <w:tcMar>
              <w:top w:w="0" w:type="dxa"/>
              <w:left w:w="108" w:type="dxa"/>
              <w:bottom w:w="0" w:type="dxa"/>
              <w:right w:w="108" w:type="dxa"/>
            </w:tcMar>
            <w:hideMark/>
          </w:tcPr>
          <w:p w14:paraId="551AF145" w14:textId="77777777" w:rsidR="00FD61C9" w:rsidRPr="00464353" w:rsidRDefault="00FD61C9" w:rsidP="00341C01">
            <w:pPr>
              <w:pStyle w:val="DHHStabletext"/>
              <w:ind w:left="315"/>
              <w:rPr>
                <w:sz w:val="21"/>
                <w:szCs w:val="21"/>
              </w:rPr>
            </w:pPr>
            <w:r w:rsidRPr="00464353">
              <w:rPr>
                <w:sz w:val="21"/>
                <w:szCs w:val="21"/>
              </w:rPr>
              <w:t>Message template</w:t>
            </w:r>
          </w:p>
        </w:tc>
        <w:tc>
          <w:tcPr>
            <w:tcW w:w="1608" w:type="pct"/>
            <w:tcBorders>
              <w:top w:val="single" w:sz="8" w:space="0" w:color="auto"/>
              <w:left w:val="nil"/>
              <w:bottom w:val="nil"/>
              <w:right w:val="nil"/>
            </w:tcBorders>
            <w:tcMar>
              <w:top w:w="0" w:type="dxa"/>
              <w:left w:w="108" w:type="dxa"/>
              <w:bottom w:w="0" w:type="dxa"/>
              <w:right w:w="108" w:type="dxa"/>
            </w:tcMar>
            <w:hideMark/>
          </w:tcPr>
          <w:p w14:paraId="05A6CDF2" w14:textId="77777777" w:rsidR="00FD61C9" w:rsidRPr="00464353" w:rsidRDefault="00FD61C9" w:rsidP="00341C01">
            <w:pPr>
              <w:pStyle w:val="DHHStabletext"/>
              <w:rPr>
                <w:sz w:val="21"/>
                <w:szCs w:val="21"/>
              </w:rPr>
            </w:pPr>
            <w:r w:rsidRPr="00464353">
              <w:rPr>
                <w:sz w:val="21"/>
                <w:szCs w:val="21"/>
              </w:rPr>
              <w:t>Cause</w:t>
            </w:r>
          </w:p>
        </w:tc>
        <w:tc>
          <w:tcPr>
            <w:tcW w:w="1148" w:type="pct"/>
            <w:tcBorders>
              <w:top w:val="single" w:sz="8" w:space="0" w:color="auto"/>
              <w:left w:val="nil"/>
              <w:bottom w:val="nil"/>
              <w:right w:val="nil"/>
            </w:tcBorders>
            <w:tcMar>
              <w:top w:w="0" w:type="dxa"/>
              <w:left w:w="108" w:type="dxa"/>
              <w:bottom w:w="0" w:type="dxa"/>
              <w:right w:w="108" w:type="dxa"/>
            </w:tcMar>
            <w:hideMark/>
          </w:tcPr>
          <w:p w14:paraId="6B376346" w14:textId="77777777" w:rsidR="00FD61C9" w:rsidRPr="00464353" w:rsidRDefault="00FD61C9" w:rsidP="00341C01">
            <w:pPr>
              <w:pStyle w:val="DHHStabletext"/>
              <w:rPr>
                <w:sz w:val="21"/>
                <w:szCs w:val="21"/>
              </w:rPr>
            </w:pPr>
            <w:r w:rsidRPr="00464353">
              <w:rPr>
                <w:sz w:val="21"/>
                <w:szCs w:val="21"/>
              </w:rPr>
              <w:t>Resolution</w:t>
            </w:r>
          </w:p>
        </w:tc>
      </w:tr>
      <w:tr w:rsidR="00FD61C9" w:rsidRPr="00464353" w14:paraId="26F3BE5A" w14:textId="77777777" w:rsidTr="00DC2742">
        <w:tc>
          <w:tcPr>
            <w:tcW w:w="633" w:type="pct"/>
            <w:tcBorders>
              <w:top w:val="single" w:sz="8" w:space="0" w:color="auto"/>
              <w:left w:val="nil"/>
              <w:bottom w:val="nil"/>
              <w:right w:val="nil"/>
            </w:tcBorders>
            <w:tcMar>
              <w:top w:w="0" w:type="dxa"/>
              <w:left w:w="108" w:type="dxa"/>
              <w:bottom w:w="0" w:type="dxa"/>
              <w:right w:w="108" w:type="dxa"/>
            </w:tcMar>
            <w:hideMark/>
          </w:tcPr>
          <w:p w14:paraId="5ECF3C99" w14:textId="77777777" w:rsidR="00FD61C9" w:rsidRPr="00464353" w:rsidRDefault="00FD61C9" w:rsidP="00341C01">
            <w:pPr>
              <w:pStyle w:val="DHHStabletext"/>
              <w:rPr>
                <w:sz w:val="21"/>
                <w:szCs w:val="21"/>
              </w:rPr>
            </w:pPr>
            <w:r w:rsidRPr="00464353">
              <w:rPr>
                <w:sz w:val="21"/>
                <w:szCs w:val="21"/>
              </w:rPr>
              <w:t>E383</w:t>
            </w:r>
          </w:p>
        </w:tc>
        <w:tc>
          <w:tcPr>
            <w:tcW w:w="1612" w:type="pct"/>
            <w:tcBorders>
              <w:top w:val="single" w:sz="8" w:space="0" w:color="auto"/>
              <w:left w:val="nil"/>
              <w:bottom w:val="nil"/>
              <w:right w:val="nil"/>
            </w:tcBorders>
            <w:tcMar>
              <w:top w:w="0" w:type="dxa"/>
              <w:left w:w="108" w:type="dxa"/>
              <w:bottom w:w="0" w:type="dxa"/>
              <w:right w:w="108" w:type="dxa"/>
            </w:tcMar>
            <w:hideMark/>
          </w:tcPr>
          <w:p w14:paraId="4F5499F0" w14:textId="77777777" w:rsidR="00FD61C9" w:rsidRPr="00464353" w:rsidRDefault="00FD61C9" w:rsidP="00341C01">
            <w:pPr>
              <w:pStyle w:val="DHHStabletext"/>
              <w:ind w:left="315"/>
              <w:rPr>
                <w:sz w:val="21"/>
                <w:szCs w:val="21"/>
              </w:rPr>
            </w:pPr>
            <w:r w:rsidRPr="00464353">
              <w:rPr>
                <w:sz w:val="21"/>
                <w:szCs w:val="21"/>
              </w:rPr>
              <w:t>Contact Client Present Status is ’10 – Screening Contact’ but Referral In Outcome ’50 – Screening’ has not been reported</w:t>
            </w:r>
          </w:p>
        </w:tc>
        <w:tc>
          <w:tcPr>
            <w:tcW w:w="1608" w:type="pct"/>
            <w:tcBorders>
              <w:top w:val="single" w:sz="8" w:space="0" w:color="auto"/>
              <w:left w:val="nil"/>
              <w:bottom w:val="nil"/>
              <w:right w:val="nil"/>
            </w:tcBorders>
            <w:tcMar>
              <w:top w:w="0" w:type="dxa"/>
              <w:left w:w="108" w:type="dxa"/>
              <w:bottom w:w="0" w:type="dxa"/>
              <w:right w:w="108" w:type="dxa"/>
            </w:tcMar>
            <w:hideMark/>
          </w:tcPr>
          <w:p w14:paraId="7BA27CA7" w14:textId="77777777" w:rsidR="00FD61C9" w:rsidRPr="00464353" w:rsidRDefault="00FD61C9" w:rsidP="00341C01">
            <w:pPr>
              <w:pStyle w:val="DHHStabletext"/>
              <w:rPr>
                <w:sz w:val="21"/>
                <w:szCs w:val="21"/>
              </w:rPr>
            </w:pPr>
            <w:r w:rsidRPr="00464353">
              <w:rPr>
                <w:sz w:val="21"/>
                <w:szCs w:val="21"/>
              </w:rPr>
              <w:t>A Contact Client Present Status of ‘10 – Screening Contact was reported but a Referral In Outcome of ’50 – Screening’ has not been reported</w:t>
            </w:r>
          </w:p>
        </w:tc>
        <w:tc>
          <w:tcPr>
            <w:tcW w:w="1148" w:type="pct"/>
            <w:tcBorders>
              <w:top w:val="single" w:sz="8" w:space="0" w:color="auto"/>
              <w:left w:val="nil"/>
              <w:bottom w:val="nil"/>
              <w:right w:val="nil"/>
            </w:tcBorders>
            <w:tcMar>
              <w:top w:w="0" w:type="dxa"/>
              <w:left w:w="108" w:type="dxa"/>
              <w:bottom w:w="0" w:type="dxa"/>
              <w:right w:w="108" w:type="dxa"/>
            </w:tcMar>
            <w:hideMark/>
          </w:tcPr>
          <w:p w14:paraId="23950529" w14:textId="77777777" w:rsidR="00FD61C9" w:rsidRPr="00464353" w:rsidRDefault="00FD61C9" w:rsidP="00341C01">
            <w:pPr>
              <w:pStyle w:val="DHHStabletext"/>
              <w:rPr>
                <w:sz w:val="21"/>
                <w:szCs w:val="21"/>
              </w:rPr>
            </w:pPr>
            <w:r w:rsidRPr="00464353">
              <w:rPr>
                <w:sz w:val="21"/>
                <w:szCs w:val="21"/>
              </w:rPr>
              <w:t>Resubmit with consistent values for Contact Client Present Status and Referral In Outcome</w:t>
            </w:r>
          </w:p>
        </w:tc>
      </w:tr>
    </w:tbl>
    <w:p w14:paraId="4C429754" w14:textId="43D9021F" w:rsidR="00B976FC" w:rsidRPr="00DC2742" w:rsidRDefault="00FD61C9" w:rsidP="00DC2742">
      <w:pPr>
        <w:pStyle w:val="DHHSbody"/>
        <w:spacing w:before="120" w:line="160" w:lineRule="atLeast"/>
        <w:ind w:left="3969" w:hanging="2409"/>
        <w:rPr>
          <w:rFonts w:eastAsiaTheme="minorHAnsi"/>
          <w:i/>
          <w:iCs/>
          <w:sz w:val="21"/>
          <w:szCs w:val="21"/>
          <w:lang w:eastAsia="en-US"/>
        </w:rPr>
      </w:pPr>
      <w:r w:rsidRPr="00464353">
        <w:rPr>
          <w:i/>
          <w:iCs/>
          <w:color w:val="FFFFFF"/>
          <w:sz w:val="21"/>
          <w:szCs w:val="21"/>
        </w:rPr>
        <w:t>BR-</w:t>
      </w:r>
      <w:r w:rsidRPr="00464353">
        <w:rPr>
          <w:i/>
          <w:iCs/>
          <w:sz w:val="21"/>
          <w:szCs w:val="21"/>
        </w:rPr>
        <w:t>DAT-CNT-033</w:t>
      </w:r>
      <w:r w:rsidRPr="00464353">
        <w:rPr>
          <w:sz w:val="21"/>
          <w:szCs w:val="21"/>
        </w:rPr>
        <w:t>             </w:t>
      </w:r>
      <w:r w:rsidRPr="00464353">
        <w:rPr>
          <w:i/>
          <w:iCs/>
          <w:sz w:val="21"/>
          <w:szCs w:val="21"/>
        </w:rPr>
        <w:t xml:space="preserve">When Contact Purpose code is ’10 – Screening contact’, Referral In Outcome ’50 – Screening’ must be reported </w:t>
      </w:r>
    </w:p>
    <w:p w14:paraId="60E7C3C0" w14:textId="77777777" w:rsidR="004822B1" w:rsidRDefault="004822B1" w:rsidP="004822B1">
      <w:pPr>
        <w:pStyle w:val="Body"/>
      </w:pPr>
    </w:p>
    <w:p w14:paraId="5F34C0EA" w14:textId="0650B2CB" w:rsidR="003342BF" w:rsidRDefault="003342BF" w:rsidP="003342BF">
      <w:pPr>
        <w:pStyle w:val="Heading1"/>
      </w:pPr>
      <w:bookmarkStart w:id="32" w:name="_Toc90970301"/>
      <w:r>
        <w:t>Non-Admitted Data Expansion Project</w:t>
      </w:r>
      <w:bookmarkEnd w:id="32"/>
    </w:p>
    <w:p w14:paraId="1C269895" w14:textId="25476558" w:rsidR="003342BF" w:rsidRDefault="004E7DBB" w:rsidP="00B528FF">
      <w:pPr>
        <w:pStyle w:val="Heading2"/>
      </w:pPr>
      <w:bookmarkStart w:id="33" w:name="_Toc90970302"/>
      <w:r>
        <w:t>Non-Admitted Multidisciplinary Case Conferences Reporting Guidelines</w:t>
      </w:r>
      <w:bookmarkEnd w:id="33"/>
    </w:p>
    <w:p w14:paraId="3F07ACB9" w14:textId="346330BD" w:rsidR="004E7DBB" w:rsidRDefault="00D841C3" w:rsidP="004E7DBB">
      <w:pPr>
        <w:pStyle w:val="Body"/>
      </w:pPr>
      <w:r>
        <w:t xml:space="preserve">Reporting of non-admitted multidisciplinary case conference </w:t>
      </w:r>
      <w:r w:rsidR="006508F2">
        <w:t xml:space="preserve">(MDCC) </w:t>
      </w:r>
      <w:r>
        <w:t xml:space="preserve">commenced on 1 July 2021. </w:t>
      </w:r>
      <w:r w:rsidR="006B032F">
        <w:t xml:space="preserve">MDCC </w:t>
      </w:r>
      <w:r w:rsidR="006508F2">
        <w:t xml:space="preserve">Reporting </w:t>
      </w:r>
      <w:r w:rsidR="006B032F">
        <w:t>G</w:t>
      </w:r>
      <w:r w:rsidR="006508F2">
        <w:t>uideli</w:t>
      </w:r>
      <w:r w:rsidR="006B032F">
        <w:t>n</w:t>
      </w:r>
      <w:r w:rsidR="006508F2">
        <w:t xml:space="preserve">es have been developed to </w:t>
      </w:r>
      <w:r>
        <w:t xml:space="preserve">assist hospitals to </w:t>
      </w:r>
      <w:r w:rsidR="006508F2">
        <w:t xml:space="preserve">accurately report MDCC </w:t>
      </w:r>
      <w:r w:rsidR="006B032F">
        <w:t xml:space="preserve">in accordance with </w:t>
      </w:r>
      <w:r w:rsidR="006508F2">
        <w:t>the IHPA requirements</w:t>
      </w:r>
      <w:r w:rsidR="00CB76EE">
        <w:t xml:space="preserve">.  The reporting guidelines are available on the </w:t>
      </w:r>
      <w:hyperlink r:id="rId27" w:history="1">
        <w:r w:rsidR="00CB76EE" w:rsidRPr="001F2698">
          <w:rPr>
            <w:rStyle w:val="Hyperlink"/>
          </w:rPr>
          <w:t>HDSS website</w:t>
        </w:r>
      </w:hyperlink>
      <w:r w:rsidR="001F2698">
        <w:t xml:space="preserve"> &lt;</w:t>
      </w:r>
      <w:r w:rsidR="001F2698" w:rsidRPr="005D2922">
        <w:t>https://www.health.vic.gov.au/data-reporting/victorian-integrated-non-admitted-health-vinah-dataset</w:t>
      </w:r>
      <w:r w:rsidR="001F2698">
        <w:t>&gt; under the heading ‘Publications’.</w:t>
      </w:r>
      <w:r w:rsidR="006508F2">
        <w:t xml:space="preserve"> </w:t>
      </w:r>
    </w:p>
    <w:p w14:paraId="272751BE" w14:textId="37481B4C" w:rsidR="00817CEE" w:rsidRDefault="001F2698" w:rsidP="004822B1">
      <w:pPr>
        <w:pStyle w:val="Body"/>
      </w:pPr>
      <w:r>
        <w:t>Please address any que</w:t>
      </w:r>
      <w:r w:rsidR="00510AC2">
        <w:t>ries to the HDSS helpdesk</w:t>
      </w:r>
      <w:r w:rsidR="00BE6B7B">
        <w:t>.</w:t>
      </w:r>
    </w:p>
    <w:p w14:paraId="2D430C51" w14:textId="77777777" w:rsidR="008C5E9A" w:rsidRDefault="008C5E9A">
      <w:pPr>
        <w:spacing w:after="0" w:line="240" w:lineRule="auto"/>
        <w:rPr>
          <w:rFonts w:eastAsia="MS Gothic" w:cs="Arial"/>
          <w:bCs/>
          <w:color w:val="53565A"/>
          <w:kern w:val="32"/>
          <w:sz w:val="40"/>
          <w:szCs w:val="40"/>
        </w:rPr>
      </w:pPr>
      <w:r>
        <w:rPr>
          <w:rFonts w:eastAsia="MS Gothic" w:cs="Arial"/>
          <w:bCs/>
          <w:color w:val="53565A"/>
          <w:kern w:val="32"/>
          <w:sz w:val="40"/>
          <w:szCs w:val="40"/>
        </w:rPr>
        <w:br w:type="page"/>
      </w:r>
    </w:p>
    <w:p w14:paraId="4501443F" w14:textId="4308376C"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t>Contacts</w:t>
      </w:r>
      <w:bookmarkStart w:id="34" w:name="_Hlk37240926"/>
      <w:bookmarkEnd w:id="9"/>
    </w:p>
    <w:p w14:paraId="5CA3F56F" w14:textId="77777777" w:rsidR="009A244B" w:rsidRPr="009A244B" w:rsidRDefault="009A244B" w:rsidP="009A244B">
      <w:pPr>
        <w:rPr>
          <w:rFonts w:eastAsia="Times"/>
        </w:rPr>
      </w:pPr>
      <w:r w:rsidRPr="009A244B">
        <w:rPr>
          <w:rFonts w:eastAsia="Times"/>
        </w:rPr>
        <w:t>The Data Collections unit manages several Victorian health data collections including:</w:t>
      </w:r>
    </w:p>
    <w:p w14:paraId="190B8748" w14:textId="77777777" w:rsidR="009A244B" w:rsidRPr="009A244B" w:rsidRDefault="009A244B" w:rsidP="00270B4B">
      <w:pPr>
        <w:pStyle w:val="Bullet1"/>
        <w:numPr>
          <w:ilvl w:val="0"/>
          <w:numId w:val="11"/>
        </w:numPr>
      </w:pPr>
      <w:r w:rsidRPr="009A244B">
        <w:t>Victorian Admitted Episodes Dataset (VAED)</w:t>
      </w:r>
    </w:p>
    <w:p w14:paraId="6A519478" w14:textId="77777777" w:rsidR="009A244B" w:rsidRPr="009A244B" w:rsidRDefault="009A244B" w:rsidP="00270B4B">
      <w:pPr>
        <w:pStyle w:val="Bullet1"/>
        <w:numPr>
          <w:ilvl w:val="0"/>
          <w:numId w:val="11"/>
        </w:numPr>
      </w:pPr>
      <w:r w:rsidRPr="009A244B">
        <w:t>Victorian Emergency Minimum Dataset (VEMD)</w:t>
      </w:r>
    </w:p>
    <w:p w14:paraId="56B9AC17" w14:textId="77777777" w:rsidR="009A244B" w:rsidRPr="009A244B" w:rsidRDefault="009A244B" w:rsidP="00270B4B">
      <w:pPr>
        <w:pStyle w:val="Bullet1"/>
        <w:numPr>
          <w:ilvl w:val="0"/>
          <w:numId w:val="11"/>
        </w:numPr>
      </w:pPr>
      <w:r w:rsidRPr="009A244B">
        <w:t>Elective Surgery Information System (ESIS)</w:t>
      </w:r>
    </w:p>
    <w:p w14:paraId="2C0BC8CC" w14:textId="77777777" w:rsidR="009A244B" w:rsidRPr="009A244B" w:rsidRDefault="009A244B" w:rsidP="00270B4B">
      <w:pPr>
        <w:pStyle w:val="Bullet1"/>
        <w:numPr>
          <w:ilvl w:val="0"/>
          <w:numId w:val="11"/>
        </w:numPr>
      </w:pPr>
      <w:r w:rsidRPr="009A244B">
        <w:t>Agency Information Management System (AIMS)</w:t>
      </w:r>
    </w:p>
    <w:p w14:paraId="5B22F6CD" w14:textId="77777777" w:rsidR="009A244B" w:rsidRPr="009A244B" w:rsidRDefault="009A244B" w:rsidP="00270B4B">
      <w:pPr>
        <w:pStyle w:val="Bullet1"/>
        <w:numPr>
          <w:ilvl w:val="0"/>
          <w:numId w:val="11"/>
        </w:numPr>
      </w:pPr>
      <w:r w:rsidRPr="009A244B">
        <w:t>Victorian Integrated Non-Admitted Health Minimum Dataset (VINAH)</w:t>
      </w:r>
    </w:p>
    <w:p w14:paraId="6762F541" w14:textId="77777777" w:rsidR="009A244B" w:rsidRPr="009A244B" w:rsidRDefault="009A244B" w:rsidP="00270B4B">
      <w:pPr>
        <w:pStyle w:val="Bullet1"/>
        <w:numPr>
          <w:ilvl w:val="0"/>
          <w:numId w:val="11"/>
        </w:numPr>
      </w:pPr>
      <w:r w:rsidRPr="009A244B">
        <w:t>F1 data collections (technical support)</w:t>
      </w:r>
    </w:p>
    <w:p w14:paraId="5A67B633" w14:textId="77777777" w:rsidR="009A244B" w:rsidRPr="009A244B" w:rsidRDefault="009A244B" w:rsidP="009A244B">
      <w:pPr>
        <w:spacing w:before="120"/>
        <w:rPr>
          <w:rFonts w:eastAsia="Times"/>
        </w:rPr>
      </w:pPr>
      <w:r w:rsidRPr="009A244B">
        <w:rPr>
          <w:rFonts w:eastAsia="Times"/>
        </w:rPr>
        <w:t>The HDSS Bulletin is produced at intervals to provide:</w:t>
      </w:r>
    </w:p>
    <w:p w14:paraId="57C59878" w14:textId="77777777" w:rsidR="009A244B" w:rsidRPr="009A244B" w:rsidRDefault="009A244B" w:rsidP="00270B4B">
      <w:pPr>
        <w:pStyle w:val="Bullet1"/>
        <w:numPr>
          <w:ilvl w:val="0"/>
          <w:numId w:val="12"/>
        </w:numPr>
      </w:pPr>
      <w:r w:rsidRPr="009A244B">
        <w:t>answers to common questions recently directed to the HDSS help desk</w:t>
      </w:r>
    </w:p>
    <w:p w14:paraId="52771A8B" w14:textId="77777777" w:rsidR="009A244B" w:rsidRPr="009A244B" w:rsidRDefault="009A244B" w:rsidP="00270B4B">
      <w:pPr>
        <w:pStyle w:val="Bullet1"/>
        <w:numPr>
          <w:ilvl w:val="0"/>
          <w:numId w:val="12"/>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12"/>
        </w:numPr>
      </w:pPr>
      <w:r w:rsidRPr="009A244B">
        <w:t>feedback on selected data quality studies undertaken</w:t>
      </w:r>
    </w:p>
    <w:p w14:paraId="0D2C6EE5" w14:textId="77777777" w:rsidR="009A244B" w:rsidRPr="009A244B" w:rsidRDefault="009A244B" w:rsidP="00270B4B">
      <w:pPr>
        <w:pStyle w:val="Bullet1"/>
        <w:numPr>
          <w:ilvl w:val="0"/>
          <w:numId w:val="12"/>
        </w:numPr>
      </w:pPr>
      <w:r w:rsidRPr="009A244B">
        <w:t>information on upcoming events</w:t>
      </w:r>
    </w:p>
    <w:p w14:paraId="7CA70A40" w14:textId="77777777" w:rsidR="009A244B" w:rsidRPr="009A244B" w:rsidRDefault="009A244B" w:rsidP="009A244B">
      <w:pPr>
        <w:spacing w:before="120"/>
        <w:rPr>
          <w:rFonts w:eastAsia="Times"/>
          <w:b/>
          <w:bCs/>
        </w:rPr>
      </w:pPr>
      <w:r w:rsidRPr="009A244B">
        <w:rPr>
          <w:rFonts w:eastAsia="Times"/>
          <w:b/>
          <w:bCs/>
        </w:rPr>
        <w:t>Website</w:t>
      </w:r>
    </w:p>
    <w:p w14:paraId="2F4128E5" w14:textId="77777777" w:rsidR="009A244B" w:rsidRPr="009A244B" w:rsidRDefault="009E53A0" w:rsidP="009A244B">
      <w:pPr>
        <w:rPr>
          <w:rFonts w:eastAsia="Times"/>
        </w:rPr>
      </w:pPr>
      <w:hyperlink r:id="rId28" w:history="1">
        <w:r w:rsidR="009A244B" w:rsidRPr="009A244B">
          <w:rPr>
            <w:rFonts w:eastAsia="Times"/>
            <w:color w:val="004C97"/>
            <w:u w:val="dotted"/>
          </w:rPr>
          <w:t>HDSS website</w:t>
        </w:r>
      </w:hyperlink>
      <w:r w:rsidR="009A244B" w:rsidRPr="009A244B">
        <w:rPr>
          <w:rFonts w:eastAsia="Times"/>
        </w:rPr>
        <w:t xml:space="preserve">  &lt;https://www2.health.vic.gov.au/hospitals-and-health-services/data-reporting/health-data-standards-systems&gt;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9E53A0" w:rsidP="009A244B">
      <w:pPr>
        <w:rPr>
          <w:rFonts w:eastAsia="Times"/>
        </w:rPr>
      </w:pPr>
      <w:hyperlink r:id="rId29"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9E53A0" w:rsidP="009A244B">
      <w:pPr>
        <w:rPr>
          <w:rFonts w:eastAsia="Times"/>
        </w:rPr>
      </w:pPr>
      <w:hyperlink r:id="rId30"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679F28A8" w14:textId="77777777" w:rsidR="009A244B" w:rsidRPr="009A244B" w:rsidRDefault="009E53A0" w:rsidP="009A244B">
      <w:pPr>
        <w:rPr>
          <w:rFonts w:eastAsia="Times"/>
        </w:rPr>
      </w:pPr>
      <w:hyperlink r:id="rId31" w:history="1">
        <w:r w:rsidR="009A244B" w:rsidRPr="009A244B">
          <w:rPr>
            <w:rFonts w:eastAsia="Times"/>
            <w:color w:val="004C97"/>
            <w:u w:val="dotted"/>
          </w:rPr>
          <w:t>Email HOSdata</w:t>
        </w:r>
      </w:hyperlink>
      <w:r w:rsidR="009A244B" w:rsidRPr="009A244B">
        <w:rPr>
          <w:rFonts w:eastAsia="Times"/>
        </w:rPr>
        <w:t xml:space="preserve"> &lt;Hosdata.frontdesk@vahi.vic.gov.au&gt;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00F25E65">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32">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2DA24D25"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 xml:space="preserve">© State of Victoria, Australia, Department of Health, </w:t>
            </w:r>
            <w:r w:rsidR="005D2922">
              <w:rPr>
                <w:rFonts w:eastAsia="Times"/>
                <w:color w:val="000000" w:themeColor="text1"/>
                <w:sz w:val="20"/>
              </w:rPr>
              <w:t>December</w:t>
            </w:r>
            <w:r w:rsidRPr="009A244B">
              <w:rPr>
                <w:rFonts w:eastAsia="Times"/>
                <w:color w:val="004C97"/>
                <w:sz w:val="20"/>
              </w:rPr>
              <w:t xml:space="preserve"> </w:t>
            </w:r>
            <w:r w:rsidRPr="009A244B">
              <w:rPr>
                <w:rFonts w:eastAsia="Times"/>
                <w:sz w:val="20"/>
              </w:rPr>
              <w:t>2021</w:t>
            </w:r>
            <w:r w:rsidRPr="009A244B">
              <w:rPr>
                <w:rFonts w:eastAsia="Times"/>
                <w:color w:val="000000" w:themeColor="text1"/>
                <w:sz w:val="20"/>
              </w:rPr>
              <w:t>.</w:t>
            </w:r>
          </w:p>
          <w:p w14:paraId="1616879C"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3"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Pr="009A244B">
              <w:rPr>
                <w:rFonts w:eastAsia="Times"/>
                <w:color w:val="000000" w:themeColor="text1"/>
                <w:sz w:val="20"/>
              </w:rPr>
              <w:t xml:space="preserve"> </w:t>
            </w:r>
            <w:r w:rsidRPr="009A244B">
              <w:rPr>
                <w:rFonts w:eastAsia="Times"/>
                <w:color w:val="000000" w:themeColor="text1"/>
                <w:sz w:val="20"/>
                <w:szCs w:val="19"/>
              </w:rPr>
              <w:t>https://www2.health.vic.gov.au/hospitals-and-health-services/data-reporting/health-data-standards-systems/hdss-communications &gt;</w:t>
            </w:r>
          </w:p>
        </w:tc>
      </w:tr>
      <w:bookmarkEnd w:id="34"/>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39CC5" w14:textId="77777777" w:rsidR="00476949" w:rsidRDefault="00476949">
      <w:r>
        <w:separator/>
      </w:r>
    </w:p>
  </w:endnote>
  <w:endnote w:type="continuationSeparator" w:id="0">
    <w:p w14:paraId="081E57F9" w14:textId="77777777" w:rsidR="00476949" w:rsidRDefault="00476949">
      <w:r>
        <w:continuationSeparator/>
      </w:r>
    </w:p>
  </w:endnote>
  <w:endnote w:type="continuationNotice" w:id="1">
    <w:p w14:paraId="17A18B16" w14:textId="77777777" w:rsidR="00476949" w:rsidRDefault="00476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EE402" w14:textId="77777777" w:rsidR="009E53A0" w:rsidRDefault="009E5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EA0A" w14:textId="315752EF" w:rsidR="00E261B3" w:rsidRPr="00F65AA9" w:rsidRDefault="000C21CA" w:rsidP="00F84FA0">
    <w:pPr>
      <w:pStyle w:val="Footer"/>
    </w:pPr>
    <w:r>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3C9B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EB783" w14:textId="77777777" w:rsidR="00476949" w:rsidRDefault="00476949" w:rsidP="002862F1">
      <w:pPr>
        <w:spacing w:before="120"/>
      </w:pPr>
      <w:r>
        <w:separator/>
      </w:r>
    </w:p>
  </w:footnote>
  <w:footnote w:type="continuationSeparator" w:id="0">
    <w:p w14:paraId="13B292DD" w14:textId="77777777" w:rsidR="00476949" w:rsidRDefault="00476949">
      <w:r>
        <w:continuationSeparator/>
      </w:r>
    </w:p>
  </w:footnote>
  <w:footnote w:type="continuationNotice" w:id="1">
    <w:p w14:paraId="01D984C4" w14:textId="77777777" w:rsidR="00476949" w:rsidRDefault="00476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24CBA" w14:textId="77777777" w:rsidR="009E53A0" w:rsidRDefault="009E5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DA1C3" w14:textId="77777777" w:rsidR="009E53A0" w:rsidRDefault="009E53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88BC9" w14:textId="770BFB72"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254</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056"/>
    <w:multiLevelType w:val="multilevel"/>
    <w:tmpl w:val="866C5A8E"/>
    <w:numStyleLink w:val="ZZNumbersloweralpha"/>
  </w:abstractNum>
  <w:abstractNum w:abstractNumId="1"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5"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BAF4AAC"/>
    <w:multiLevelType w:val="hybridMultilevel"/>
    <w:tmpl w:val="A42A8A32"/>
    <w:styleLink w:val="ZZTablebullets"/>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8"/>
  </w:num>
  <w:num w:numId="12">
    <w:abstractNumId w:val="3"/>
  </w:num>
  <w:num w:numId="13">
    <w:abstractNumId w:val="5"/>
  </w:num>
  <w:num w:numId="14">
    <w:abstractNumId w:val="12"/>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5347"/>
    <w:rsid w:val="000063F7"/>
    <w:rsid w:val="000072B6"/>
    <w:rsid w:val="0001021B"/>
    <w:rsid w:val="00010EB7"/>
    <w:rsid w:val="00011D89"/>
    <w:rsid w:val="0001208C"/>
    <w:rsid w:val="000154FD"/>
    <w:rsid w:val="00016D26"/>
    <w:rsid w:val="00022271"/>
    <w:rsid w:val="00022B37"/>
    <w:rsid w:val="000235E8"/>
    <w:rsid w:val="00024D89"/>
    <w:rsid w:val="000250B6"/>
    <w:rsid w:val="000267D2"/>
    <w:rsid w:val="00030A35"/>
    <w:rsid w:val="000310E0"/>
    <w:rsid w:val="00033D81"/>
    <w:rsid w:val="00034325"/>
    <w:rsid w:val="00037366"/>
    <w:rsid w:val="00041BF0"/>
    <w:rsid w:val="00042C8A"/>
    <w:rsid w:val="00043741"/>
    <w:rsid w:val="000448D3"/>
    <w:rsid w:val="0004536B"/>
    <w:rsid w:val="00046B68"/>
    <w:rsid w:val="000523D0"/>
    <w:rsid w:val="00052753"/>
    <w:rsid w:val="000527DD"/>
    <w:rsid w:val="00055128"/>
    <w:rsid w:val="000578B2"/>
    <w:rsid w:val="00060959"/>
    <w:rsid w:val="00060C8F"/>
    <w:rsid w:val="0006298A"/>
    <w:rsid w:val="00065835"/>
    <w:rsid w:val="00065CE5"/>
    <w:rsid w:val="000663CD"/>
    <w:rsid w:val="000733FE"/>
    <w:rsid w:val="00074219"/>
    <w:rsid w:val="00074ED5"/>
    <w:rsid w:val="0007595E"/>
    <w:rsid w:val="00076E7B"/>
    <w:rsid w:val="00077CCE"/>
    <w:rsid w:val="00082676"/>
    <w:rsid w:val="000826D7"/>
    <w:rsid w:val="00082FE4"/>
    <w:rsid w:val="0008508E"/>
    <w:rsid w:val="00085F81"/>
    <w:rsid w:val="00087951"/>
    <w:rsid w:val="0009113B"/>
    <w:rsid w:val="00093402"/>
    <w:rsid w:val="00093B52"/>
    <w:rsid w:val="00094DA3"/>
    <w:rsid w:val="00094E47"/>
    <w:rsid w:val="000967B6"/>
    <w:rsid w:val="00096CD1"/>
    <w:rsid w:val="000A012C"/>
    <w:rsid w:val="000A0EB9"/>
    <w:rsid w:val="000A186C"/>
    <w:rsid w:val="000A1EA4"/>
    <w:rsid w:val="000A2476"/>
    <w:rsid w:val="000A4A2C"/>
    <w:rsid w:val="000A641A"/>
    <w:rsid w:val="000A7364"/>
    <w:rsid w:val="000B1FAD"/>
    <w:rsid w:val="000B2133"/>
    <w:rsid w:val="000B3EDB"/>
    <w:rsid w:val="000B543D"/>
    <w:rsid w:val="000B55F9"/>
    <w:rsid w:val="000B57E7"/>
    <w:rsid w:val="000B5BF7"/>
    <w:rsid w:val="000B6BC8"/>
    <w:rsid w:val="000C0303"/>
    <w:rsid w:val="000C14BD"/>
    <w:rsid w:val="000C21CA"/>
    <w:rsid w:val="000C3C70"/>
    <w:rsid w:val="000C42EA"/>
    <w:rsid w:val="000C4546"/>
    <w:rsid w:val="000C50AC"/>
    <w:rsid w:val="000C5636"/>
    <w:rsid w:val="000C6450"/>
    <w:rsid w:val="000D11D8"/>
    <w:rsid w:val="000D1242"/>
    <w:rsid w:val="000D2C10"/>
    <w:rsid w:val="000D5064"/>
    <w:rsid w:val="000D5ABF"/>
    <w:rsid w:val="000D76CF"/>
    <w:rsid w:val="000D7A61"/>
    <w:rsid w:val="000E0970"/>
    <w:rsid w:val="000E0AF2"/>
    <w:rsid w:val="000E1910"/>
    <w:rsid w:val="000E19C6"/>
    <w:rsid w:val="000E3CC7"/>
    <w:rsid w:val="000E6BD4"/>
    <w:rsid w:val="000E6D6D"/>
    <w:rsid w:val="000F1F1E"/>
    <w:rsid w:val="000F2259"/>
    <w:rsid w:val="000F2DDA"/>
    <w:rsid w:val="000F5213"/>
    <w:rsid w:val="000F6819"/>
    <w:rsid w:val="000F7E54"/>
    <w:rsid w:val="00100BD8"/>
    <w:rsid w:val="00101001"/>
    <w:rsid w:val="001021CB"/>
    <w:rsid w:val="00103276"/>
    <w:rsid w:val="0010392D"/>
    <w:rsid w:val="0010447F"/>
    <w:rsid w:val="00104D90"/>
    <w:rsid w:val="00104FE3"/>
    <w:rsid w:val="0010620B"/>
    <w:rsid w:val="0010714F"/>
    <w:rsid w:val="001120C5"/>
    <w:rsid w:val="00113549"/>
    <w:rsid w:val="00114965"/>
    <w:rsid w:val="00116E83"/>
    <w:rsid w:val="0011701A"/>
    <w:rsid w:val="00117629"/>
    <w:rsid w:val="00117E9C"/>
    <w:rsid w:val="00120BD3"/>
    <w:rsid w:val="00122FEA"/>
    <w:rsid w:val="001232BD"/>
    <w:rsid w:val="00124ED5"/>
    <w:rsid w:val="00125F0F"/>
    <w:rsid w:val="001276FA"/>
    <w:rsid w:val="00131305"/>
    <w:rsid w:val="001317CA"/>
    <w:rsid w:val="00137EF8"/>
    <w:rsid w:val="001422E1"/>
    <w:rsid w:val="0014255B"/>
    <w:rsid w:val="00142964"/>
    <w:rsid w:val="00142F64"/>
    <w:rsid w:val="00142F75"/>
    <w:rsid w:val="001447B3"/>
    <w:rsid w:val="00152073"/>
    <w:rsid w:val="00154E2D"/>
    <w:rsid w:val="00155353"/>
    <w:rsid w:val="00156598"/>
    <w:rsid w:val="00160A7D"/>
    <w:rsid w:val="00161939"/>
    <w:rsid w:val="00161AA0"/>
    <w:rsid w:val="00161D2E"/>
    <w:rsid w:val="00161F3E"/>
    <w:rsid w:val="00162093"/>
    <w:rsid w:val="00162CA9"/>
    <w:rsid w:val="001642D5"/>
    <w:rsid w:val="00165459"/>
    <w:rsid w:val="00165A57"/>
    <w:rsid w:val="00165BFF"/>
    <w:rsid w:val="00170204"/>
    <w:rsid w:val="001712C2"/>
    <w:rsid w:val="00171BA3"/>
    <w:rsid w:val="001722DF"/>
    <w:rsid w:val="00172BAF"/>
    <w:rsid w:val="00172F9C"/>
    <w:rsid w:val="00175F3A"/>
    <w:rsid w:val="001771DD"/>
    <w:rsid w:val="00177504"/>
    <w:rsid w:val="00177995"/>
    <w:rsid w:val="00177A8C"/>
    <w:rsid w:val="001809B0"/>
    <w:rsid w:val="00182351"/>
    <w:rsid w:val="00184362"/>
    <w:rsid w:val="00185D41"/>
    <w:rsid w:val="00186B33"/>
    <w:rsid w:val="001906AA"/>
    <w:rsid w:val="00191459"/>
    <w:rsid w:val="001919AD"/>
    <w:rsid w:val="00192F9D"/>
    <w:rsid w:val="001949FD"/>
    <w:rsid w:val="00195E7E"/>
    <w:rsid w:val="00196EB8"/>
    <w:rsid w:val="00196EFB"/>
    <w:rsid w:val="001979FF"/>
    <w:rsid w:val="00197B17"/>
    <w:rsid w:val="001A1950"/>
    <w:rsid w:val="001A1C54"/>
    <w:rsid w:val="001A3333"/>
    <w:rsid w:val="001A3ACE"/>
    <w:rsid w:val="001A4B63"/>
    <w:rsid w:val="001B058F"/>
    <w:rsid w:val="001B1AB1"/>
    <w:rsid w:val="001B1C5E"/>
    <w:rsid w:val="001B5A22"/>
    <w:rsid w:val="001B5E80"/>
    <w:rsid w:val="001B63B2"/>
    <w:rsid w:val="001B6933"/>
    <w:rsid w:val="001B738B"/>
    <w:rsid w:val="001C09DB"/>
    <w:rsid w:val="001C277E"/>
    <w:rsid w:val="001C2A72"/>
    <w:rsid w:val="001C31B7"/>
    <w:rsid w:val="001C5A15"/>
    <w:rsid w:val="001C5CDF"/>
    <w:rsid w:val="001D0B75"/>
    <w:rsid w:val="001D3007"/>
    <w:rsid w:val="001D39A5"/>
    <w:rsid w:val="001D3C09"/>
    <w:rsid w:val="001D44E8"/>
    <w:rsid w:val="001D60EC"/>
    <w:rsid w:val="001D6D04"/>
    <w:rsid w:val="001D6F59"/>
    <w:rsid w:val="001E040B"/>
    <w:rsid w:val="001E0C5D"/>
    <w:rsid w:val="001E2A36"/>
    <w:rsid w:val="001E40FE"/>
    <w:rsid w:val="001E44DF"/>
    <w:rsid w:val="001E512A"/>
    <w:rsid w:val="001E5130"/>
    <w:rsid w:val="001E56D4"/>
    <w:rsid w:val="001E5FD6"/>
    <w:rsid w:val="001E68A5"/>
    <w:rsid w:val="001E6B4B"/>
    <w:rsid w:val="001E6BB0"/>
    <w:rsid w:val="001E7282"/>
    <w:rsid w:val="001F0F0B"/>
    <w:rsid w:val="001F237A"/>
    <w:rsid w:val="001F2698"/>
    <w:rsid w:val="001F3826"/>
    <w:rsid w:val="001F6E46"/>
    <w:rsid w:val="001F7C91"/>
    <w:rsid w:val="00200747"/>
    <w:rsid w:val="00202475"/>
    <w:rsid w:val="002033B7"/>
    <w:rsid w:val="00206463"/>
    <w:rsid w:val="00206F2F"/>
    <w:rsid w:val="00207A28"/>
    <w:rsid w:val="00210165"/>
    <w:rsid w:val="0021053D"/>
    <w:rsid w:val="00210A92"/>
    <w:rsid w:val="00210CDE"/>
    <w:rsid w:val="00211F6D"/>
    <w:rsid w:val="00213BB0"/>
    <w:rsid w:val="00216C03"/>
    <w:rsid w:val="002173CC"/>
    <w:rsid w:val="00217742"/>
    <w:rsid w:val="00220070"/>
    <w:rsid w:val="00220C04"/>
    <w:rsid w:val="00221A72"/>
    <w:rsid w:val="0022278D"/>
    <w:rsid w:val="00226F4A"/>
    <w:rsid w:val="0022701F"/>
    <w:rsid w:val="00227C68"/>
    <w:rsid w:val="00231918"/>
    <w:rsid w:val="002333F5"/>
    <w:rsid w:val="00233724"/>
    <w:rsid w:val="002365B4"/>
    <w:rsid w:val="002413D1"/>
    <w:rsid w:val="002432E1"/>
    <w:rsid w:val="002459F3"/>
    <w:rsid w:val="00246207"/>
    <w:rsid w:val="00246C5E"/>
    <w:rsid w:val="00250960"/>
    <w:rsid w:val="00251343"/>
    <w:rsid w:val="00251887"/>
    <w:rsid w:val="002536A4"/>
    <w:rsid w:val="00254F58"/>
    <w:rsid w:val="00256ADE"/>
    <w:rsid w:val="00257E62"/>
    <w:rsid w:val="00260AC1"/>
    <w:rsid w:val="002620BC"/>
    <w:rsid w:val="00262618"/>
    <w:rsid w:val="00262802"/>
    <w:rsid w:val="00263A90"/>
    <w:rsid w:val="00263BC7"/>
    <w:rsid w:val="00263C1F"/>
    <w:rsid w:val="0026408B"/>
    <w:rsid w:val="002670C0"/>
    <w:rsid w:val="00267C3E"/>
    <w:rsid w:val="00270249"/>
    <w:rsid w:val="002709BB"/>
    <w:rsid w:val="00270B4B"/>
    <w:rsid w:val="0027113F"/>
    <w:rsid w:val="00273BAC"/>
    <w:rsid w:val="00274726"/>
    <w:rsid w:val="002763B3"/>
    <w:rsid w:val="002802E3"/>
    <w:rsid w:val="00280322"/>
    <w:rsid w:val="0028213D"/>
    <w:rsid w:val="00284B38"/>
    <w:rsid w:val="002856A1"/>
    <w:rsid w:val="002862F1"/>
    <w:rsid w:val="00291373"/>
    <w:rsid w:val="0029426F"/>
    <w:rsid w:val="00294B59"/>
    <w:rsid w:val="00294B5F"/>
    <w:rsid w:val="0029597D"/>
    <w:rsid w:val="00295B90"/>
    <w:rsid w:val="002962C3"/>
    <w:rsid w:val="0029752B"/>
    <w:rsid w:val="002A0A9C"/>
    <w:rsid w:val="002A483C"/>
    <w:rsid w:val="002B0C7C"/>
    <w:rsid w:val="002B0E3F"/>
    <w:rsid w:val="002B1729"/>
    <w:rsid w:val="002B27D7"/>
    <w:rsid w:val="002B36A5"/>
    <w:rsid w:val="002B36C7"/>
    <w:rsid w:val="002B4DD4"/>
    <w:rsid w:val="002B5277"/>
    <w:rsid w:val="002B5375"/>
    <w:rsid w:val="002B686E"/>
    <w:rsid w:val="002B6B5D"/>
    <w:rsid w:val="002B77C1"/>
    <w:rsid w:val="002C0ED7"/>
    <w:rsid w:val="002C2728"/>
    <w:rsid w:val="002C2946"/>
    <w:rsid w:val="002C31C6"/>
    <w:rsid w:val="002C5F70"/>
    <w:rsid w:val="002D069F"/>
    <w:rsid w:val="002D095C"/>
    <w:rsid w:val="002D1E0D"/>
    <w:rsid w:val="002D2223"/>
    <w:rsid w:val="002D33B5"/>
    <w:rsid w:val="002D5006"/>
    <w:rsid w:val="002D569F"/>
    <w:rsid w:val="002D6220"/>
    <w:rsid w:val="002E01D0"/>
    <w:rsid w:val="002E161D"/>
    <w:rsid w:val="002E2499"/>
    <w:rsid w:val="002E3100"/>
    <w:rsid w:val="002E3B29"/>
    <w:rsid w:val="002E6C95"/>
    <w:rsid w:val="002E7C36"/>
    <w:rsid w:val="002F0107"/>
    <w:rsid w:val="002F3D32"/>
    <w:rsid w:val="002F5EC4"/>
    <w:rsid w:val="002F5F31"/>
    <w:rsid w:val="002F5F46"/>
    <w:rsid w:val="002F6053"/>
    <w:rsid w:val="002F60EA"/>
    <w:rsid w:val="00302216"/>
    <w:rsid w:val="003025FD"/>
    <w:rsid w:val="00303E53"/>
    <w:rsid w:val="00304AD0"/>
    <w:rsid w:val="00304CA2"/>
    <w:rsid w:val="00305CC1"/>
    <w:rsid w:val="00306C01"/>
    <w:rsid w:val="00306E5F"/>
    <w:rsid w:val="003070E3"/>
    <w:rsid w:val="00307E14"/>
    <w:rsid w:val="00314054"/>
    <w:rsid w:val="00315BD8"/>
    <w:rsid w:val="003160B0"/>
    <w:rsid w:val="00316F27"/>
    <w:rsid w:val="003214F1"/>
    <w:rsid w:val="003220D2"/>
    <w:rsid w:val="00322E4B"/>
    <w:rsid w:val="00326CCE"/>
    <w:rsid w:val="00327870"/>
    <w:rsid w:val="00331B98"/>
    <w:rsid w:val="0033213B"/>
    <w:rsid w:val="0033259D"/>
    <w:rsid w:val="003327CC"/>
    <w:rsid w:val="003333D2"/>
    <w:rsid w:val="00333EFF"/>
    <w:rsid w:val="00334037"/>
    <w:rsid w:val="003342BF"/>
    <w:rsid w:val="0033606C"/>
    <w:rsid w:val="00336527"/>
    <w:rsid w:val="00337C7A"/>
    <w:rsid w:val="003406C6"/>
    <w:rsid w:val="003418CC"/>
    <w:rsid w:val="00341C01"/>
    <w:rsid w:val="003424BC"/>
    <w:rsid w:val="00345306"/>
    <w:rsid w:val="003459BD"/>
    <w:rsid w:val="00350C8D"/>
    <w:rsid w:val="00350D38"/>
    <w:rsid w:val="00351B36"/>
    <w:rsid w:val="00352F6F"/>
    <w:rsid w:val="00354C21"/>
    <w:rsid w:val="00357B4E"/>
    <w:rsid w:val="00360227"/>
    <w:rsid w:val="003716FD"/>
    <w:rsid w:val="0037204B"/>
    <w:rsid w:val="00373D6A"/>
    <w:rsid w:val="003744CF"/>
    <w:rsid w:val="00374717"/>
    <w:rsid w:val="0037476C"/>
    <w:rsid w:val="0037676C"/>
    <w:rsid w:val="00376909"/>
    <w:rsid w:val="00381043"/>
    <w:rsid w:val="003829E5"/>
    <w:rsid w:val="003851F2"/>
    <w:rsid w:val="00386109"/>
    <w:rsid w:val="00386944"/>
    <w:rsid w:val="00392D48"/>
    <w:rsid w:val="00393680"/>
    <w:rsid w:val="0039473F"/>
    <w:rsid w:val="003956CC"/>
    <w:rsid w:val="00395C9A"/>
    <w:rsid w:val="003A0853"/>
    <w:rsid w:val="003A3B86"/>
    <w:rsid w:val="003A6B67"/>
    <w:rsid w:val="003B13B6"/>
    <w:rsid w:val="003B15E6"/>
    <w:rsid w:val="003B2D9E"/>
    <w:rsid w:val="003B408A"/>
    <w:rsid w:val="003B4DF7"/>
    <w:rsid w:val="003B5733"/>
    <w:rsid w:val="003B577A"/>
    <w:rsid w:val="003B7249"/>
    <w:rsid w:val="003C06B5"/>
    <w:rsid w:val="003C08A2"/>
    <w:rsid w:val="003C2045"/>
    <w:rsid w:val="003C3FEE"/>
    <w:rsid w:val="003C43A1"/>
    <w:rsid w:val="003C4FC0"/>
    <w:rsid w:val="003C55F4"/>
    <w:rsid w:val="003C67D4"/>
    <w:rsid w:val="003C7897"/>
    <w:rsid w:val="003C7A3F"/>
    <w:rsid w:val="003D2100"/>
    <w:rsid w:val="003D2766"/>
    <w:rsid w:val="003D2A74"/>
    <w:rsid w:val="003D3E8F"/>
    <w:rsid w:val="003D6475"/>
    <w:rsid w:val="003E375C"/>
    <w:rsid w:val="003E4086"/>
    <w:rsid w:val="003E639E"/>
    <w:rsid w:val="003E71E5"/>
    <w:rsid w:val="003F0445"/>
    <w:rsid w:val="003F0CF0"/>
    <w:rsid w:val="003F14B1"/>
    <w:rsid w:val="003F2B20"/>
    <w:rsid w:val="003F3289"/>
    <w:rsid w:val="003F399C"/>
    <w:rsid w:val="003F5665"/>
    <w:rsid w:val="003F5CB9"/>
    <w:rsid w:val="004013C7"/>
    <w:rsid w:val="00401546"/>
    <w:rsid w:val="00401FCF"/>
    <w:rsid w:val="0040248F"/>
    <w:rsid w:val="00403045"/>
    <w:rsid w:val="00403601"/>
    <w:rsid w:val="004041D9"/>
    <w:rsid w:val="00404B30"/>
    <w:rsid w:val="00406285"/>
    <w:rsid w:val="00410663"/>
    <w:rsid w:val="0041388A"/>
    <w:rsid w:val="004141B8"/>
    <w:rsid w:val="004146C6"/>
    <w:rsid w:val="004148F9"/>
    <w:rsid w:val="00414D4A"/>
    <w:rsid w:val="00416BB8"/>
    <w:rsid w:val="0042084E"/>
    <w:rsid w:val="00421EEF"/>
    <w:rsid w:val="00424308"/>
    <w:rsid w:val="00424D65"/>
    <w:rsid w:val="00424E20"/>
    <w:rsid w:val="004270BB"/>
    <w:rsid w:val="0042758E"/>
    <w:rsid w:val="00436004"/>
    <w:rsid w:val="004417FE"/>
    <w:rsid w:val="00442C6C"/>
    <w:rsid w:val="00443CBE"/>
    <w:rsid w:val="00443E8A"/>
    <w:rsid w:val="0044403D"/>
    <w:rsid w:val="004441BC"/>
    <w:rsid w:val="00445417"/>
    <w:rsid w:val="00445F90"/>
    <w:rsid w:val="004468B4"/>
    <w:rsid w:val="0045230A"/>
    <w:rsid w:val="00452884"/>
    <w:rsid w:val="00454AD0"/>
    <w:rsid w:val="00457337"/>
    <w:rsid w:val="00462E3D"/>
    <w:rsid w:val="00465622"/>
    <w:rsid w:val="00466E79"/>
    <w:rsid w:val="0046749E"/>
    <w:rsid w:val="0047038F"/>
    <w:rsid w:val="00470D7D"/>
    <w:rsid w:val="0047184C"/>
    <w:rsid w:val="0047372D"/>
    <w:rsid w:val="00473A3D"/>
    <w:rsid w:val="00473BA3"/>
    <w:rsid w:val="004743DD"/>
    <w:rsid w:val="00474CEA"/>
    <w:rsid w:val="00476949"/>
    <w:rsid w:val="004822B1"/>
    <w:rsid w:val="00483968"/>
    <w:rsid w:val="00484F86"/>
    <w:rsid w:val="00490746"/>
    <w:rsid w:val="00490852"/>
    <w:rsid w:val="00491C9C"/>
    <w:rsid w:val="00492F30"/>
    <w:rsid w:val="00493D46"/>
    <w:rsid w:val="004946F4"/>
    <w:rsid w:val="0049487E"/>
    <w:rsid w:val="0049548D"/>
    <w:rsid w:val="004A160D"/>
    <w:rsid w:val="004A3345"/>
    <w:rsid w:val="004A33F8"/>
    <w:rsid w:val="004A3E81"/>
    <w:rsid w:val="004A4195"/>
    <w:rsid w:val="004A5C62"/>
    <w:rsid w:val="004A5CE5"/>
    <w:rsid w:val="004A707D"/>
    <w:rsid w:val="004C23BD"/>
    <w:rsid w:val="004C40FA"/>
    <w:rsid w:val="004C5541"/>
    <w:rsid w:val="004C6EEE"/>
    <w:rsid w:val="004C702B"/>
    <w:rsid w:val="004C78A5"/>
    <w:rsid w:val="004C7F85"/>
    <w:rsid w:val="004D0033"/>
    <w:rsid w:val="004D016B"/>
    <w:rsid w:val="004D1B22"/>
    <w:rsid w:val="004D23CC"/>
    <w:rsid w:val="004D3204"/>
    <w:rsid w:val="004D36F2"/>
    <w:rsid w:val="004D4088"/>
    <w:rsid w:val="004D4C7B"/>
    <w:rsid w:val="004D73F3"/>
    <w:rsid w:val="004E06FB"/>
    <w:rsid w:val="004E1106"/>
    <w:rsid w:val="004E138F"/>
    <w:rsid w:val="004E29CD"/>
    <w:rsid w:val="004E4649"/>
    <w:rsid w:val="004E5942"/>
    <w:rsid w:val="004E5C2B"/>
    <w:rsid w:val="004E628B"/>
    <w:rsid w:val="004E7DBB"/>
    <w:rsid w:val="004F00DD"/>
    <w:rsid w:val="004F2133"/>
    <w:rsid w:val="004F2DDC"/>
    <w:rsid w:val="004F5398"/>
    <w:rsid w:val="004F55F1"/>
    <w:rsid w:val="004F5852"/>
    <w:rsid w:val="004F6936"/>
    <w:rsid w:val="004F7104"/>
    <w:rsid w:val="004F783C"/>
    <w:rsid w:val="00500ABA"/>
    <w:rsid w:val="00501DCD"/>
    <w:rsid w:val="00503DC6"/>
    <w:rsid w:val="0050412D"/>
    <w:rsid w:val="00504304"/>
    <w:rsid w:val="00506F5D"/>
    <w:rsid w:val="005073DA"/>
    <w:rsid w:val="00510AC2"/>
    <w:rsid w:val="00510C37"/>
    <w:rsid w:val="005126D0"/>
    <w:rsid w:val="00512770"/>
    <w:rsid w:val="00512EE2"/>
    <w:rsid w:val="0051568D"/>
    <w:rsid w:val="00520C06"/>
    <w:rsid w:val="005218DE"/>
    <w:rsid w:val="00523ED2"/>
    <w:rsid w:val="00526AC7"/>
    <w:rsid w:val="00526C15"/>
    <w:rsid w:val="00527DE1"/>
    <w:rsid w:val="0053486E"/>
    <w:rsid w:val="00534E12"/>
    <w:rsid w:val="00536499"/>
    <w:rsid w:val="00541BFB"/>
    <w:rsid w:val="00542B12"/>
    <w:rsid w:val="00543903"/>
    <w:rsid w:val="00543F11"/>
    <w:rsid w:val="00544D12"/>
    <w:rsid w:val="00546305"/>
    <w:rsid w:val="00547A95"/>
    <w:rsid w:val="0055119B"/>
    <w:rsid w:val="00551BB0"/>
    <w:rsid w:val="005548B5"/>
    <w:rsid w:val="0056081B"/>
    <w:rsid w:val="00562A1B"/>
    <w:rsid w:val="00564C23"/>
    <w:rsid w:val="00565293"/>
    <w:rsid w:val="005655D3"/>
    <w:rsid w:val="005662C7"/>
    <w:rsid w:val="00566BB3"/>
    <w:rsid w:val="00572031"/>
    <w:rsid w:val="00572282"/>
    <w:rsid w:val="00573CE3"/>
    <w:rsid w:val="0057677C"/>
    <w:rsid w:val="005768EE"/>
    <w:rsid w:val="00576E84"/>
    <w:rsid w:val="00577A08"/>
    <w:rsid w:val="00580394"/>
    <w:rsid w:val="005809CD"/>
    <w:rsid w:val="00582B8C"/>
    <w:rsid w:val="005847AE"/>
    <w:rsid w:val="0058757E"/>
    <w:rsid w:val="00593208"/>
    <w:rsid w:val="005948E0"/>
    <w:rsid w:val="00596A4B"/>
    <w:rsid w:val="00597507"/>
    <w:rsid w:val="005A16CE"/>
    <w:rsid w:val="005A1F23"/>
    <w:rsid w:val="005A41FB"/>
    <w:rsid w:val="005A479D"/>
    <w:rsid w:val="005A7362"/>
    <w:rsid w:val="005B1C6D"/>
    <w:rsid w:val="005B21B6"/>
    <w:rsid w:val="005B3A08"/>
    <w:rsid w:val="005B4E2D"/>
    <w:rsid w:val="005B7A63"/>
    <w:rsid w:val="005C0955"/>
    <w:rsid w:val="005C1BFA"/>
    <w:rsid w:val="005C49DA"/>
    <w:rsid w:val="005C50F3"/>
    <w:rsid w:val="005C53B2"/>
    <w:rsid w:val="005C54B5"/>
    <w:rsid w:val="005C5D80"/>
    <w:rsid w:val="005C5D91"/>
    <w:rsid w:val="005C6E06"/>
    <w:rsid w:val="005D07B8"/>
    <w:rsid w:val="005D0F0C"/>
    <w:rsid w:val="005D2922"/>
    <w:rsid w:val="005D6597"/>
    <w:rsid w:val="005E14E7"/>
    <w:rsid w:val="005E269F"/>
    <w:rsid w:val="005E26A3"/>
    <w:rsid w:val="005E2ECB"/>
    <w:rsid w:val="005E447E"/>
    <w:rsid w:val="005E4FD1"/>
    <w:rsid w:val="005E6721"/>
    <w:rsid w:val="005F0775"/>
    <w:rsid w:val="005F0CF5"/>
    <w:rsid w:val="005F1E19"/>
    <w:rsid w:val="005F21EB"/>
    <w:rsid w:val="005F395A"/>
    <w:rsid w:val="005F5D56"/>
    <w:rsid w:val="00604682"/>
    <w:rsid w:val="00605908"/>
    <w:rsid w:val="0060683A"/>
    <w:rsid w:val="00610812"/>
    <w:rsid w:val="00610D7C"/>
    <w:rsid w:val="00613414"/>
    <w:rsid w:val="0061761C"/>
    <w:rsid w:val="00620154"/>
    <w:rsid w:val="0062408D"/>
    <w:rsid w:val="006240CC"/>
    <w:rsid w:val="00624940"/>
    <w:rsid w:val="006254F8"/>
    <w:rsid w:val="00627DA7"/>
    <w:rsid w:val="00630DA4"/>
    <w:rsid w:val="00632597"/>
    <w:rsid w:val="0063271E"/>
    <w:rsid w:val="00633435"/>
    <w:rsid w:val="006337A7"/>
    <w:rsid w:val="006358B4"/>
    <w:rsid w:val="00635CAB"/>
    <w:rsid w:val="00635E9C"/>
    <w:rsid w:val="00637013"/>
    <w:rsid w:val="00641727"/>
    <w:rsid w:val="006419AA"/>
    <w:rsid w:val="00644B1F"/>
    <w:rsid w:val="00644B7E"/>
    <w:rsid w:val="006454E6"/>
    <w:rsid w:val="00646235"/>
    <w:rsid w:val="00646A68"/>
    <w:rsid w:val="0065005D"/>
    <w:rsid w:val="006505BD"/>
    <w:rsid w:val="006508EA"/>
    <w:rsid w:val="006508F2"/>
    <w:rsid w:val="0065092E"/>
    <w:rsid w:val="006557A7"/>
    <w:rsid w:val="00655BD6"/>
    <w:rsid w:val="00655F9E"/>
    <w:rsid w:val="00656290"/>
    <w:rsid w:val="006608D8"/>
    <w:rsid w:val="006614E4"/>
    <w:rsid w:val="006621D7"/>
    <w:rsid w:val="0066302A"/>
    <w:rsid w:val="0066408A"/>
    <w:rsid w:val="0066643D"/>
    <w:rsid w:val="00667770"/>
    <w:rsid w:val="00670597"/>
    <w:rsid w:val="006706D0"/>
    <w:rsid w:val="00673056"/>
    <w:rsid w:val="00677574"/>
    <w:rsid w:val="0068454C"/>
    <w:rsid w:val="0068534D"/>
    <w:rsid w:val="00691B62"/>
    <w:rsid w:val="006933B5"/>
    <w:rsid w:val="00693D14"/>
    <w:rsid w:val="00695655"/>
    <w:rsid w:val="00696F27"/>
    <w:rsid w:val="006A0452"/>
    <w:rsid w:val="006A18C2"/>
    <w:rsid w:val="006A1A47"/>
    <w:rsid w:val="006A3383"/>
    <w:rsid w:val="006A3D54"/>
    <w:rsid w:val="006A4C64"/>
    <w:rsid w:val="006B032F"/>
    <w:rsid w:val="006B077C"/>
    <w:rsid w:val="006B2366"/>
    <w:rsid w:val="006B6803"/>
    <w:rsid w:val="006C2103"/>
    <w:rsid w:val="006C4711"/>
    <w:rsid w:val="006C74D8"/>
    <w:rsid w:val="006D06FD"/>
    <w:rsid w:val="006D0F16"/>
    <w:rsid w:val="006D1FA3"/>
    <w:rsid w:val="006D22F8"/>
    <w:rsid w:val="006D2A3F"/>
    <w:rsid w:val="006D2FBC"/>
    <w:rsid w:val="006D3B54"/>
    <w:rsid w:val="006D54CB"/>
    <w:rsid w:val="006D7093"/>
    <w:rsid w:val="006E0085"/>
    <w:rsid w:val="006E0541"/>
    <w:rsid w:val="006E138B"/>
    <w:rsid w:val="006E65C8"/>
    <w:rsid w:val="006F0330"/>
    <w:rsid w:val="006F1FDC"/>
    <w:rsid w:val="006F39FB"/>
    <w:rsid w:val="006F6B8C"/>
    <w:rsid w:val="007013EF"/>
    <w:rsid w:val="007054A4"/>
    <w:rsid w:val="007055BD"/>
    <w:rsid w:val="00706DA9"/>
    <w:rsid w:val="007128FA"/>
    <w:rsid w:val="00712D72"/>
    <w:rsid w:val="007173CA"/>
    <w:rsid w:val="007207FC"/>
    <w:rsid w:val="00720B46"/>
    <w:rsid w:val="007216AA"/>
    <w:rsid w:val="00721AB5"/>
    <w:rsid w:val="00721CFB"/>
    <w:rsid w:val="00721DEF"/>
    <w:rsid w:val="00723007"/>
    <w:rsid w:val="00723A8A"/>
    <w:rsid w:val="00724A43"/>
    <w:rsid w:val="00724C3A"/>
    <w:rsid w:val="007271BE"/>
    <w:rsid w:val="007273AC"/>
    <w:rsid w:val="00730E92"/>
    <w:rsid w:val="00731AD4"/>
    <w:rsid w:val="007346E4"/>
    <w:rsid w:val="00740F22"/>
    <w:rsid w:val="00741CF0"/>
    <w:rsid w:val="00741F1A"/>
    <w:rsid w:val="00743301"/>
    <w:rsid w:val="007447DA"/>
    <w:rsid w:val="007450F8"/>
    <w:rsid w:val="0074568B"/>
    <w:rsid w:val="007460A3"/>
    <w:rsid w:val="0074696E"/>
    <w:rsid w:val="00750135"/>
    <w:rsid w:val="00750EC2"/>
    <w:rsid w:val="0075299C"/>
    <w:rsid w:val="00752B28"/>
    <w:rsid w:val="00752BD9"/>
    <w:rsid w:val="007541A9"/>
    <w:rsid w:val="00754E36"/>
    <w:rsid w:val="00757700"/>
    <w:rsid w:val="00763139"/>
    <w:rsid w:val="007660BD"/>
    <w:rsid w:val="00766680"/>
    <w:rsid w:val="00770F37"/>
    <w:rsid w:val="007711A0"/>
    <w:rsid w:val="00772D5E"/>
    <w:rsid w:val="0077463E"/>
    <w:rsid w:val="00776928"/>
    <w:rsid w:val="00776E0F"/>
    <w:rsid w:val="007774B1"/>
    <w:rsid w:val="00777BE1"/>
    <w:rsid w:val="007828D8"/>
    <w:rsid w:val="007833D8"/>
    <w:rsid w:val="00785677"/>
    <w:rsid w:val="00786028"/>
    <w:rsid w:val="00786F16"/>
    <w:rsid w:val="00787C8E"/>
    <w:rsid w:val="00787DE6"/>
    <w:rsid w:val="00791BD7"/>
    <w:rsid w:val="007933F7"/>
    <w:rsid w:val="00796E20"/>
    <w:rsid w:val="007970A1"/>
    <w:rsid w:val="00797C32"/>
    <w:rsid w:val="007A11E8"/>
    <w:rsid w:val="007A386D"/>
    <w:rsid w:val="007A571A"/>
    <w:rsid w:val="007A6E59"/>
    <w:rsid w:val="007B0914"/>
    <w:rsid w:val="007B1374"/>
    <w:rsid w:val="007B32E5"/>
    <w:rsid w:val="007B3D5A"/>
    <w:rsid w:val="007B3DB9"/>
    <w:rsid w:val="007B589F"/>
    <w:rsid w:val="007B6186"/>
    <w:rsid w:val="007B73BC"/>
    <w:rsid w:val="007C1838"/>
    <w:rsid w:val="007C20B9"/>
    <w:rsid w:val="007C25C4"/>
    <w:rsid w:val="007C7019"/>
    <w:rsid w:val="007C7301"/>
    <w:rsid w:val="007C7859"/>
    <w:rsid w:val="007C7F28"/>
    <w:rsid w:val="007D1466"/>
    <w:rsid w:val="007D2BDE"/>
    <w:rsid w:val="007D2FB6"/>
    <w:rsid w:val="007D3BA2"/>
    <w:rsid w:val="007D3D28"/>
    <w:rsid w:val="007D49EB"/>
    <w:rsid w:val="007D5E1C"/>
    <w:rsid w:val="007E0DE2"/>
    <w:rsid w:val="007E1227"/>
    <w:rsid w:val="007E3B98"/>
    <w:rsid w:val="007E3C7F"/>
    <w:rsid w:val="007E3F19"/>
    <w:rsid w:val="007E417A"/>
    <w:rsid w:val="007E75C4"/>
    <w:rsid w:val="007F31B6"/>
    <w:rsid w:val="007F49BD"/>
    <w:rsid w:val="007F546C"/>
    <w:rsid w:val="007F625F"/>
    <w:rsid w:val="007F665E"/>
    <w:rsid w:val="007F6A4E"/>
    <w:rsid w:val="00800376"/>
    <w:rsid w:val="00800412"/>
    <w:rsid w:val="00800B3E"/>
    <w:rsid w:val="00802E5A"/>
    <w:rsid w:val="008037BC"/>
    <w:rsid w:val="0080587B"/>
    <w:rsid w:val="00805AB1"/>
    <w:rsid w:val="00806468"/>
    <w:rsid w:val="0081004A"/>
    <w:rsid w:val="008119CA"/>
    <w:rsid w:val="008130C4"/>
    <w:rsid w:val="008155F0"/>
    <w:rsid w:val="00816735"/>
    <w:rsid w:val="00817658"/>
    <w:rsid w:val="00817931"/>
    <w:rsid w:val="00817B13"/>
    <w:rsid w:val="00817CEE"/>
    <w:rsid w:val="00820141"/>
    <w:rsid w:val="00820E0C"/>
    <w:rsid w:val="00821AF9"/>
    <w:rsid w:val="00823275"/>
    <w:rsid w:val="0082366F"/>
    <w:rsid w:val="00825CF6"/>
    <w:rsid w:val="00827246"/>
    <w:rsid w:val="008272B7"/>
    <w:rsid w:val="00830817"/>
    <w:rsid w:val="00832DF0"/>
    <w:rsid w:val="0083310A"/>
    <w:rsid w:val="008338A2"/>
    <w:rsid w:val="0083455A"/>
    <w:rsid w:val="00834B50"/>
    <w:rsid w:val="00835FAF"/>
    <w:rsid w:val="00837408"/>
    <w:rsid w:val="00841AA9"/>
    <w:rsid w:val="00844A1B"/>
    <w:rsid w:val="008464D1"/>
    <w:rsid w:val="00847112"/>
    <w:rsid w:val="008474FE"/>
    <w:rsid w:val="00853EE4"/>
    <w:rsid w:val="0085509B"/>
    <w:rsid w:val="00855535"/>
    <w:rsid w:val="00857C5A"/>
    <w:rsid w:val="008606A6"/>
    <w:rsid w:val="008618ED"/>
    <w:rsid w:val="0086255E"/>
    <w:rsid w:val="008633F0"/>
    <w:rsid w:val="00864794"/>
    <w:rsid w:val="00864DE5"/>
    <w:rsid w:val="00867D9D"/>
    <w:rsid w:val="00870273"/>
    <w:rsid w:val="00872E0A"/>
    <w:rsid w:val="00873594"/>
    <w:rsid w:val="00874821"/>
    <w:rsid w:val="00875285"/>
    <w:rsid w:val="0087775A"/>
    <w:rsid w:val="008804ED"/>
    <w:rsid w:val="00884B62"/>
    <w:rsid w:val="0088529C"/>
    <w:rsid w:val="00885C11"/>
    <w:rsid w:val="00887903"/>
    <w:rsid w:val="00890443"/>
    <w:rsid w:val="0089270A"/>
    <w:rsid w:val="00893AF6"/>
    <w:rsid w:val="00894BC4"/>
    <w:rsid w:val="00895ADC"/>
    <w:rsid w:val="008A0DBD"/>
    <w:rsid w:val="008A28A8"/>
    <w:rsid w:val="008A293F"/>
    <w:rsid w:val="008A543F"/>
    <w:rsid w:val="008A5B32"/>
    <w:rsid w:val="008A6B27"/>
    <w:rsid w:val="008B1013"/>
    <w:rsid w:val="008B1221"/>
    <w:rsid w:val="008B2EE4"/>
    <w:rsid w:val="008B31F2"/>
    <w:rsid w:val="008B4D3D"/>
    <w:rsid w:val="008B57C7"/>
    <w:rsid w:val="008C1D4F"/>
    <w:rsid w:val="008C2F92"/>
    <w:rsid w:val="008C3697"/>
    <w:rsid w:val="008C5557"/>
    <w:rsid w:val="008C589D"/>
    <w:rsid w:val="008C5E9A"/>
    <w:rsid w:val="008C6D51"/>
    <w:rsid w:val="008D0C58"/>
    <w:rsid w:val="008D2846"/>
    <w:rsid w:val="008D3177"/>
    <w:rsid w:val="008D4236"/>
    <w:rsid w:val="008D462F"/>
    <w:rsid w:val="008D5BE7"/>
    <w:rsid w:val="008D6DCF"/>
    <w:rsid w:val="008E4376"/>
    <w:rsid w:val="008E54B3"/>
    <w:rsid w:val="008E6971"/>
    <w:rsid w:val="008E7A0A"/>
    <w:rsid w:val="008E7B49"/>
    <w:rsid w:val="008F02E4"/>
    <w:rsid w:val="008F0796"/>
    <w:rsid w:val="008F3E37"/>
    <w:rsid w:val="008F3FE0"/>
    <w:rsid w:val="008F59F6"/>
    <w:rsid w:val="008F5BEC"/>
    <w:rsid w:val="008F6837"/>
    <w:rsid w:val="00900719"/>
    <w:rsid w:val="009017AC"/>
    <w:rsid w:val="00902A9A"/>
    <w:rsid w:val="0090330E"/>
    <w:rsid w:val="00904A1C"/>
    <w:rsid w:val="00905030"/>
    <w:rsid w:val="00906490"/>
    <w:rsid w:val="009111B2"/>
    <w:rsid w:val="0091196E"/>
    <w:rsid w:val="009151F5"/>
    <w:rsid w:val="0091639E"/>
    <w:rsid w:val="00923C1D"/>
    <w:rsid w:val="00924AE1"/>
    <w:rsid w:val="009263A9"/>
    <w:rsid w:val="009269B1"/>
    <w:rsid w:val="0092724D"/>
    <w:rsid w:val="009272B3"/>
    <w:rsid w:val="00930347"/>
    <w:rsid w:val="009315BE"/>
    <w:rsid w:val="0093338F"/>
    <w:rsid w:val="00935AFA"/>
    <w:rsid w:val="00937BD9"/>
    <w:rsid w:val="00950E2C"/>
    <w:rsid w:val="00951D50"/>
    <w:rsid w:val="00951F9E"/>
    <w:rsid w:val="009525EB"/>
    <w:rsid w:val="0095470B"/>
    <w:rsid w:val="00954874"/>
    <w:rsid w:val="0095615A"/>
    <w:rsid w:val="00961400"/>
    <w:rsid w:val="00963646"/>
    <w:rsid w:val="0096632D"/>
    <w:rsid w:val="009718C7"/>
    <w:rsid w:val="00971E55"/>
    <w:rsid w:val="0097559F"/>
    <w:rsid w:val="009768EC"/>
    <w:rsid w:val="0097761E"/>
    <w:rsid w:val="00982454"/>
    <w:rsid w:val="00982CF0"/>
    <w:rsid w:val="00983CA9"/>
    <w:rsid w:val="009853E1"/>
    <w:rsid w:val="00986E6B"/>
    <w:rsid w:val="009872ED"/>
    <w:rsid w:val="00990032"/>
    <w:rsid w:val="009904AA"/>
    <w:rsid w:val="00990B19"/>
    <w:rsid w:val="0099153B"/>
    <w:rsid w:val="00991769"/>
    <w:rsid w:val="0099232C"/>
    <w:rsid w:val="00994386"/>
    <w:rsid w:val="0099457C"/>
    <w:rsid w:val="00994A09"/>
    <w:rsid w:val="0099623E"/>
    <w:rsid w:val="009A13D8"/>
    <w:rsid w:val="009A244B"/>
    <w:rsid w:val="009A279E"/>
    <w:rsid w:val="009A3015"/>
    <w:rsid w:val="009A3490"/>
    <w:rsid w:val="009A3B53"/>
    <w:rsid w:val="009B0A6F"/>
    <w:rsid w:val="009B0A94"/>
    <w:rsid w:val="009B1689"/>
    <w:rsid w:val="009B1A77"/>
    <w:rsid w:val="009B2AE8"/>
    <w:rsid w:val="009B3596"/>
    <w:rsid w:val="009B59E9"/>
    <w:rsid w:val="009B6FC4"/>
    <w:rsid w:val="009B70AA"/>
    <w:rsid w:val="009C4E3F"/>
    <w:rsid w:val="009C5E77"/>
    <w:rsid w:val="009C678D"/>
    <w:rsid w:val="009C7A7E"/>
    <w:rsid w:val="009CDCAE"/>
    <w:rsid w:val="009D02E8"/>
    <w:rsid w:val="009D305A"/>
    <w:rsid w:val="009D51D0"/>
    <w:rsid w:val="009D5B5D"/>
    <w:rsid w:val="009D70A4"/>
    <w:rsid w:val="009D7B14"/>
    <w:rsid w:val="009E03BE"/>
    <w:rsid w:val="009E08D1"/>
    <w:rsid w:val="009E1475"/>
    <w:rsid w:val="009E1B95"/>
    <w:rsid w:val="009E496F"/>
    <w:rsid w:val="009E4B0D"/>
    <w:rsid w:val="009E5250"/>
    <w:rsid w:val="009E53A0"/>
    <w:rsid w:val="009E7F92"/>
    <w:rsid w:val="009F02A3"/>
    <w:rsid w:val="009F2F27"/>
    <w:rsid w:val="009F34AA"/>
    <w:rsid w:val="009F6BCB"/>
    <w:rsid w:val="009F7B78"/>
    <w:rsid w:val="00A0057A"/>
    <w:rsid w:val="00A02FA1"/>
    <w:rsid w:val="00A04CCE"/>
    <w:rsid w:val="00A07421"/>
    <w:rsid w:val="00A0776B"/>
    <w:rsid w:val="00A07CD3"/>
    <w:rsid w:val="00A10FB9"/>
    <w:rsid w:val="00A113BB"/>
    <w:rsid w:val="00A11421"/>
    <w:rsid w:val="00A1389F"/>
    <w:rsid w:val="00A14E1D"/>
    <w:rsid w:val="00A157B1"/>
    <w:rsid w:val="00A21201"/>
    <w:rsid w:val="00A21FC2"/>
    <w:rsid w:val="00A22229"/>
    <w:rsid w:val="00A24442"/>
    <w:rsid w:val="00A250AB"/>
    <w:rsid w:val="00A25D1D"/>
    <w:rsid w:val="00A261EF"/>
    <w:rsid w:val="00A3016F"/>
    <w:rsid w:val="00A31995"/>
    <w:rsid w:val="00A31B52"/>
    <w:rsid w:val="00A31E0D"/>
    <w:rsid w:val="00A32231"/>
    <w:rsid w:val="00A330BB"/>
    <w:rsid w:val="00A400AD"/>
    <w:rsid w:val="00A4165B"/>
    <w:rsid w:val="00A424E9"/>
    <w:rsid w:val="00A44814"/>
    <w:rsid w:val="00A44882"/>
    <w:rsid w:val="00A45125"/>
    <w:rsid w:val="00A52F7D"/>
    <w:rsid w:val="00A54715"/>
    <w:rsid w:val="00A54BAC"/>
    <w:rsid w:val="00A6061C"/>
    <w:rsid w:val="00A60B07"/>
    <w:rsid w:val="00A62D44"/>
    <w:rsid w:val="00A66C8F"/>
    <w:rsid w:val="00A67151"/>
    <w:rsid w:val="00A67263"/>
    <w:rsid w:val="00A701AA"/>
    <w:rsid w:val="00A7161C"/>
    <w:rsid w:val="00A729B8"/>
    <w:rsid w:val="00A73433"/>
    <w:rsid w:val="00A77AA3"/>
    <w:rsid w:val="00A81846"/>
    <w:rsid w:val="00A8236D"/>
    <w:rsid w:val="00A827C1"/>
    <w:rsid w:val="00A83259"/>
    <w:rsid w:val="00A854EB"/>
    <w:rsid w:val="00A872E5"/>
    <w:rsid w:val="00A878F8"/>
    <w:rsid w:val="00A91406"/>
    <w:rsid w:val="00A91546"/>
    <w:rsid w:val="00A948F6"/>
    <w:rsid w:val="00A96E65"/>
    <w:rsid w:val="00A97C72"/>
    <w:rsid w:val="00AA268E"/>
    <w:rsid w:val="00AA310B"/>
    <w:rsid w:val="00AA63D4"/>
    <w:rsid w:val="00AA682E"/>
    <w:rsid w:val="00AB06E8"/>
    <w:rsid w:val="00AB1983"/>
    <w:rsid w:val="00AB1CD3"/>
    <w:rsid w:val="00AB3032"/>
    <w:rsid w:val="00AB352F"/>
    <w:rsid w:val="00AB3B69"/>
    <w:rsid w:val="00AB61FD"/>
    <w:rsid w:val="00AC07B4"/>
    <w:rsid w:val="00AC1701"/>
    <w:rsid w:val="00AC274B"/>
    <w:rsid w:val="00AC313F"/>
    <w:rsid w:val="00AC4764"/>
    <w:rsid w:val="00AC6D36"/>
    <w:rsid w:val="00AC760B"/>
    <w:rsid w:val="00AD0CBA"/>
    <w:rsid w:val="00AD177A"/>
    <w:rsid w:val="00AD1BAD"/>
    <w:rsid w:val="00AD1D2A"/>
    <w:rsid w:val="00AD26E2"/>
    <w:rsid w:val="00AD4ACA"/>
    <w:rsid w:val="00AD6440"/>
    <w:rsid w:val="00AD784C"/>
    <w:rsid w:val="00AE126A"/>
    <w:rsid w:val="00AE1BAE"/>
    <w:rsid w:val="00AE3005"/>
    <w:rsid w:val="00AE3BD5"/>
    <w:rsid w:val="00AE4E0E"/>
    <w:rsid w:val="00AE59A0"/>
    <w:rsid w:val="00AF0C57"/>
    <w:rsid w:val="00AF26F3"/>
    <w:rsid w:val="00AF542B"/>
    <w:rsid w:val="00AF59F6"/>
    <w:rsid w:val="00AF5F04"/>
    <w:rsid w:val="00AF648A"/>
    <w:rsid w:val="00B00672"/>
    <w:rsid w:val="00B01AD9"/>
    <w:rsid w:val="00B01B4D"/>
    <w:rsid w:val="00B0284A"/>
    <w:rsid w:val="00B051D9"/>
    <w:rsid w:val="00B06571"/>
    <w:rsid w:val="00B06821"/>
    <w:rsid w:val="00B068BA"/>
    <w:rsid w:val="00B13851"/>
    <w:rsid w:val="00B13B1C"/>
    <w:rsid w:val="00B14780"/>
    <w:rsid w:val="00B21F90"/>
    <w:rsid w:val="00B22291"/>
    <w:rsid w:val="00B2241C"/>
    <w:rsid w:val="00B2264C"/>
    <w:rsid w:val="00B23F9A"/>
    <w:rsid w:val="00B2417B"/>
    <w:rsid w:val="00B24E6F"/>
    <w:rsid w:val="00B26752"/>
    <w:rsid w:val="00B26CB5"/>
    <w:rsid w:val="00B2752E"/>
    <w:rsid w:val="00B27ACD"/>
    <w:rsid w:val="00B307CC"/>
    <w:rsid w:val="00B30C54"/>
    <w:rsid w:val="00B326B7"/>
    <w:rsid w:val="00B34672"/>
    <w:rsid w:val="00B3588E"/>
    <w:rsid w:val="00B41F3D"/>
    <w:rsid w:val="00B431E8"/>
    <w:rsid w:val="00B44B30"/>
    <w:rsid w:val="00B45141"/>
    <w:rsid w:val="00B46DE7"/>
    <w:rsid w:val="00B519CD"/>
    <w:rsid w:val="00B5273A"/>
    <w:rsid w:val="00B528FF"/>
    <w:rsid w:val="00B5325C"/>
    <w:rsid w:val="00B56A59"/>
    <w:rsid w:val="00B56FEF"/>
    <w:rsid w:val="00B57329"/>
    <w:rsid w:val="00B57726"/>
    <w:rsid w:val="00B60E61"/>
    <w:rsid w:val="00B62B50"/>
    <w:rsid w:val="00B63521"/>
    <w:rsid w:val="00B635B7"/>
    <w:rsid w:val="00B63845"/>
    <w:rsid w:val="00B63AE8"/>
    <w:rsid w:val="00B65950"/>
    <w:rsid w:val="00B66D83"/>
    <w:rsid w:val="00B672C0"/>
    <w:rsid w:val="00B676FD"/>
    <w:rsid w:val="00B75646"/>
    <w:rsid w:val="00B857A8"/>
    <w:rsid w:val="00B87327"/>
    <w:rsid w:val="00B90729"/>
    <w:rsid w:val="00B907DA"/>
    <w:rsid w:val="00B917E8"/>
    <w:rsid w:val="00B937C8"/>
    <w:rsid w:val="00B93B79"/>
    <w:rsid w:val="00B950BC"/>
    <w:rsid w:val="00B9583B"/>
    <w:rsid w:val="00B9714C"/>
    <w:rsid w:val="00B976FC"/>
    <w:rsid w:val="00BA29AD"/>
    <w:rsid w:val="00BA33CF"/>
    <w:rsid w:val="00BA3F8D"/>
    <w:rsid w:val="00BA58C8"/>
    <w:rsid w:val="00BA73AF"/>
    <w:rsid w:val="00BB03F5"/>
    <w:rsid w:val="00BB04B3"/>
    <w:rsid w:val="00BB07DD"/>
    <w:rsid w:val="00BB1220"/>
    <w:rsid w:val="00BB7A10"/>
    <w:rsid w:val="00BC22AD"/>
    <w:rsid w:val="00BC3CA0"/>
    <w:rsid w:val="00BC3E8F"/>
    <w:rsid w:val="00BC4A5F"/>
    <w:rsid w:val="00BC60BE"/>
    <w:rsid w:val="00BC7468"/>
    <w:rsid w:val="00BC7D4F"/>
    <w:rsid w:val="00BC7ED7"/>
    <w:rsid w:val="00BD2850"/>
    <w:rsid w:val="00BD6697"/>
    <w:rsid w:val="00BE28D2"/>
    <w:rsid w:val="00BE4A64"/>
    <w:rsid w:val="00BE5E43"/>
    <w:rsid w:val="00BE6B7B"/>
    <w:rsid w:val="00BE6C75"/>
    <w:rsid w:val="00BF0414"/>
    <w:rsid w:val="00BF0578"/>
    <w:rsid w:val="00BF0641"/>
    <w:rsid w:val="00BF1C9D"/>
    <w:rsid w:val="00BF2BEF"/>
    <w:rsid w:val="00BF557D"/>
    <w:rsid w:val="00BF7F58"/>
    <w:rsid w:val="00C01381"/>
    <w:rsid w:val="00C01933"/>
    <w:rsid w:val="00C01AB1"/>
    <w:rsid w:val="00C026A0"/>
    <w:rsid w:val="00C06137"/>
    <w:rsid w:val="00C0673A"/>
    <w:rsid w:val="00C07179"/>
    <w:rsid w:val="00C079B8"/>
    <w:rsid w:val="00C10037"/>
    <w:rsid w:val="00C10814"/>
    <w:rsid w:val="00C11843"/>
    <w:rsid w:val="00C123EA"/>
    <w:rsid w:val="00C12A49"/>
    <w:rsid w:val="00C133EE"/>
    <w:rsid w:val="00C149D0"/>
    <w:rsid w:val="00C203C1"/>
    <w:rsid w:val="00C226B5"/>
    <w:rsid w:val="00C25DC0"/>
    <w:rsid w:val="00C26588"/>
    <w:rsid w:val="00C27DE9"/>
    <w:rsid w:val="00C30703"/>
    <w:rsid w:val="00C311CE"/>
    <w:rsid w:val="00C32989"/>
    <w:rsid w:val="00C32F31"/>
    <w:rsid w:val="00C33388"/>
    <w:rsid w:val="00C339D8"/>
    <w:rsid w:val="00C35484"/>
    <w:rsid w:val="00C35DB9"/>
    <w:rsid w:val="00C4173A"/>
    <w:rsid w:val="00C41823"/>
    <w:rsid w:val="00C4191A"/>
    <w:rsid w:val="00C4556B"/>
    <w:rsid w:val="00C50DED"/>
    <w:rsid w:val="00C5404F"/>
    <w:rsid w:val="00C602FF"/>
    <w:rsid w:val="00C61174"/>
    <w:rsid w:val="00C6148F"/>
    <w:rsid w:val="00C62188"/>
    <w:rsid w:val="00C621B1"/>
    <w:rsid w:val="00C62F7A"/>
    <w:rsid w:val="00C63B9C"/>
    <w:rsid w:val="00C63BB7"/>
    <w:rsid w:val="00C65702"/>
    <w:rsid w:val="00C6682F"/>
    <w:rsid w:val="00C6740D"/>
    <w:rsid w:val="00C6785A"/>
    <w:rsid w:val="00C67BF4"/>
    <w:rsid w:val="00C7275E"/>
    <w:rsid w:val="00C748DC"/>
    <w:rsid w:val="00C74C5D"/>
    <w:rsid w:val="00C863C4"/>
    <w:rsid w:val="00C920EA"/>
    <w:rsid w:val="00C93C3E"/>
    <w:rsid w:val="00C957E9"/>
    <w:rsid w:val="00CA12E3"/>
    <w:rsid w:val="00CA1476"/>
    <w:rsid w:val="00CA3A03"/>
    <w:rsid w:val="00CA6611"/>
    <w:rsid w:val="00CA69E9"/>
    <w:rsid w:val="00CA6AE6"/>
    <w:rsid w:val="00CA782F"/>
    <w:rsid w:val="00CB0852"/>
    <w:rsid w:val="00CB0F1D"/>
    <w:rsid w:val="00CB187B"/>
    <w:rsid w:val="00CB1FAC"/>
    <w:rsid w:val="00CB2835"/>
    <w:rsid w:val="00CB3285"/>
    <w:rsid w:val="00CB4500"/>
    <w:rsid w:val="00CB4CF7"/>
    <w:rsid w:val="00CB76EE"/>
    <w:rsid w:val="00CB7800"/>
    <w:rsid w:val="00CC0C72"/>
    <w:rsid w:val="00CC224F"/>
    <w:rsid w:val="00CC2BFD"/>
    <w:rsid w:val="00CC5D7A"/>
    <w:rsid w:val="00CC7480"/>
    <w:rsid w:val="00CC7B02"/>
    <w:rsid w:val="00CD0BA6"/>
    <w:rsid w:val="00CD2AE8"/>
    <w:rsid w:val="00CD2C40"/>
    <w:rsid w:val="00CD2FDC"/>
    <w:rsid w:val="00CD3476"/>
    <w:rsid w:val="00CD64DF"/>
    <w:rsid w:val="00CE225F"/>
    <w:rsid w:val="00CE3E38"/>
    <w:rsid w:val="00CF2D55"/>
    <w:rsid w:val="00CF2F50"/>
    <w:rsid w:val="00CF2F6E"/>
    <w:rsid w:val="00CF4096"/>
    <w:rsid w:val="00CF4E4A"/>
    <w:rsid w:val="00CF6198"/>
    <w:rsid w:val="00D02919"/>
    <w:rsid w:val="00D04C61"/>
    <w:rsid w:val="00D05B8D"/>
    <w:rsid w:val="00D065A2"/>
    <w:rsid w:val="00D079AA"/>
    <w:rsid w:val="00D07F00"/>
    <w:rsid w:val="00D1130F"/>
    <w:rsid w:val="00D117F0"/>
    <w:rsid w:val="00D15EC2"/>
    <w:rsid w:val="00D1706A"/>
    <w:rsid w:val="00D17B72"/>
    <w:rsid w:val="00D2328A"/>
    <w:rsid w:val="00D23379"/>
    <w:rsid w:val="00D3185C"/>
    <w:rsid w:val="00D3205F"/>
    <w:rsid w:val="00D3318E"/>
    <w:rsid w:val="00D33E72"/>
    <w:rsid w:val="00D34F4C"/>
    <w:rsid w:val="00D35BD6"/>
    <w:rsid w:val="00D361B5"/>
    <w:rsid w:val="00D37C1D"/>
    <w:rsid w:val="00D401B3"/>
    <w:rsid w:val="00D411A2"/>
    <w:rsid w:val="00D43163"/>
    <w:rsid w:val="00D44D10"/>
    <w:rsid w:val="00D4606D"/>
    <w:rsid w:val="00D46C92"/>
    <w:rsid w:val="00D50B9C"/>
    <w:rsid w:val="00D52D73"/>
    <w:rsid w:val="00D52E58"/>
    <w:rsid w:val="00D53B33"/>
    <w:rsid w:val="00D5480D"/>
    <w:rsid w:val="00D558A5"/>
    <w:rsid w:val="00D56B20"/>
    <w:rsid w:val="00D578B3"/>
    <w:rsid w:val="00D618F4"/>
    <w:rsid w:val="00D714CC"/>
    <w:rsid w:val="00D716BF"/>
    <w:rsid w:val="00D723F9"/>
    <w:rsid w:val="00D75EA7"/>
    <w:rsid w:val="00D81ADF"/>
    <w:rsid w:val="00D81F21"/>
    <w:rsid w:val="00D841C3"/>
    <w:rsid w:val="00D864F2"/>
    <w:rsid w:val="00D93310"/>
    <w:rsid w:val="00D943F8"/>
    <w:rsid w:val="00D95470"/>
    <w:rsid w:val="00D96B55"/>
    <w:rsid w:val="00DA0BB3"/>
    <w:rsid w:val="00DA1BFB"/>
    <w:rsid w:val="00DA2619"/>
    <w:rsid w:val="00DA3F5F"/>
    <w:rsid w:val="00DA4239"/>
    <w:rsid w:val="00DA43D9"/>
    <w:rsid w:val="00DA65DE"/>
    <w:rsid w:val="00DB079A"/>
    <w:rsid w:val="00DB0B61"/>
    <w:rsid w:val="00DB1474"/>
    <w:rsid w:val="00DB2962"/>
    <w:rsid w:val="00DB3F84"/>
    <w:rsid w:val="00DB4684"/>
    <w:rsid w:val="00DB52FB"/>
    <w:rsid w:val="00DB53CD"/>
    <w:rsid w:val="00DC013B"/>
    <w:rsid w:val="00DC090B"/>
    <w:rsid w:val="00DC122E"/>
    <w:rsid w:val="00DC1679"/>
    <w:rsid w:val="00DC219B"/>
    <w:rsid w:val="00DC2742"/>
    <w:rsid w:val="00DC2CF1"/>
    <w:rsid w:val="00DC2E5E"/>
    <w:rsid w:val="00DC3896"/>
    <w:rsid w:val="00DC4717"/>
    <w:rsid w:val="00DC4FCF"/>
    <w:rsid w:val="00DC50E0"/>
    <w:rsid w:val="00DC6386"/>
    <w:rsid w:val="00DC706F"/>
    <w:rsid w:val="00DC7363"/>
    <w:rsid w:val="00DD1130"/>
    <w:rsid w:val="00DD1951"/>
    <w:rsid w:val="00DD1E8E"/>
    <w:rsid w:val="00DD487D"/>
    <w:rsid w:val="00DD4E83"/>
    <w:rsid w:val="00DD574E"/>
    <w:rsid w:val="00DD6628"/>
    <w:rsid w:val="00DD6945"/>
    <w:rsid w:val="00DE2D04"/>
    <w:rsid w:val="00DE3250"/>
    <w:rsid w:val="00DE6028"/>
    <w:rsid w:val="00DE6B32"/>
    <w:rsid w:val="00DE6E24"/>
    <w:rsid w:val="00DE78A3"/>
    <w:rsid w:val="00DF1A71"/>
    <w:rsid w:val="00DF29AD"/>
    <w:rsid w:val="00DF50FC"/>
    <w:rsid w:val="00DF5704"/>
    <w:rsid w:val="00DF5C5C"/>
    <w:rsid w:val="00DF5DD5"/>
    <w:rsid w:val="00DF68C7"/>
    <w:rsid w:val="00DF731A"/>
    <w:rsid w:val="00E007F7"/>
    <w:rsid w:val="00E06B75"/>
    <w:rsid w:val="00E11332"/>
    <w:rsid w:val="00E11352"/>
    <w:rsid w:val="00E128F2"/>
    <w:rsid w:val="00E170DC"/>
    <w:rsid w:val="00E17546"/>
    <w:rsid w:val="00E210B5"/>
    <w:rsid w:val="00E21180"/>
    <w:rsid w:val="00E22028"/>
    <w:rsid w:val="00E261B3"/>
    <w:rsid w:val="00E2625D"/>
    <w:rsid w:val="00E26818"/>
    <w:rsid w:val="00E27FFC"/>
    <w:rsid w:val="00E30709"/>
    <w:rsid w:val="00E30B15"/>
    <w:rsid w:val="00E31766"/>
    <w:rsid w:val="00E31E55"/>
    <w:rsid w:val="00E330A9"/>
    <w:rsid w:val="00E33237"/>
    <w:rsid w:val="00E338EA"/>
    <w:rsid w:val="00E357E3"/>
    <w:rsid w:val="00E374ED"/>
    <w:rsid w:val="00E40181"/>
    <w:rsid w:val="00E41EA0"/>
    <w:rsid w:val="00E42E98"/>
    <w:rsid w:val="00E465B3"/>
    <w:rsid w:val="00E506C9"/>
    <w:rsid w:val="00E51203"/>
    <w:rsid w:val="00E54950"/>
    <w:rsid w:val="00E566D0"/>
    <w:rsid w:val="00E56A01"/>
    <w:rsid w:val="00E62622"/>
    <w:rsid w:val="00E629A1"/>
    <w:rsid w:val="00E62F22"/>
    <w:rsid w:val="00E64787"/>
    <w:rsid w:val="00E66F5B"/>
    <w:rsid w:val="00E6794C"/>
    <w:rsid w:val="00E71261"/>
    <w:rsid w:val="00E71591"/>
    <w:rsid w:val="00E71B52"/>
    <w:rsid w:val="00E71B76"/>
    <w:rsid w:val="00E71CEB"/>
    <w:rsid w:val="00E728E5"/>
    <w:rsid w:val="00E74684"/>
    <w:rsid w:val="00E7474F"/>
    <w:rsid w:val="00E80DE3"/>
    <w:rsid w:val="00E82C55"/>
    <w:rsid w:val="00E83E6F"/>
    <w:rsid w:val="00E8787E"/>
    <w:rsid w:val="00E87930"/>
    <w:rsid w:val="00E92AC3"/>
    <w:rsid w:val="00E95F2D"/>
    <w:rsid w:val="00E96CA7"/>
    <w:rsid w:val="00E975F5"/>
    <w:rsid w:val="00EA1360"/>
    <w:rsid w:val="00EA2F6A"/>
    <w:rsid w:val="00EA3D2A"/>
    <w:rsid w:val="00EB00E0"/>
    <w:rsid w:val="00EB36A9"/>
    <w:rsid w:val="00EC059F"/>
    <w:rsid w:val="00EC1F24"/>
    <w:rsid w:val="00EC22F6"/>
    <w:rsid w:val="00EC25CB"/>
    <w:rsid w:val="00EC40D5"/>
    <w:rsid w:val="00EC5760"/>
    <w:rsid w:val="00EC6AAA"/>
    <w:rsid w:val="00EC7DEA"/>
    <w:rsid w:val="00ED3792"/>
    <w:rsid w:val="00ED3B37"/>
    <w:rsid w:val="00ED5B9B"/>
    <w:rsid w:val="00ED6BAD"/>
    <w:rsid w:val="00ED7447"/>
    <w:rsid w:val="00EE00D6"/>
    <w:rsid w:val="00EE11E7"/>
    <w:rsid w:val="00EE1488"/>
    <w:rsid w:val="00EE29AD"/>
    <w:rsid w:val="00EE3E24"/>
    <w:rsid w:val="00EE4D5D"/>
    <w:rsid w:val="00EE5131"/>
    <w:rsid w:val="00EF109B"/>
    <w:rsid w:val="00EF1831"/>
    <w:rsid w:val="00EF201C"/>
    <w:rsid w:val="00EF36AF"/>
    <w:rsid w:val="00EF59A3"/>
    <w:rsid w:val="00EF6675"/>
    <w:rsid w:val="00EF699A"/>
    <w:rsid w:val="00EF75B8"/>
    <w:rsid w:val="00F00F9C"/>
    <w:rsid w:val="00F01E5F"/>
    <w:rsid w:val="00F024F3"/>
    <w:rsid w:val="00F02ABA"/>
    <w:rsid w:val="00F0437A"/>
    <w:rsid w:val="00F04843"/>
    <w:rsid w:val="00F101B8"/>
    <w:rsid w:val="00F11037"/>
    <w:rsid w:val="00F12851"/>
    <w:rsid w:val="00F14061"/>
    <w:rsid w:val="00F16F1B"/>
    <w:rsid w:val="00F17D27"/>
    <w:rsid w:val="00F17D8F"/>
    <w:rsid w:val="00F22C38"/>
    <w:rsid w:val="00F23F57"/>
    <w:rsid w:val="00F250A9"/>
    <w:rsid w:val="00F25834"/>
    <w:rsid w:val="00F25E65"/>
    <w:rsid w:val="00F267AF"/>
    <w:rsid w:val="00F30FF4"/>
    <w:rsid w:val="00F3122E"/>
    <w:rsid w:val="00F32368"/>
    <w:rsid w:val="00F3245E"/>
    <w:rsid w:val="00F32FFE"/>
    <w:rsid w:val="00F331AD"/>
    <w:rsid w:val="00F350B6"/>
    <w:rsid w:val="00F35287"/>
    <w:rsid w:val="00F36981"/>
    <w:rsid w:val="00F40A70"/>
    <w:rsid w:val="00F40DF4"/>
    <w:rsid w:val="00F4224C"/>
    <w:rsid w:val="00F43A37"/>
    <w:rsid w:val="00F442A7"/>
    <w:rsid w:val="00F451AB"/>
    <w:rsid w:val="00F4641B"/>
    <w:rsid w:val="00F46EB8"/>
    <w:rsid w:val="00F50CD1"/>
    <w:rsid w:val="00F511E4"/>
    <w:rsid w:val="00F52D09"/>
    <w:rsid w:val="00F52E08"/>
    <w:rsid w:val="00F53A66"/>
    <w:rsid w:val="00F53C39"/>
    <w:rsid w:val="00F5462D"/>
    <w:rsid w:val="00F55B21"/>
    <w:rsid w:val="00F56EF6"/>
    <w:rsid w:val="00F60082"/>
    <w:rsid w:val="00F611B5"/>
    <w:rsid w:val="00F61A9F"/>
    <w:rsid w:val="00F61B5F"/>
    <w:rsid w:val="00F64696"/>
    <w:rsid w:val="00F65AA9"/>
    <w:rsid w:val="00F6768F"/>
    <w:rsid w:val="00F72C2C"/>
    <w:rsid w:val="00F75AB7"/>
    <w:rsid w:val="00F76CAB"/>
    <w:rsid w:val="00F772C6"/>
    <w:rsid w:val="00F815B5"/>
    <w:rsid w:val="00F84FA0"/>
    <w:rsid w:val="00F85195"/>
    <w:rsid w:val="00F868E3"/>
    <w:rsid w:val="00F938BA"/>
    <w:rsid w:val="00F95A33"/>
    <w:rsid w:val="00F95AFC"/>
    <w:rsid w:val="00F97919"/>
    <w:rsid w:val="00FA23AD"/>
    <w:rsid w:val="00FA2C46"/>
    <w:rsid w:val="00FA3525"/>
    <w:rsid w:val="00FA5A53"/>
    <w:rsid w:val="00FA6BAA"/>
    <w:rsid w:val="00FB2F2C"/>
    <w:rsid w:val="00FB4769"/>
    <w:rsid w:val="00FB4CDA"/>
    <w:rsid w:val="00FB6481"/>
    <w:rsid w:val="00FB6D36"/>
    <w:rsid w:val="00FC0965"/>
    <w:rsid w:val="00FC0F81"/>
    <w:rsid w:val="00FC252F"/>
    <w:rsid w:val="00FC395C"/>
    <w:rsid w:val="00FC4681"/>
    <w:rsid w:val="00FC5E8E"/>
    <w:rsid w:val="00FC7C08"/>
    <w:rsid w:val="00FC7FB6"/>
    <w:rsid w:val="00FD129C"/>
    <w:rsid w:val="00FD3766"/>
    <w:rsid w:val="00FD3A0D"/>
    <w:rsid w:val="00FD47C4"/>
    <w:rsid w:val="00FD4CFF"/>
    <w:rsid w:val="00FD61C9"/>
    <w:rsid w:val="00FD6338"/>
    <w:rsid w:val="00FD722A"/>
    <w:rsid w:val="00FE146F"/>
    <w:rsid w:val="00FE1E1F"/>
    <w:rsid w:val="00FE2DCF"/>
    <w:rsid w:val="00FE30C7"/>
    <w:rsid w:val="00FE3FA7"/>
    <w:rsid w:val="00FE442C"/>
    <w:rsid w:val="00FE4C67"/>
    <w:rsid w:val="00FF0310"/>
    <w:rsid w:val="00FF218C"/>
    <w:rsid w:val="00FF2A4E"/>
    <w:rsid w:val="00FF2AC5"/>
    <w:rsid w:val="00FF2FCE"/>
    <w:rsid w:val="00FF4F7D"/>
    <w:rsid w:val="00FF54DF"/>
    <w:rsid w:val="00FF6D9D"/>
    <w:rsid w:val="00FF7DD5"/>
    <w:rsid w:val="0157E12B"/>
    <w:rsid w:val="02F53183"/>
    <w:rsid w:val="037B19E4"/>
    <w:rsid w:val="03A68884"/>
    <w:rsid w:val="03E75F17"/>
    <w:rsid w:val="05392C0B"/>
    <w:rsid w:val="055D9291"/>
    <w:rsid w:val="06049406"/>
    <w:rsid w:val="063591E1"/>
    <w:rsid w:val="0753B0DA"/>
    <w:rsid w:val="078A5413"/>
    <w:rsid w:val="07E7B5E2"/>
    <w:rsid w:val="08200400"/>
    <w:rsid w:val="0877B27F"/>
    <w:rsid w:val="08907FD4"/>
    <w:rsid w:val="08F27528"/>
    <w:rsid w:val="0960C792"/>
    <w:rsid w:val="09F892E5"/>
    <w:rsid w:val="0CB808C5"/>
    <w:rsid w:val="0D3DC8E7"/>
    <w:rsid w:val="0D464723"/>
    <w:rsid w:val="0DC5E64B"/>
    <w:rsid w:val="0E49D0DF"/>
    <w:rsid w:val="0ED55C1E"/>
    <w:rsid w:val="0EF81E2D"/>
    <w:rsid w:val="0F721E53"/>
    <w:rsid w:val="0FBE3457"/>
    <w:rsid w:val="1014ED4B"/>
    <w:rsid w:val="10415F2F"/>
    <w:rsid w:val="10D2EDB4"/>
    <w:rsid w:val="10FD870D"/>
    <w:rsid w:val="112714B5"/>
    <w:rsid w:val="11355924"/>
    <w:rsid w:val="11CBDE74"/>
    <w:rsid w:val="127FA33C"/>
    <w:rsid w:val="1291E314"/>
    <w:rsid w:val="13C44F23"/>
    <w:rsid w:val="13CD3CF6"/>
    <w:rsid w:val="1456799A"/>
    <w:rsid w:val="158356C3"/>
    <w:rsid w:val="15912870"/>
    <w:rsid w:val="15D0F830"/>
    <w:rsid w:val="1678EEFA"/>
    <w:rsid w:val="1718BF63"/>
    <w:rsid w:val="17DC875B"/>
    <w:rsid w:val="17F70E63"/>
    <w:rsid w:val="184FFF18"/>
    <w:rsid w:val="1893EFF5"/>
    <w:rsid w:val="195A4618"/>
    <w:rsid w:val="1992DEC4"/>
    <w:rsid w:val="1AD48A6C"/>
    <w:rsid w:val="1B22AB05"/>
    <w:rsid w:val="1C126845"/>
    <w:rsid w:val="1CB5ECCB"/>
    <w:rsid w:val="1D26E51D"/>
    <w:rsid w:val="1DE43383"/>
    <w:rsid w:val="1F2FEFDD"/>
    <w:rsid w:val="1F6AC2EC"/>
    <w:rsid w:val="2149438D"/>
    <w:rsid w:val="227F5688"/>
    <w:rsid w:val="22FB6CA5"/>
    <w:rsid w:val="2328DC0E"/>
    <w:rsid w:val="2361ABD3"/>
    <w:rsid w:val="240D56C4"/>
    <w:rsid w:val="249DC8CB"/>
    <w:rsid w:val="24E9BA3D"/>
    <w:rsid w:val="2580E561"/>
    <w:rsid w:val="258A83DD"/>
    <w:rsid w:val="27399F4E"/>
    <w:rsid w:val="27754ACE"/>
    <w:rsid w:val="27BC8758"/>
    <w:rsid w:val="2840B97A"/>
    <w:rsid w:val="285D86F1"/>
    <w:rsid w:val="294A4CAC"/>
    <w:rsid w:val="29B43671"/>
    <w:rsid w:val="2B6349A3"/>
    <w:rsid w:val="2B7F4AF2"/>
    <w:rsid w:val="2B804772"/>
    <w:rsid w:val="2B881029"/>
    <w:rsid w:val="2B996FCF"/>
    <w:rsid w:val="2BF8CA06"/>
    <w:rsid w:val="2D3BEAC6"/>
    <w:rsid w:val="2DB58C21"/>
    <w:rsid w:val="2EB5ED52"/>
    <w:rsid w:val="2EB7E834"/>
    <w:rsid w:val="2F053DD6"/>
    <w:rsid w:val="2F39326C"/>
    <w:rsid w:val="305B814C"/>
    <w:rsid w:val="306898D6"/>
    <w:rsid w:val="3076FB06"/>
    <w:rsid w:val="31EF88F6"/>
    <w:rsid w:val="31F751AD"/>
    <w:rsid w:val="32723EE9"/>
    <w:rsid w:val="3289CAD2"/>
    <w:rsid w:val="32CFC22F"/>
    <w:rsid w:val="32DD11B5"/>
    <w:rsid w:val="3471DC8A"/>
    <w:rsid w:val="34C97C55"/>
    <w:rsid w:val="34E61E32"/>
    <w:rsid w:val="352EF26F"/>
    <w:rsid w:val="35A7D5D0"/>
    <w:rsid w:val="35E36640"/>
    <w:rsid w:val="35F87FF3"/>
    <w:rsid w:val="36081F07"/>
    <w:rsid w:val="375D3BF5"/>
    <w:rsid w:val="37A92719"/>
    <w:rsid w:val="37B6BD0C"/>
    <w:rsid w:val="37C428F3"/>
    <w:rsid w:val="37E9D262"/>
    <w:rsid w:val="383D0458"/>
    <w:rsid w:val="387B9841"/>
    <w:rsid w:val="39614600"/>
    <w:rsid w:val="39A0A9B6"/>
    <w:rsid w:val="3A1768A2"/>
    <w:rsid w:val="3A3E62DA"/>
    <w:rsid w:val="3AC79F7E"/>
    <w:rsid w:val="3C81906A"/>
    <w:rsid w:val="3C83355C"/>
    <w:rsid w:val="3CF0BB96"/>
    <w:rsid w:val="3D8EA88B"/>
    <w:rsid w:val="3EA68460"/>
    <w:rsid w:val="3EDDC23B"/>
    <w:rsid w:val="3F762B49"/>
    <w:rsid w:val="3F830DF8"/>
    <w:rsid w:val="4086AA26"/>
    <w:rsid w:val="40C277B0"/>
    <w:rsid w:val="41165709"/>
    <w:rsid w:val="4151E2DC"/>
    <w:rsid w:val="42227A87"/>
    <w:rsid w:val="427817FB"/>
    <w:rsid w:val="44073CB7"/>
    <w:rsid w:val="4539E236"/>
    <w:rsid w:val="459B6E04"/>
    <w:rsid w:val="45B089F2"/>
    <w:rsid w:val="46381144"/>
    <w:rsid w:val="46C7E30C"/>
    <w:rsid w:val="47FC8324"/>
    <w:rsid w:val="4893B215"/>
    <w:rsid w:val="48ECE061"/>
    <w:rsid w:val="49171DA6"/>
    <w:rsid w:val="4939265D"/>
    <w:rsid w:val="4A41B740"/>
    <w:rsid w:val="4A606AC0"/>
    <w:rsid w:val="4A7DD469"/>
    <w:rsid w:val="4AB2EE07"/>
    <w:rsid w:val="4ABDF209"/>
    <w:rsid w:val="4AD014CC"/>
    <w:rsid w:val="4BEBB663"/>
    <w:rsid w:val="4CB8C5AE"/>
    <w:rsid w:val="4CE8181F"/>
    <w:rsid w:val="4D015CE5"/>
    <w:rsid w:val="4D7427A6"/>
    <w:rsid w:val="4D8B6A9E"/>
    <w:rsid w:val="4E1D5190"/>
    <w:rsid w:val="4E22F9FD"/>
    <w:rsid w:val="4E28DE9F"/>
    <w:rsid w:val="4E76B361"/>
    <w:rsid w:val="4EA37FCD"/>
    <w:rsid w:val="4F5793FC"/>
    <w:rsid w:val="4FF9F498"/>
    <w:rsid w:val="50C75C31"/>
    <w:rsid w:val="53DABE0A"/>
    <w:rsid w:val="5404C6C2"/>
    <w:rsid w:val="540741D9"/>
    <w:rsid w:val="55BCA297"/>
    <w:rsid w:val="55DCE963"/>
    <w:rsid w:val="5688AD5B"/>
    <w:rsid w:val="575E8CA6"/>
    <w:rsid w:val="57689A2E"/>
    <w:rsid w:val="57C5E85F"/>
    <w:rsid w:val="57D290A3"/>
    <w:rsid w:val="584C29A3"/>
    <w:rsid w:val="5AA03AF0"/>
    <w:rsid w:val="5B113342"/>
    <w:rsid w:val="5B1B6837"/>
    <w:rsid w:val="5B303E2F"/>
    <w:rsid w:val="5BEC47C1"/>
    <w:rsid w:val="5C3C0B51"/>
    <w:rsid w:val="5C8C316D"/>
    <w:rsid w:val="5CF3D56B"/>
    <w:rsid w:val="5EE5FF8F"/>
    <w:rsid w:val="5FD8AB46"/>
    <w:rsid w:val="601176AC"/>
    <w:rsid w:val="607F0847"/>
    <w:rsid w:val="60B60439"/>
    <w:rsid w:val="60EB62D3"/>
    <w:rsid w:val="6273DDDA"/>
    <w:rsid w:val="631A5763"/>
    <w:rsid w:val="642F690E"/>
    <w:rsid w:val="65DE67D8"/>
    <w:rsid w:val="65E3DA19"/>
    <w:rsid w:val="66161C49"/>
    <w:rsid w:val="66F8017E"/>
    <w:rsid w:val="67A8694D"/>
    <w:rsid w:val="682317CD"/>
    <w:rsid w:val="68C26C38"/>
    <w:rsid w:val="69192597"/>
    <w:rsid w:val="693F6876"/>
    <w:rsid w:val="69FDEF8B"/>
    <w:rsid w:val="6A404F92"/>
    <w:rsid w:val="6AA5677A"/>
    <w:rsid w:val="6AFD8D8E"/>
    <w:rsid w:val="6B0E2D33"/>
    <w:rsid w:val="6B11C2C3"/>
    <w:rsid w:val="6B1C7529"/>
    <w:rsid w:val="6B59B163"/>
    <w:rsid w:val="6C86F1EA"/>
    <w:rsid w:val="6D2CC9B1"/>
    <w:rsid w:val="6DD1961F"/>
    <w:rsid w:val="6E0554A5"/>
    <w:rsid w:val="6E21B50D"/>
    <w:rsid w:val="6F31C9AD"/>
    <w:rsid w:val="6FAFAAF2"/>
    <w:rsid w:val="6FC51120"/>
    <w:rsid w:val="6FE19FD2"/>
    <w:rsid w:val="6FEFE64C"/>
    <w:rsid w:val="705685D3"/>
    <w:rsid w:val="71B526AA"/>
    <w:rsid w:val="71BC002E"/>
    <w:rsid w:val="72003AD4"/>
    <w:rsid w:val="732F5EFE"/>
    <w:rsid w:val="734F976F"/>
    <w:rsid w:val="7466E2B1"/>
    <w:rsid w:val="754FF594"/>
    <w:rsid w:val="75BF127F"/>
    <w:rsid w:val="75C4E1F3"/>
    <w:rsid w:val="75C9E86D"/>
    <w:rsid w:val="75F49361"/>
    <w:rsid w:val="76A0252D"/>
    <w:rsid w:val="773CDB92"/>
    <w:rsid w:val="778AE481"/>
    <w:rsid w:val="77A368F9"/>
    <w:rsid w:val="77B0C576"/>
    <w:rsid w:val="791CBED7"/>
    <w:rsid w:val="791CF02C"/>
    <w:rsid w:val="79DA6086"/>
    <w:rsid w:val="7A076386"/>
    <w:rsid w:val="7A7C450B"/>
    <w:rsid w:val="7AB84453"/>
    <w:rsid w:val="7BBEB924"/>
    <w:rsid w:val="7C4AF73B"/>
    <w:rsid w:val="7C4C01DE"/>
    <w:rsid w:val="7D90D8A7"/>
    <w:rsid w:val="7E3F96B8"/>
    <w:rsid w:val="7E40D39B"/>
    <w:rsid w:val="7EE19BB4"/>
    <w:rsid w:val="7F2CA90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59E1BA4"/>
  <w15:docId w15:val="{8FC124D2-7819-43D4-98CE-209BC4AE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9"/>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9"/>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ilvl w:val="0"/>
        <w:numId w:val="0"/>
      </w:numPr>
      <w:tabs>
        <w:tab w:val="num" w:pos="794"/>
      </w:tabs>
      <w:ind w:left="794" w:hanging="397"/>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1"/>
      </w:numPr>
    </w:pPr>
  </w:style>
  <w:style w:type="paragraph" w:customStyle="1" w:styleId="Numberlowerromanindent">
    <w:name w:val="Number lower roman indent"/>
    <w:basedOn w:val="Body"/>
    <w:uiPriority w:val="3"/>
    <w:rsid w:val="00721CFB"/>
    <w:pPr>
      <w:numPr>
        <w:ilvl w:val="1"/>
        <w:numId w:val="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15"/>
      </w:numPr>
    </w:pPr>
  </w:style>
  <w:style w:type="paragraph" w:customStyle="1" w:styleId="Quotebullet1">
    <w:name w:val="Quote bullet 1"/>
    <w:basedOn w:val="Quotetext"/>
    <w:rsid w:val="008E7B49"/>
    <w:pPr>
      <w:numPr>
        <w:numId w:val="5"/>
      </w:numPr>
      <w:tabs>
        <w:tab w:val="num" w:pos="397"/>
      </w:tabs>
    </w:pPr>
  </w:style>
  <w:style w:type="paragraph" w:customStyle="1" w:styleId="Quotebullet2">
    <w:name w:val="Quote bullet 2"/>
    <w:basedOn w:val="Quotetext"/>
    <w:rsid w:val="008E7B49"/>
    <w:pPr>
      <w:numPr>
        <w:ilvl w:val="1"/>
        <w:numId w:val="5"/>
      </w:numPr>
      <w:tabs>
        <w:tab w:val="num" w:pos="794"/>
      </w:tabs>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numbering" w:customStyle="1" w:styleId="ZZNumbersloweralpha1">
    <w:name w:val="ZZ Numbers lower alpha1"/>
    <w:basedOn w:val="NoList"/>
    <w:rsid w:val="009A244B"/>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10"/>
      </w:numPr>
    </w:pPr>
  </w:style>
  <w:style w:type="paragraph" w:customStyle="1" w:styleId="DHHSnumberdigit">
    <w:name w:val="DHHS number digit"/>
    <w:basedOn w:val="DHHSbody"/>
    <w:uiPriority w:val="2"/>
    <w:rsid w:val="00270B4B"/>
    <w:pPr>
      <w:numPr>
        <w:numId w:val="13"/>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13"/>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13"/>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13"/>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13"/>
      </w:numPr>
      <w:tabs>
        <w:tab w:val="num" w:pos="360"/>
      </w:tabs>
    </w:pPr>
    <w:rPr>
      <w:rFonts w:eastAsia="Time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vicroads.vic.gov.au/safety-and-road-rules/road-rules/a-to-z-of-road-rules/scooters-and-wheeled-recreational-devices"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health.vic.gov.au/publications/non-admitted-clinic-management-system-nacms-manual-2021-2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private-health-service-establishments/private-hospital-funding-agreement" TargetMode="External"/><Relationship Id="rId33" Type="http://schemas.openxmlformats.org/officeDocument/2006/relationships/hyperlink" Target="https://www2.health.vic.gov.au/hospitals-and-health-services/data-reporting/health-data-standards-systems/hdss-communicat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ontent.health.vic.gov.au/sites/default/files/migrated/files/collections/research-and-reports/h/hdss-bulletin-issue-239---24-september-2020.docx" TargetMode="External"/><Relationship Id="rId29"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communications" TargetMode="External"/><Relationship Id="rId32" Type="http://schemas.openxmlformats.org/officeDocument/2006/relationships/hyperlink" Target="mailto:HDSS.Helpdesk@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health-data-standards-and-systems" TargetMode="External"/><Relationship Id="rId28" Type="http://schemas.openxmlformats.org/officeDocument/2006/relationships/hyperlink" Target="https://www2.health.vic.gov.au/hospitals-and-health-services/data-reporting/health-data-standards-systems/annual-changes" TargetMode="External"/><Relationship Id="rId10" Type="http://schemas.openxmlformats.org/officeDocument/2006/relationships/endnotes" Target="endnotes.xml"/><Relationship Id="rId19" Type="http://schemas.openxmlformats.org/officeDocument/2006/relationships/hyperlink" Target="https://www.health.gov.au/news/phi-circulars" TargetMode="External"/><Relationship Id="rId31" Type="http://schemas.openxmlformats.org/officeDocument/2006/relationships/hyperlink" Target="mailto:Hosdata.frontdesk@vahi.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ublications/non-admitted-clinic-management-system-nacms-manual-2021-22" TargetMode="External"/><Relationship Id="rId27" Type="http://schemas.openxmlformats.org/officeDocument/2006/relationships/hyperlink" Target="https://www.health.vic.gov.au/data-reporting/victorian-integrated-non-admitted-health-vinah-dataset" TargetMode="External"/><Relationship Id="rId30" Type="http://schemas.openxmlformats.org/officeDocument/2006/relationships/hyperlink" Target="https://vahi.freshdesk.com/support/home"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619F7-0F22-43BE-9189-1306A15D8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ef5d2a5-5e0a-4ee3-8ef3-5bcda44265f1"/>
    <ds:schemaRef ds:uri="6371cb4f-6914-47b5-91ad-9d8989e82a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2689</Words>
  <Characters>19217</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HDSS Bulletin Issue 254</vt:lpstr>
    </vt:vector>
  </TitlesOfParts>
  <Company>Victoria State Government, Department of Health</Company>
  <LinksUpToDate>false</LinksUpToDate>
  <CharactersWithSpaces>21863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254</dc:title>
  <dc:subject>HDSS Bulletin Issue 254</dc:subject>
  <dc:creator>Health and System Performance Reporting</dc:creator>
  <cp:keywords>HDSS Bulletin 254</cp:keywords>
  <cp:lastModifiedBy>Tyler McPherson (Health)</cp:lastModifiedBy>
  <cp:revision>2</cp:revision>
  <cp:lastPrinted>2020-03-30T03:28:00Z</cp:lastPrinted>
  <dcterms:created xsi:type="dcterms:W3CDTF">2021-12-24T01:48:00Z</dcterms:created>
  <dcterms:modified xsi:type="dcterms:W3CDTF">2021-12-24T01:48:00Z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2021-12-24T01:48:44Z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54912b29-25c0-467c-aeba-e810dbabbcec</vt:lpwstr>
  </property>
  <property fmtid="{D5CDD505-2E9C-101B-9397-08002B2CF9AE}" pid="18" name="MSIP_Label_43e64453-338c-4f93-8a4d-0039a0a41f2a_ContentBits">
    <vt:lpwstr>2</vt:lpwstr>
  </property>
</Properties>
</file>