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35C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1CCD9915" wp14:editId="1676741A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77CB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9E55D3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C378B3C" w14:textId="6018AA07" w:rsidR="003B5733" w:rsidRPr="003B5733" w:rsidRDefault="006E63C7" w:rsidP="003B5733">
            <w:pPr>
              <w:pStyle w:val="Documenttitle"/>
            </w:pPr>
            <w:r>
              <w:t>Equipment</w:t>
            </w:r>
            <w:r w:rsidR="00EC2B4C">
              <w:t xml:space="preserve"> and Communication Devices </w:t>
            </w:r>
          </w:p>
        </w:tc>
      </w:tr>
      <w:tr w:rsidR="003B5733" w14:paraId="46B0301A" w14:textId="77777777" w:rsidTr="00B07FF7">
        <w:tc>
          <w:tcPr>
            <w:tcW w:w="10348" w:type="dxa"/>
          </w:tcPr>
          <w:p w14:paraId="5F367194" w14:textId="79B21EBD" w:rsidR="003B5733" w:rsidRPr="00A1389F" w:rsidRDefault="006E63C7" w:rsidP="005F44C0">
            <w:pPr>
              <w:pStyle w:val="Documentsubtitle"/>
            </w:pPr>
            <w:r>
              <w:t>First Aid Sector</w:t>
            </w:r>
          </w:p>
        </w:tc>
      </w:tr>
      <w:tr w:rsidR="003B5733" w14:paraId="52E1F772" w14:textId="77777777" w:rsidTr="00B07FF7">
        <w:tc>
          <w:tcPr>
            <w:tcW w:w="10348" w:type="dxa"/>
          </w:tcPr>
          <w:p w14:paraId="70324084" w14:textId="77777777" w:rsidR="003B5733" w:rsidRPr="001E5058" w:rsidRDefault="002A1EE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6E63C7">
              <w:t>OFFICIAL</w:t>
            </w:r>
            <w:r>
              <w:fldChar w:fldCharType="end"/>
            </w:r>
          </w:p>
        </w:tc>
      </w:tr>
    </w:tbl>
    <w:p w14:paraId="00578ED7" w14:textId="0805E07A" w:rsidR="007173CA" w:rsidRDefault="007173CA" w:rsidP="00D079AA">
      <w:pPr>
        <w:pStyle w:val="Body"/>
      </w:pPr>
    </w:p>
    <w:p w14:paraId="3A0F78A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46BE701" w14:textId="5F172BF2" w:rsidR="00C51F0A" w:rsidRDefault="00EC2B4C" w:rsidP="00C51F0A">
      <w:pPr>
        <w:pStyle w:val="Heading1"/>
        <w:spacing w:before="0"/>
      </w:pPr>
      <w:bookmarkStart w:id="0" w:name="_Toc66712322"/>
      <w:r>
        <w:t>Reference</w:t>
      </w:r>
      <w:bookmarkEnd w:id="0"/>
    </w:p>
    <w:p w14:paraId="16FDCD64" w14:textId="065E2593" w:rsidR="006C2827" w:rsidRPr="006C2827" w:rsidRDefault="006C2827" w:rsidP="006C2827">
      <w:pPr>
        <w:pStyle w:val="Body"/>
      </w:pPr>
      <w:r w:rsidRPr="00F82916">
        <w:t>Non-Emergency Patient Transport and First Aid Services (First Aid Services) Regulations 2021</w:t>
      </w:r>
      <w:r w:rsidR="00C963B4">
        <w:t>,</w:t>
      </w:r>
      <w:r w:rsidRPr="00F82916">
        <w:t xml:space="preserve"> Part </w:t>
      </w:r>
      <w:r>
        <w:t>9</w:t>
      </w:r>
    </w:p>
    <w:p w14:paraId="6743B2D2" w14:textId="73FEDA6E" w:rsidR="00EC2B4C" w:rsidRDefault="00EC2B4C" w:rsidP="00C51F0A">
      <w:pPr>
        <w:pStyle w:val="Heading1"/>
      </w:pPr>
      <w:bookmarkStart w:id="1" w:name="_Toc66711981"/>
      <w:bookmarkStart w:id="2" w:name="_Toc66712323"/>
      <w:r>
        <w:t>In</w:t>
      </w:r>
      <w:r w:rsidR="00820CA5">
        <w:t>troduction</w:t>
      </w:r>
      <w:bookmarkEnd w:id="1"/>
      <w:bookmarkEnd w:id="2"/>
    </w:p>
    <w:p w14:paraId="130EAD91" w14:textId="0ACCF26E" w:rsidR="00295D9E" w:rsidRPr="00295D9E" w:rsidRDefault="00295D9E" w:rsidP="00295D9E">
      <w:pPr>
        <w:pStyle w:val="Body"/>
      </w:pPr>
      <w:r>
        <w:t xml:space="preserve">First aid Service licence holders </w:t>
      </w:r>
      <w:r w:rsidR="00E07083">
        <w:t xml:space="preserve">are </w:t>
      </w:r>
      <w:r>
        <w:t>required to provide equipment appropriate to their service level, this includes the provision of communication devices to staff members.</w:t>
      </w:r>
    </w:p>
    <w:p w14:paraId="5260FB44" w14:textId="34E2F914" w:rsidR="00EC2B4C" w:rsidRDefault="00EC2B4C" w:rsidP="00C51F0A">
      <w:pPr>
        <w:pStyle w:val="Heading1"/>
      </w:pPr>
      <w:r>
        <w:t>Equipment</w:t>
      </w:r>
    </w:p>
    <w:p w14:paraId="027A3143" w14:textId="795B7A9D" w:rsidR="008D3F8E" w:rsidRDefault="008D3F8E" w:rsidP="008D3F8E">
      <w:pPr>
        <w:pStyle w:val="Body"/>
      </w:pPr>
      <w:r>
        <w:t xml:space="preserve">The first aid service must ensure </w:t>
      </w:r>
      <w:r w:rsidR="008459D7">
        <w:t xml:space="preserve">there is </w:t>
      </w:r>
      <w:r>
        <w:t>external signposting</w:t>
      </w:r>
      <w:r w:rsidR="008459D7">
        <w:t xml:space="preserve"> t</w:t>
      </w:r>
      <w:r w:rsidR="00820CA5">
        <w:t>hat allows the first aid service station/s to be easily identified and located.</w:t>
      </w:r>
      <w:r>
        <w:t xml:space="preserve"> The first aid service must also have the necessary equipment and supplies needed to provide </w:t>
      </w:r>
      <w:r w:rsidR="008459D7">
        <w:t>first aid within their clinical scope. Table 1 outlines the minimum required equipment for each first aid service level.</w:t>
      </w:r>
    </w:p>
    <w:p w14:paraId="6794E88E" w14:textId="4C2EB77B" w:rsidR="008459D7" w:rsidRDefault="008459D7" w:rsidP="008459D7">
      <w:pPr>
        <w:pStyle w:val="Tablecaption"/>
      </w:pPr>
      <w:r>
        <w:t>Table 1: Minimum Equipment</w:t>
      </w:r>
      <w:r w:rsidR="00295D9E">
        <w:t xml:space="preserve"> for each first aid service level</w:t>
      </w:r>
    </w:p>
    <w:tbl>
      <w:tblPr>
        <w:tblStyle w:val="TableGrid"/>
        <w:tblW w:w="9299" w:type="dxa"/>
        <w:tblLook w:val="06A0" w:firstRow="1" w:lastRow="0" w:firstColumn="1" w:lastColumn="0" w:noHBand="1" w:noVBand="1"/>
      </w:tblPr>
      <w:tblGrid>
        <w:gridCol w:w="2689"/>
        <w:gridCol w:w="2126"/>
        <w:gridCol w:w="2268"/>
        <w:gridCol w:w="2216"/>
      </w:tblGrid>
      <w:tr w:rsidR="008459D7" w14:paraId="1114CB80" w14:textId="77777777" w:rsidTr="00DE4D34">
        <w:trPr>
          <w:tblHeader/>
        </w:trPr>
        <w:tc>
          <w:tcPr>
            <w:tcW w:w="2689" w:type="dxa"/>
          </w:tcPr>
          <w:p w14:paraId="56AA87D8" w14:textId="77777777" w:rsidR="008459D7" w:rsidRPr="00CB3285" w:rsidRDefault="008459D7" w:rsidP="004418F0">
            <w:pPr>
              <w:pStyle w:val="Tablecolhead"/>
            </w:pPr>
            <w:r>
              <w:t>Equipment</w:t>
            </w:r>
          </w:p>
        </w:tc>
        <w:tc>
          <w:tcPr>
            <w:tcW w:w="2126" w:type="dxa"/>
          </w:tcPr>
          <w:p w14:paraId="672A57C3" w14:textId="77777777" w:rsidR="008459D7" w:rsidRDefault="008459D7" w:rsidP="004418F0">
            <w:pPr>
              <w:pStyle w:val="Tablecolhead"/>
            </w:pPr>
            <w:r>
              <w:t>Basic</w:t>
            </w:r>
          </w:p>
        </w:tc>
        <w:tc>
          <w:tcPr>
            <w:tcW w:w="2268" w:type="dxa"/>
          </w:tcPr>
          <w:p w14:paraId="5E75BC10" w14:textId="77777777" w:rsidR="008459D7" w:rsidRDefault="008459D7" w:rsidP="004418F0">
            <w:pPr>
              <w:pStyle w:val="Tablecolhead"/>
            </w:pPr>
            <w:r>
              <w:t>Intermediate</w:t>
            </w:r>
          </w:p>
        </w:tc>
        <w:tc>
          <w:tcPr>
            <w:tcW w:w="2216" w:type="dxa"/>
          </w:tcPr>
          <w:p w14:paraId="65BCA50D" w14:textId="77777777" w:rsidR="008459D7" w:rsidRDefault="008459D7" w:rsidP="004418F0">
            <w:pPr>
              <w:pStyle w:val="Tablecolhead"/>
            </w:pPr>
            <w:r>
              <w:t>Advanced</w:t>
            </w:r>
          </w:p>
        </w:tc>
      </w:tr>
      <w:tr w:rsidR="008459D7" w14:paraId="6AF78FA7" w14:textId="77777777" w:rsidTr="00192CAC">
        <w:tc>
          <w:tcPr>
            <w:tcW w:w="2689" w:type="dxa"/>
          </w:tcPr>
          <w:p w14:paraId="65CFB6EE" w14:textId="77777777" w:rsidR="008459D7" w:rsidRDefault="008459D7" w:rsidP="004418F0">
            <w:pPr>
              <w:pStyle w:val="Tabletext"/>
            </w:pPr>
            <w:r>
              <w:t>Automated External Defibrillator</w:t>
            </w:r>
          </w:p>
        </w:tc>
        <w:tc>
          <w:tcPr>
            <w:tcW w:w="2126" w:type="dxa"/>
            <w:shd w:val="clear" w:color="auto" w:fill="FFE699"/>
          </w:tcPr>
          <w:p w14:paraId="6CA9A299" w14:textId="4D6A8479" w:rsidR="008459D7" w:rsidRDefault="00295D9E" w:rsidP="00295D9E">
            <w:pPr>
              <w:pStyle w:val="Tabletext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68" w:type="dxa"/>
            <w:shd w:val="clear" w:color="auto" w:fill="C6E0B4"/>
          </w:tcPr>
          <w:p w14:paraId="42CFB521" w14:textId="11B64D24" w:rsidR="008459D7" w:rsidRDefault="00295D9E" w:rsidP="00295D9E">
            <w:pPr>
              <w:pStyle w:val="Tablebullet2"/>
              <w:numPr>
                <w:ilvl w:val="0"/>
                <w:numId w:val="0"/>
              </w:numPr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35647C0B" w14:textId="738B91B0" w:rsidR="008459D7" w:rsidRDefault="00295D9E" w:rsidP="00295D9E">
            <w:pPr>
              <w:pStyle w:val="Tablebullet2"/>
              <w:numPr>
                <w:ilvl w:val="0"/>
                <w:numId w:val="0"/>
              </w:numPr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  <w:tr w:rsidR="008459D7" w14:paraId="0059368F" w14:textId="77777777" w:rsidTr="00192CAC">
        <w:trPr>
          <w:trHeight w:val="756"/>
        </w:trPr>
        <w:tc>
          <w:tcPr>
            <w:tcW w:w="2689" w:type="dxa"/>
          </w:tcPr>
          <w:p w14:paraId="364EFBD2" w14:textId="77777777" w:rsidR="008459D7" w:rsidRPr="002365B4" w:rsidRDefault="008459D7" w:rsidP="004418F0">
            <w:pPr>
              <w:pStyle w:val="Tabletext6pt"/>
            </w:pPr>
            <w:r>
              <w:t>Sanitiser and hand washing facilities</w:t>
            </w:r>
          </w:p>
        </w:tc>
        <w:tc>
          <w:tcPr>
            <w:tcW w:w="2126" w:type="dxa"/>
            <w:shd w:val="clear" w:color="auto" w:fill="FFE699"/>
          </w:tcPr>
          <w:p w14:paraId="0F1F6E66" w14:textId="6B0EFCA6" w:rsidR="008459D7" w:rsidRPr="002365B4" w:rsidRDefault="00295D9E" w:rsidP="00295D9E">
            <w:pPr>
              <w:pStyle w:val="Tabletext6pt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68" w:type="dxa"/>
            <w:shd w:val="clear" w:color="auto" w:fill="C6E0B4"/>
          </w:tcPr>
          <w:p w14:paraId="43DB00FE" w14:textId="3704F855" w:rsidR="008459D7" w:rsidRPr="00924D74" w:rsidRDefault="00295D9E" w:rsidP="00295D9E">
            <w:pPr>
              <w:pStyle w:val="Tablebullet2"/>
              <w:numPr>
                <w:ilvl w:val="0"/>
                <w:numId w:val="0"/>
              </w:numPr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43C1E41E" w14:textId="6F83B3F6" w:rsidR="008459D7" w:rsidRPr="00924D74" w:rsidRDefault="00295D9E" w:rsidP="00295D9E">
            <w:pPr>
              <w:pStyle w:val="Tablebullet2"/>
              <w:numPr>
                <w:ilvl w:val="0"/>
                <w:numId w:val="0"/>
              </w:numPr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  <w:tr w:rsidR="008459D7" w14:paraId="5361B3AC" w14:textId="77777777" w:rsidTr="00192CAC">
        <w:trPr>
          <w:trHeight w:val="756"/>
        </w:trPr>
        <w:tc>
          <w:tcPr>
            <w:tcW w:w="2689" w:type="dxa"/>
          </w:tcPr>
          <w:p w14:paraId="798EAF63" w14:textId="77777777" w:rsidR="008459D7" w:rsidRDefault="008459D7" w:rsidP="004418F0">
            <w:pPr>
              <w:pStyle w:val="Tabletext6pt"/>
            </w:pPr>
            <w:r>
              <w:t>Drinking water for patients and staff</w:t>
            </w:r>
          </w:p>
        </w:tc>
        <w:tc>
          <w:tcPr>
            <w:tcW w:w="2126" w:type="dxa"/>
            <w:shd w:val="clear" w:color="auto" w:fill="FFE699"/>
          </w:tcPr>
          <w:p w14:paraId="71EB65F2" w14:textId="2C101B92" w:rsidR="008459D7" w:rsidRPr="002365B4" w:rsidRDefault="00295D9E" w:rsidP="00295D9E">
            <w:pPr>
              <w:pStyle w:val="Tabletext6pt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68" w:type="dxa"/>
            <w:shd w:val="clear" w:color="auto" w:fill="C6E0B4"/>
          </w:tcPr>
          <w:p w14:paraId="6EB2DC3D" w14:textId="3FCA74E0" w:rsidR="008459D7" w:rsidRDefault="00295D9E" w:rsidP="00295D9E">
            <w:pPr>
              <w:pStyle w:val="Tablebullet1"/>
              <w:numPr>
                <w:ilvl w:val="0"/>
                <w:numId w:val="0"/>
              </w:numPr>
              <w:ind w:left="227" w:hanging="227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5EB7FC94" w14:textId="758A3CFD" w:rsidR="008459D7" w:rsidRDefault="00295D9E" w:rsidP="00295D9E">
            <w:pPr>
              <w:pStyle w:val="Tablebullet1"/>
              <w:numPr>
                <w:ilvl w:val="0"/>
                <w:numId w:val="0"/>
              </w:numPr>
              <w:ind w:left="227" w:hanging="227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  <w:tr w:rsidR="008459D7" w14:paraId="6C333948" w14:textId="77777777" w:rsidTr="00192CAC">
        <w:trPr>
          <w:trHeight w:val="756"/>
        </w:trPr>
        <w:tc>
          <w:tcPr>
            <w:tcW w:w="2689" w:type="dxa"/>
          </w:tcPr>
          <w:p w14:paraId="6636BBA1" w14:textId="5711AAE2" w:rsidR="008459D7" w:rsidRDefault="008459D7" w:rsidP="004418F0">
            <w:pPr>
              <w:pStyle w:val="Tabletext6pt"/>
            </w:pPr>
            <w:r>
              <w:t>Waste management</w:t>
            </w:r>
            <w:r w:rsidR="00295D9E">
              <w:t xml:space="preserve"> for</w:t>
            </w:r>
          </w:p>
          <w:p w14:paraId="5CC8E9C7" w14:textId="77777777" w:rsidR="008459D7" w:rsidRDefault="008459D7" w:rsidP="004418F0">
            <w:pPr>
              <w:pStyle w:val="Tablebullet1"/>
            </w:pPr>
            <w:r>
              <w:t>Contaminated waste</w:t>
            </w:r>
          </w:p>
          <w:p w14:paraId="22BD4C6A" w14:textId="77777777" w:rsidR="008459D7" w:rsidRDefault="008459D7" w:rsidP="004418F0">
            <w:pPr>
              <w:pStyle w:val="Tablebullet1"/>
            </w:pPr>
            <w:r>
              <w:t>Safe disposal of sharps</w:t>
            </w:r>
          </w:p>
        </w:tc>
        <w:tc>
          <w:tcPr>
            <w:tcW w:w="2126" w:type="dxa"/>
            <w:shd w:val="clear" w:color="auto" w:fill="FFE699"/>
          </w:tcPr>
          <w:p w14:paraId="7E7B9001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53293F2C" w14:textId="0A7FEBB1" w:rsidR="008459D7" w:rsidRPr="002365B4" w:rsidRDefault="00295D9E" w:rsidP="00295D9E">
            <w:pPr>
              <w:pStyle w:val="Tabletext6pt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68" w:type="dxa"/>
            <w:shd w:val="clear" w:color="auto" w:fill="C6E0B4"/>
          </w:tcPr>
          <w:p w14:paraId="49883C59" w14:textId="77777777" w:rsidR="00295D9E" w:rsidRDefault="00295D9E" w:rsidP="00295D9E">
            <w:pPr>
              <w:pStyle w:val="Tablebullet1"/>
              <w:numPr>
                <w:ilvl w:val="0"/>
                <w:numId w:val="0"/>
              </w:numPr>
              <w:jc w:val="center"/>
              <w:rPr>
                <w:rFonts w:ascii="Wingdings 2" w:hAnsi="Wingdings 2"/>
                <w:lang w:eastAsia="en-AU"/>
              </w:rPr>
            </w:pPr>
          </w:p>
          <w:p w14:paraId="70694B74" w14:textId="48AE9A4D" w:rsidR="008459D7" w:rsidRDefault="00295D9E" w:rsidP="00295D9E">
            <w:pPr>
              <w:pStyle w:val="Tablebullet1"/>
              <w:numPr>
                <w:ilvl w:val="0"/>
                <w:numId w:val="0"/>
              </w:numPr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6A8248B8" w14:textId="734BBE29" w:rsidR="00295D9E" w:rsidRDefault="00295D9E" w:rsidP="00295D9E">
            <w:pPr>
              <w:pStyle w:val="Tablebullet1"/>
              <w:numPr>
                <w:ilvl w:val="0"/>
                <w:numId w:val="0"/>
              </w:numPr>
              <w:tabs>
                <w:tab w:val="left" w:pos="930"/>
                <w:tab w:val="center" w:pos="1167"/>
              </w:tabs>
              <w:ind w:left="227"/>
              <w:jc w:val="center"/>
              <w:rPr>
                <w:rFonts w:ascii="Wingdings 2" w:hAnsi="Wingdings 2"/>
                <w:lang w:eastAsia="en-AU"/>
              </w:rPr>
            </w:pPr>
          </w:p>
          <w:p w14:paraId="1280A47E" w14:textId="6D626864" w:rsidR="008459D7" w:rsidRDefault="00295D9E" w:rsidP="00295D9E">
            <w:pPr>
              <w:pStyle w:val="Tablebullet1"/>
              <w:numPr>
                <w:ilvl w:val="0"/>
                <w:numId w:val="0"/>
              </w:numPr>
              <w:tabs>
                <w:tab w:val="left" w:pos="930"/>
                <w:tab w:val="center" w:pos="1167"/>
              </w:tabs>
              <w:ind w:left="227" w:hanging="227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  <w:tr w:rsidR="008459D7" w14:paraId="0C130380" w14:textId="77777777" w:rsidTr="00192CAC">
        <w:trPr>
          <w:trHeight w:val="756"/>
        </w:trPr>
        <w:tc>
          <w:tcPr>
            <w:tcW w:w="2689" w:type="dxa"/>
          </w:tcPr>
          <w:p w14:paraId="48755619" w14:textId="77777777" w:rsidR="005F48B1" w:rsidRDefault="008459D7" w:rsidP="005F48B1">
            <w:pPr>
              <w:pStyle w:val="Tabletext6pt"/>
            </w:pPr>
            <w:r>
              <w:t xml:space="preserve">Injectable Adrenaline device or </w:t>
            </w:r>
          </w:p>
          <w:p w14:paraId="21E9A211" w14:textId="77777777" w:rsidR="008459D7" w:rsidRDefault="008459D7" w:rsidP="005F48B1">
            <w:pPr>
              <w:pStyle w:val="Tabletext6pt"/>
            </w:pPr>
            <w:r>
              <w:t>Adrenaline ampoules</w:t>
            </w:r>
            <w:r w:rsidR="005F48B1">
              <w:t>*</w:t>
            </w:r>
            <w:r>
              <w:t xml:space="preserve"> </w:t>
            </w:r>
          </w:p>
          <w:p w14:paraId="22F7DD34" w14:textId="4CB27D8C" w:rsidR="00295D9E" w:rsidRPr="00295D9E" w:rsidRDefault="00295D9E" w:rsidP="00295D9E">
            <w:pPr>
              <w:pStyle w:val="Tabletext6pt"/>
              <w:rPr>
                <w:i/>
                <w:iCs/>
                <w:sz w:val="16"/>
                <w:szCs w:val="16"/>
              </w:rPr>
            </w:pPr>
            <w:r w:rsidRPr="00295D9E">
              <w:rPr>
                <w:i/>
                <w:iCs/>
                <w:sz w:val="16"/>
                <w:szCs w:val="16"/>
              </w:rPr>
              <w:t>*If staff member has the qualifications and is credentialled to administer</w:t>
            </w:r>
          </w:p>
        </w:tc>
        <w:tc>
          <w:tcPr>
            <w:tcW w:w="2126" w:type="dxa"/>
            <w:shd w:val="clear" w:color="auto" w:fill="FFE699"/>
          </w:tcPr>
          <w:p w14:paraId="3B717BD6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5ECBF176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378BC65E" w14:textId="0BA89E42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  <w:p w14:paraId="19EDCE6A" w14:textId="27647D88" w:rsidR="008459D7" w:rsidRPr="002365B4" w:rsidRDefault="008459D7" w:rsidP="00295D9E">
            <w:pPr>
              <w:pStyle w:val="Tabletext6pt"/>
              <w:jc w:val="center"/>
            </w:pPr>
          </w:p>
        </w:tc>
        <w:tc>
          <w:tcPr>
            <w:tcW w:w="2268" w:type="dxa"/>
            <w:shd w:val="clear" w:color="auto" w:fill="C6E0B4"/>
          </w:tcPr>
          <w:p w14:paraId="4FA70272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3BD14B5D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3522442F" w14:textId="5515AE6C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  <w:p w14:paraId="531466AA" w14:textId="205992E1" w:rsidR="008459D7" w:rsidRDefault="008459D7" w:rsidP="00295D9E">
            <w:pPr>
              <w:pStyle w:val="Tablebullet1"/>
              <w:numPr>
                <w:ilvl w:val="0"/>
                <w:numId w:val="0"/>
              </w:numPr>
              <w:ind w:left="227"/>
              <w:jc w:val="center"/>
            </w:pPr>
          </w:p>
        </w:tc>
        <w:tc>
          <w:tcPr>
            <w:tcW w:w="2216" w:type="dxa"/>
            <w:shd w:val="clear" w:color="auto" w:fill="F8CBAD"/>
          </w:tcPr>
          <w:p w14:paraId="5BF8EFDC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19736ABA" w14:textId="77777777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</w:p>
          <w:p w14:paraId="7E9E838E" w14:textId="7816B039" w:rsidR="00295D9E" w:rsidRDefault="00295D9E" w:rsidP="00295D9E">
            <w:pPr>
              <w:pStyle w:val="Tabletext6pt"/>
              <w:jc w:val="center"/>
              <w:rPr>
                <w:rFonts w:ascii="Wingdings 2" w:hAnsi="Wingdings 2"/>
                <w:lang w:eastAsia="en-AU"/>
              </w:rPr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  <w:p w14:paraId="50B35D66" w14:textId="121DE7FD" w:rsidR="008459D7" w:rsidRDefault="008459D7" w:rsidP="00295D9E">
            <w:pPr>
              <w:pStyle w:val="Tablebullet1"/>
              <w:numPr>
                <w:ilvl w:val="0"/>
                <w:numId w:val="0"/>
              </w:numPr>
              <w:ind w:left="227"/>
              <w:jc w:val="center"/>
            </w:pPr>
          </w:p>
        </w:tc>
      </w:tr>
      <w:tr w:rsidR="00295D9E" w14:paraId="161136F3" w14:textId="77777777" w:rsidTr="00192CAC">
        <w:trPr>
          <w:trHeight w:val="756"/>
        </w:trPr>
        <w:tc>
          <w:tcPr>
            <w:tcW w:w="2689" w:type="dxa"/>
          </w:tcPr>
          <w:p w14:paraId="361DA86E" w14:textId="646766A6" w:rsidR="00295D9E" w:rsidRDefault="00295D9E" w:rsidP="00295D9E">
            <w:pPr>
              <w:pStyle w:val="Tabletext6pt"/>
            </w:pPr>
            <w:r>
              <w:lastRenderedPageBreak/>
              <w:t>Salbutamol MDI spacer</w:t>
            </w:r>
          </w:p>
        </w:tc>
        <w:tc>
          <w:tcPr>
            <w:tcW w:w="2126" w:type="dxa"/>
            <w:shd w:val="clear" w:color="auto" w:fill="FFE699"/>
          </w:tcPr>
          <w:p w14:paraId="2AD3515D" w14:textId="77777777" w:rsidR="00295D9E" w:rsidRPr="002365B4" w:rsidRDefault="00295D9E" w:rsidP="00295D9E">
            <w:pPr>
              <w:pStyle w:val="Tabletext6pt"/>
              <w:jc w:val="center"/>
            </w:pPr>
          </w:p>
        </w:tc>
        <w:tc>
          <w:tcPr>
            <w:tcW w:w="2268" w:type="dxa"/>
            <w:shd w:val="clear" w:color="auto" w:fill="C6E0B4"/>
          </w:tcPr>
          <w:p w14:paraId="07E5289E" w14:textId="6DD9C8AA" w:rsidR="00295D9E" w:rsidRDefault="00295D9E" w:rsidP="00295D9E">
            <w:pPr>
              <w:pStyle w:val="Tablebullet1"/>
              <w:numPr>
                <w:ilvl w:val="0"/>
                <w:numId w:val="0"/>
              </w:numPr>
              <w:ind w:left="227"/>
              <w:jc w:val="center"/>
              <w:rPr>
                <w:rFonts w:ascii="Wingdings 2" w:hAnsi="Wingdings 2"/>
                <w:lang w:eastAsia="en-AU"/>
              </w:rPr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7D53E1FA" w14:textId="56F42435" w:rsidR="00295D9E" w:rsidRDefault="00295D9E" w:rsidP="00295D9E">
            <w:pPr>
              <w:pStyle w:val="Tablebullet1"/>
              <w:numPr>
                <w:ilvl w:val="0"/>
                <w:numId w:val="0"/>
              </w:numPr>
              <w:ind w:left="227" w:hanging="227"/>
              <w:jc w:val="center"/>
              <w:rPr>
                <w:rFonts w:ascii="Wingdings 2" w:hAnsi="Wingdings 2"/>
                <w:lang w:eastAsia="en-AU"/>
              </w:rPr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  <w:tr w:rsidR="00295D9E" w14:paraId="0099B76A" w14:textId="77777777" w:rsidTr="00192CAC">
        <w:trPr>
          <w:trHeight w:val="756"/>
        </w:trPr>
        <w:tc>
          <w:tcPr>
            <w:tcW w:w="2689" w:type="dxa"/>
          </w:tcPr>
          <w:p w14:paraId="6E360D22" w14:textId="77777777" w:rsidR="00295D9E" w:rsidRDefault="00295D9E" w:rsidP="00295D9E">
            <w:pPr>
              <w:pStyle w:val="Tabletext6pt"/>
            </w:pPr>
            <w:r>
              <w:t>Patient transfer equipment</w:t>
            </w:r>
          </w:p>
          <w:p w14:paraId="5079F920" w14:textId="7B2BB10C" w:rsidR="00295D9E" w:rsidRDefault="00295D9E" w:rsidP="00295D9E">
            <w:pPr>
              <w:pStyle w:val="Tabletext6pt"/>
            </w:pPr>
          </w:p>
        </w:tc>
        <w:tc>
          <w:tcPr>
            <w:tcW w:w="2126" w:type="dxa"/>
            <w:shd w:val="clear" w:color="auto" w:fill="FFE699"/>
          </w:tcPr>
          <w:p w14:paraId="7257203B" w14:textId="77777777" w:rsidR="00295D9E" w:rsidRPr="002365B4" w:rsidRDefault="00295D9E" w:rsidP="00295D9E">
            <w:pPr>
              <w:pStyle w:val="Tabletext6pt"/>
              <w:jc w:val="center"/>
            </w:pPr>
          </w:p>
        </w:tc>
        <w:tc>
          <w:tcPr>
            <w:tcW w:w="2268" w:type="dxa"/>
            <w:shd w:val="clear" w:color="auto" w:fill="C6E0B4"/>
          </w:tcPr>
          <w:p w14:paraId="137C6EF3" w14:textId="7D45B9A4" w:rsidR="00295D9E" w:rsidRDefault="00295D9E" w:rsidP="00295D9E">
            <w:pPr>
              <w:pStyle w:val="Tablebullet1"/>
              <w:numPr>
                <w:ilvl w:val="0"/>
                <w:numId w:val="0"/>
              </w:numPr>
              <w:ind w:left="227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  <w:tc>
          <w:tcPr>
            <w:tcW w:w="2216" w:type="dxa"/>
            <w:shd w:val="clear" w:color="auto" w:fill="F8CBAD"/>
          </w:tcPr>
          <w:p w14:paraId="27B908F7" w14:textId="083313E6" w:rsidR="00295D9E" w:rsidRDefault="00295D9E" w:rsidP="00295D9E">
            <w:pPr>
              <w:pStyle w:val="Tablebullet1"/>
              <w:numPr>
                <w:ilvl w:val="0"/>
                <w:numId w:val="0"/>
              </w:numPr>
              <w:ind w:left="227" w:hanging="227"/>
              <w:jc w:val="center"/>
            </w:pPr>
            <w:r>
              <w:rPr>
                <w:rFonts w:ascii="Wingdings 2" w:hAnsi="Wingdings 2"/>
                <w:lang w:eastAsia="en-AU"/>
              </w:rPr>
              <w:sym w:font="Wingdings 2" w:char="F098"/>
            </w:r>
          </w:p>
        </w:tc>
      </w:tr>
    </w:tbl>
    <w:p w14:paraId="54326D7A" w14:textId="03A1E2B0" w:rsidR="00EC2B4C" w:rsidRDefault="00EC2B4C" w:rsidP="00EC2B4C">
      <w:pPr>
        <w:pStyle w:val="Heading2"/>
      </w:pPr>
      <w:r>
        <w:t>Equipment Maintenance</w:t>
      </w:r>
      <w:r w:rsidR="008459D7">
        <w:t xml:space="preserve"> and Record Keeping</w:t>
      </w:r>
    </w:p>
    <w:p w14:paraId="74823F05" w14:textId="610AEC83" w:rsidR="008459D7" w:rsidRDefault="008459D7" w:rsidP="00820CA5">
      <w:pPr>
        <w:pStyle w:val="Body"/>
      </w:pPr>
      <w:r>
        <w:t xml:space="preserve">The First Aid Service is required to ensure all equipment used </w:t>
      </w:r>
      <w:proofErr w:type="gramStart"/>
      <w:r>
        <w:t>in the course of</w:t>
      </w:r>
      <w:proofErr w:type="gramEnd"/>
      <w:r>
        <w:t xml:space="preserve"> providing first aid to patients is kept in good working condition, in accordance with the manufacturer’s specifications. </w:t>
      </w:r>
    </w:p>
    <w:p w14:paraId="0B3A2DC5" w14:textId="1EAE2F5C" w:rsidR="008459D7" w:rsidRPr="008459D7" w:rsidRDefault="008459D7" w:rsidP="00820CA5">
      <w:pPr>
        <w:pStyle w:val="Body"/>
      </w:pPr>
      <w:r>
        <w:t>An annual maintenance schedule is required to be developed for all equipment, including a record of the maintenance and any repairs. This record is required to be maintained for the lifespan of the equipment.</w:t>
      </w:r>
    </w:p>
    <w:p w14:paraId="5DFE0470" w14:textId="457BBF2A" w:rsidR="00C51F0A" w:rsidRDefault="00EC2B4C" w:rsidP="00C51F0A">
      <w:pPr>
        <w:pStyle w:val="Heading1"/>
      </w:pPr>
      <w:bookmarkStart w:id="3" w:name="_Hlk63948051"/>
      <w:r>
        <w:t>Communication Devices</w:t>
      </w:r>
    </w:p>
    <w:p w14:paraId="376177EA" w14:textId="47D1BF4F" w:rsidR="00820CA5" w:rsidRDefault="00820CA5" w:rsidP="00820CA5">
      <w:pPr>
        <w:pStyle w:val="Body"/>
      </w:pPr>
      <w:r>
        <w:t>The first aid service must ensure that staff members always have access to communication devices. These devices should allow for easy communication with-</w:t>
      </w:r>
    </w:p>
    <w:p w14:paraId="6B0CEB6B" w14:textId="27C84F83" w:rsidR="00820CA5" w:rsidRDefault="00820CA5" w:rsidP="00820CA5">
      <w:pPr>
        <w:pStyle w:val="Bullet1"/>
      </w:pPr>
      <w:r>
        <w:t>The head office of the first aid service</w:t>
      </w:r>
    </w:p>
    <w:p w14:paraId="0ECE06ED" w14:textId="16B34E16" w:rsidR="00820CA5" w:rsidRDefault="00820CA5" w:rsidP="00820CA5">
      <w:pPr>
        <w:pStyle w:val="Bullet1"/>
      </w:pPr>
      <w:r>
        <w:t>The event headquarters or person with overall command of the event</w:t>
      </w:r>
    </w:p>
    <w:p w14:paraId="3ACC545B" w14:textId="354942BA" w:rsidR="00820CA5" w:rsidRDefault="00820CA5" w:rsidP="00820CA5">
      <w:pPr>
        <w:pStyle w:val="Bullet1"/>
      </w:pPr>
      <w:r>
        <w:t>Another health care provider, or the Ambulance Service</w:t>
      </w:r>
    </w:p>
    <w:p w14:paraId="5691B97A" w14:textId="648ED969" w:rsidR="00820CA5" w:rsidRDefault="00820CA5" w:rsidP="00820CA5">
      <w:pPr>
        <w:pStyle w:val="Bullet1"/>
      </w:pPr>
      <w:r>
        <w:t>Other emergency services</w:t>
      </w:r>
    </w:p>
    <w:p w14:paraId="57377A91" w14:textId="00CD0730" w:rsidR="00DE4D34" w:rsidRDefault="00DE4D34" w:rsidP="00DE4D34">
      <w:pPr>
        <w:pStyle w:val="Bullet1"/>
        <w:numPr>
          <w:ilvl w:val="0"/>
          <w:numId w:val="0"/>
        </w:numPr>
      </w:pPr>
    </w:p>
    <w:p w14:paraId="54996CD7" w14:textId="0FB60292" w:rsidR="00DE4D34" w:rsidRPr="00820CA5" w:rsidRDefault="00DE4D34" w:rsidP="00DE4D34">
      <w:pPr>
        <w:pStyle w:val="Bullet1"/>
        <w:numPr>
          <w:ilvl w:val="0"/>
          <w:numId w:val="0"/>
        </w:numPr>
      </w:pPr>
      <w:r>
        <w:t xml:space="preserve">For further information, email </w:t>
      </w:r>
      <w:hyperlink r:id="rId19">
        <w:r w:rsidRPr="5118B6DD">
          <w:rPr>
            <w:rStyle w:val="normaltextrun"/>
            <w:rFonts w:cs="Arial"/>
            <w:color w:val="004C97"/>
            <w:sz w:val="20"/>
            <w:u w:val="single"/>
          </w:rPr>
          <w:t>NEPT, First Aid and Investigations</w:t>
        </w:r>
      </w:hyperlink>
      <w:r w:rsidRPr="5118B6DD">
        <w:rPr>
          <w:rStyle w:val="eop"/>
          <w:rFonts w:cs="Arial"/>
        </w:rPr>
        <w:t> </w:t>
      </w:r>
    </w:p>
    <w:bookmarkEnd w:id="3"/>
    <w:p w14:paraId="3E5BDFB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FA1901E" w14:textId="77777777" w:rsidTr="00EC40D5">
        <w:tc>
          <w:tcPr>
            <w:tcW w:w="10194" w:type="dxa"/>
          </w:tcPr>
          <w:p w14:paraId="44741ECA" w14:textId="77777777" w:rsidR="00DE4D34" w:rsidRPr="0021536B" w:rsidRDefault="00DE4D34" w:rsidP="00DE4D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MS Gothic"/>
                <w:color w:val="000000"/>
              </w:rPr>
            </w:pPr>
            <w:bookmarkStart w:id="4" w:name="_Hlk37240926"/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 </w:t>
            </w:r>
            <w:hyperlink r:id="rId20" w:tgtFrame="_blank" w:history="1">
              <w:r w:rsidRPr="00D76892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D76892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 </w:t>
            </w:r>
            <w:r w:rsidRPr="00D76892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&lt; </w:t>
            </w:r>
            <w:r w:rsidRPr="0021536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NEPTFirstAidRegulation@health.vic.gov.au&gt;.</w:t>
            </w:r>
            <w:r w:rsidRPr="0021536B">
              <w:rPr>
                <w:rStyle w:val="normaltextrun"/>
                <w:rFonts w:eastAsia="MS Gothic"/>
                <w:color w:val="000000"/>
              </w:rPr>
              <w:t> </w:t>
            </w:r>
          </w:p>
          <w:p w14:paraId="35CDF710" w14:textId="77777777" w:rsidR="00DE4D34" w:rsidRPr="0021536B" w:rsidRDefault="00DE4D34" w:rsidP="00DE4D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MS Gothic"/>
              </w:rPr>
            </w:pPr>
            <w:r w:rsidRPr="00D76892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21536B">
              <w:rPr>
                <w:rStyle w:val="normaltextrun"/>
                <w:rFonts w:eastAsia="MS Gothic"/>
              </w:rPr>
              <w:t> </w:t>
            </w:r>
          </w:p>
          <w:p w14:paraId="4912E42E" w14:textId="62D3E213" w:rsidR="00DE4D34" w:rsidRDefault="00DE4D34" w:rsidP="00DE4D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21536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© State of Victoria, Australia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, Department of Health, </w:t>
            </w:r>
            <w:r w:rsidR="0021536B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December </w:t>
            </w:r>
            <w:r w:rsidRPr="00171756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2021</w:t>
            </w:r>
            <w:r w:rsidRPr="00171756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  <w:r w:rsidRPr="00171756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F40AFB5" w14:textId="343AA684" w:rsidR="0055119B" w:rsidRDefault="00DE4D34" w:rsidP="00DE4D34">
            <w:pPr>
              <w:pStyle w:val="paragraph"/>
              <w:spacing w:before="0" w:beforeAutospacing="0" w:after="0" w:afterAutospacing="0"/>
              <w:textAlignment w:val="baseline"/>
            </w:pPr>
            <w:r w:rsidRPr="00171756">
              <w:rPr>
                <w:rStyle w:val="normaltextrun"/>
                <w:rFonts w:eastAsia="MS Gothic" w:cs="Arial"/>
                <w:color w:val="000000"/>
              </w:rPr>
              <w:t>Available at </w:t>
            </w:r>
            <w:hyperlink r:id="rId21" w:tgtFrame="_blank" w:history="1">
              <w:r w:rsidRPr="00171756">
                <w:rPr>
                  <w:rStyle w:val="normaltextrun"/>
                  <w:rFonts w:eastAsia="MS Gothic" w:cs="Arial"/>
                  <w:color w:val="004C97"/>
                  <w:u w:val="single"/>
                </w:rPr>
                <w:t>First Aid</w:t>
              </w:r>
            </w:hyperlink>
            <w:r w:rsidRPr="00171756">
              <w:rPr>
                <w:rStyle w:val="normaltextrun"/>
                <w:rFonts w:eastAsia="MS Gothic" w:cs="Arial"/>
                <w:color w:val="000000"/>
              </w:rPr>
              <w:t> &lt; </w:t>
            </w:r>
            <w:r w:rsidRPr="00171756">
              <w:rPr>
                <w:rStyle w:val="normaltextrun"/>
                <w:rFonts w:eastAsia="MS Gothic" w:cs="Arial"/>
                <w:color w:val="004C97"/>
              </w:rPr>
              <w:t>https://www2.health.vic.gov.au/hospitals-and-health-services/patient-care</w:t>
            </w:r>
            <w:r w:rsidRPr="00171756">
              <w:rPr>
                <w:rStyle w:val="normaltextrun"/>
                <w:rFonts w:eastAsia="MS Gothic" w:cs="Arial"/>
                <w:color w:val="000000"/>
              </w:rPr>
              <w:t>&gt;</w:t>
            </w:r>
            <w:r w:rsidRPr="00171756">
              <w:rPr>
                <w:rStyle w:val="eop"/>
                <w:rFonts w:cs="Arial"/>
                <w:color w:val="000000"/>
              </w:rPr>
              <w:t> </w:t>
            </w:r>
          </w:p>
        </w:tc>
      </w:tr>
      <w:bookmarkEnd w:id="4"/>
    </w:tbl>
    <w:p w14:paraId="64228ECF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5A79" w14:textId="77777777" w:rsidR="000C31D0" w:rsidRDefault="000C31D0">
      <w:r>
        <w:separator/>
      </w:r>
    </w:p>
  </w:endnote>
  <w:endnote w:type="continuationSeparator" w:id="0">
    <w:p w14:paraId="27F7198D" w14:textId="77777777" w:rsidR="000C31D0" w:rsidRDefault="000C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F5D5F" w14:textId="77777777" w:rsidR="00192CAC" w:rsidRDefault="00192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DCB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21815AC0" wp14:editId="7A833C2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7A7C484" wp14:editId="1A2ACA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E3AF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7C48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17E3AF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DB9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6AF318E" wp14:editId="3A0D107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819E5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F318E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B819E5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372C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23CA2A2" wp14:editId="0B37E3B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9AC4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CA2A2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6D9AC4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4333" w14:textId="77777777" w:rsidR="000C31D0" w:rsidRDefault="000C31D0" w:rsidP="002862F1">
      <w:pPr>
        <w:spacing w:before="120"/>
      </w:pPr>
      <w:r>
        <w:separator/>
      </w:r>
    </w:p>
  </w:footnote>
  <w:footnote w:type="continuationSeparator" w:id="0">
    <w:p w14:paraId="4C8EB073" w14:textId="77777777" w:rsidR="000C31D0" w:rsidRDefault="000C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E150" w14:textId="77777777" w:rsidR="00192CAC" w:rsidRDefault="00192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9CEE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AAEA7" w14:textId="77777777" w:rsidR="00192CAC" w:rsidRDefault="00192C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ED31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25D49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E55C7"/>
    <w:multiLevelType w:val="hybridMultilevel"/>
    <w:tmpl w:val="FAF29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15CF4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F074DC1"/>
    <w:multiLevelType w:val="hybridMultilevel"/>
    <w:tmpl w:val="C762B382"/>
    <w:lvl w:ilvl="0" w:tplc="F952728C"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0FC3163"/>
    <w:multiLevelType w:val="hybridMultilevel"/>
    <w:tmpl w:val="AC18B1B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E5A2A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31" w15:restartNumberingAfterBreak="0">
    <w:nsid w:val="73293903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2"/>
  </w:num>
  <w:num w:numId="25">
    <w:abstractNumId w:val="27"/>
  </w:num>
  <w:num w:numId="26">
    <w:abstractNumId w:val="20"/>
  </w:num>
  <w:num w:numId="27">
    <w:abstractNumId w:val="11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1"/>
  </w:num>
  <w:num w:numId="42">
    <w:abstractNumId w:val="22"/>
  </w:num>
  <w:num w:numId="43">
    <w:abstractNumId w:val="30"/>
  </w:num>
  <w:num w:numId="44">
    <w:abstractNumId w:val="25"/>
  </w:num>
  <w:num w:numId="45">
    <w:abstractNumId w:val="23"/>
  </w:num>
  <w:num w:numId="46">
    <w:abstractNumId w:val="21"/>
  </w:num>
  <w:num w:numId="4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C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15FD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1D0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CAC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76F6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36B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5D9E"/>
    <w:rsid w:val="002962C3"/>
    <w:rsid w:val="0029752B"/>
    <w:rsid w:val="002A0A9C"/>
    <w:rsid w:val="002A1EE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0DA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F62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6832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8B1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2827"/>
    <w:rsid w:val="006D0F16"/>
    <w:rsid w:val="006D2A3F"/>
    <w:rsid w:val="006D2FBC"/>
    <w:rsid w:val="006E0541"/>
    <w:rsid w:val="006E138B"/>
    <w:rsid w:val="006E63C7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CA5"/>
    <w:rsid w:val="00820E0C"/>
    <w:rsid w:val="008213F0"/>
    <w:rsid w:val="00823275"/>
    <w:rsid w:val="0082366F"/>
    <w:rsid w:val="008338A2"/>
    <w:rsid w:val="00835FAF"/>
    <w:rsid w:val="00841AA9"/>
    <w:rsid w:val="008459D7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F8E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DD5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2C9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5AD"/>
    <w:rsid w:val="00BB7A10"/>
    <w:rsid w:val="00BC2BEF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083"/>
    <w:rsid w:val="00C25E8B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63B4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34"/>
    <w:rsid w:val="00DE6028"/>
    <w:rsid w:val="00DE78A3"/>
    <w:rsid w:val="00DF1A71"/>
    <w:rsid w:val="00DF50FC"/>
    <w:rsid w:val="00DF68C7"/>
    <w:rsid w:val="00DF731A"/>
    <w:rsid w:val="00E06B75"/>
    <w:rsid w:val="00E07083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3EF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2B4C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383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E4F954"/>
  <w15:docId w15:val="{20076376-BF6A-4548-8F81-CBC8E07B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BodySectionSub">
    <w:name w:val="Body Section (Sub)"/>
    <w:next w:val="Normal"/>
    <w:link w:val="BodySectionSubChar"/>
    <w:rsid w:val="006E63C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6E63C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DraftHeading3">
    <w:name w:val="Draft Heading 3"/>
    <w:basedOn w:val="Normal"/>
    <w:next w:val="Normal"/>
    <w:rsid w:val="006E63C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Heading-PART">
    <w:name w:val="Heading - PART"/>
    <w:next w:val="Normal"/>
    <w:link w:val="Heading-PARTChar"/>
    <w:rsid w:val="006E63C7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DraftPenalty2">
    <w:name w:val="Draft Penalty 2"/>
    <w:basedOn w:val="Normal"/>
    <w:next w:val="Normal"/>
    <w:rsid w:val="006E63C7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hAnsi="Times New Roman"/>
      <w:sz w:val="24"/>
    </w:rPr>
  </w:style>
  <w:style w:type="paragraph" w:customStyle="1" w:styleId="DraftHeading1">
    <w:name w:val="Draft Heading 1"/>
    <w:basedOn w:val="Normal"/>
    <w:next w:val="Normal"/>
    <w:rsid w:val="006E63C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character" w:customStyle="1" w:styleId="BodySectionSubChar">
    <w:name w:val="Body Section (Sub) Char"/>
    <w:link w:val="BodySectionSub"/>
    <w:rsid w:val="006E63C7"/>
    <w:rPr>
      <w:sz w:val="24"/>
      <w:lang w:eastAsia="en-US"/>
    </w:rPr>
  </w:style>
  <w:style w:type="character" w:customStyle="1" w:styleId="Heading-PARTChar">
    <w:name w:val="Heading - PART Char"/>
    <w:link w:val="Heading-PART"/>
    <w:rsid w:val="006E63C7"/>
    <w:rPr>
      <w:b/>
      <w:caps/>
      <w:sz w:val="22"/>
      <w:lang w:eastAsia="en-US"/>
    </w:rPr>
  </w:style>
  <w:style w:type="character" w:customStyle="1" w:styleId="normaltextrun">
    <w:name w:val="normaltextrun"/>
    <w:basedOn w:val="DefaultParagraphFont"/>
    <w:rsid w:val="00DE4D34"/>
  </w:style>
  <w:style w:type="character" w:customStyle="1" w:styleId="eop">
    <w:name w:val="eop"/>
    <w:basedOn w:val="DefaultParagraphFont"/>
    <w:rsid w:val="00DE4D34"/>
  </w:style>
  <w:style w:type="paragraph" w:customStyle="1" w:styleId="paragraph">
    <w:name w:val="paragraph"/>
    <w:basedOn w:val="Normal"/>
    <w:rsid w:val="00DE4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ealth.vic.gov.au/hospitals-and-health-services/patient-car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69AC1-3031-4C79-824A-91FE68D1A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951ee8a1-a92c-40bc-9e81-d80532d07b49"/>
    <ds:schemaRef ds:uri="http://schemas.microsoft.com/office/infopath/2007/PartnerControls"/>
    <ds:schemaRef ds:uri="14671b8e-e891-4910-86ff-35e0958d089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25</TotalTime>
  <Pages>2</Pages>
  <Words>363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Equipment and Communication Devices</vt:lpstr>
    </vt:vector>
  </TitlesOfParts>
  <Manager/>
  <Company>Victoria State Government, Department of Health</Company>
  <LinksUpToDate>false</LinksUpToDate>
  <CharactersWithSpaces>2835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Equipment and Communication Devices</dc:title>
  <dc:subject>First Aid Services Equipment and Communication Devices</dc:subject>
  <dc:creator>Devon Harrison (Health)</dc:creator>
  <cp:keywords/>
  <dc:description/>
  <cp:lastModifiedBy>Devon Harrison (Health)</cp:lastModifiedBy>
  <cp:revision>9</cp:revision>
  <cp:lastPrinted>2020-03-30T03:28:00Z</cp:lastPrinted>
  <dcterms:created xsi:type="dcterms:W3CDTF">2021-10-18T02:21:00Z</dcterms:created>
  <dcterms:modified xsi:type="dcterms:W3CDTF">2021-12-22T01:29:00Z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2021-10-18T02:21:38Z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