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560"/>
        <w:tblW w:w="92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B41C39" w14:paraId="3B015E10" w14:textId="77777777" w:rsidTr="009F2187">
        <w:trPr>
          <w:cantSplit/>
        </w:trPr>
        <w:tc>
          <w:tcPr>
            <w:tcW w:w="0" w:type="auto"/>
            <w:tcMar>
              <w:top w:w="0" w:type="dxa"/>
              <w:left w:w="0" w:type="dxa"/>
              <w:right w:w="0" w:type="dxa"/>
            </w:tcMar>
          </w:tcPr>
          <w:p w14:paraId="18F877C2" w14:textId="77777777" w:rsidR="00A75687" w:rsidRDefault="00A75687" w:rsidP="009F2187">
            <w:pPr>
              <w:pStyle w:val="Documenttitle"/>
              <w:contextualSpacing/>
            </w:pPr>
            <w:r>
              <w:t xml:space="preserve">Chief Psychiatrist’s annual report </w:t>
            </w:r>
          </w:p>
          <w:p w14:paraId="12D97244" w14:textId="399EB7A8" w:rsidR="00B41C39" w:rsidRPr="00431F42" w:rsidRDefault="00A75687" w:rsidP="009F2187">
            <w:pPr>
              <w:pStyle w:val="Documenttitle"/>
              <w:contextualSpacing/>
            </w:pPr>
            <w:r>
              <w:t>2020</w:t>
            </w:r>
            <w:r w:rsidRPr="00A75687">
              <w:t>–</w:t>
            </w:r>
            <w:r>
              <w:t>21</w:t>
            </w:r>
          </w:p>
        </w:tc>
      </w:tr>
    </w:tbl>
    <w:p w14:paraId="38EE85C2" w14:textId="77777777" w:rsidR="00B41C39" w:rsidRDefault="00B41C39">
      <w:r>
        <w:rPr>
          <w:noProof/>
        </w:rPr>
        <w:drawing>
          <wp:anchor distT="0" distB="0" distL="114300" distR="114300" simplePos="0" relativeHeight="251660288" behindDoc="1" locked="1" layoutInCell="1" allowOverlap="1" wp14:anchorId="318E2BA2" wp14:editId="362CBC9F">
            <wp:simplePos x="0" y="0"/>
            <wp:positionH relativeFrom="page">
              <wp:posOffset>-28575</wp:posOffset>
            </wp:positionH>
            <wp:positionV relativeFrom="page">
              <wp:posOffset>-13970</wp:posOffset>
            </wp:positionV>
            <wp:extent cx="7564373" cy="10692000"/>
            <wp:effectExtent l="0" t="0" r="508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4373" cy="10692000"/>
                    </a:xfrm>
                    <a:prstGeom prst="rect">
                      <a:avLst/>
                    </a:prstGeom>
                  </pic:spPr>
                </pic:pic>
              </a:graphicData>
            </a:graphic>
            <wp14:sizeRelH relativeFrom="margin">
              <wp14:pctWidth>0</wp14:pctWidth>
            </wp14:sizeRelH>
            <wp14:sizeRelV relativeFrom="margin">
              <wp14:pctHeight>0</wp14:pctHeight>
            </wp14:sizeRelV>
          </wp:anchor>
        </w:drawing>
      </w:r>
    </w:p>
    <w:p w14:paraId="6E565520" w14:textId="169EBD24" w:rsidR="4117A3B1" w:rsidRDefault="4117A3B1" w:rsidP="00563C62">
      <w:pPr>
        <w:pStyle w:val="Body"/>
      </w:pPr>
    </w:p>
    <w:p w14:paraId="1FB3E460" w14:textId="77777777" w:rsidR="0069374A" w:rsidRPr="003072C6" w:rsidRDefault="0069374A" w:rsidP="00C2657D">
      <w:pPr>
        <w:pStyle w:val="DHHSbodynospace"/>
        <w:ind w:left="-454"/>
      </w:pPr>
    </w:p>
    <w:p w14:paraId="7DB95A52" w14:textId="77777777" w:rsidR="00B41C39" w:rsidRDefault="00B41C39" w:rsidP="00CA6D4E">
      <w:pPr>
        <w:pStyle w:val="DHHSbodynospace"/>
        <w:sectPr w:rsidR="00B41C39" w:rsidSect="00C51B1C">
          <w:footerReference w:type="even" r:id="rId12"/>
          <w:footerReference w:type="default" r:id="rId13"/>
          <w:pgSz w:w="11906" w:h="16838"/>
          <w:pgMar w:top="1701" w:right="1304" w:bottom="1134" w:left="1304" w:header="454" w:footer="567" w:gutter="0"/>
          <w:cols w:space="720"/>
          <w:docGrid w:linePitch="360"/>
        </w:sectPr>
      </w:pPr>
    </w:p>
    <w:p w14:paraId="49EF630C" w14:textId="68EA4080" w:rsidR="00AC0C3B" w:rsidRPr="003072C6" w:rsidRDefault="00073DB0" w:rsidP="00CA6D4E">
      <w:pPr>
        <w:pStyle w:val="DHHSbodynospace"/>
      </w:pPr>
      <w:r>
        <w:rPr>
          <w:noProof/>
          <w:lang w:eastAsia="en-AU"/>
        </w:rPr>
        <w:lastRenderedPageBreak/>
        <mc:AlternateContent>
          <mc:Choice Requires="wps">
            <w:drawing>
              <wp:anchor distT="0" distB="0" distL="114300" distR="114300" simplePos="0" relativeHeight="251658240" behindDoc="0" locked="0" layoutInCell="1" allowOverlap="1" wp14:anchorId="07C5B430" wp14:editId="469E3E20">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pic="http://schemas.openxmlformats.org/drawingml/2006/pictur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c="http://schemas.openxmlformats.org/drawingml/2006/chart" xmlns:a16="http://schemas.microsoft.com/office/drawing/2014/main">
                              <a:solidFill>
                                <a:srgbClr val="FFFFFF"/>
                              </a:solidFill>
                            </a14:hiddenFill>
                          </a:ext>
                          <a:ext uri="{91240B29-F687-4f45-9708-019B960494DF}">
                            <a14:hiddenLine xmlns:pic="http://schemas.openxmlformats.org/drawingml/2006/pictur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c="http://schemas.openxmlformats.org/drawingml/2006/chart" xmlns:a16="http://schemas.microsoft.com/office/drawing/2014/main" w="9525">
                              <a:solidFill>
                                <a:srgbClr val="000000"/>
                              </a:solidFill>
                              <a:miter lim="800000"/>
                              <a:headEnd/>
                              <a:tailEnd/>
                            </a14:hiddenLine>
                          </a:ext>
                        </a:extLst>
                      </wps:spPr>
                      <wps:txbx>
                        <w:txbxContent>
                          <w:p w14:paraId="6559AD42" w14:textId="77777777" w:rsidR="00F33284" w:rsidRDefault="00F33284"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B430" id="_x0000_t202" coordsize="21600,21600" o:spt="202" path="m,l,21600r21600,l21600,xe">
                <v:stroke joinstyle="miter"/>
                <v:path gradientshapeok="t" o:connecttype="rect"/>
              </v:shapetype>
              <v:shape id="Text Box 43" o:spid="_x0000_s1026" type="#_x0000_t202"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" filled="f" stroked="f">
                <v:textbox>
                  <w:txbxContent>
                    <w:p w14:paraId="6559AD42" w14:textId="77777777" w:rsidR="00F33284" w:rsidRDefault="00F33284"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27607F42" w14:textId="77777777" w:rsidTr="00CA6D4E">
        <w:trPr>
          <w:trHeight w:val="7402"/>
        </w:trPr>
        <w:tc>
          <w:tcPr>
            <w:tcW w:w="9298" w:type="dxa"/>
            <w:shd w:val="clear" w:color="auto" w:fill="auto"/>
            <w:vAlign w:val="center"/>
          </w:tcPr>
          <w:p w14:paraId="7FB79A46" w14:textId="0CBD6621" w:rsidR="00F53CFD" w:rsidRPr="00636934" w:rsidRDefault="00381B2F" w:rsidP="00636934">
            <w:pPr>
              <w:pStyle w:val="DHHSreportmaintitle"/>
            </w:pPr>
            <w:r w:rsidRPr="00381B2F">
              <w:t xml:space="preserve">Chief Psychiatrist’s </w:t>
            </w:r>
            <w:r w:rsidR="00563C62">
              <w:t>a</w:t>
            </w:r>
            <w:r w:rsidRPr="00381B2F">
              <w:t xml:space="preserve">nnual </w:t>
            </w:r>
            <w:r w:rsidR="00563C62">
              <w:t>r</w:t>
            </w:r>
            <w:r w:rsidRPr="00381B2F">
              <w:t>eport 20</w:t>
            </w:r>
            <w:r w:rsidR="007B0010">
              <w:t>20</w:t>
            </w:r>
            <w:r w:rsidRPr="00381B2F">
              <w:t>–2</w:t>
            </w:r>
            <w:r w:rsidR="007B0010">
              <w:t>1</w:t>
            </w:r>
          </w:p>
          <w:p w14:paraId="41A6643E" w14:textId="4EA01BB7" w:rsidR="00BB47D7" w:rsidRPr="003072C6" w:rsidRDefault="00BB47D7" w:rsidP="00630937">
            <w:pPr>
              <w:pStyle w:val="DHHSreportsubtitle"/>
            </w:pPr>
          </w:p>
        </w:tc>
      </w:tr>
      <w:tr w:rsidR="009906C7" w:rsidRPr="003072C6" w14:paraId="3920C4D6" w14:textId="77777777" w:rsidTr="009906C7">
        <w:tc>
          <w:tcPr>
            <w:tcW w:w="9298" w:type="dxa"/>
            <w:shd w:val="clear" w:color="auto" w:fill="auto"/>
            <w:vAlign w:val="center"/>
          </w:tcPr>
          <w:p w14:paraId="3BFECD8F" w14:textId="77777777" w:rsidR="009906C7" w:rsidRPr="003072C6" w:rsidRDefault="009906C7" w:rsidP="009906C7">
            <w:pPr>
              <w:pStyle w:val="DHHSbody"/>
            </w:pPr>
          </w:p>
        </w:tc>
      </w:tr>
    </w:tbl>
    <w:p w14:paraId="5B6C63C6" w14:textId="7295D4C3" w:rsidR="15FF2A27" w:rsidRDefault="15FF2A27" w:rsidP="00563C62">
      <w:pPr>
        <w:pStyle w:val="Body"/>
      </w:pPr>
    </w:p>
    <w:p w14:paraId="392C1012" w14:textId="77777777" w:rsidR="00CA6D4E" w:rsidRPr="003072C6" w:rsidRDefault="00CA6D4E" w:rsidP="00CA6D4E">
      <w:pPr>
        <w:pStyle w:val="DHHSbodynospace"/>
      </w:pPr>
    </w:p>
    <w:p w14:paraId="6A716392"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6EA3201F" w14:textId="77777777" w:rsidTr="00993C80">
        <w:trPr>
          <w:trHeight w:val="6336"/>
        </w:trPr>
        <w:tc>
          <w:tcPr>
            <w:tcW w:w="9298" w:type="dxa"/>
            <w:vAlign w:val="bottom"/>
          </w:tcPr>
          <w:p w14:paraId="7DD343DD" w14:textId="5903BF27" w:rsidR="00605B5B" w:rsidRPr="00F77D38" w:rsidRDefault="00605B5B" w:rsidP="00563C62">
            <w:pPr>
              <w:pStyle w:val="Body"/>
            </w:pPr>
            <w:r w:rsidRPr="00605B5B">
              <w:lastRenderedPageBreak/>
              <w:t xml:space="preserve">To receive this publication in an accessible format phone </w:t>
            </w:r>
            <w:r w:rsidR="7D87D75A" w:rsidRPr="00F77D38">
              <w:t>1300 767 299</w:t>
            </w:r>
            <w:r w:rsidR="3144EF29">
              <w:t>,</w:t>
            </w:r>
            <w:r w:rsidRPr="00605B5B">
              <w:t xml:space="preserve"> using the National Relay Service 13 36 77 if required, or </w:t>
            </w:r>
            <w:hyperlink r:id="rId14" w:history="1">
              <w:r w:rsidRPr="00843E13">
                <w:rPr>
                  <w:rStyle w:val="Hyperlink"/>
                </w:rPr>
                <w:t xml:space="preserve">email </w:t>
              </w:r>
              <w:r w:rsidR="008B0BCF" w:rsidRPr="00843E13">
                <w:rPr>
                  <w:rStyle w:val="Hyperlink"/>
                </w:rPr>
                <w:t>the Office of the Chief Psychiatrist</w:t>
              </w:r>
            </w:hyperlink>
            <w:r w:rsidR="008B0BCF" w:rsidRPr="00F77D38">
              <w:t xml:space="preserve"> &lt;ocp@</w:t>
            </w:r>
            <w:r w:rsidR="00563C62">
              <w:t>health</w:t>
            </w:r>
            <w:r w:rsidR="4784A4B9" w:rsidRPr="00F77D38">
              <w:t>.vic.gov.au</w:t>
            </w:r>
            <w:r w:rsidRPr="00F77D38">
              <w:t>&gt;</w:t>
            </w:r>
            <w:r w:rsidR="00381B2F" w:rsidRPr="00F77D38">
              <w:t>.</w:t>
            </w:r>
          </w:p>
          <w:p w14:paraId="2CDF7B09" w14:textId="77777777" w:rsidR="00605B5B" w:rsidRPr="00605B5B" w:rsidRDefault="00605B5B" w:rsidP="00563C62">
            <w:pPr>
              <w:pStyle w:val="Body"/>
            </w:pPr>
            <w:r w:rsidRPr="00605B5B">
              <w:t>Authorised and published by the Victorian Governmen</w:t>
            </w:r>
            <w:r>
              <w:t>t, 1 Treasury Place, Melbourne.</w:t>
            </w:r>
          </w:p>
          <w:p w14:paraId="147FC497" w14:textId="790A94A1" w:rsidR="00605B5B" w:rsidRPr="00605B5B" w:rsidRDefault="00605B5B" w:rsidP="00563C62">
            <w:pPr>
              <w:pStyle w:val="Body"/>
            </w:pPr>
            <w:r w:rsidRPr="00605B5B">
              <w:t>© State of Victoria, Department of Health</w:t>
            </w:r>
            <w:r w:rsidR="00381B2F">
              <w:t>, October 202</w:t>
            </w:r>
            <w:r w:rsidR="007D1361">
              <w:t>1</w:t>
            </w:r>
            <w:r w:rsidRPr="00605B5B">
              <w:t>.</w:t>
            </w:r>
          </w:p>
          <w:p w14:paraId="50BD8BD3" w14:textId="7209E17E" w:rsidR="3144EF29" w:rsidRDefault="3144EF29" w:rsidP="00563C62">
            <w:pPr>
              <w:pStyle w:val="Body"/>
              <w:rPr>
                <w:rFonts w:eastAsia="Arial" w:cs="Arial"/>
                <w:color w:val="000000" w:themeColor="text1"/>
                <w:sz w:val="22"/>
                <w:szCs w:val="22"/>
              </w:rPr>
            </w:pPr>
            <w:r>
              <w:t>ISBN/ISSN</w:t>
            </w:r>
            <w:r w:rsidRPr="00843E13">
              <w:t xml:space="preserve"> </w:t>
            </w:r>
            <w:r w:rsidR="05066964" w:rsidRPr="00843E13">
              <w:t xml:space="preserve">2207-1482 </w:t>
            </w:r>
            <w:r w:rsidR="001B2625">
              <w:t>(o</w:t>
            </w:r>
            <w:r w:rsidR="05066964" w:rsidRPr="00843E13">
              <w:t>nline</w:t>
            </w:r>
            <w:r w:rsidR="001B2625">
              <w:t>/PDF</w:t>
            </w:r>
            <w:r w:rsidR="05066964" w:rsidRPr="00843E13">
              <w:t>/</w:t>
            </w:r>
            <w:r w:rsidR="001B2625">
              <w:t>W</w:t>
            </w:r>
            <w:r w:rsidR="05066964" w:rsidRPr="00843E13">
              <w:t>ord)</w:t>
            </w:r>
          </w:p>
          <w:p w14:paraId="1F71DFCB" w14:textId="61BB73B5" w:rsidR="00564E8F" w:rsidRPr="00436843" w:rsidRDefault="3144EF29" w:rsidP="00563C62">
            <w:pPr>
              <w:pStyle w:val="Body"/>
              <w:rPr>
                <w:color w:val="D50032"/>
              </w:rPr>
            </w:pPr>
            <w:r>
              <w:t xml:space="preserve">Available </w:t>
            </w:r>
            <w:r w:rsidR="0A0BE0D8">
              <w:t xml:space="preserve">on the </w:t>
            </w:r>
            <w:hyperlink r:id="rId15" w:history="1">
              <w:r w:rsidR="0A0BE0D8" w:rsidRPr="00843E13">
                <w:rPr>
                  <w:rStyle w:val="Hyperlink"/>
                </w:rPr>
                <w:t>Chief Psychiatrist’s webpage</w:t>
              </w:r>
            </w:hyperlink>
            <w:r>
              <w:t xml:space="preserve"> </w:t>
            </w:r>
            <w:r w:rsidRPr="00F77D38">
              <w:t>&lt;</w:t>
            </w:r>
            <w:r w:rsidR="00D87638" w:rsidRPr="00F77D38">
              <w:t>h</w:t>
            </w:r>
            <w:r w:rsidR="65E5373B" w:rsidRPr="00F77D38">
              <w:t>ttps://www2.health.vic.gov.au/about/key-staff/chief-psychiatrist</w:t>
            </w:r>
            <w:r w:rsidRPr="00F77D38">
              <w:t>&gt;</w:t>
            </w:r>
            <w:r w:rsidR="3EC2034E" w:rsidRPr="00F77D38">
              <w:t>.</w:t>
            </w:r>
          </w:p>
        </w:tc>
      </w:tr>
    </w:tbl>
    <w:p w14:paraId="4628D2B1" w14:textId="38EE9EEF" w:rsidR="15FF2A27" w:rsidRDefault="15FF2A27" w:rsidP="00563C62">
      <w:pPr>
        <w:pStyle w:val="Body"/>
      </w:pPr>
    </w:p>
    <w:p w14:paraId="48B14829" w14:textId="5C3651CF" w:rsidR="00381B2F" w:rsidRPr="007A610E" w:rsidRDefault="00381B2F" w:rsidP="007A610E">
      <w:pPr>
        <w:pStyle w:val="Body"/>
        <w:rPr>
          <w:b/>
        </w:rPr>
      </w:pPr>
      <w:r w:rsidRPr="00B07969">
        <w:br w:type="page"/>
      </w:r>
      <w:bookmarkStart w:id="0" w:name="_Toc52886226"/>
      <w:r w:rsidRPr="007A610E">
        <w:rPr>
          <w:rStyle w:val="Heading3Char"/>
          <w:rFonts w:eastAsia="Times"/>
          <w:b/>
          <w:sz w:val="21"/>
          <w:szCs w:val="21"/>
        </w:rPr>
        <w:lastRenderedPageBreak/>
        <w:t>Acknowledgement</w:t>
      </w:r>
      <w:r w:rsidRPr="007A610E">
        <w:rPr>
          <w:rStyle w:val="Heading3Char"/>
          <w:rFonts w:eastAsia="Times"/>
          <w:b/>
          <w:sz w:val="20"/>
          <w:szCs w:val="20"/>
        </w:rPr>
        <w:t xml:space="preserve"> of country</w:t>
      </w:r>
      <w:bookmarkEnd w:id="0"/>
      <w:r w:rsidRPr="007A610E">
        <w:rPr>
          <w:b/>
        </w:rPr>
        <w:t xml:space="preserve"> </w:t>
      </w:r>
    </w:p>
    <w:p w14:paraId="6F61F45F" w14:textId="77777777" w:rsidR="00381B2F" w:rsidRPr="00B07969" w:rsidRDefault="00381B2F" w:rsidP="00563C62">
      <w:pPr>
        <w:pStyle w:val="Body"/>
        <w:rPr>
          <w:rStyle w:val="normaltextrun"/>
        </w:rPr>
      </w:pPr>
      <w:r w:rsidRPr="00B07969">
        <w:rPr>
          <w:rStyle w:val="normaltextrun"/>
        </w:rPr>
        <w:t xml:space="preserve">The Victorian Government proudly acknowledges Victoria’s Aboriginal communities and their rich culture and pays respect to their Elders past and present. </w:t>
      </w:r>
    </w:p>
    <w:p w14:paraId="1BE8DF98" w14:textId="77777777" w:rsidR="00381B2F" w:rsidRPr="00B07969" w:rsidRDefault="00381B2F" w:rsidP="00563C62">
      <w:pPr>
        <w:pStyle w:val="Body"/>
        <w:rPr>
          <w:rStyle w:val="normaltextrun"/>
        </w:rPr>
      </w:pPr>
      <w:r w:rsidRPr="00B07969">
        <w:rPr>
          <w:rStyle w:val="normaltextrun"/>
        </w:rPr>
        <w:t xml:space="preserve">We acknowledge Aboriginal peoples as Australia’s first peoples and as the Traditional Owners and custodians of the land and water on which we live, work and play. </w:t>
      </w:r>
    </w:p>
    <w:p w14:paraId="4FD68017" w14:textId="77777777" w:rsidR="00381B2F" w:rsidRPr="00B07969" w:rsidRDefault="00381B2F" w:rsidP="00563C62">
      <w:pPr>
        <w:pStyle w:val="Body"/>
        <w:rPr>
          <w:rStyle w:val="normaltextrun"/>
        </w:rPr>
      </w:pPr>
      <w:r w:rsidRPr="00B07969">
        <w:rPr>
          <w:rStyle w:val="normaltextrun"/>
        </w:rPr>
        <w:t xml:space="preserve">We recognise and value the ongoing contribution of Aboriginal people and communities to Victorian life and how this enriches our society more broadly. </w:t>
      </w:r>
    </w:p>
    <w:p w14:paraId="72FCE332" w14:textId="2AED5BA0" w:rsidR="00381B2F" w:rsidRPr="00B07969" w:rsidRDefault="00381B2F" w:rsidP="00563C62">
      <w:pPr>
        <w:pStyle w:val="Body"/>
        <w:rPr>
          <w:rStyle w:val="normaltextrun"/>
        </w:rPr>
      </w:pPr>
      <w:r w:rsidRPr="00B07969">
        <w:rPr>
          <w:rStyle w:val="normaltextrun"/>
        </w:rPr>
        <w:t>We embrace self-determination and reconciliation, working towards equality of outcomes and ensuring an equitable voice.</w:t>
      </w:r>
    </w:p>
    <w:p w14:paraId="2E6156B3" w14:textId="0BEED158" w:rsidR="00381B2F" w:rsidRPr="007A610E" w:rsidRDefault="00381B2F" w:rsidP="007A610E">
      <w:pPr>
        <w:pStyle w:val="Body"/>
        <w:rPr>
          <w:b/>
          <w:bCs/>
        </w:rPr>
      </w:pPr>
      <w:bookmarkStart w:id="1" w:name="_Toc52886227"/>
      <w:r w:rsidRPr="007A610E">
        <w:rPr>
          <w:rStyle w:val="Heading3Char"/>
          <w:rFonts w:eastAsia="Times"/>
          <w:b/>
          <w:bCs w:val="0"/>
          <w:sz w:val="20"/>
          <w:szCs w:val="20"/>
        </w:rPr>
        <w:t xml:space="preserve">Acknowledgement of </w:t>
      </w:r>
      <w:r w:rsidR="00F06C75" w:rsidRPr="007A610E">
        <w:rPr>
          <w:rStyle w:val="Heading3Char"/>
          <w:rFonts w:eastAsia="Times"/>
          <w:b/>
          <w:bCs w:val="0"/>
          <w:sz w:val="20"/>
          <w:szCs w:val="20"/>
        </w:rPr>
        <w:t>l</w:t>
      </w:r>
      <w:r w:rsidRPr="007A610E">
        <w:rPr>
          <w:rStyle w:val="Heading3Char"/>
          <w:rFonts w:eastAsia="Times"/>
          <w:b/>
          <w:bCs w:val="0"/>
          <w:sz w:val="20"/>
          <w:szCs w:val="20"/>
        </w:rPr>
        <w:t>ived experience</w:t>
      </w:r>
      <w:bookmarkEnd w:id="1"/>
      <w:r w:rsidRPr="007A610E">
        <w:rPr>
          <w:b/>
          <w:bCs/>
        </w:rPr>
        <w:t xml:space="preserve"> </w:t>
      </w:r>
    </w:p>
    <w:p w14:paraId="46179BF7" w14:textId="2F175626" w:rsidR="00381B2F" w:rsidRDefault="00B07478" w:rsidP="00563C62">
      <w:pPr>
        <w:pStyle w:val="Body"/>
      </w:pPr>
      <w:r>
        <w:rPr>
          <w:rStyle w:val="normaltextrun"/>
        </w:rPr>
        <w:t>We</w:t>
      </w:r>
      <w:r w:rsidRPr="00B07478">
        <w:rPr>
          <w:rStyle w:val="normaltextrun"/>
        </w:rPr>
        <w:t xml:space="preserve"> would like to recognise all people with a lived experience of trauma, neurodiversity, mental ill</w:t>
      </w:r>
      <w:r w:rsidR="00863447">
        <w:rPr>
          <w:rStyle w:val="normaltextrun"/>
        </w:rPr>
        <w:t>-</w:t>
      </w:r>
      <w:r w:rsidRPr="00B07478">
        <w:rPr>
          <w:rStyle w:val="normaltextrun"/>
        </w:rPr>
        <w:t>health and substance use or addiction, and their families, carers and supporters. This recognition extends to the clinical and non-clinical workforces that support people with lived experience.</w:t>
      </w:r>
      <w:r w:rsidR="00381B2F">
        <w:br w:type="page"/>
      </w:r>
    </w:p>
    <w:p w14:paraId="3DB06C5A" w14:textId="77777777" w:rsidR="00AC0C3B" w:rsidRPr="003072C6" w:rsidRDefault="00AC0C3B" w:rsidP="00563C62">
      <w:pPr>
        <w:pStyle w:val="Body"/>
        <w:sectPr w:rsidR="00AC0C3B" w:rsidRPr="003072C6" w:rsidSect="00C51B1C">
          <w:pgSz w:w="11906" w:h="16838"/>
          <w:pgMar w:top="1701" w:right="1304" w:bottom="1134" w:left="1304" w:header="454" w:footer="567" w:gutter="0"/>
          <w:cols w:space="720"/>
          <w:docGrid w:linePitch="360"/>
        </w:sectPr>
      </w:pPr>
    </w:p>
    <w:p w14:paraId="1CB23E73" w14:textId="4F435047" w:rsidR="00381B2F" w:rsidRDefault="00381B2F" w:rsidP="00381B2F">
      <w:pPr>
        <w:pStyle w:val="Heading1"/>
      </w:pPr>
      <w:bookmarkStart w:id="2" w:name="_Toc52886229"/>
      <w:bookmarkStart w:id="3" w:name="_Toc86347171"/>
      <w:r>
        <w:lastRenderedPageBreak/>
        <w:t>F</w:t>
      </w:r>
      <w:r w:rsidRPr="00BF5D93">
        <w:t xml:space="preserve">oreword </w:t>
      </w:r>
      <w:r>
        <w:t xml:space="preserve">from the </w:t>
      </w:r>
      <w:r w:rsidRPr="00BF5D93">
        <w:t>Chief Psychiatrist</w:t>
      </w:r>
      <w:bookmarkEnd w:id="2"/>
      <w:bookmarkEnd w:id="3"/>
    </w:p>
    <w:p w14:paraId="07C385D4" w14:textId="57001385" w:rsidR="00B33F56" w:rsidRPr="00563C62" w:rsidRDefault="00B33F56" w:rsidP="00563C62">
      <w:pPr>
        <w:pStyle w:val="Body"/>
      </w:pPr>
      <w:r w:rsidRPr="00563C62">
        <w:t xml:space="preserve">I am pleased to present the Chief Psychiatrist’s </w:t>
      </w:r>
      <w:r w:rsidR="00D40C2B">
        <w:t>a</w:t>
      </w:r>
      <w:r w:rsidRPr="00563C62">
        <w:t xml:space="preserve">nnual </w:t>
      </w:r>
      <w:r w:rsidR="00D40C2B">
        <w:t>r</w:t>
      </w:r>
      <w:r w:rsidRPr="00563C62">
        <w:t xml:space="preserve">eport for 2020–21. This year continues to be a time of unprecedented challenges as the COVID-19 pandemic causes upheaval in people’s lives. The report illustrates the many ways that the Office of the Chief Psychiatrist (OCP) has worked with its partners during this difficult period to carry out its </w:t>
      </w:r>
      <w:r w:rsidR="000837D9">
        <w:t>role in</w:t>
      </w:r>
      <w:r w:rsidRPr="00563C62">
        <w:t xml:space="preserve"> promoting safety and quality in mental health services</w:t>
      </w:r>
      <w:r w:rsidR="000837D9">
        <w:t xml:space="preserve">, providing clinical leadership </w:t>
      </w:r>
      <w:r w:rsidRPr="00563C62">
        <w:t>and upholding the rights of consumers.</w:t>
      </w:r>
    </w:p>
    <w:p w14:paraId="72F1D5ED" w14:textId="73C4A729" w:rsidR="00B33F56" w:rsidRPr="00B33F56" w:rsidRDefault="00B33F56" w:rsidP="00563C62">
      <w:pPr>
        <w:pStyle w:val="Body"/>
      </w:pPr>
      <w:r w:rsidRPr="00B33F56">
        <w:t xml:space="preserve">A major development that marked the year was the publication of the final report of the Royal Commission into Victoria’s Mental Health System. The long-awaited report – with its </w:t>
      </w:r>
      <w:r w:rsidR="00D40C2B">
        <w:t>65</w:t>
      </w:r>
      <w:r w:rsidRPr="00B33F56">
        <w:t xml:space="preserve"> recommendations to rebuild Victoria’s mental health system from the ground up – was tabled in Victoria’s parliament in March 2020. It has been hailed as a once-in-a-lifetime opportunity for transformational change, elevating mental health on the agenda for public investment and paving the way for reforms that enable people living with mental illness and their families and carers to receive </w:t>
      </w:r>
      <w:r w:rsidR="00E72935">
        <w:t xml:space="preserve">the </w:t>
      </w:r>
      <w:r w:rsidRPr="00B33F56">
        <w:t>support they need when they need it.</w:t>
      </w:r>
    </w:p>
    <w:p w14:paraId="42A8E2FA" w14:textId="0BF66317" w:rsidR="00B33F56" w:rsidRPr="00B33F56" w:rsidRDefault="00B33F56" w:rsidP="00563C62">
      <w:pPr>
        <w:pStyle w:val="Body"/>
      </w:pPr>
      <w:bookmarkStart w:id="4" w:name="_Hlk79348732"/>
      <w:r w:rsidRPr="00B33F56">
        <w:t xml:space="preserve">An enormous amount of work lies ahead to implement the recommendations, and my office is ready to play its part in helping bring Victoria towards the better future envisaged by the </w:t>
      </w:r>
      <w:r w:rsidR="00111C39">
        <w:t>R</w:t>
      </w:r>
      <w:r w:rsidRPr="00B33F56">
        <w:t xml:space="preserve">oyal </w:t>
      </w:r>
      <w:r w:rsidR="00111C39">
        <w:t>C</w:t>
      </w:r>
      <w:r w:rsidRPr="00B33F56">
        <w:t xml:space="preserve">ommission. </w:t>
      </w:r>
      <w:r w:rsidR="00485BDE">
        <w:t>In July 2021,</w:t>
      </w:r>
      <w:r w:rsidR="003C5014">
        <w:t xml:space="preserve"> </w:t>
      </w:r>
      <w:r w:rsidRPr="00B33F56">
        <w:t xml:space="preserve">the </w:t>
      </w:r>
      <w:r w:rsidR="003C5014">
        <w:t xml:space="preserve">Office of the </w:t>
      </w:r>
      <w:r w:rsidRPr="00B33F56">
        <w:t>Chief Mental Health Nurse mov</w:t>
      </w:r>
      <w:r w:rsidR="003C5014">
        <w:t>ed</w:t>
      </w:r>
      <w:r w:rsidRPr="00B33F56">
        <w:t xml:space="preserve"> to Safer Care Victoria as part of the new quality and safety architecture proposed by the </w:t>
      </w:r>
      <w:r w:rsidR="00111C39">
        <w:t>R</w:t>
      </w:r>
      <w:r w:rsidRPr="00B33F56">
        <w:t xml:space="preserve">oyal </w:t>
      </w:r>
      <w:r w:rsidR="00111C39">
        <w:t>C</w:t>
      </w:r>
      <w:r w:rsidRPr="00B33F56">
        <w:t xml:space="preserve">ommission. My office is also in the process of handing over </w:t>
      </w:r>
      <w:r w:rsidR="009C1515">
        <w:t xml:space="preserve">some of </w:t>
      </w:r>
      <w:r w:rsidRPr="00B33F56">
        <w:t>its responsibilities around quality and safety improvement to the Mental Health Improvement Unit</w:t>
      </w:r>
      <w:r w:rsidR="00D2213A">
        <w:t xml:space="preserve">, which is due to be </w:t>
      </w:r>
      <w:r w:rsidR="00E72935">
        <w:t>set</w:t>
      </w:r>
      <w:r w:rsidR="00E72935" w:rsidRPr="00B33F56">
        <w:t xml:space="preserve"> </w:t>
      </w:r>
      <w:r w:rsidRPr="00B33F56">
        <w:t>up in Safer Care Victoria</w:t>
      </w:r>
      <w:r w:rsidR="00601B19">
        <w:t xml:space="preserve"> at the beginning of 2022</w:t>
      </w:r>
      <w:r w:rsidRPr="00B33F56">
        <w:t xml:space="preserve">. </w:t>
      </w:r>
    </w:p>
    <w:p w14:paraId="641870A7" w14:textId="77777777" w:rsidR="00B33F56" w:rsidRPr="00B33F56" w:rsidRDefault="00B33F56" w:rsidP="00563C62">
      <w:pPr>
        <w:pStyle w:val="Body"/>
      </w:pPr>
      <w:r w:rsidRPr="00B33F56">
        <w:t>These changes have had a significant impact on the OCP, altering the composition of its personnel and the way it conducts its core business. However, they are a timely opportunity to consolidate the OCP’s role as one of Victoria’s main oversight and clinical leadership bodies in the area of mental health. Indeed, under the new governance architecture, the OCP will be better placed to assist services to resolve quality and safety issues and to help consumers receive care, treatment and support that is respectful and attentive to their needs.</w:t>
      </w:r>
    </w:p>
    <w:p w14:paraId="18A69CB9" w14:textId="06A8F662" w:rsidR="00B33F56" w:rsidRPr="00B33F56" w:rsidRDefault="00B33F56" w:rsidP="00563C62">
      <w:pPr>
        <w:pStyle w:val="Body"/>
      </w:pPr>
      <w:r w:rsidRPr="00B33F56">
        <w:t xml:space="preserve">When I wrote the foreword for </w:t>
      </w:r>
      <w:r w:rsidR="00910EA6">
        <w:t>my</w:t>
      </w:r>
      <w:r w:rsidRPr="00B33F56">
        <w:t xml:space="preserve"> </w:t>
      </w:r>
      <w:r w:rsidR="00E72935">
        <w:t>a</w:t>
      </w:r>
      <w:r w:rsidRPr="00B33F56">
        <w:t xml:space="preserve">nnual </w:t>
      </w:r>
      <w:r w:rsidR="00E72935">
        <w:t>r</w:t>
      </w:r>
      <w:r w:rsidRPr="00B33F56">
        <w:t>eport this time last year, I described the adverse effects that COVID-19 was having on people’s psychological wellbeing and the immense pressures it was placing on Victoria’s mental health system. Unfortunately, a year on, the pandemic continues take its toll on people and the system in these profound ways. Remote work, homeschooling, interrupted employment and restrictions on physical contact with loved ones and friends have remained a part of our daily lives, contributing to the prevalence of anxiety, stress, social isolation and depression.</w:t>
      </w:r>
      <w:r w:rsidR="003D6907">
        <w:t xml:space="preserve"> </w:t>
      </w:r>
      <w:r w:rsidRPr="00B33F56">
        <w:t xml:space="preserve">Staff administering care and treatment in an </w:t>
      </w:r>
      <w:r w:rsidR="0011193F">
        <w:t xml:space="preserve">already </w:t>
      </w:r>
      <w:r w:rsidRPr="00B33F56">
        <w:t xml:space="preserve">overloaded mental health system are increasingly vulnerable to poor mental health, running the risk of vicarious trauma and burnout. </w:t>
      </w:r>
    </w:p>
    <w:p w14:paraId="4AD727D1" w14:textId="3545AD65" w:rsidR="00B33F56" w:rsidRPr="00B33F56" w:rsidRDefault="00B33F56" w:rsidP="00563C62">
      <w:pPr>
        <w:pStyle w:val="Body"/>
      </w:pPr>
      <w:r w:rsidRPr="00B33F56">
        <w:t xml:space="preserve">My office has been </w:t>
      </w:r>
      <w:r w:rsidR="0011193F">
        <w:t xml:space="preserve">responding </w:t>
      </w:r>
      <w:r w:rsidRPr="00B33F56">
        <w:t xml:space="preserve">to people who are struggling during this difficult time and supporting </w:t>
      </w:r>
      <w:r w:rsidR="0004126D">
        <w:t xml:space="preserve">mental health </w:t>
      </w:r>
      <w:r w:rsidRPr="00B33F56">
        <w:t>services that are under strain. Through our enquiries line, we respond</w:t>
      </w:r>
      <w:r w:rsidR="00170F3C">
        <w:t xml:space="preserve"> daily </w:t>
      </w:r>
      <w:r w:rsidRPr="00B33F56">
        <w:t xml:space="preserve">to crises as they emerge and in their various forms. </w:t>
      </w:r>
      <w:r w:rsidR="00170F3C">
        <w:t>This may take the form of ph</w:t>
      </w:r>
      <w:r w:rsidRPr="00B33F56">
        <w:t xml:space="preserve">one calls and emails from consumers, families, carers, mental health services, government- and non-government agencies, </w:t>
      </w:r>
      <w:r w:rsidR="00EC7768">
        <w:t xml:space="preserve">Members of Parliament, </w:t>
      </w:r>
      <w:r w:rsidR="00170F3C">
        <w:t xml:space="preserve">and </w:t>
      </w:r>
      <w:r w:rsidRPr="00B33F56">
        <w:t>the general public</w:t>
      </w:r>
      <w:r w:rsidR="00C67A3F">
        <w:t xml:space="preserve">. </w:t>
      </w:r>
      <w:r w:rsidRPr="00B33F56">
        <w:t>The volume of enquir</w:t>
      </w:r>
      <w:r w:rsidR="007B2175">
        <w:t>i</w:t>
      </w:r>
      <w:r w:rsidRPr="00B33F56">
        <w:t xml:space="preserve">es </w:t>
      </w:r>
      <w:r w:rsidR="00622EDB">
        <w:t xml:space="preserve">to the OCP has </w:t>
      </w:r>
      <w:r w:rsidRPr="00B33F56">
        <w:t xml:space="preserve">increased </w:t>
      </w:r>
      <w:r w:rsidR="00EC7768">
        <w:t>sign</w:t>
      </w:r>
      <w:r w:rsidR="004A4762">
        <w:t>i</w:t>
      </w:r>
      <w:r w:rsidR="00EC7768">
        <w:t>ficantly</w:t>
      </w:r>
      <w:r w:rsidR="00EC7768" w:rsidRPr="00B33F56">
        <w:t xml:space="preserve"> </w:t>
      </w:r>
      <w:r w:rsidRPr="00B33F56">
        <w:t>during the pandemic. Nevertheless, my staff continue to respond empathetically and with a strong sense of duty</w:t>
      </w:r>
      <w:r w:rsidR="00530352">
        <w:t xml:space="preserve"> and care</w:t>
      </w:r>
      <w:r w:rsidRPr="00B33F56">
        <w:t xml:space="preserve">, hearing people’s concerns and providing advice </w:t>
      </w:r>
      <w:r w:rsidR="00C7056E">
        <w:t>to</w:t>
      </w:r>
      <w:r w:rsidR="00C7056E" w:rsidRPr="00B33F56">
        <w:t xml:space="preserve"> </w:t>
      </w:r>
      <w:r w:rsidRPr="00B33F56">
        <w:t>m</w:t>
      </w:r>
      <w:r w:rsidR="00C7056E">
        <w:t>e</w:t>
      </w:r>
      <w:r w:rsidRPr="00B33F56">
        <w:t xml:space="preserve">et their </w:t>
      </w:r>
      <w:r w:rsidR="00C7056E">
        <w:t xml:space="preserve">individual </w:t>
      </w:r>
      <w:r w:rsidRPr="00B33F56">
        <w:t xml:space="preserve">needs. </w:t>
      </w:r>
    </w:p>
    <w:p w14:paraId="32209BF2" w14:textId="1D83195A" w:rsidR="00E4216F" w:rsidRPr="00E4216F" w:rsidRDefault="00DD652E" w:rsidP="00E4216F">
      <w:pPr>
        <w:pStyle w:val="Body"/>
      </w:pPr>
      <w:bookmarkStart w:id="5" w:name="_Hlk79496010"/>
      <w:r>
        <w:lastRenderedPageBreak/>
        <w:t>My office has</w:t>
      </w:r>
      <w:r w:rsidR="002C3534">
        <w:t xml:space="preserve"> continued to </w:t>
      </w:r>
      <w:r w:rsidR="00B33F56" w:rsidRPr="00B33F56">
        <w:t xml:space="preserve">support health services to manage the ever-present risk of </w:t>
      </w:r>
      <w:r w:rsidR="00C67A3F">
        <w:t>COVID-19</w:t>
      </w:r>
      <w:r w:rsidR="00C67A3F" w:rsidRPr="00B33F56">
        <w:t xml:space="preserve"> </w:t>
      </w:r>
      <w:r w:rsidR="00B33F56" w:rsidRPr="00B33F56">
        <w:t xml:space="preserve">outbreaks in </w:t>
      </w:r>
      <w:r w:rsidR="002C3534">
        <w:t xml:space="preserve">mental health </w:t>
      </w:r>
      <w:r w:rsidR="00B33F56" w:rsidRPr="00B33F56">
        <w:t xml:space="preserve">inpatient units. </w:t>
      </w:r>
      <w:r w:rsidR="00557A36">
        <w:t xml:space="preserve">We </w:t>
      </w:r>
      <w:r w:rsidR="00585FD4">
        <w:t xml:space="preserve">have </w:t>
      </w:r>
      <w:r w:rsidR="00795856">
        <w:t>been active contributors to health</w:t>
      </w:r>
      <w:r w:rsidR="00EF7670">
        <w:t xml:space="preserve"> service meetings</w:t>
      </w:r>
      <w:r w:rsidR="0005494B">
        <w:t>, which</w:t>
      </w:r>
      <w:r w:rsidR="00FA319F">
        <w:t xml:space="preserve"> </w:t>
      </w:r>
      <w:r w:rsidR="007A07A6">
        <w:t>enabled</w:t>
      </w:r>
      <w:r w:rsidR="00743D6D">
        <w:t xml:space="preserve"> </w:t>
      </w:r>
      <w:r w:rsidR="00FC3722">
        <w:t xml:space="preserve">resources </w:t>
      </w:r>
      <w:r w:rsidR="007A07A6">
        <w:t>to be</w:t>
      </w:r>
      <w:r w:rsidR="00FC3722">
        <w:t xml:space="preserve"> </w:t>
      </w:r>
      <w:r w:rsidR="00FA319F">
        <w:t>pool</w:t>
      </w:r>
      <w:r w:rsidR="0005494B">
        <w:t>ed</w:t>
      </w:r>
      <w:r w:rsidR="00FA319F">
        <w:t xml:space="preserve"> </w:t>
      </w:r>
      <w:r w:rsidR="00742E6E">
        <w:t xml:space="preserve">towards minimising </w:t>
      </w:r>
      <w:r w:rsidR="000C271A">
        <w:t xml:space="preserve">the impact of ward </w:t>
      </w:r>
      <w:r w:rsidR="002B59EF">
        <w:t>closures</w:t>
      </w:r>
      <w:r w:rsidR="005E2E6A">
        <w:t xml:space="preserve"> and staff </w:t>
      </w:r>
      <w:r w:rsidR="000730E8">
        <w:t>being placed on furlough</w:t>
      </w:r>
      <w:r w:rsidR="00FC4A2D">
        <w:t xml:space="preserve"> </w:t>
      </w:r>
      <w:r w:rsidR="00F55126">
        <w:t>during outbreaks</w:t>
      </w:r>
      <w:r w:rsidR="00B33F56" w:rsidRPr="00B33F56">
        <w:t>.</w:t>
      </w:r>
      <w:r w:rsidR="004E3429">
        <w:t xml:space="preserve"> </w:t>
      </w:r>
      <w:r w:rsidR="00FE2BB3">
        <w:t>These</w:t>
      </w:r>
      <w:r w:rsidR="006845FF">
        <w:t xml:space="preserve"> </w:t>
      </w:r>
      <w:r w:rsidR="00670883">
        <w:t>efforts to stem</w:t>
      </w:r>
      <w:r w:rsidR="00925A6D">
        <w:t xml:space="preserve"> </w:t>
      </w:r>
      <w:r w:rsidR="00670883">
        <w:t xml:space="preserve">disruptions </w:t>
      </w:r>
      <w:r>
        <w:t xml:space="preserve">have been </w:t>
      </w:r>
      <w:r w:rsidR="006845FF">
        <w:t>complemented</w:t>
      </w:r>
      <w:r w:rsidR="00D3139E">
        <w:t xml:space="preserve"> by </w:t>
      </w:r>
      <w:r w:rsidR="000941D3">
        <w:t>the preparedness health services</w:t>
      </w:r>
      <w:r w:rsidR="003B06D0">
        <w:t xml:space="preserve"> </w:t>
      </w:r>
      <w:r w:rsidR="00C14610">
        <w:t>s</w:t>
      </w:r>
      <w:r w:rsidR="00AC7084">
        <w:t xml:space="preserve">howed </w:t>
      </w:r>
      <w:r w:rsidR="008046DB">
        <w:t xml:space="preserve">to come to </w:t>
      </w:r>
      <w:r w:rsidR="007200AB">
        <w:t>each other’s</w:t>
      </w:r>
      <w:r w:rsidR="008046DB">
        <w:t xml:space="preserve"> assistance</w:t>
      </w:r>
      <w:r w:rsidR="00A31FD3">
        <w:t xml:space="preserve"> as the </w:t>
      </w:r>
      <w:r w:rsidR="00B04081">
        <w:t>pressures of the pandemic mounted</w:t>
      </w:r>
      <w:r w:rsidR="000941D3">
        <w:t xml:space="preserve">. They shared </w:t>
      </w:r>
      <w:r w:rsidR="006A2751">
        <w:t xml:space="preserve">vital </w:t>
      </w:r>
      <w:r w:rsidR="00971B03">
        <w:t>resources such as staff</w:t>
      </w:r>
      <w:r w:rsidR="00BA296F">
        <w:t>,</w:t>
      </w:r>
      <w:r w:rsidR="00971B03">
        <w:t xml:space="preserve"> beds</w:t>
      </w:r>
      <w:r w:rsidR="00AA0BA9">
        <w:t>, expertise</w:t>
      </w:r>
      <w:r w:rsidR="00971B03">
        <w:t xml:space="preserve"> </w:t>
      </w:r>
      <w:r w:rsidR="00610D5E">
        <w:t xml:space="preserve">and </w:t>
      </w:r>
      <w:r w:rsidR="00AA0BA9">
        <w:t>knowledge</w:t>
      </w:r>
      <w:r w:rsidR="00260EA7">
        <w:t xml:space="preserve">, </w:t>
      </w:r>
      <w:r w:rsidR="00404C4A">
        <w:t xml:space="preserve">keeping at bay the worst consequences of the pandemic and </w:t>
      </w:r>
      <w:r w:rsidR="00260EA7">
        <w:t xml:space="preserve">enabling </w:t>
      </w:r>
      <w:r w:rsidR="00E72DD3">
        <w:t xml:space="preserve">consumers to </w:t>
      </w:r>
      <w:r w:rsidR="003C17FF">
        <w:t>continu</w:t>
      </w:r>
      <w:r w:rsidR="00E72DD3">
        <w:t>e receiving</w:t>
      </w:r>
      <w:r w:rsidR="003C17FF">
        <w:t xml:space="preserve"> care</w:t>
      </w:r>
      <w:r w:rsidR="004F7A3B">
        <w:t xml:space="preserve"> and</w:t>
      </w:r>
      <w:r w:rsidR="003C17FF">
        <w:t xml:space="preserve"> treatment.</w:t>
      </w:r>
    </w:p>
    <w:p w14:paraId="5F92672A" w14:textId="033638DC" w:rsidR="00587E50" w:rsidRPr="00B33F56" w:rsidRDefault="00587E50" w:rsidP="00587E50">
      <w:pPr>
        <w:pStyle w:val="Body"/>
      </w:pPr>
      <w:r w:rsidRPr="00B33F56">
        <w:t xml:space="preserve">In this time, we </w:t>
      </w:r>
      <w:r>
        <w:t xml:space="preserve">have </w:t>
      </w:r>
      <w:r w:rsidR="007B346B">
        <w:t xml:space="preserve">also </w:t>
      </w:r>
      <w:r>
        <w:t xml:space="preserve">continued to participate in </w:t>
      </w:r>
      <w:r w:rsidRPr="00B33F56">
        <w:t>case conferences</w:t>
      </w:r>
      <w:r>
        <w:t xml:space="preserve"> with services</w:t>
      </w:r>
      <w:r w:rsidRPr="00B33F56">
        <w:t>. These br</w:t>
      </w:r>
      <w:r>
        <w:t>ing</w:t>
      </w:r>
      <w:r w:rsidRPr="00B33F56">
        <w:t xml:space="preserve"> together professionals from different disciplines</w:t>
      </w:r>
      <w:r>
        <w:t xml:space="preserve"> and sectors</w:t>
      </w:r>
      <w:r w:rsidRPr="00B33F56">
        <w:t xml:space="preserve"> to assist patients with complex care needs in a holistic, structured and coordinated manner. </w:t>
      </w:r>
    </w:p>
    <w:p w14:paraId="7E1DB7F9" w14:textId="2AC47297" w:rsidR="00B33F56" w:rsidRPr="00B33F56" w:rsidRDefault="00B33F56" w:rsidP="00563C62">
      <w:pPr>
        <w:pStyle w:val="Body"/>
      </w:pPr>
      <w:r w:rsidRPr="00B33F56">
        <w:t xml:space="preserve">A number of partners and colleagues play a part in the vital work carried out by the OCP, and I wish to acknowledge their contribution. Staff in my office with lived experience as carers and consumers support me to fulfil my statutory duties, helping me </w:t>
      </w:r>
      <w:r w:rsidR="00C87A4E">
        <w:t xml:space="preserve">with </w:t>
      </w:r>
      <w:r w:rsidRPr="00B33F56">
        <w:t>identi</w:t>
      </w:r>
      <w:r w:rsidR="00C87A4E">
        <w:t>fying</w:t>
      </w:r>
      <w:r w:rsidRPr="00B33F56">
        <w:t xml:space="preserve"> safety, quality and human rights issues in mental health services, as well as finding the best solutions for resolving those issues. I have gained much from their input and advice during audits, reviews</w:t>
      </w:r>
      <w:r w:rsidR="003F2382">
        <w:t xml:space="preserve"> and</w:t>
      </w:r>
      <w:r w:rsidRPr="00B33F56">
        <w:t xml:space="preserve"> investigations and have had the benefit of tapping into their networks and leadership groups across the state.</w:t>
      </w:r>
    </w:p>
    <w:p w14:paraId="5527CF1B" w14:textId="709E2431" w:rsidR="00B33F56" w:rsidRPr="00B33F56" w:rsidRDefault="00B33F56" w:rsidP="00563C62">
      <w:pPr>
        <w:pStyle w:val="Body"/>
      </w:pPr>
      <w:r w:rsidRPr="00B33F56">
        <w:t xml:space="preserve">The consumer and carer peak groups Tandem and the Victorian Mental Illness Awareness Council worked collaboratively with my office. I am grateful for their role in helping us understand the perspectives of consumers and carers, and the kinds of actions we need to take to realise their rights. </w:t>
      </w:r>
    </w:p>
    <w:p w14:paraId="73411E31" w14:textId="497052E3" w:rsidR="00B33F56" w:rsidRPr="00B33F56" w:rsidRDefault="00B33F56" w:rsidP="00563C62">
      <w:pPr>
        <w:pStyle w:val="Body"/>
      </w:pPr>
      <w:r w:rsidRPr="00B33F56">
        <w:t xml:space="preserve">I am fortunate to receive an exceptional level of support from senior staff who are seconded to the OCP from clinical mental health services. These staff include deputy chief psychiatrists and clinical advisors. I offer my thanks to the various services that permit and encourage the assignment of their employees to our office. The value of these exchanges cannot be overstated: they boost the clinical knowledge, expertise and breadth of skills within the OCP while also allowing the work of the OCP to remain grounded in contemporary clinical practice. </w:t>
      </w:r>
    </w:p>
    <w:p w14:paraId="24302069" w14:textId="38005E54" w:rsidR="00B33F56" w:rsidRPr="00B33F56" w:rsidRDefault="00B33F56" w:rsidP="00563C62">
      <w:pPr>
        <w:pStyle w:val="Body"/>
      </w:pPr>
      <w:r w:rsidRPr="00B33F56">
        <w:t>I extend my gratitude to the various</w:t>
      </w:r>
      <w:r w:rsidR="00EC7768">
        <w:t xml:space="preserve"> colleagues and</w:t>
      </w:r>
      <w:r w:rsidRPr="00B33F56">
        <w:t xml:space="preserve"> stakeholders who partner with us</w:t>
      </w:r>
      <w:r w:rsidRPr="00B33F56">
        <w:rPr>
          <w:rFonts w:ascii="Calibri" w:eastAsia="Calibri" w:hAnsi="Calibri"/>
          <w:sz w:val="22"/>
          <w:szCs w:val="22"/>
        </w:rPr>
        <w:t xml:space="preserve"> </w:t>
      </w:r>
      <w:r w:rsidRPr="00B33F56">
        <w:t>to improve safety and quality across the system. These include the Mental Health Complaints Commissioner, the Mental Health Tribunal, the Office of the Public Advocate Community Visitors Program, the Victorian Agency for Health Information and the Royal Australian and New Zealand College of Psychiatrists, among other organisations and agencies that share our deeper purpose of creating a mental health system that is high-quality, equitable and responsive.</w:t>
      </w:r>
    </w:p>
    <w:p w14:paraId="6558111E" w14:textId="330F7345" w:rsidR="00B33F56" w:rsidRPr="00B33F56" w:rsidRDefault="00B33F56" w:rsidP="00563C62">
      <w:pPr>
        <w:pStyle w:val="Body"/>
      </w:pPr>
      <w:r w:rsidRPr="00B33F56">
        <w:t xml:space="preserve">I would also like to acknowledge the work of the Chief Mental Health Nurse, Anna Love, and her team. Their presence and functions within the OCP have been critical for </w:t>
      </w:r>
      <w:r w:rsidR="00B85059">
        <w:t>supporting</w:t>
      </w:r>
      <w:r w:rsidRPr="00B33F56">
        <w:t xml:space="preserve"> mental health workforce development through planning, education and training, and promotion of best practice </w:t>
      </w:r>
      <w:r w:rsidR="00163B09">
        <w:t>within</w:t>
      </w:r>
      <w:r w:rsidR="00163B09" w:rsidRPr="00B33F56">
        <w:t xml:space="preserve"> </w:t>
      </w:r>
      <w:r w:rsidRPr="00B33F56">
        <w:t xml:space="preserve">the mental health system. </w:t>
      </w:r>
      <w:r w:rsidR="00163B09">
        <w:t xml:space="preserve">I am confident </w:t>
      </w:r>
      <w:r w:rsidRPr="00B33F56">
        <w:t>we will continue to enjoy a strong collaborative relationship.</w:t>
      </w:r>
    </w:p>
    <w:p w14:paraId="41A0CECE" w14:textId="77777777" w:rsidR="001E0A29" w:rsidRDefault="001E0A29">
      <w:pPr>
        <w:rPr>
          <w:rFonts w:ascii="Arial" w:eastAsia="Times" w:hAnsi="Arial"/>
          <w:sz w:val="21"/>
          <w:szCs w:val="21"/>
        </w:rPr>
      </w:pPr>
      <w:r>
        <w:br w:type="page"/>
      </w:r>
    </w:p>
    <w:p w14:paraId="7E9595D8" w14:textId="11BE03B4" w:rsidR="00B33F56" w:rsidRPr="00B33F56" w:rsidRDefault="00B33F56" w:rsidP="00563C62">
      <w:pPr>
        <w:pStyle w:val="Body"/>
      </w:pPr>
      <w:r w:rsidRPr="00B33F56">
        <w:lastRenderedPageBreak/>
        <w:t>Finally, my heartfelt gratitude goes out to my staff, who are the lifeblood of the OCP. They have had to put in extra</w:t>
      </w:r>
      <w:r w:rsidR="003F2382">
        <w:t xml:space="preserve"> effort</w:t>
      </w:r>
      <w:r w:rsidRPr="00B33F56">
        <w:t xml:space="preserve"> during this time of crisis, making adjustments towards remote work and devising innovative ways of being available for people in distress under the constraints posed by the pandemic. In this regard, the OCP is no different </w:t>
      </w:r>
      <w:r w:rsidR="003F2382">
        <w:t>from</w:t>
      </w:r>
      <w:r w:rsidR="003F2382" w:rsidRPr="00B33F56">
        <w:t xml:space="preserve"> </w:t>
      </w:r>
      <w:r w:rsidRPr="00B33F56">
        <w:t>other parts of the mental health workforce: we manage the same risks of exhaustion and overwhelming stress as we strive to do the best in our jobs and meet increasing demands for our services. I thank my staff for their extraordinary efforts this year and for the support they provided me to promote high standards of care in Victoria’s mental health system.</w:t>
      </w:r>
    </w:p>
    <w:p w14:paraId="4BA27987" w14:textId="77777777" w:rsidR="00B33F56" w:rsidRPr="00E82FF1" w:rsidRDefault="00B33F56" w:rsidP="004110B4">
      <w:pPr>
        <w:pStyle w:val="Bodynospace"/>
        <w:rPr>
          <w:b/>
          <w:bCs/>
        </w:rPr>
      </w:pPr>
      <w:r w:rsidRPr="00E82FF1">
        <w:rPr>
          <w:b/>
          <w:bCs/>
        </w:rPr>
        <w:t>Neil Coventry</w:t>
      </w:r>
    </w:p>
    <w:p w14:paraId="04F21E30" w14:textId="331D05D6" w:rsidR="0057779F" w:rsidRDefault="00381B2F" w:rsidP="00563C62">
      <w:pPr>
        <w:pStyle w:val="Body"/>
        <w:rPr>
          <w:rStyle w:val="Heading2Char"/>
          <w:b w:val="0"/>
          <w:bCs/>
        </w:rPr>
      </w:pPr>
      <w:r w:rsidRPr="00B33F56">
        <w:t>Chief Psychiatrist</w:t>
      </w:r>
      <w:bookmarkStart w:id="6" w:name="_Toc52886230"/>
      <w:bookmarkEnd w:id="4"/>
      <w:bookmarkEnd w:id="5"/>
      <w:r w:rsidR="0057779F">
        <w:rPr>
          <w:rStyle w:val="Heading2Char"/>
          <w:b w:val="0"/>
          <w:bCs/>
        </w:rPr>
        <w:br w:type="page"/>
      </w:r>
    </w:p>
    <w:p w14:paraId="3E13A07C" w14:textId="7A112A47" w:rsidR="00381B2F" w:rsidRDefault="00381B2F" w:rsidP="0057779F">
      <w:pPr>
        <w:pStyle w:val="Heading1"/>
        <w:rPr>
          <w:rFonts w:eastAsiaTheme="majorEastAsia"/>
        </w:rPr>
      </w:pPr>
      <w:bookmarkStart w:id="7" w:name="_Toc86347172"/>
      <w:r w:rsidRPr="0057779F">
        <w:rPr>
          <w:rStyle w:val="Heading2Char"/>
          <w:b w:val="0"/>
          <w:sz w:val="44"/>
          <w:szCs w:val="44"/>
        </w:rPr>
        <w:lastRenderedPageBreak/>
        <w:t>Foreword from the Chief Mental Health Nurse</w:t>
      </w:r>
      <w:bookmarkEnd w:id="6"/>
      <w:bookmarkEnd w:id="7"/>
    </w:p>
    <w:p w14:paraId="2443B74E" w14:textId="77777777" w:rsidR="005513B8" w:rsidRPr="005513B8" w:rsidRDefault="005513B8" w:rsidP="00563C62">
      <w:pPr>
        <w:pStyle w:val="Body"/>
      </w:pPr>
      <w:r w:rsidRPr="005513B8">
        <w:t xml:space="preserve">I am pleased to outline the year of work of the Office of the Chief Mental Health Nurse (OCMHN) in the context of the close partnership we have working with the Office of the Chief Psychiatrist. </w:t>
      </w:r>
    </w:p>
    <w:p w14:paraId="54DBE2C8" w14:textId="77777777" w:rsidR="005513B8" w:rsidRPr="005513B8" w:rsidRDefault="005513B8" w:rsidP="00563C62">
      <w:pPr>
        <w:pStyle w:val="Body"/>
      </w:pPr>
      <w:r w:rsidRPr="005513B8">
        <w:t xml:space="preserve">I wish to acknowledge all mental health nurses, lived experience advisors, allied health practitioners, psychiatrists and psychologists across the state and to thank you for the incredible work you do every day to support consumers and carers within our services and to recognise the compassion, professionalism and commitment of all of you. </w:t>
      </w:r>
    </w:p>
    <w:p w14:paraId="1297FC62" w14:textId="1EC18CF5" w:rsidR="005513B8" w:rsidRPr="005513B8" w:rsidRDefault="005513B8" w:rsidP="00563C62">
      <w:pPr>
        <w:pStyle w:val="Body"/>
      </w:pPr>
      <w:r w:rsidRPr="005513B8">
        <w:t xml:space="preserve">During 2020, I continued to lead the Department of Health and Human Services COVID-19 mental health response, which has included leading a team working across the Mental Health and Drugs Division. This team has worked hard to translate </w:t>
      </w:r>
      <w:r w:rsidR="003F2382">
        <w:t>p</w:t>
      </w:r>
      <w:r w:rsidRPr="005513B8">
        <w:t xml:space="preserve">ublic </w:t>
      </w:r>
      <w:r w:rsidR="003F2382">
        <w:t>h</w:t>
      </w:r>
      <w:r w:rsidRPr="005513B8">
        <w:t xml:space="preserve">ealth directions for the mental health and community sector, consumers and carers, ensuring people’s mental health needs have been at the forefront of conversations across the department. This has included hosting statewide forums to help support sector leads during this unprecedented time in Australia. I thank the </w:t>
      </w:r>
      <w:r w:rsidR="00BF3C21">
        <w:t>m</w:t>
      </w:r>
      <w:r w:rsidRPr="005513B8">
        <w:t xml:space="preserve">ental </w:t>
      </w:r>
      <w:r w:rsidR="00BF3C21">
        <w:t>h</w:t>
      </w:r>
      <w:r w:rsidRPr="005513B8">
        <w:t>ealth COVID response team for their commitment, resilience and professionalism.</w:t>
      </w:r>
    </w:p>
    <w:p w14:paraId="6BB9FA64" w14:textId="7CD90924" w:rsidR="005513B8" w:rsidRPr="005513B8" w:rsidRDefault="005513B8" w:rsidP="00563C62">
      <w:pPr>
        <w:pStyle w:val="Body"/>
      </w:pPr>
      <w:r w:rsidRPr="005513B8">
        <w:t xml:space="preserve">In </w:t>
      </w:r>
      <w:r w:rsidR="00EC7768">
        <w:t>March</w:t>
      </w:r>
      <w:r w:rsidR="00EC7768" w:rsidRPr="005513B8">
        <w:t xml:space="preserve"> </w:t>
      </w:r>
      <w:r w:rsidRPr="005513B8">
        <w:t xml:space="preserve">2021, the long-awaited Royal Commission </w:t>
      </w:r>
      <w:r w:rsidR="00D40C2B">
        <w:t>into</w:t>
      </w:r>
      <w:r w:rsidR="00D40C2B" w:rsidRPr="005513B8">
        <w:t xml:space="preserve"> </w:t>
      </w:r>
      <w:r w:rsidRPr="005513B8">
        <w:t>Victoria</w:t>
      </w:r>
      <w:r w:rsidR="00D40C2B">
        <w:t>’s</w:t>
      </w:r>
      <w:r w:rsidRPr="005513B8">
        <w:t xml:space="preserve"> Mental Health System</w:t>
      </w:r>
      <w:r w:rsidR="00BF3C21">
        <w:t>’s final</w:t>
      </w:r>
      <w:r w:rsidRPr="005513B8">
        <w:t xml:space="preserve"> report was released. The report outlines the sector reform we have been asking for</w:t>
      </w:r>
      <w:r w:rsidR="00BF3C21">
        <w:t>,</w:t>
      </w:r>
      <w:r w:rsidRPr="005513B8">
        <w:t xml:space="preserve"> including planned service and workforce reforms,</w:t>
      </w:r>
      <w:r w:rsidR="00C62069">
        <w:t xml:space="preserve"> and</w:t>
      </w:r>
      <w:r w:rsidRPr="005513B8">
        <w:t xml:space="preserve"> more responsive services to support the mental health and wellbeing of our community.</w:t>
      </w:r>
      <w:r w:rsidR="00B5548B">
        <w:t xml:space="preserve"> </w:t>
      </w:r>
    </w:p>
    <w:p w14:paraId="58C7B068" w14:textId="0F86B703" w:rsidR="005513B8" w:rsidRPr="005513B8" w:rsidRDefault="005513B8" w:rsidP="00563C62">
      <w:pPr>
        <w:pStyle w:val="Body"/>
      </w:pPr>
      <w:r w:rsidRPr="005513B8">
        <w:t xml:space="preserve">In line with recommendations from the </w:t>
      </w:r>
      <w:r w:rsidR="00935ABC">
        <w:t>R</w:t>
      </w:r>
      <w:r w:rsidRPr="005513B8">
        <w:t xml:space="preserve">oyal </w:t>
      </w:r>
      <w:r w:rsidR="00935ABC">
        <w:t>C</w:t>
      </w:r>
      <w:r w:rsidRPr="005513B8">
        <w:t>ommission</w:t>
      </w:r>
      <w:r w:rsidR="00D40C2B">
        <w:t xml:space="preserve">’s </w:t>
      </w:r>
      <w:r w:rsidRPr="005513B8">
        <w:t>report, on 1 July 2021</w:t>
      </w:r>
      <w:r w:rsidR="005917E9">
        <w:t xml:space="preserve"> </w:t>
      </w:r>
      <w:r w:rsidR="00993CCA">
        <w:t>my office</w:t>
      </w:r>
      <w:r w:rsidRPr="005513B8">
        <w:t xml:space="preserve"> moved into S</w:t>
      </w:r>
      <w:r w:rsidR="00531CFD">
        <w:t xml:space="preserve">afer </w:t>
      </w:r>
      <w:r w:rsidRPr="005513B8">
        <w:t>C</w:t>
      </w:r>
      <w:r w:rsidR="00944938">
        <w:t xml:space="preserve">are </w:t>
      </w:r>
      <w:r w:rsidRPr="005513B8">
        <w:t>V</w:t>
      </w:r>
      <w:r w:rsidR="00944938">
        <w:t>ictoria</w:t>
      </w:r>
      <w:r w:rsidRPr="005513B8">
        <w:t xml:space="preserve"> from the Department of Health. This move aligns with the quality improvement focus of the Chief Mental Health Nurse role with the other Chiefs in Safer Care Victoria. The Mental Health Improvement program of work will focus on reducing the use of seclusion, restraint and compulsory treatment and on tackling the unacceptable rate of gender-based violence. </w:t>
      </w:r>
    </w:p>
    <w:p w14:paraId="7FC77D23" w14:textId="77777777" w:rsidR="005513B8" w:rsidRPr="005513B8" w:rsidRDefault="005513B8" w:rsidP="00563C62">
      <w:pPr>
        <w:pStyle w:val="Body"/>
      </w:pPr>
      <w:r w:rsidRPr="005513B8">
        <w:t>A number of staff also moved across to continue to lead this important workplan within Safer Care Victoria. The team who moved across to Safer Care Victoria has a focus on lived experience collaboration and support, education and training initiatives, promoting best practice standards that contribute to improved outcomes for people and their families and communities, workforce planning and development, and professional leadership.</w:t>
      </w:r>
    </w:p>
    <w:p w14:paraId="2318B57B" w14:textId="6432557A" w:rsidR="005513B8" w:rsidRPr="005513B8" w:rsidRDefault="005513B8" w:rsidP="00563C62">
      <w:pPr>
        <w:pStyle w:val="Body"/>
      </w:pPr>
      <w:r w:rsidRPr="005513B8">
        <w:t xml:space="preserve">We have continued to work on best practice standards, implementing </w:t>
      </w:r>
      <w:r w:rsidRPr="002F5467">
        <w:t>V</w:t>
      </w:r>
      <w:r w:rsidR="00BF3C21" w:rsidRPr="002F5467">
        <w:t>ictoria’s</w:t>
      </w:r>
      <w:r w:rsidR="00BF3C21" w:rsidRPr="00C67A3F">
        <w:rPr>
          <w:i/>
          <w:iCs/>
        </w:rPr>
        <w:t xml:space="preserve"> </w:t>
      </w:r>
      <w:r w:rsidR="002F5467">
        <w:rPr>
          <w:i/>
          <w:iCs/>
        </w:rPr>
        <w:t>C</w:t>
      </w:r>
      <w:r w:rsidR="00BF3C21" w:rsidRPr="00C67A3F">
        <w:rPr>
          <w:i/>
          <w:iCs/>
        </w:rPr>
        <w:t>linical supervision for mental health nurs</w:t>
      </w:r>
      <w:r w:rsidR="002F5467">
        <w:rPr>
          <w:i/>
          <w:iCs/>
        </w:rPr>
        <w:t>es</w:t>
      </w:r>
      <w:r w:rsidR="00BF3C21" w:rsidRPr="00C67A3F">
        <w:rPr>
          <w:i/>
          <w:iCs/>
        </w:rPr>
        <w:t xml:space="preserve"> </w:t>
      </w:r>
      <w:r w:rsidR="00BF3C21" w:rsidRPr="002F5467">
        <w:t>framework</w:t>
      </w:r>
      <w:r w:rsidRPr="005513B8">
        <w:t xml:space="preserve">, </w:t>
      </w:r>
      <w:r w:rsidRPr="00765CD2">
        <w:rPr>
          <w:i/>
          <w:iCs/>
        </w:rPr>
        <w:t xml:space="preserve">Equally </w:t>
      </w:r>
      <w:r w:rsidR="00C62069" w:rsidRPr="007D5F11">
        <w:rPr>
          <w:i/>
          <w:iCs/>
        </w:rPr>
        <w:t>well</w:t>
      </w:r>
      <w:r w:rsidR="001A4181">
        <w:rPr>
          <w:i/>
          <w:iCs/>
        </w:rPr>
        <w:t xml:space="preserve"> in Victoria</w:t>
      </w:r>
      <w:r w:rsidR="00BF3C21">
        <w:rPr>
          <w:i/>
          <w:iCs/>
        </w:rPr>
        <w:t>:</w:t>
      </w:r>
      <w:r w:rsidR="00BF3C21" w:rsidRPr="00C67A3F">
        <w:rPr>
          <w:i/>
          <w:iCs/>
        </w:rPr>
        <w:t xml:space="preserve"> </w:t>
      </w:r>
      <w:r w:rsidR="001A4181">
        <w:rPr>
          <w:i/>
          <w:iCs/>
        </w:rPr>
        <w:t>P</w:t>
      </w:r>
      <w:r w:rsidR="00BF3C21" w:rsidRPr="00C67A3F">
        <w:rPr>
          <w:i/>
          <w:iCs/>
        </w:rPr>
        <w:t>hysical health framework</w:t>
      </w:r>
      <w:r w:rsidR="00BE4134">
        <w:rPr>
          <w:i/>
          <w:iCs/>
        </w:rPr>
        <w:t xml:space="preserve"> f</w:t>
      </w:r>
      <w:r w:rsidR="004F4C52">
        <w:rPr>
          <w:i/>
          <w:iCs/>
        </w:rPr>
        <w:t>or specialist mental health services</w:t>
      </w:r>
      <w:r w:rsidR="00BF3C21" w:rsidRPr="00C67A3F">
        <w:rPr>
          <w:i/>
          <w:iCs/>
        </w:rPr>
        <w:t xml:space="preserve"> </w:t>
      </w:r>
      <w:r w:rsidR="00CF5A45">
        <w:t>and</w:t>
      </w:r>
      <w:r w:rsidR="00BF3C21" w:rsidRPr="00C67A3F">
        <w:rPr>
          <w:i/>
          <w:iCs/>
        </w:rPr>
        <w:t xml:space="preserve"> </w:t>
      </w:r>
      <w:r w:rsidR="00CF5A45">
        <w:rPr>
          <w:i/>
          <w:iCs/>
        </w:rPr>
        <w:t>M</w:t>
      </w:r>
      <w:r w:rsidR="00BF3C21" w:rsidRPr="00C67A3F">
        <w:rPr>
          <w:i/>
          <w:iCs/>
        </w:rPr>
        <w:t>ental health intensive care framework</w:t>
      </w:r>
      <w:r w:rsidRPr="00765CD2">
        <w:rPr>
          <w:i/>
          <w:iCs/>
        </w:rPr>
        <w:t>,</w:t>
      </w:r>
      <w:r w:rsidRPr="005513B8">
        <w:t xml:space="preserve"> and continuing work on Safewards sustainability in mental health and implementation into general hospitals.</w:t>
      </w:r>
    </w:p>
    <w:p w14:paraId="60109366" w14:textId="31963855" w:rsidR="005513B8" w:rsidRDefault="005513B8" w:rsidP="00563C62">
      <w:pPr>
        <w:pStyle w:val="Body"/>
      </w:pPr>
      <w:r w:rsidRPr="005513B8">
        <w:t xml:space="preserve">We will also continue to lead and support the </w:t>
      </w:r>
      <w:r w:rsidR="00BF3C21">
        <w:t>m</w:t>
      </w:r>
      <w:r w:rsidRPr="005513B8">
        <w:t xml:space="preserve">ental </w:t>
      </w:r>
      <w:r w:rsidR="00BF3C21">
        <w:t>h</w:t>
      </w:r>
      <w:r w:rsidRPr="005513B8">
        <w:t xml:space="preserve">ealth </w:t>
      </w:r>
      <w:r w:rsidR="00BF3C21">
        <w:t>n</w:t>
      </w:r>
      <w:r w:rsidRPr="005513B8">
        <w:t xml:space="preserve">ursing workforce and develop our program of work to support the reform of our </w:t>
      </w:r>
      <w:r w:rsidR="00BF3C21">
        <w:t>m</w:t>
      </w:r>
      <w:r w:rsidRPr="005513B8">
        <w:t xml:space="preserve">ental </w:t>
      </w:r>
      <w:r w:rsidR="00BF3C21">
        <w:t>h</w:t>
      </w:r>
      <w:r w:rsidRPr="005513B8">
        <w:t xml:space="preserve">ealth and </w:t>
      </w:r>
      <w:r w:rsidR="00BF3C21">
        <w:t>w</w:t>
      </w:r>
      <w:r w:rsidRPr="005513B8">
        <w:t xml:space="preserve">ellbeing </w:t>
      </w:r>
      <w:r w:rsidR="00BF3C21">
        <w:t>s</w:t>
      </w:r>
      <w:r w:rsidRPr="005513B8">
        <w:t>ystem.</w:t>
      </w:r>
      <w:r w:rsidR="00B5548B">
        <w:t xml:space="preserve"> </w:t>
      </w:r>
      <w:r w:rsidRPr="005513B8">
        <w:t xml:space="preserve">We can all be part of this reform work by becoming involved. </w:t>
      </w:r>
    </w:p>
    <w:p w14:paraId="7E1783BD" w14:textId="77777777" w:rsidR="00272AC2" w:rsidRPr="00B5548B" w:rsidRDefault="00272AC2" w:rsidP="00272AC2">
      <w:pPr>
        <w:pStyle w:val="DHHSbodynospace"/>
        <w:rPr>
          <w:b/>
          <w:bCs/>
          <w:sz w:val="21"/>
          <w:szCs w:val="21"/>
        </w:rPr>
      </w:pPr>
      <w:r w:rsidRPr="00B5548B">
        <w:rPr>
          <w:b/>
          <w:bCs/>
          <w:sz w:val="21"/>
          <w:szCs w:val="21"/>
        </w:rPr>
        <w:t>Anna Love</w:t>
      </w:r>
    </w:p>
    <w:p w14:paraId="6953E173" w14:textId="0F170B25" w:rsidR="0057779F" w:rsidRPr="00A75687" w:rsidRDefault="00272AC2" w:rsidP="00A75687">
      <w:pPr>
        <w:pStyle w:val="DHHSbodynospace"/>
        <w:rPr>
          <w:sz w:val="21"/>
          <w:szCs w:val="21"/>
        </w:rPr>
      </w:pPr>
      <w:r w:rsidRPr="00B5548B">
        <w:rPr>
          <w:sz w:val="21"/>
          <w:szCs w:val="21"/>
        </w:rPr>
        <w:t>Chief Mental Health Nurse</w:t>
      </w:r>
      <w:bookmarkStart w:id="8" w:name="_Toc52886231"/>
      <w:r w:rsidR="0057779F">
        <w:br w:type="page"/>
      </w:r>
    </w:p>
    <w:p w14:paraId="10340DD6" w14:textId="07A6367E" w:rsidR="00436843" w:rsidRPr="00636934" w:rsidRDefault="00436843" w:rsidP="00436843">
      <w:pPr>
        <w:pStyle w:val="DHHSTOCheadingreport"/>
      </w:pPr>
      <w:r w:rsidRPr="00636934">
        <w:lastRenderedPageBreak/>
        <w:t>Contents</w:t>
      </w:r>
    </w:p>
    <w:p w14:paraId="71C80F34" w14:textId="103B9613" w:rsidR="004201A6" w:rsidRDefault="00436843">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86347171" w:history="1">
        <w:r w:rsidR="004201A6" w:rsidRPr="00320DCF">
          <w:rPr>
            <w:rStyle w:val="Hyperlink"/>
          </w:rPr>
          <w:t>Foreword from the Chief Psychiatrist</w:t>
        </w:r>
        <w:r w:rsidR="004201A6">
          <w:rPr>
            <w:webHidden/>
          </w:rPr>
          <w:tab/>
        </w:r>
        <w:r w:rsidR="004201A6">
          <w:rPr>
            <w:webHidden/>
          </w:rPr>
          <w:fldChar w:fldCharType="begin"/>
        </w:r>
        <w:r w:rsidR="004201A6">
          <w:rPr>
            <w:webHidden/>
          </w:rPr>
          <w:instrText xml:space="preserve"> PAGEREF _Toc86347171 \h </w:instrText>
        </w:r>
        <w:r w:rsidR="004201A6">
          <w:rPr>
            <w:webHidden/>
          </w:rPr>
        </w:r>
        <w:r w:rsidR="004201A6">
          <w:rPr>
            <w:webHidden/>
          </w:rPr>
          <w:fldChar w:fldCharType="separate"/>
        </w:r>
        <w:r w:rsidR="004201A6">
          <w:rPr>
            <w:webHidden/>
          </w:rPr>
          <w:t>5</w:t>
        </w:r>
        <w:r w:rsidR="004201A6">
          <w:rPr>
            <w:webHidden/>
          </w:rPr>
          <w:fldChar w:fldCharType="end"/>
        </w:r>
      </w:hyperlink>
    </w:p>
    <w:p w14:paraId="22FC291E" w14:textId="06E1FB83" w:rsidR="004201A6" w:rsidRDefault="00270E45">
      <w:pPr>
        <w:pStyle w:val="TOC1"/>
        <w:rPr>
          <w:rFonts w:asciiTheme="minorHAnsi" w:eastAsiaTheme="minorEastAsia" w:hAnsiTheme="minorHAnsi" w:cstheme="minorBidi"/>
          <w:b w:val="0"/>
          <w:sz w:val="22"/>
          <w:szCs w:val="22"/>
          <w:lang w:eastAsia="en-AU"/>
        </w:rPr>
      </w:pPr>
      <w:hyperlink w:anchor="_Toc86347172" w:history="1">
        <w:r w:rsidR="004201A6" w:rsidRPr="00320DCF">
          <w:rPr>
            <w:rStyle w:val="Hyperlink"/>
          </w:rPr>
          <w:t>Foreword from the Chief Mental Health Nurse</w:t>
        </w:r>
        <w:r w:rsidR="004201A6">
          <w:rPr>
            <w:webHidden/>
          </w:rPr>
          <w:tab/>
        </w:r>
        <w:r w:rsidR="004201A6">
          <w:rPr>
            <w:webHidden/>
          </w:rPr>
          <w:fldChar w:fldCharType="begin"/>
        </w:r>
        <w:r w:rsidR="004201A6">
          <w:rPr>
            <w:webHidden/>
          </w:rPr>
          <w:instrText xml:space="preserve"> PAGEREF _Toc86347172 \h </w:instrText>
        </w:r>
        <w:r w:rsidR="004201A6">
          <w:rPr>
            <w:webHidden/>
          </w:rPr>
        </w:r>
        <w:r w:rsidR="004201A6">
          <w:rPr>
            <w:webHidden/>
          </w:rPr>
          <w:fldChar w:fldCharType="separate"/>
        </w:r>
        <w:r w:rsidR="004201A6">
          <w:rPr>
            <w:webHidden/>
          </w:rPr>
          <w:t>8</w:t>
        </w:r>
        <w:r w:rsidR="004201A6">
          <w:rPr>
            <w:webHidden/>
          </w:rPr>
          <w:fldChar w:fldCharType="end"/>
        </w:r>
      </w:hyperlink>
    </w:p>
    <w:p w14:paraId="3EC22B9B" w14:textId="0B41DBE7" w:rsidR="004201A6" w:rsidRDefault="00270E45">
      <w:pPr>
        <w:pStyle w:val="TOC1"/>
        <w:rPr>
          <w:rFonts w:asciiTheme="minorHAnsi" w:eastAsiaTheme="minorEastAsia" w:hAnsiTheme="minorHAnsi" w:cstheme="minorBidi"/>
          <w:b w:val="0"/>
          <w:sz w:val="22"/>
          <w:szCs w:val="22"/>
          <w:lang w:eastAsia="en-AU"/>
        </w:rPr>
      </w:pPr>
      <w:hyperlink w:anchor="_Toc86347173" w:history="1">
        <w:r w:rsidR="004201A6" w:rsidRPr="00320DCF">
          <w:rPr>
            <w:rStyle w:val="Hyperlink"/>
            <w:rFonts w:eastAsia="Calibri Light"/>
          </w:rPr>
          <w:t>Overview</w:t>
        </w:r>
        <w:r w:rsidR="004201A6">
          <w:rPr>
            <w:webHidden/>
          </w:rPr>
          <w:tab/>
        </w:r>
        <w:r w:rsidR="004201A6">
          <w:rPr>
            <w:webHidden/>
          </w:rPr>
          <w:fldChar w:fldCharType="begin"/>
        </w:r>
        <w:r w:rsidR="004201A6">
          <w:rPr>
            <w:webHidden/>
          </w:rPr>
          <w:instrText xml:space="preserve"> PAGEREF _Toc86347173 \h </w:instrText>
        </w:r>
        <w:r w:rsidR="004201A6">
          <w:rPr>
            <w:webHidden/>
          </w:rPr>
        </w:r>
        <w:r w:rsidR="004201A6">
          <w:rPr>
            <w:webHidden/>
          </w:rPr>
          <w:fldChar w:fldCharType="separate"/>
        </w:r>
        <w:r w:rsidR="004201A6">
          <w:rPr>
            <w:webHidden/>
          </w:rPr>
          <w:t>10</w:t>
        </w:r>
        <w:r w:rsidR="004201A6">
          <w:rPr>
            <w:webHidden/>
          </w:rPr>
          <w:fldChar w:fldCharType="end"/>
        </w:r>
      </w:hyperlink>
    </w:p>
    <w:p w14:paraId="3A0FACA1" w14:textId="104C2176" w:rsidR="004201A6" w:rsidRDefault="00270E45">
      <w:pPr>
        <w:pStyle w:val="TOC2"/>
        <w:rPr>
          <w:rFonts w:asciiTheme="minorHAnsi" w:eastAsiaTheme="minorEastAsia" w:hAnsiTheme="minorHAnsi" w:cstheme="minorBidi"/>
          <w:sz w:val="22"/>
          <w:szCs w:val="22"/>
          <w:lang w:eastAsia="en-AU"/>
        </w:rPr>
      </w:pPr>
      <w:hyperlink w:anchor="_Toc86347174" w:history="1">
        <w:r w:rsidR="004201A6" w:rsidRPr="00320DCF">
          <w:rPr>
            <w:rStyle w:val="Hyperlink"/>
            <w:rFonts w:eastAsia="MS Gothic"/>
          </w:rPr>
          <w:t>Aims of the report</w:t>
        </w:r>
        <w:r w:rsidR="004201A6">
          <w:rPr>
            <w:webHidden/>
          </w:rPr>
          <w:tab/>
        </w:r>
        <w:r w:rsidR="004201A6">
          <w:rPr>
            <w:webHidden/>
          </w:rPr>
          <w:fldChar w:fldCharType="begin"/>
        </w:r>
        <w:r w:rsidR="004201A6">
          <w:rPr>
            <w:webHidden/>
          </w:rPr>
          <w:instrText xml:space="preserve"> PAGEREF _Toc86347174 \h </w:instrText>
        </w:r>
        <w:r w:rsidR="004201A6">
          <w:rPr>
            <w:webHidden/>
          </w:rPr>
        </w:r>
        <w:r w:rsidR="004201A6">
          <w:rPr>
            <w:webHidden/>
          </w:rPr>
          <w:fldChar w:fldCharType="separate"/>
        </w:r>
        <w:r w:rsidR="004201A6">
          <w:rPr>
            <w:webHidden/>
          </w:rPr>
          <w:t>10</w:t>
        </w:r>
        <w:r w:rsidR="004201A6">
          <w:rPr>
            <w:webHidden/>
          </w:rPr>
          <w:fldChar w:fldCharType="end"/>
        </w:r>
      </w:hyperlink>
    </w:p>
    <w:p w14:paraId="065E75BB" w14:textId="39DDE707" w:rsidR="004201A6" w:rsidRDefault="00270E45">
      <w:pPr>
        <w:pStyle w:val="TOC2"/>
        <w:rPr>
          <w:rFonts w:asciiTheme="minorHAnsi" w:eastAsiaTheme="minorEastAsia" w:hAnsiTheme="minorHAnsi" w:cstheme="minorBidi"/>
          <w:sz w:val="22"/>
          <w:szCs w:val="22"/>
          <w:lang w:eastAsia="en-AU"/>
        </w:rPr>
      </w:pPr>
      <w:hyperlink w:anchor="_Toc86347175" w:history="1">
        <w:r w:rsidR="004201A6" w:rsidRPr="00320DCF">
          <w:rPr>
            <w:rStyle w:val="Hyperlink"/>
            <w:rFonts w:eastAsia="MS Gothic"/>
          </w:rPr>
          <w:t>Statutory framework and role of the Chief Psychiatrist</w:t>
        </w:r>
        <w:r w:rsidR="004201A6">
          <w:rPr>
            <w:webHidden/>
          </w:rPr>
          <w:tab/>
        </w:r>
        <w:r w:rsidR="004201A6">
          <w:rPr>
            <w:webHidden/>
          </w:rPr>
          <w:fldChar w:fldCharType="begin"/>
        </w:r>
        <w:r w:rsidR="004201A6">
          <w:rPr>
            <w:webHidden/>
          </w:rPr>
          <w:instrText xml:space="preserve"> PAGEREF _Toc86347175 \h </w:instrText>
        </w:r>
        <w:r w:rsidR="004201A6">
          <w:rPr>
            <w:webHidden/>
          </w:rPr>
        </w:r>
        <w:r w:rsidR="004201A6">
          <w:rPr>
            <w:webHidden/>
          </w:rPr>
          <w:fldChar w:fldCharType="separate"/>
        </w:r>
        <w:r w:rsidR="004201A6">
          <w:rPr>
            <w:webHidden/>
          </w:rPr>
          <w:t>10</w:t>
        </w:r>
        <w:r w:rsidR="004201A6">
          <w:rPr>
            <w:webHidden/>
          </w:rPr>
          <w:fldChar w:fldCharType="end"/>
        </w:r>
      </w:hyperlink>
    </w:p>
    <w:p w14:paraId="70D74738" w14:textId="4D6C81BA" w:rsidR="004201A6" w:rsidRDefault="00270E45">
      <w:pPr>
        <w:pStyle w:val="TOC2"/>
        <w:rPr>
          <w:rFonts w:asciiTheme="minorHAnsi" w:eastAsiaTheme="minorEastAsia" w:hAnsiTheme="minorHAnsi" w:cstheme="minorBidi"/>
          <w:sz w:val="22"/>
          <w:szCs w:val="22"/>
          <w:lang w:eastAsia="en-AU"/>
        </w:rPr>
      </w:pPr>
      <w:hyperlink w:anchor="_Toc86347176" w:history="1">
        <w:r w:rsidR="004201A6" w:rsidRPr="00320DCF">
          <w:rPr>
            <w:rStyle w:val="Hyperlink"/>
            <w:lang w:val="en-US"/>
          </w:rPr>
          <w:t>Functions of the Chief Psychiatrist</w:t>
        </w:r>
        <w:r w:rsidR="004201A6">
          <w:rPr>
            <w:webHidden/>
          </w:rPr>
          <w:tab/>
        </w:r>
        <w:r w:rsidR="004201A6">
          <w:rPr>
            <w:webHidden/>
          </w:rPr>
          <w:fldChar w:fldCharType="begin"/>
        </w:r>
        <w:r w:rsidR="004201A6">
          <w:rPr>
            <w:webHidden/>
          </w:rPr>
          <w:instrText xml:space="preserve"> PAGEREF _Toc86347176 \h </w:instrText>
        </w:r>
        <w:r w:rsidR="004201A6">
          <w:rPr>
            <w:webHidden/>
          </w:rPr>
        </w:r>
        <w:r w:rsidR="004201A6">
          <w:rPr>
            <w:webHidden/>
          </w:rPr>
          <w:fldChar w:fldCharType="separate"/>
        </w:r>
        <w:r w:rsidR="004201A6">
          <w:rPr>
            <w:webHidden/>
          </w:rPr>
          <w:t>11</w:t>
        </w:r>
        <w:r w:rsidR="004201A6">
          <w:rPr>
            <w:webHidden/>
          </w:rPr>
          <w:fldChar w:fldCharType="end"/>
        </w:r>
      </w:hyperlink>
    </w:p>
    <w:p w14:paraId="0DD429B4" w14:textId="3778BC1F" w:rsidR="004201A6" w:rsidRDefault="00270E45">
      <w:pPr>
        <w:pStyle w:val="TOC2"/>
        <w:rPr>
          <w:rFonts w:asciiTheme="minorHAnsi" w:eastAsiaTheme="minorEastAsia" w:hAnsiTheme="minorHAnsi" w:cstheme="minorBidi"/>
          <w:sz w:val="22"/>
          <w:szCs w:val="22"/>
          <w:lang w:eastAsia="en-AU"/>
        </w:rPr>
      </w:pPr>
      <w:hyperlink w:anchor="_Toc86347177" w:history="1">
        <w:r w:rsidR="004201A6" w:rsidRPr="00320DCF">
          <w:rPr>
            <w:rStyle w:val="Hyperlink"/>
            <w:lang w:val="en-US"/>
          </w:rPr>
          <w:t>Office of the Chief Psychiatrist and the Department of Health</w:t>
        </w:r>
        <w:r w:rsidR="004201A6">
          <w:rPr>
            <w:webHidden/>
          </w:rPr>
          <w:tab/>
        </w:r>
        <w:r w:rsidR="004201A6">
          <w:rPr>
            <w:webHidden/>
          </w:rPr>
          <w:fldChar w:fldCharType="begin"/>
        </w:r>
        <w:r w:rsidR="004201A6">
          <w:rPr>
            <w:webHidden/>
          </w:rPr>
          <w:instrText xml:space="preserve"> PAGEREF _Toc86347177 \h </w:instrText>
        </w:r>
        <w:r w:rsidR="004201A6">
          <w:rPr>
            <w:webHidden/>
          </w:rPr>
        </w:r>
        <w:r w:rsidR="004201A6">
          <w:rPr>
            <w:webHidden/>
          </w:rPr>
          <w:fldChar w:fldCharType="separate"/>
        </w:r>
        <w:r w:rsidR="004201A6">
          <w:rPr>
            <w:webHidden/>
          </w:rPr>
          <w:t>11</w:t>
        </w:r>
        <w:r w:rsidR="004201A6">
          <w:rPr>
            <w:webHidden/>
          </w:rPr>
          <w:fldChar w:fldCharType="end"/>
        </w:r>
      </w:hyperlink>
    </w:p>
    <w:p w14:paraId="1F50A9B2" w14:textId="63E1BC91" w:rsidR="004201A6" w:rsidRDefault="00270E45">
      <w:pPr>
        <w:pStyle w:val="TOC2"/>
        <w:rPr>
          <w:rFonts w:asciiTheme="minorHAnsi" w:eastAsiaTheme="minorEastAsia" w:hAnsiTheme="minorHAnsi" w:cstheme="minorBidi"/>
          <w:sz w:val="22"/>
          <w:szCs w:val="22"/>
          <w:lang w:eastAsia="en-AU"/>
        </w:rPr>
      </w:pPr>
      <w:hyperlink w:anchor="_Toc86347178" w:history="1">
        <w:r w:rsidR="004201A6" w:rsidRPr="00320DCF">
          <w:rPr>
            <w:rStyle w:val="Hyperlink"/>
          </w:rPr>
          <w:t>The year in review</w:t>
        </w:r>
        <w:r w:rsidR="004201A6">
          <w:rPr>
            <w:webHidden/>
          </w:rPr>
          <w:tab/>
        </w:r>
        <w:r w:rsidR="004201A6">
          <w:rPr>
            <w:webHidden/>
          </w:rPr>
          <w:fldChar w:fldCharType="begin"/>
        </w:r>
        <w:r w:rsidR="004201A6">
          <w:rPr>
            <w:webHidden/>
          </w:rPr>
          <w:instrText xml:space="preserve"> PAGEREF _Toc86347178 \h </w:instrText>
        </w:r>
        <w:r w:rsidR="004201A6">
          <w:rPr>
            <w:webHidden/>
          </w:rPr>
        </w:r>
        <w:r w:rsidR="004201A6">
          <w:rPr>
            <w:webHidden/>
          </w:rPr>
          <w:fldChar w:fldCharType="separate"/>
        </w:r>
        <w:r w:rsidR="004201A6">
          <w:rPr>
            <w:webHidden/>
          </w:rPr>
          <w:t>12</w:t>
        </w:r>
        <w:r w:rsidR="004201A6">
          <w:rPr>
            <w:webHidden/>
          </w:rPr>
          <w:fldChar w:fldCharType="end"/>
        </w:r>
      </w:hyperlink>
    </w:p>
    <w:p w14:paraId="748ADA31" w14:textId="6781BBF6" w:rsidR="004201A6" w:rsidRDefault="00270E45">
      <w:pPr>
        <w:pStyle w:val="TOC2"/>
        <w:rPr>
          <w:rFonts w:asciiTheme="minorHAnsi" w:eastAsiaTheme="minorEastAsia" w:hAnsiTheme="minorHAnsi" w:cstheme="minorBidi"/>
          <w:sz w:val="22"/>
          <w:szCs w:val="22"/>
          <w:lang w:eastAsia="en-AU"/>
        </w:rPr>
      </w:pPr>
      <w:hyperlink w:anchor="_Toc86347179" w:history="1">
        <w:r w:rsidR="004201A6" w:rsidRPr="00320DCF">
          <w:rPr>
            <w:rStyle w:val="Hyperlink"/>
            <w:lang w:val="en-US"/>
          </w:rPr>
          <w:t xml:space="preserve">Enquiries received and the </w:t>
        </w:r>
        <w:r w:rsidR="004201A6" w:rsidRPr="00320DCF">
          <w:rPr>
            <w:rStyle w:val="Hyperlink"/>
          </w:rPr>
          <w:t>COVID-19 mental health response</w:t>
        </w:r>
        <w:r w:rsidR="004201A6">
          <w:rPr>
            <w:webHidden/>
          </w:rPr>
          <w:tab/>
        </w:r>
        <w:r w:rsidR="004201A6">
          <w:rPr>
            <w:webHidden/>
          </w:rPr>
          <w:fldChar w:fldCharType="begin"/>
        </w:r>
        <w:r w:rsidR="004201A6">
          <w:rPr>
            <w:webHidden/>
          </w:rPr>
          <w:instrText xml:space="preserve"> PAGEREF _Toc86347179 \h </w:instrText>
        </w:r>
        <w:r w:rsidR="004201A6">
          <w:rPr>
            <w:webHidden/>
          </w:rPr>
        </w:r>
        <w:r w:rsidR="004201A6">
          <w:rPr>
            <w:webHidden/>
          </w:rPr>
          <w:fldChar w:fldCharType="separate"/>
        </w:r>
        <w:r w:rsidR="004201A6">
          <w:rPr>
            <w:webHidden/>
          </w:rPr>
          <w:t>13</w:t>
        </w:r>
        <w:r w:rsidR="004201A6">
          <w:rPr>
            <w:webHidden/>
          </w:rPr>
          <w:fldChar w:fldCharType="end"/>
        </w:r>
      </w:hyperlink>
    </w:p>
    <w:p w14:paraId="0DE1836A" w14:textId="48CE9D97" w:rsidR="004201A6" w:rsidRDefault="00270E45">
      <w:pPr>
        <w:pStyle w:val="TOC1"/>
        <w:rPr>
          <w:rFonts w:asciiTheme="minorHAnsi" w:eastAsiaTheme="minorEastAsia" w:hAnsiTheme="minorHAnsi" w:cstheme="minorBidi"/>
          <w:b w:val="0"/>
          <w:sz w:val="22"/>
          <w:szCs w:val="22"/>
          <w:lang w:eastAsia="en-AU"/>
        </w:rPr>
      </w:pPr>
      <w:hyperlink w:anchor="_Toc86347180" w:history="1">
        <w:r w:rsidR="004201A6" w:rsidRPr="00320DCF">
          <w:rPr>
            <w:rStyle w:val="Hyperlink"/>
          </w:rPr>
          <w:t>1. Statutory reporting</w:t>
        </w:r>
        <w:r w:rsidR="004201A6">
          <w:rPr>
            <w:webHidden/>
          </w:rPr>
          <w:tab/>
        </w:r>
        <w:r w:rsidR="004201A6">
          <w:rPr>
            <w:webHidden/>
          </w:rPr>
          <w:fldChar w:fldCharType="begin"/>
        </w:r>
        <w:r w:rsidR="004201A6">
          <w:rPr>
            <w:webHidden/>
          </w:rPr>
          <w:instrText xml:space="preserve"> PAGEREF _Toc86347180 \h </w:instrText>
        </w:r>
        <w:r w:rsidR="004201A6">
          <w:rPr>
            <w:webHidden/>
          </w:rPr>
        </w:r>
        <w:r w:rsidR="004201A6">
          <w:rPr>
            <w:webHidden/>
          </w:rPr>
          <w:fldChar w:fldCharType="separate"/>
        </w:r>
        <w:r w:rsidR="004201A6">
          <w:rPr>
            <w:webHidden/>
          </w:rPr>
          <w:t>17</w:t>
        </w:r>
        <w:r w:rsidR="004201A6">
          <w:rPr>
            <w:webHidden/>
          </w:rPr>
          <w:fldChar w:fldCharType="end"/>
        </w:r>
      </w:hyperlink>
    </w:p>
    <w:p w14:paraId="1F7B257E" w14:textId="25583C40" w:rsidR="004201A6" w:rsidRDefault="00270E45">
      <w:pPr>
        <w:pStyle w:val="TOC2"/>
        <w:rPr>
          <w:rFonts w:asciiTheme="minorHAnsi" w:eastAsiaTheme="minorEastAsia" w:hAnsiTheme="minorHAnsi" w:cstheme="minorBidi"/>
          <w:sz w:val="22"/>
          <w:szCs w:val="22"/>
          <w:lang w:eastAsia="en-AU"/>
        </w:rPr>
      </w:pPr>
      <w:hyperlink w:anchor="_Toc86347181" w:history="1">
        <w:r w:rsidR="004201A6" w:rsidRPr="00320DCF">
          <w:rPr>
            <w:rStyle w:val="Hyperlink"/>
          </w:rPr>
          <w:t>Electroconvulsive treatment</w:t>
        </w:r>
        <w:r w:rsidR="004201A6">
          <w:rPr>
            <w:webHidden/>
          </w:rPr>
          <w:tab/>
        </w:r>
        <w:r w:rsidR="004201A6">
          <w:rPr>
            <w:webHidden/>
          </w:rPr>
          <w:fldChar w:fldCharType="begin"/>
        </w:r>
        <w:r w:rsidR="004201A6">
          <w:rPr>
            <w:webHidden/>
          </w:rPr>
          <w:instrText xml:space="preserve"> PAGEREF _Toc86347181 \h </w:instrText>
        </w:r>
        <w:r w:rsidR="004201A6">
          <w:rPr>
            <w:webHidden/>
          </w:rPr>
        </w:r>
        <w:r w:rsidR="004201A6">
          <w:rPr>
            <w:webHidden/>
          </w:rPr>
          <w:fldChar w:fldCharType="separate"/>
        </w:r>
        <w:r w:rsidR="004201A6">
          <w:rPr>
            <w:webHidden/>
          </w:rPr>
          <w:t>17</w:t>
        </w:r>
        <w:r w:rsidR="004201A6">
          <w:rPr>
            <w:webHidden/>
          </w:rPr>
          <w:fldChar w:fldCharType="end"/>
        </w:r>
      </w:hyperlink>
    </w:p>
    <w:p w14:paraId="525A1E27" w14:textId="3551971F" w:rsidR="004201A6" w:rsidRDefault="00270E45">
      <w:pPr>
        <w:pStyle w:val="TOC2"/>
        <w:rPr>
          <w:rFonts w:asciiTheme="minorHAnsi" w:eastAsiaTheme="minorEastAsia" w:hAnsiTheme="minorHAnsi" w:cstheme="minorBidi"/>
          <w:sz w:val="22"/>
          <w:szCs w:val="22"/>
          <w:lang w:eastAsia="en-AU"/>
        </w:rPr>
      </w:pPr>
      <w:hyperlink w:anchor="_Toc86347182" w:history="1">
        <w:r w:rsidR="004201A6" w:rsidRPr="00320DCF">
          <w:rPr>
            <w:rStyle w:val="Hyperlink"/>
            <w:rFonts w:eastAsia="Arial"/>
          </w:rPr>
          <w:t>Deaths of people receiving mental health treatment</w:t>
        </w:r>
        <w:r w:rsidR="004201A6">
          <w:rPr>
            <w:webHidden/>
          </w:rPr>
          <w:tab/>
        </w:r>
        <w:r w:rsidR="004201A6">
          <w:rPr>
            <w:webHidden/>
          </w:rPr>
          <w:fldChar w:fldCharType="begin"/>
        </w:r>
        <w:r w:rsidR="004201A6">
          <w:rPr>
            <w:webHidden/>
          </w:rPr>
          <w:instrText xml:space="preserve"> PAGEREF _Toc86347182 \h </w:instrText>
        </w:r>
        <w:r w:rsidR="004201A6">
          <w:rPr>
            <w:webHidden/>
          </w:rPr>
        </w:r>
        <w:r w:rsidR="004201A6">
          <w:rPr>
            <w:webHidden/>
          </w:rPr>
          <w:fldChar w:fldCharType="separate"/>
        </w:r>
        <w:r w:rsidR="004201A6">
          <w:rPr>
            <w:webHidden/>
          </w:rPr>
          <w:t>18</w:t>
        </w:r>
        <w:r w:rsidR="004201A6">
          <w:rPr>
            <w:webHidden/>
          </w:rPr>
          <w:fldChar w:fldCharType="end"/>
        </w:r>
      </w:hyperlink>
    </w:p>
    <w:p w14:paraId="66438DAA" w14:textId="4961BCA1" w:rsidR="004201A6" w:rsidRDefault="00270E45">
      <w:pPr>
        <w:pStyle w:val="TOC2"/>
        <w:rPr>
          <w:rFonts w:asciiTheme="minorHAnsi" w:eastAsiaTheme="minorEastAsia" w:hAnsiTheme="minorHAnsi" w:cstheme="minorBidi"/>
          <w:sz w:val="22"/>
          <w:szCs w:val="22"/>
          <w:lang w:eastAsia="en-AU"/>
        </w:rPr>
      </w:pPr>
      <w:hyperlink w:anchor="_Toc86347183" w:history="1">
        <w:r w:rsidR="004201A6" w:rsidRPr="00320DCF">
          <w:rPr>
            <w:rStyle w:val="Hyperlink"/>
          </w:rPr>
          <w:t>Restrictive interventions</w:t>
        </w:r>
        <w:r w:rsidR="004201A6">
          <w:rPr>
            <w:webHidden/>
          </w:rPr>
          <w:tab/>
        </w:r>
        <w:r w:rsidR="004201A6">
          <w:rPr>
            <w:webHidden/>
          </w:rPr>
          <w:fldChar w:fldCharType="begin"/>
        </w:r>
        <w:r w:rsidR="004201A6">
          <w:rPr>
            <w:webHidden/>
          </w:rPr>
          <w:instrText xml:space="preserve"> PAGEREF _Toc86347183 \h </w:instrText>
        </w:r>
        <w:r w:rsidR="004201A6">
          <w:rPr>
            <w:webHidden/>
          </w:rPr>
        </w:r>
        <w:r w:rsidR="004201A6">
          <w:rPr>
            <w:webHidden/>
          </w:rPr>
          <w:fldChar w:fldCharType="separate"/>
        </w:r>
        <w:r w:rsidR="004201A6">
          <w:rPr>
            <w:webHidden/>
          </w:rPr>
          <w:t>21</w:t>
        </w:r>
        <w:r w:rsidR="004201A6">
          <w:rPr>
            <w:webHidden/>
          </w:rPr>
          <w:fldChar w:fldCharType="end"/>
        </w:r>
      </w:hyperlink>
    </w:p>
    <w:p w14:paraId="489EA83F" w14:textId="6FC9380F" w:rsidR="004201A6" w:rsidRDefault="00270E45">
      <w:pPr>
        <w:pStyle w:val="TOC2"/>
        <w:rPr>
          <w:rFonts w:asciiTheme="minorHAnsi" w:eastAsiaTheme="minorEastAsia" w:hAnsiTheme="minorHAnsi" w:cstheme="minorBidi"/>
          <w:sz w:val="22"/>
          <w:szCs w:val="22"/>
          <w:lang w:eastAsia="en-AU"/>
        </w:rPr>
      </w:pPr>
      <w:hyperlink w:anchor="_Toc86347184" w:history="1">
        <w:r w:rsidR="004201A6" w:rsidRPr="00320DCF">
          <w:rPr>
            <w:rStyle w:val="Hyperlink"/>
          </w:rPr>
          <w:t>Acute inpatient units</w:t>
        </w:r>
        <w:r w:rsidR="004201A6">
          <w:rPr>
            <w:webHidden/>
          </w:rPr>
          <w:tab/>
        </w:r>
        <w:r w:rsidR="004201A6">
          <w:rPr>
            <w:webHidden/>
          </w:rPr>
          <w:fldChar w:fldCharType="begin"/>
        </w:r>
        <w:r w:rsidR="004201A6">
          <w:rPr>
            <w:webHidden/>
          </w:rPr>
          <w:instrText xml:space="preserve"> PAGEREF _Toc86347184 \h </w:instrText>
        </w:r>
        <w:r w:rsidR="004201A6">
          <w:rPr>
            <w:webHidden/>
          </w:rPr>
        </w:r>
        <w:r w:rsidR="004201A6">
          <w:rPr>
            <w:webHidden/>
          </w:rPr>
          <w:fldChar w:fldCharType="separate"/>
        </w:r>
        <w:r w:rsidR="004201A6">
          <w:rPr>
            <w:webHidden/>
          </w:rPr>
          <w:t>22</w:t>
        </w:r>
        <w:r w:rsidR="004201A6">
          <w:rPr>
            <w:webHidden/>
          </w:rPr>
          <w:fldChar w:fldCharType="end"/>
        </w:r>
      </w:hyperlink>
    </w:p>
    <w:p w14:paraId="09A94B89" w14:textId="3FFD9B93" w:rsidR="004201A6" w:rsidRDefault="00270E45">
      <w:pPr>
        <w:pStyle w:val="TOC2"/>
        <w:rPr>
          <w:rFonts w:asciiTheme="minorHAnsi" w:eastAsiaTheme="minorEastAsia" w:hAnsiTheme="minorHAnsi" w:cstheme="minorBidi"/>
          <w:sz w:val="22"/>
          <w:szCs w:val="22"/>
          <w:lang w:eastAsia="en-AU"/>
        </w:rPr>
      </w:pPr>
      <w:hyperlink w:anchor="_Toc86347185" w:history="1">
        <w:r w:rsidR="004201A6" w:rsidRPr="00320DCF">
          <w:rPr>
            <w:rStyle w:val="Hyperlink"/>
          </w:rPr>
          <w:t>Secure extended care units</w:t>
        </w:r>
        <w:r w:rsidR="004201A6">
          <w:rPr>
            <w:webHidden/>
          </w:rPr>
          <w:tab/>
        </w:r>
        <w:r w:rsidR="004201A6">
          <w:rPr>
            <w:webHidden/>
          </w:rPr>
          <w:fldChar w:fldCharType="begin"/>
        </w:r>
        <w:r w:rsidR="004201A6">
          <w:rPr>
            <w:webHidden/>
          </w:rPr>
          <w:instrText xml:space="preserve"> PAGEREF _Toc86347185 \h </w:instrText>
        </w:r>
        <w:r w:rsidR="004201A6">
          <w:rPr>
            <w:webHidden/>
          </w:rPr>
        </w:r>
        <w:r w:rsidR="004201A6">
          <w:rPr>
            <w:webHidden/>
          </w:rPr>
          <w:fldChar w:fldCharType="separate"/>
        </w:r>
        <w:r w:rsidR="004201A6">
          <w:rPr>
            <w:webHidden/>
          </w:rPr>
          <w:t>26</w:t>
        </w:r>
        <w:r w:rsidR="004201A6">
          <w:rPr>
            <w:webHidden/>
          </w:rPr>
          <w:fldChar w:fldCharType="end"/>
        </w:r>
      </w:hyperlink>
    </w:p>
    <w:p w14:paraId="3EC387A8" w14:textId="7FE99ACB" w:rsidR="004201A6" w:rsidRDefault="00270E45">
      <w:pPr>
        <w:pStyle w:val="TOC1"/>
        <w:rPr>
          <w:rFonts w:asciiTheme="minorHAnsi" w:eastAsiaTheme="minorEastAsia" w:hAnsiTheme="minorHAnsi" w:cstheme="minorBidi"/>
          <w:b w:val="0"/>
          <w:sz w:val="22"/>
          <w:szCs w:val="22"/>
          <w:lang w:eastAsia="en-AU"/>
        </w:rPr>
      </w:pPr>
      <w:hyperlink w:anchor="_Toc86347186" w:history="1">
        <w:r w:rsidR="004201A6" w:rsidRPr="00320DCF">
          <w:rPr>
            <w:rStyle w:val="Hyperlink"/>
          </w:rPr>
          <w:t>2. Leadership and quality and safety improvement</w:t>
        </w:r>
        <w:r w:rsidR="004201A6">
          <w:rPr>
            <w:webHidden/>
          </w:rPr>
          <w:tab/>
        </w:r>
        <w:r w:rsidR="004201A6">
          <w:rPr>
            <w:webHidden/>
          </w:rPr>
          <w:fldChar w:fldCharType="begin"/>
        </w:r>
        <w:r w:rsidR="004201A6">
          <w:rPr>
            <w:webHidden/>
          </w:rPr>
          <w:instrText xml:space="preserve"> PAGEREF _Toc86347186 \h </w:instrText>
        </w:r>
        <w:r w:rsidR="004201A6">
          <w:rPr>
            <w:webHidden/>
          </w:rPr>
        </w:r>
        <w:r w:rsidR="004201A6">
          <w:rPr>
            <w:webHidden/>
          </w:rPr>
          <w:fldChar w:fldCharType="separate"/>
        </w:r>
        <w:r w:rsidR="004201A6">
          <w:rPr>
            <w:webHidden/>
          </w:rPr>
          <w:t>28</w:t>
        </w:r>
        <w:r w:rsidR="004201A6">
          <w:rPr>
            <w:webHidden/>
          </w:rPr>
          <w:fldChar w:fldCharType="end"/>
        </w:r>
      </w:hyperlink>
    </w:p>
    <w:p w14:paraId="6E381D68" w14:textId="539F67BC" w:rsidR="004201A6" w:rsidRDefault="00270E45">
      <w:pPr>
        <w:pStyle w:val="TOC2"/>
        <w:rPr>
          <w:rFonts w:asciiTheme="minorHAnsi" w:eastAsiaTheme="minorEastAsia" w:hAnsiTheme="minorHAnsi" w:cstheme="minorBidi"/>
          <w:sz w:val="22"/>
          <w:szCs w:val="22"/>
          <w:lang w:eastAsia="en-AU"/>
        </w:rPr>
      </w:pPr>
      <w:hyperlink w:anchor="_Toc86347187" w:history="1">
        <w:r w:rsidR="004201A6" w:rsidRPr="00320DCF">
          <w:rPr>
            <w:rStyle w:val="Hyperlink"/>
          </w:rPr>
          <w:t>Quality and safety initiatives</w:t>
        </w:r>
        <w:r w:rsidR="004201A6">
          <w:rPr>
            <w:webHidden/>
          </w:rPr>
          <w:tab/>
        </w:r>
        <w:r w:rsidR="004201A6">
          <w:rPr>
            <w:webHidden/>
          </w:rPr>
          <w:fldChar w:fldCharType="begin"/>
        </w:r>
        <w:r w:rsidR="004201A6">
          <w:rPr>
            <w:webHidden/>
          </w:rPr>
          <w:instrText xml:space="preserve"> PAGEREF _Toc86347187 \h </w:instrText>
        </w:r>
        <w:r w:rsidR="004201A6">
          <w:rPr>
            <w:webHidden/>
          </w:rPr>
        </w:r>
        <w:r w:rsidR="004201A6">
          <w:rPr>
            <w:webHidden/>
          </w:rPr>
          <w:fldChar w:fldCharType="separate"/>
        </w:r>
        <w:r w:rsidR="004201A6">
          <w:rPr>
            <w:webHidden/>
          </w:rPr>
          <w:t>28</w:t>
        </w:r>
        <w:r w:rsidR="004201A6">
          <w:rPr>
            <w:webHidden/>
          </w:rPr>
          <w:fldChar w:fldCharType="end"/>
        </w:r>
      </w:hyperlink>
    </w:p>
    <w:p w14:paraId="79CD15C4" w14:textId="16EA99E1" w:rsidR="004201A6" w:rsidRDefault="00270E45">
      <w:pPr>
        <w:pStyle w:val="TOC2"/>
        <w:rPr>
          <w:rFonts w:asciiTheme="minorHAnsi" w:eastAsiaTheme="minorEastAsia" w:hAnsiTheme="minorHAnsi" w:cstheme="minorBidi"/>
          <w:sz w:val="22"/>
          <w:szCs w:val="22"/>
          <w:lang w:eastAsia="en-AU"/>
        </w:rPr>
      </w:pPr>
      <w:hyperlink w:anchor="_Toc86347188" w:history="1">
        <w:r w:rsidR="004201A6" w:rsidRPr="00320DCF">
          <w:rPr>
            <w:rStyle w:val="Hyperlink"/>
          </w:rPr>
          <w:t>Safewards</w:t>
        </w:r>
        <w:r w:rsidR="004201A6">
          <w:rPr>
            <w:webHidden/>
          </w:rPr>
          <w:tab/>
        </w:r>
        <w:r w:rsidR="004201A6">
          <w:rPr>
            <w:webHidden/>
          </w:rPr>
          <w:fldChar w:fldCharType="begin"/>
        </w:r>
        <w:r w:rsidR="004201A6">
          <w:rPr>
            <w:webHidden/>
          </w:rPr>
          <w:instrText xml:space="preserve"> PAGEREF _Toc86347188 \h </w:instrText>
        </w:r>
        <w:r w:rsidR="004201A6">
          <w:rPr>
            <w:webHidden/>
          </w:rPr>
        </w:r>
        <w:r w:rsidR="004201A6">
          <w:rPr>
            <w:webHidden/>
          </w:rPr>
          <w:fldChar w:fldCharType="separate"/>
        </w:r>
        <w:r w:rsidR="004201A6">
          <w:rPr>
            <w:webHidden/>
          </w:rPr>
          <w:t>29</w:t>
        </w:r>
        <w:r w:rsidR="004201A6">
          <w:rPr>
            <w:webHidden/>
          </w:rPr>
          <w:fldChar w:fldCharType="end"/>
        </w:r>
      </w:hyperlink>
    </w:p>
    <w:p w14:paraId="4BC8EB20" w14:textId="02A3985E" w:rsidR="004201A6" w:rsidRDefault="00270E45">
      <w:pPr>
        <w:pStyle w:val="TOC2"/>
        <w:rPr>
          <w:rFonts w:asciiTheme="minorHAnsi" w:eastAsiaTheme="minorEastAsia" w:hAnsiTheme="minorHAnsi" w:cstheme="minorBidi"/>
          <w:sz w:val="22"/>
          <w:szCs w:val="22"/>
          <w:lang w:eastAsia="en-AU"/>
        </w:rPr>
      </w:pPr>
      <w:hyperlink w:anchor="_Toc86347189" w:history="1">
        <w:r w:rsidR="004201A6" w:rsidRPr="00320DCF">
          <w:rPr>
            <w:rStyle w:val="Hyperlink"/>
          </w:rPr>
          <w:t>Sexual safety</w:t>
        </w:r>
        <w:r w:rsidR="004201A6">
          <w:rPr>
            <w:webHidden/>
          </w:rPr>
          <w:tab/>
        </w:r>
        <w:r w:rsidR="004201A6">
          <w:rPr>
            <w:webHidden/>
          </w:rPr>
          <w:fldChar w:fldCharType="begin"/>
        </w:r>
        <w:r w:rsidR="004201A6">
          <w:rPr>
            <w:webHidden/>
          </w:rPr>
          <w:instrText xml:space="preserve"> PAGEREF _Toc86347189 \h </w:instrText>
        </w:r>
        <w:r w:rsidR="004201A6">
          <w:rPr>
            <w:webHidden/>
          </w:rPr>
        </w:r>
        <w:r w:rsidR="004201A6">
          <w:rPr>
            <w:webHidden/>
          </w:rPr>
          <w:fldChar w:fldCharType="separate"/>
        </w:r>
        <w:r w:rsidR="004201A6">
          <w:rPr>
            <w:webHidden/>
          </w:rPr>
          <w:t>30</w:t>
        </w:r>
        <w:r w:rsidR="004201A6">
          <w:rPr>
            <w:webHidden/>
          </w:rPr>
          <w:fldChar w:fldCharType="end"/>
        </w:r>
      </w:hyperlink>
    </w:p>
    <w:p w14:paraId="75F10C41" w14:textId="492BEF32" w:rsidR="004201A6" w:rsidRDefault="00270E45">
      <w:pPr>
        <w:pStyle w:val="TOC2"/>
        <w:rPr>
          <w:rFonts w:asciiTheme="minorHAnsi" w:eastAsiaTheme="minorEastAsia" w:hAnsiTheme="minorHAnsi" w:cstheme="minorBidi"/>
          <w:sz w:val="22"/>
          <w:szCs w:val="22"/>
          <w:lang w:eastAsia="en-AU"/>
        </w:rPr>
      </w:pPr>
      <w:hyperlink w:anchor="_Toc86347190" w:history="1">
        <w:r w:rsidR="004201A6" w:rsidRPr="00320DCF">
          <w:rPr>
            <w:rStyle w:val="Hyperlink"/>
          </w:rPr>
          <w:t>Promoting human rights by working to eliminate restrictive interventions</w:t>
        </w:r>
        <w:r w:rsidR="004201A6">
          <w:rPr>
            <w:webHidden/>
          </w:rPr>
          <w:tab/>
        </w:r>
        <w:r w:rsidR="004201A6">
          <w:rPr>
            <w:webHidden/>
          </w:rPr>
          <w:fldChar w:fldCharType="begin"/>
        </w:r>
        <w:r w:rsidR="004201A6">
          <w:rPr>
            <w:webHidden/>
          </w:rPr>
          <w:instrText xml:space="preserve"> PAGEREF _Toc86347190 \h </w:instrText>
        </w:r>
        <w:r w:rsidR="004201A6">
          <w:rPr>
            <w:webHidden/>
          </w:rPr>
        </w:r>
        <w:r w:rsidR="004201A6">
          <w:rPr>
            <w:webHidden/>
          </w:rPr>
          <w:fldChar w:fldCharType="separate"/>
        </w:r>
        <w:r w:rsidR="004201A6">
          <w:rPr>
            <w:webHidden/>
          </w:rPr>
          <w:t>30</w:t>
        </w:r>
        <w:r w:rsidR="004201A6">
          <w:rPr>
            <w:webHidden/>
          </w:rPr>
          <w:fldChar w:fldCharType="end"/>
        </w:r>
      </w:hyperlink>
    </w:p>
    <w:p w14:paraId="3B700D74" w14:textId="7F1C0B29" w:rsidR="004201A6" w:rsidRDefault="00270E45">
      <w:pPr>
        <w:pStyle w:val="TOC1"/>
        <w:rPr>
          <w:rFonts w:asciiTheme="minorHAnsi" w:eastAsiaTheme="minorEastAsia" w:hAnsiTheme="minorHAnsi" w:cstheme="minorBidi"/>
          <w:b w:val="0"/>
          <w:sz w:val="22"/>
          <w:szCs w:val="22"/>
          <w:lang w:eastAsia="en-AU"/>
        </w:rPr>
      </w:pPr>
      <w:hyperlink w:anchor="_Toc86347191" w:history="1">
        <w:r w:rsidR="004201A6" w:rsidRPr="00320DCF">
          <w:rPr>
            <w:rStyle w:val="Hyperlink"/>
          </w:rPr>
          <w:t xml:space="preserve">3. A final word: </w:t>
        </w:r>
        <w:r w:rsidR="004201A6" w:rsidRPr="00320DCF">
          <w:rPr>
            <w:rStyle w:val="Hyperlink"/>
            <w:lang w:eastAsia="en-AU"/>
          </w:rPr>
          <w:t>lived experience and the OCP in the future system</w:t>
        </w:r>
        <w:r w:rsidR="004201A6">
          <w:rPr>
            <w:webHidden/>
          </w:rPr>
          <w:tab/>
        </w:r>
        <w:r w:rsidR="004201A6">
          <w:rPr>
            <w:webHidden/>
          </w:rPr>
          <w:fldChar w:fldCharType="begin"/>
        </w:r>
        <w:r w:rsidR="004201A6">
          <w:rPr>
            <w:webHidden/>
          </w:rPr>
          <w:instrText xml:space="preserve"> PAGEREF _Toc86347191 \h </w:instrText>
        </w:r>
        <w:r w:rsidR="004201A6">
          <w:rPr>
            <w:webHidden/>
          </w:rPr>
        </w:r>
        <w:r w:rsidR="004201A6">
          <w:rPr>
            <w:webHidden/>
          </w:rPr>
          <w:fldChar w:fldCharType="separate"/>
        </w:r>
        <w:r w:rsidR="004201A6">
          <w:rPr>
            <w:webHidden/>
          </w:rPr>
          <w:t>33</w:t>
        </w:r>
        <w:r w:rsidR="004201A6">
          <w:rPr>
            <w:webHidden/>
          </w:rPr>
          <w:fldChar w:fldCharType="end"/>
        </w:r>
      </w:hyperlink>
    </w:p>
    <w:p w14:paraId="54C0EE16" w14:textId="5C83E06F" w:rsidR="004201A6" w:rsidRDefault="00270E45">
      <w:pPr>
        <w:pStyle w:val="TOC2"/>
        <w:rPr>
          <w:rFonts w:asciiTheme="minorHAnsi" w:eastAsiaTheme="minorEastAsia" w:hAnsiTheme="minorHAnsi" w:cstheme="minorBidi"/>
          <w:sz w:val="22"/>
          <w:szCs w:val="22"/>
          <w:lang w:eastAsia="en-AU"/>
        </w:rPr>
      </w:pPr>
      <w:hyperlink w:anchor="_Toc86347192" w:history="1">
        <w:r w:rsidR="004201A6" w:rsidRPr="00320DCF">
          <w:rPr>
            <w:rStyle w:val="Hyperlink"/>
          </w:rPr>
          <w:t>Feedback on this report</w:t>
        </w:r>
        <w:r w:rsidR="004201A6">
          <w:rPr>
            <w:webHidden/>
          </w:rPr>
          <w:tab/>
        </w:r>
        <w:r w:rsidR="004201A6">
          <w:rPr>
            <w:webHidden/>
          </w:rPr>
          <w:fldChar w:fldCharType="begin"/>
        </w:r>
        <w:r w:rsidR="004201A6">
          <w:rPr>
            <w:webHidden/>
          </w:rPr>
          <w:instrText xml:space="preserve"> PAGEREF _Toc86347192 \h </w:instrText>
        </w:r>
        <w:r w:rsidR="004201A6">
          <w:rPr>
            <w:webHidden/>
          </w:rPr>
        </w:r>
        <w:r w:rsidR="004201A6">
          <w:rPr>
            <w:webHidden/>
          </w:rPr>
          <w:fldChar w:fldCharType="separate"/>
        </w:r>
        <w:r w:rsidR="004201A6">
          <w:rPr>
            <w:webHidden/>
          </w:rPr>
          <w:t>34</w:t>
        </w:r>
        <w:r w:rsidR="004201A6">
          <w:rPr>
            <w:webHidden/>
          </w:rPr>
          <w:fldChar w:fldCharType="end"/>
        </w:r>
      </w:hyperlink>
    </w:p>
    <w:p w14:paraId="087A9EC2" w14:textId="08B9CF1E" w:rsidR="004201A6" w:rsidRDefault="00270E45">
      <w:pPr>
        <w:pStyle w:val="TOC2"/>
        <w:rPr>
          <w:rFonts w:asciiTheme="minorHAnsi" w:eastAsiaTheme="minorEastAsia" w:hAnsiTheme="minorHAnsi" w:cstheme="minorBidi"/>
          <w:sz w:val="22"/>
          <w:szCs w:val="22"/>
          <w:lang w:eastAsia="en-AU"/>
        </w:rPr>
      </w:pPr>
      <w:hyperlink w:anchor="_Toc86347193" w:history="1">
        <w:r w:rsidR="004201A6" w:rsidRPr="00320DCF">
          <w:rPr>
            <w:rStyle w:val="Hyperlink"/>
            <w:bCs/>
          </w:rPr>
          <w:t>Notes on data</w:t>
        </w:r>
        <w:r w:rsidR="004201A6">
          <w:rPr>
            <w:webHidden/>
          </w:rPr>
          <w:tab/>
        </w:r>
        <w:r w:rsidR="004201A6">
          <w:rPr>
            <w:webHidden/>
          </w:rPr>
          <w:fldChar w:fldCharType="begin"/>
        </w:r>
        <w:r w:rsidR="004201A6">
          <w:rPr>
            <w:webHidden/>
          </w:rPr>
          <w:instrText xml:space="preserve"> PAGEREF _Toc86347193 \h </w:instrText>
        </w:r>
        <w:r w:rsidR="004201A6">
          <w:rPr>
            <w:webHidden/>
          </w:rPr>
        </w:r>
        <w:r w:rsidR="004201A6">
          <w:rPr>
            <w:webHidden/>
          </w:rPr>
          <w:fldChar w:fldCharType="separate"/>
        </w:r>
        <w:r w:rsidR="004201A6">
          <w:rPr>
            <w:webHidden/>
          </w:rPr>
          <w:t>34</w:t>
        </w:r>
        <w:r w:rsidR="004201A6">
          <w:rPr>
            <w:webHidden/>
          </w:rPr>
          <w:fldChar w:fldCharType="end"/>
        </w:r>
      </w:hyperlink>
    </w:p>
    <w:p w14:paraId="3C7A79F1" w14:textId="63292701" w:rsidR="00436843" w:rsidRPr="003072C6" w:rsidRDefault="00436843" w:rsidP="00436843">
      <w:pPr>
        <w:pStyle w:val="TOC2"/>
        <w:rPr>
          <w:noProof w:val="0"/>
        </w:rPr>
      </w:pPr>
      <w:r w:rsidRPr="003072C6">
        <w:rPr>
          <w:noProof w:val="0"/>
        </w:rPr>
        <w:fldChar w:fldCharType="end"/>
      </w:r>
    </w:p>
    <w:p w14:paraId="710A531B" w14:textId="77777777" w:rsidR="00436843" w:rsidRDefault="00436843" w:rsidP="00563C62">
      <w:pPr>
        <w:pStyle w:val="Body"/>
        <w:rPr>
          <w:color w:val="004EA8"/>
          <w:sz w:val="44"/>
          <w:szCs w:val="44"/>
        </w:rPr>
      </w:pPr>
      <w:r>
        <w:br w:type="page"/>
      </w:r>
    </w:p>
    <w:p w14:paraId="3AFD860F" w14:textId="41A4F9A7" w:rsidR="00381B2F" w:rsidRDefault="00381B2F" w:rsidP="00381B2F">
      <w:pPr>
        <w:pStyle w:val="Heading1"/>
        <w:rPr>
          <w:rFonts w:eastAsia="Calibri Light"/>
        </w:rPr>
      </w:pPr>
      <w:bookmarkStart w:id="9" w:name="_Toc86347173"/>
      <w:r w:rsidRPr="484CF834">
        <w:rPr>
          <w:rFonts w:eastAsia="Calibri Light"/>
        </w:rPr>
        <w:lastRenderedPageBreak/>
        <w:t>Overview</w:t>
      </w:r>
      <w:bookmarkEnd w:id="8"/>
      <w:bookmarkEnd w:id="9"/>
      <w:r w:rsidRPr="484CF834">
        <w:rPr>
          <w:rFonts w:eastAsia="Calibri Light"/>
        </w:rPr>
        <w:t xml:space="preserve"> </w:t>
      </w:r>
    </w:p>
    <w:p w14:paraId="2B0CC4F8" w14:textId="58AB2735" w:rsidR="00381B2F" w:rsidRPr="00381B2F" w:rsidRDefault="00381B2F" w:rsidP="00381B2F">
      <w:pPr>
        <w:pStyle w:val="Heading2"/>
      </w:pPr>
      <w:bookmarkStart w:id="10" w:name="_Toc52886232"/>
      <w:bookmarkStart w:id="11" w:name="_Toc86347174"/>
      <w:r w:rsidRPr="00381B2F">
        <w:rPr>
          <w:rStyle w:val="Heading3Char"/>
          <w:bCs w:val="0"/>
          <w:sz w:val="28"/>
          <w:szCs w:val="28"/>
        </w:rPr>
        <w:t>Aims of the report</w:t>
      </w:r>
      <w:bookmarkEnd w:id="10"/>
      <w:bookmarkEnd w:id="11"/>
    </w:p>
    <w:p w14:paraId="23ED1791" w14:textId="77777777" w:rsidR="00381B2F" w:rsidRDefault="00381B2F" w:rsidP="00563C62">
      <w:pPr>
        <w:pStyle w:val="Body"/>
        <w:rPr>
          <w:lang w:val="en-US"/>
        </w:rPr>
      </w:pPr>
      <w:r w:rsidRPr="00F04593">
        <w:rPr>
          <w:lang w:val="en-US"/>
        </w:rPr>
        <w:t xml:space="preserve">The aims of this annual report are to: </w:t>
      </w:r>
    </w:p>
    <w:p w14:paraId="59ADD55D" w14:textId="4738C2C7" w:rsidR="00381B2F" w:rsidRPr="008F76E3" w:rsidRDefault="00381B2F" w:rsidP="00563C62">
      <w:pPr>
        <w:pStyle w:val="Bullet1"/>
      </w:pPr>
      <w:r w:rsidRPr="00F04593">
        <w:t>inform mental health consumers, carers, service providers and members of the public about the activities of the Office of the Chief Psychiatrist (OCP) in the 20</w:t>
      </w:r>
      <w:r w:rsidR="00C75BBC">
        <w:t>20</w:t>
      </w:r>
      <w:r w:rsidRPr="00F04593">
        <w:t>–</w:t>
      </w:r>
      <w:r w:rsidR="00B9460F">
        <w:t>2</w:t>
      </w:r>
      <w:r w:rsidR="00C75BBC">
        <w:t>1</w:t>
      </w:r>
      <w:r w:rsidRPr="00F04593">
        <w:t xml:space="preserve"> financial year </w:t>
      </w:r>
    </w:p>
    <w:p w14:paraId="7CDF39C2" w14:textId="3810B6AC" w:rsidR="00381B2F" w:rsidRDefault="00381B2F" w:rsidP="00563C62">
      <w:pPr>
        <w:pStyle w:val="Bullet1"/>
      </w:pPr>
      <w:r w:rsidRPr="00F04593">
        <w:t xml:space="preserve">provide information about specific clinical practices that must be reported by health services to </w:t>
      </w:r>
      <w:r w:rsidR="00221C07">
        <w:t>t</w:t>
      </w:r>
      <w:r w:rsidRPr="00F04593">
        <w:t>he</w:t>
      </w:r>
      <w:r w:rsidRPr="008F76E3">
        <w:t xml:space="preserve"> </w:t>
      </w:r>
      <w:r w:rsidRPr="00F04593">
        <w:t xml:space="preserve">Chief Psychiatrist under the </w:t>
      </w:r>
      <w:r w:rsidRPr="00F04593">
        <w:rPr>
          <w:i/>
          <w:iCs/>
        </w:rPr>
        <w:t>Mental Health Act 2014</w:t>
      </w:r>
      <w:r w:rsidRPr="008F76E3">
        <w:t xml:space="preserve"> </w:t>
      </w:r>
    </w:p>
    <w:p w14:paraId="1AB7B3AD" w14:textId="6053BBD4" w:rsidR="00381B2F" w:rsidRDefault="00381B2F" w:rsidP="00563C62">
      <w:pPr>
        <w:pStyle w:val="Bullet1"/>
      </w:pPr>
      <w:r w:rsidRPr="00F04593">
        <w:t>contribute to ongoing improvement in the quality and safety of Victoria’s mental health services.</w:t>
      </w:r>
      <w:r w:rsidR="0057779F">
        <w:t xml:space="preserve"> </w:t>
      </w:r>
    </w:p>
    <w:p w14:paraId="5BED59AF" w14:textId="7C76D6ED" w:rsidR="00381B2F" w:rsidRPr="00381B2F" w:rsidRDefault="00381B2F" w:rsidP="00381B2F">
      <w:pPr>
        <w:pStyle w:val="Heading2"/>
      </w:pPr>
      <w:bookmarkStart w:id="12" w:name="_Toc52886233"/>
      <w:bookmarkStart w:id="13" w:name="_Toc86347175"/>
      <w:r w:rsidRPr="00381B2F">
        <w:rPr>
          <w:rStyle w:val="Heading3Char"/>
          <w:bCs w:val="0"/>
          <w:sz w:val="28"/>
          <w:szCs w:val="28"/>
        </w:rPr>
        <w:t>Statutory framework and role of the Chief Psychiatrist</w:t>
      </w:r>
      <w:bookmarkEnd w:id="12"/>
      <w:bookmarkEnd w:id="13"/>
    </w:p>
    <w:p w14:paraId="3B966BDC" w14:textId="3043195F" w:rsidR="00381B2F" w:rsidRDefault="00381B2F" w:rsidP="00563C62">
      <w:pPr>
        <w:pStyle w:val="Body"/>
        <w:rPr>
          <w:lang w:val="en-US"/>
        </w:rPr>
      </w:pPr>
      <w:r w:rsidRPr="00F04593">
        <w:rPr>
          <w:lang w:val="en-US"/>
        </w:rPr>
        <w:t xml:space="preserve">The </w:t>
      </w:r>
      <w:r w:rsidRPr="00674FB8">
        <w:rPr>
          <w:i/>
          <w:iCs/>
          <w:lang w:val="en-US"/>
        </w:rPr>
        <w:t>Mental Health Act</w:t>
      </w:r>
      <w:r w:rsidR="00EC7768" w:rsidRPr="00674FB8">
        <w:rPr>
          <w:i/>
          <w:iCs/>
          <w:lang w:val="en-US"/>
        </w:rPr>
        <w:t xml:space="preserve"> 2014</w:t>
      </w:r>
      <w:r w:rsidR="0018729D" w:rsidRPr="000D61B6">
        <w:rPr>
          <w:i/>
          <w:iCs/>
          <w:lang w:val="en-US"/>
        </w:rPr>
        <w:t xml:space="preserve"> </w:t>
      </w:r>
      <w:r w:rsidRPr="00F04593">
        <w:rPr>
          <w:lang w:val="en-US"/>
        </w:rPr>
        <w:t>aims to improve the treatment experiences of people with a mental illness by actively involving and supporting them, and their families and carers, in making decisions about their</w:t>
      </w:r>
      <w:r>
        <w:rPr>
          <w:lang w:val="en-US"/>
        </w:rPr>
        <w:t xml:space="preserve"> </w:t>
      </w:r>
      <w:r w:rsidRPr="00F04593">
        <w:rPr>
          <w:lang w:val="en-US"/>
        </w:rPr>
        <w:t>treatment and exercising their rights.</w:t>
      </w:r>
      <w:r w:rsidR="0057779F">
        <w:rPr>
          <w:lang w:val="en-US"/>
        </w:rPr>
        <w:t xml:space="preserve"> </w:t>
      </w:r>
    </w:p>
    <w:p w14:paraId="14B4B63C" w14:textId="77777777" w:rsidR="00381B2F" w:rsidRPr="00892ED8" w:rsidRDefault="00381B2F" w:rsidP="00563C62">
      <w:pPr>
        <w:pStyle w:val="Body"/>
      </w:pPr>
      <w:r w:rsidRPr="00892ED8">
        <w:t xml:space="preserve">The Act has several core principles and objectives including that: </w:t>
      </w:r>
    </w:p>
    <w:p w14:paraId="73BFD111" w14:textId="77777777" w:rsidR="00381B2F" w:rsidRPr="008F76E3" w:rsidRDefault="00381B2F" w:rsidP="00563C62">
      <w:pPr>
        <w:pStyle w:val="Bullet1"/>
      </w:pPr>
      <w:r w:rsidRPr="00F04593">
        <w:t xml:space="preserve">assessment and treatment are provided in the least intrusive and restrictive way </w:t>
      </w:r>
    </w:p>
    <w:p w14:paraId="20C47F00" w14:textId="77777777" w:rsidR="00381B2F" w:rsidRPr="008F76E3" w:rsidRDefault="00381B2F" w:rsidP="00563C62">
      <w:pPr>
        <w:pStyle w:val="Bullet1"/>
      </w:pPr>
      <w:r w:rsidRPr="00F04593">
        <w:t xml:space="preserve">people are supported to make and participate in decisions about their assessment, treatment and recovery </w:t>
      </w:r>
    </w:p>
    <w:p w14:paraId="2D48E65D" w14:textId="77777777" w:rsidR="00381B2F" w:rsidRPr="008F76E3" w:rsidRDefault="00381B2F" w:rsidP="00563C62">
      <w:pPr>
        <w:pStyle w:val="Bullet1"/>
      </w:pPr>
      <w:r w:rsidRPr="00F04593">
        <w:t xml:space="preserve">individuals’ rights, dignity and autonomy are protected and promoted at all times </w:t>
      </w:r>
    </w:p>
    <w:p w14:paraId="60BA3C93" w14:textId="77777777" w:rsidR="00381B2F" w:rsidRPr="008F76E3" w:rsidRDefault="00381B2F" w:rsidP="00563C62">
      <w:pPr>
        <w:pStyle w:val="Bullet1"/>
      </w:pPr>
      <w:r w:rsidRPr="00F04593">
        <w:t>priority is given to holistic care and support options that are responsive to individual needs</w:t>
      </w:r>
    </w:p>
    <w:p w14:paraId="63B2B57B" w14:textId="77777777" w:rsidR="00381B2F" w:rsidRPr="008F76E3" w:rsidRDefault="00381B2F" w:rsidP="00563C62">
      <w:pPr>
        <w:pStyle w:val="Bullet1"/>
      </w:pPr>
      <w:r w:rsidRPr="00F04593">
        <w:t xml:space="preserve">the wellbeing and safety of children and young people are protected and prioritised </w:t>
      </w:r>
    </w:p>
    <w:p w14:paraId="59E926F8" w14:textId="77777777" w:rsidR="00381B2F" w:rsidRDefault="00381B2F" w:rsidP="00563C62">
      <w:pPr>
        <w:pStyle w:val="Bullet1"/>
        <w:rPr>
          <w:lang w:val="en-US"/>
        </w:rPr>
      </w:pPr>
      <w:r w:rsidRPr="00F04593">
        <w:t>carers are recognised</w:t>
      </w:r>
      <w:r w:rsidRPr="00F04593">
        <w:rPr>
          <w:lang w:val="en-US"/>
        </w:rPr>
        <w:t xml:space="preserve"> and supported in decisions about treatment and care. </w:t>
      </w:r>
    </w:p>
    <w:p w14:paraId="7CE7841D" w14:textId="2B55A5C5" w:rsidR="00381B2F" w:rsidRPr="0032154F" w:rsidRDefault="00381B2F" w:rsidP="0032154F">
      <w:pPr>
        <w:pStyle w:val="Bodyafterbullets"/>
      </w:pPr>
      <w:bookmarkStart w:id="14" w:name="_Toc52886234"/>
      <w:r w:rsidRPr="0032154F">
        <w:rPr>
          <w:rStyle w:val="Heading3Char"/>
          <w:rFonts w:eastAsia="Times"/>
          <w:bCs w:val="0"/>
          <w:sz w:val="21"/>
          <w:szCs w:val="21"/>
        </w:rPr>
        <w:t xml:space="preserve">Under s. 119 of the Act, the Secretary </w:t>
      </w:r>
      <w:r w:rsidR="00612485" w:rsidRPr="0032154F">
        <w:rPr>
          <w:rStyle w:val="Heading3Char"/>
          <w:rFonts w:eastAsia="Times"/>
          <w:bCs w:val="0"/>
          <w:sz w:val="21"/>
          <w:szCs w:val="21"/>
        </w:rPr>
        <w:t>of</w:t>
      </w:r>
      <w:r w:rsidRPr="0032154F">
        <w:rPr>
          <w:rStyle w:val="Heading3Char"/>
          <w:rFonts w:eastAsia="Times"/>
          <w:bCs w:val="0"/>
          <w:sz w:val="21"/>
          <w:szCs w:val="21"/>
        </w:rPr>
        <w:t xml:space="preserve"> the Department of Health (</w:t>
      </w:r>
      <w:r w:rsidR="002B14AA" w:rsidRPr="0032154F">
        <w:rPr>
          <w:rStyle w:val="Heading3Char"/>
          <w:rFonts w:eastAsia="Times"/>
          <w:bCs w:val="0"/>
          <w:sz w:val="21"/>
          <w:szCs w:val="21"/>
        </w:rPr>
        <w:t>formerly ‘</w:t>
      </w:r>
      <w:r w:rsidR="0049278C" w:rsidRPr="0032154F">
        <w:rPr>
          <w:rStyle w:val="Heading3Char"/>
          <w:rFonts w:eastAsia="Times"/>
          <w:bCs w:val="0"/>
          <w:sz w:val="21"/>
          <w:szCs w:val="21"/>
        </w:rPr>
        <w:t>Department of Health and Human Services’</w:t>
      </w:r>
      <w:r w:rsidR="003A0997" w:rsidRPr="0032154F">
        <w:rPr>
          <w:rStyle w:val="Heading3Char"/>
          <w:rFonts w:eastAsia="Times"/>
          <w:bCs w:val="0"/>
          <w:sz w:val="21"/>
          <w:szCs w:val="21"/>
        </w:rPr>
        <w:t xml:space="preserve">; </w:t>
      </w:r>
      <w:r w:rsidR="006F55A8" w:rsidRPr="0032154F">
        <w:rPr>
          <w:rStyle w:val="Heading3Char"/>
          <w:rFonts w:eastAsia="Times"/>
          <w:bCs w:val="0"/>
          <w:sz w:val="21"/>
          <w:szCs w:val="21"/>
        </w:rPr>
        <w:t>abbreviated</w:t>
      </w:r>
      <w:r w:rsidR="003A0997" w:rsidRPr="0032154F">
        <w:rPr>
          <w:rStyle w:val="Heading3Char"/>
          <w:rFonts w:eastAsia="Times"/>
          <w:bCs w:val="0"/>
          <w:sz w:val="21"/>
          <w:szCs w:val="21"/>
        </w:rPr>
        <w:t xml:space="preserve"> as </w:t>
      </w:r>
      <w:r w:rsidRPr="0032154F">
        <w:rPr>
          <w:rStyle w:val="Heading3Char"/>
          <w:rFonts w:eastAsia="Times"/>
          <w:bCs w:val="0"/>
          <w:sz w:val="21"/>
          <w:szCs w:val="21"/>
        </w:rPr>
        <w:t xml:space="preserve">‘the </w:t>
      </w:r>
      <w:r w:rsidR="00ED205E">
        <w:rPr>
          <w:rStyle w:val="Heading3Char"/>
          <w:rFonts w:eastAsia="Times"/>
          <w:bCs w:val="0"/>
          <w:sz w:val="21"/>
          <w:szCs w:val="21"/>
        </w:rPr>
        <w:t>d</w:t>
      </w:r>
      <w:r w:rsidRPr="0032154F">
        <w:rPr>
          <w:rStyle w:val="Heading3Char"/>
          <w:rFonts w:eastAsia="Times"/>
          <w:bCs w:val="0"/>
          <w:sz w:val="21"/>
          <w:szCs w:val="21"/>
        </w:rPr>
        <w:t>epartment’</w:t>
      </w:r>
      <w:r w:rsidR="003A0997" w:rsidRPr="0032154F">
        <w:rPr>
          <w:rStyle w:val="Heading3Char"/>
          <w:rFonts w:eastAsia="Times"/>
          <w:bCs w:val="0"/>
          <w:sz w:val="21"/>
          <w:szCs w:val="21"/>
        </w:rPr>
        <w:t xml:space="preserve"> hereon</w:t>
      </w:r>
      <w:r w:rsidRPr="0032154F">
        <w:rPr>
          <w:rStyle w:val="Heading3Char"/>
          <w:rFonts w:eastAsia="Times"/>
          <w:bCs w:val="0"/>
          <w:sz w:val="21"/>
          <w:szCs w:val="21"/>
        </w:rPr>
        <w:t>) can appoint a Chief Psychiatrist. The role of the Chief Psychiatrist, as described in s. 120 of the Act, is to:</w:t>
      </w:r>
      <w:bookmarkEnd w:id="14"/>
      <w:r w:rsidRPr="0032154F">
        <w:t xml:space="preserve"> </w:t>
      </w:r>
    </w:p>
    <w:p w14:paraId="58C43AE7" w14:textId="598965E2" w:rsidR="00381B2F" w:rsidRPr="008F76E3" w:rsidRDefault="00381B2F" w:rsidP="00563C62">
      <w:pPr>
        <w:pStyle w:val="Bullet1"/>
      </w:pPr>
      <w:r w:rsidRPr="00F04593">
        <w:t>provide clinical leadership and expert clinical advice to mental health service providers</w:t>
      </w:r>
    </w:p>
    <w:p w14:paraId="7B149F2F" w14:textId="77777777" w:rsidR="00381B2F" w:rsidRPr="008F76E3" w:rsidRDefault="00381B2F" w:rsidP="00563C62">
      <w:pPr>
        <w:pStyle w:val="Bullet1"/>
      </w:pPr>
      <w:r w:rsidRPr="00F04593">
        <w:t xml:space="preserve">promote continuous improvement in the quality and safety of mental health services </w:t>
      </w:r>
    </w:p>
    <w:p w14:paraId="612BC429" w14:textId="77777777" w:rsidR="00381B2F" w:rsidRPr="008F76E3" w:rsidRDefault="00381B2F" w:rsidP="00563C62">
      <w:pPr>
        <w:pStyle w:val="Bullet1"/>
      </w:pPr>
      <w:r w:rsidRPr="00F04593">
        <w:t xml:space="preserve">promote the rights of people receiving mental health services </w:t>
      </w:r>
    </w:p>
    <w:p w14:paraId="67113CEC" w14:textId="0EE49463" w:rsidR="00381B2F" w:rsidRDefault="00381B2F" w:rsidP="00563C62">
      <w:pPr>
        <w:pStyle w:val="Bullet1"/>
      </w:pPr>
      <w:r w:rsidRPr="00F04593">
        <w:t xml:space="preserve">provide advice to the designated minister and the departmental Secretary about mental health </w:t>
      </w:r>
      <w:r w:rsidRPr="00397F78">
        <w:t>services</w:t>
      </w:r>
      <w:r w:rsidRPr="00F04593">
        <w:t>.</w:t>
      </w:r>
      <w:r w:rsidR="0057779F">
        <w:t xml:space="preserve"> </w:t>
      </w:r>
    </w:p>
    <w:p w14:paraId="10766F9E" w14:textId="0FC52E3E" w:rsidR="00381B2F" w:rsidRPr="00F04593" w:rsidRDefault="00381B2F" w:rsidP="0032154F">
      <w:pPr>
        <w:pStyle w:val="Bodyafterbullets"/>
        <w:rPr>
          <w:lang w:val="en-US"/>
        </w:rPr>
      </w:pPr>
      <w:r w:rsidRPr="00F04593">
        <w:rPr>
          <w:lang w:val="en-US"/>
        </w:rPr>
        <w:t>Under the Act, ‘mental health service providers’ are designated mental health services (often public or denominational hospitals) and publicly funded mental health community support services. Often referred to jointly as ‘public mental health services’, these services include a range of hospital and</w:t>
      </w:r>
      <w:r>
        <w:rPr>
          <w:lang w:val="en-US"/>
        </w:rPr>
        <w:t xml:space="preserve"> </w:t>
      </w:r>
      <w:r w:rsidRPr="00F04593">
        <w:rPr>
          <w:lang w:val="en-US"/>
        </w:rPr>
        <w:t xml:space="preserve">community-based clinical mental health services and the Victorian Institute of Forensic Mental Health (known as ‘Forensicare’). More information about the Mental Health Act and how it relates to the role of the Chief Psychiatrist can be found on </w:t>
      </w:r>
      <w:hyperlink r:id="rId16" w:history="1">
        <w:r w:rsidR="00EE5025" w:rsidRPr="00433C13">
          <w:rPr>
            <w:rStyle w:val="Hyperlink"/>
            <w:lang w:val="en-US"/>
          </w:rPr>
          <w:t xml:space="preserve">the </w:t>
        </w:r>
        <w:r w:rsidR="00ED205E">
          <w:rPr>
            <w:rStyle w:val="Hyperlink"/>
            <w:lang w:val="en-US"/>
          </w:rPr>
          <w:t>d</w:t>
        </w:r>
        <w:r w:rsidR="00EE5025" w:rsidRPr="00433C13">
          <w:rPr>
            <w:rStyle w:val="Hyperlink"/>
            <w:lang w:val="en-US"/>
          </w:rPr>
          <w:t>epartment’s website</w:t>
        </w:r>
      </w:hyperlink>
      <w:r w:rsidRPr="00F04593">
        <w:rPr>
          <w:lang w:val="en-US"/>
        </w:rPr>
        <w:t xml:space="preserve"> </w:t>
      </w:r>
      <w:r w:rsidR="00500664">
        <w:rPr>
          <w:lang w:val="en-US"/>
        </w:rPr>
        <w:t>&lt;</w:t>
      </w:r>
      <w:r w:rsidR="00500664" w:rsidRPr="00C969CA">
        <w:t>https://www2.health.vic.gov.au/about/key-staff/chief-psychiatrist</w:t>
      </w:r>
      <w:r w:rsidR="00500664">
        <w:rPr>
          <w:lang w:val="en-US"/>
        </w:rPr>
        <w:t>&gt;</w:t>
      </w:r>
      <w:r w:rsidRPr="00F04593">
        <w:rPr>
          <w:lang w:val="en-US"/>
        </w:rPr>
        <w:t>.</w:t>
      </w:r>
      <w:r w:rsidR="0057779F">
        <w:rPr>
          <w:lang w:val="en-US"/>
        </w:rPr>
        <w:t xml:space="preserve"> </w:t>
      </w:r>
    </w:p>
    <w:p w14:paraId="4E9E4CAA" w14:textId="77777777" w:rsidR="006B3F7E" w:rsidRDefault="006B3F7E">
      <w:pPr>
        <w:rPr>
          <w:rFonts w:ascii="Arial" w:hAnsi="Arial"/>
          <w:b/>
          <w:color w:val="004EA8"/>
          <w:sz w:val="32"/>
          <w:szCs w:val="28"/>
          <w:lang w:val="en-US"/>
        </w:rPr>
      </w:pPr>
      <w:bookmarkStart w:id="15" w:name="_Toc52886235"/>
      <w:r>
        <w:rPr>
          <w:lang w:val="en-US"/>
        </w:rPr>
        <w:br w:type="page"/>
      </w:r>
    </w:p>
    <w:p w14:paraId="2AA4B4DA" w14:textId="18715388" w:rsidR="00381B2F" w:rsidRPr="00CB452A" w:rsidRDefault="00381B2F" w:rsidP="00381B2F">
      <w:pPr>
        <w:pStyle w:val="Heading2"/>
        <w:rPr>
          <w:color w:val="FF0000"/>
          <w:lang w:val="en-US"/>
        </w:rPr>
      </w:pPr>
      <w:bookmarkStart w:id="16" w:name="_Toc86347176"/>
      <w:r w:rsidRPr="00F04593">
        <w:rPr>
          <w:lang w:val="en-US"/>
        </w:rPr>
        <w:lastRenderedPageBreak/>
        <w:t>Functions of the Chief Psychiatrist</w:t>
      </w:r>
      <w:bookmarkEnd w:id="15"/>
      <w:bookmarkEnd w:id="16"/>
    </w:p>
    <w:p w14:paraId="0BBAC85E" w14:textId="14B7A3EE" w:rsidR="00381B2F" w:rsidRDefault="00381B2F" w:rsidP="00563C62">
      <w:pPr>
        <w:pStyle w:val="Body"/>
        <w:rPr>
          <w:lang w:val="en-US"/>
        </w:rPr>
      </w:pPr>
      <w:r w:rsidRPr="00F04593">
        <w:rPr>
          <w:lang w:val="en-US"/>
        </w:rPr>
        <w:t xml:space="preserve">The Chief Psychiatrist provides system-wide oversight of Victoria’s public mental health services. Supported by the OCP, the role promotes quality and safety in services </w:t>
      </w:r>
      <w:r w:rsidR="00751A64">
        <w:rPr>
          <w:lang w:val="en-US"/>
        </w:rPr>
        <w:t xml:space="preserve">that are </w:t>
      </w:r>
      <w:r w:rsidRPr="00F04593">
        <w:rPr>
          <w:lang w:val="en-US"/>
        </w:rPr>
        <w:t xml:space="preserve">provided to some of </w:t>
      </w:r>
      <w:r w:rsidR="000846DB">
        <w:rPr>
          <w:lang w:val="en-US"/>
        </w:rPr>
        <w:t>the state’s</w:t>
      </w:r>
      <w:r w:rsidR="000846DB" w:rsidRPr="00F04593">
        <w:rPr>
          <w:lang w:val="en-US"/>
        </w:rPr>
        <w:t xml:space="preserve"> </w:t>
      </w:r>
      <w:r w:rsidRPr="00F04593">
        <w:rPr>
          <w:lang w:val="en-US"/>
        </w:rPr>
        <w:t xml:space="preserve">most vulnerable people. The functions of the Chief Psychiatrist, as summarised under s. 121 of the Act, are to: </w:t>
      </w:r>
    </w:p>
    <w:p w14:paraId="17A58855" w14:textId="77777777" w:rsidR="00381B2F" w:rsidRPr="00F04593" w:rsidRDefault="00381B2F" w:rsidP="00563C62">
      <w:pPr>
        <w:pStyle w:val="Bullet1"/>
      </w:pPr>
      <w:r w:rsidRPr="00F04593">
        <w:t xml:space="preserve">develop, communicate and assist mental health service providers to comply with standards, guidelines and practice directions </w:t>
      </w:r>
    </w:p>
    <w:p w14:paraId="446BD19C" w14:textId="77777777" w:rsidR="00381B2F" w:rsidRPr="00F04593" w:rsidRDefault="00381B2F" w:rsidP="00563C62">
      <w:pPr>
        <w:pStyle w:val="Bullet1"/>
      </w:pPr>
      <w:r w:rsidRPr="00F04593">
        <w:t xml:space="preserve">develop and provide information or training, and monitor service provision, to promote quality and safety </w:t>
      </w:r>
    </w:p>
    <w:p w14:paraId="7755385E" w14:textId="4C3377AF" w:rsidR="00381B2F" w:rsidRPr="00F04593" w:rsidRDefault="00381B2F" w:rsidP="00563C62">
      <w:pPr>
        <w:pStyle w:val="Bullet1"/>
      </w:pPr>
      <w:r w:rsidRPr="00F04593">
        <w:t xml:space="preserve">assist mental health services to comply with the Act, </w:t>
      </w:r>
      <w:r w:rsidR="00612485">
        <w:t xml:space="preserve">with </w:t>
      </w:r>
      <w:r w:rsidRPr="00F04593">
        <w:t xml:space="preserve">regulations made under the Act and </w:t>
      </w:r>
      <w:r w:rsidR="00612485">
        <w:t xml:space="preserve">with </w:t>
      </w:r>
      <w:r w:rsidRPr="00F04593">
        <w:t xml:space="preserve">codes of practice </w:t>
      </w:r>
    </w:p>
    <w:p w14:paraId="1B60612A" w14:textId="225C280A" w:rsidR="00381B2F" w:rsidRPr="00F04593" w:rsidRDefault="00381B2F" w:rsidP="00563C62">
      <w:pPr>
        <w:pStyle w:val="Bullet1"/>
      </w:pPr>
      <w:r w:rsidRPr="00F04593">
        <w:t xml:space="preserve">conduct clinical practice audits and clinical reviews of mental health service providers and investigations in relation to service provision </w:t>
      </w:r>
    </w:p>
    <w:p w14:paraId="5B7C5B34" w14:textId="4478CBF8" w:rsidR="00381B2F" w:rsidRDefault="00381B2F" w:rsidP="00563C62">
      <w:pPr>
        <w:pStyle w:val="Bullet1"/>
      </w:pPr>
      <w:r w:rsidRPr="00F04593">
        <w:t xml:space="preserve">analyse data, undertake research and publish information about mental health services </w:t>
      </w:r>
    </w:p>
    <w:p w14:paraId="4CC3B6A7" w14:textId="77777777" w:rsidR="00381B2F" w:rsidRPr="00F04593" w:rsidRDefault="00381B2F" w:rsidP="00563C62">
      <w:pPr>
        <w:pStyle w:val="Bullet1"/>
      </w:pPr>
      <w:r w:rsidRPr="00F04593">
        <w:t xml:space="preserve">publish an annual report </w:t>
      </w:r>
    </w:p>
    <w:p w14:paraId="0B42F991" w14:textId="4C8A3342" w:rsidR="00381B2F" w:rsidRPr="00F04593" w:rsidRDefault="00381B2F" w:rsidP="00563C62">
      <w:pPr>
        <w:pStyle w:val="Bullet1"/>
      </w:pPr>
      <w:r w:rsidRPr="00F04593">
        <w:t xml:space="preserve">give directions to mental health service providers </w:t>
      </w:r>
      <w:r w:rsidR="00612485">
        <w:t xml:space="preserve">about </w:t>
      </w:r>
      <w:r w:rsidRPr="00F04593">
        <w:t>service provision</w:t>
      </w:r>
    </w:p>
    <w:p w14:paraId="236CDB70" w14:textId="26987D63" w:rsidR="00381B2F" w:rsidRDefault="00381B2F" w:rsidP="00563C62">
      <w:pPr>
        <w:pStyle w:val="Bullet1"/>
      </w:pPr>
      <w:r w:rsidRPr="00F04593">
        <w:t>promote cooperation and coordination between mental health services and providers of health, disability and community support services.</w:t>
      </w:r>
      <w:r w:rsidR="0057779F">
        <w:t xml:space="preserve"> </w:t>
      </w:r>
    </w:p>
    <w:p w14:paraId="68CB16C1" w14:textId="1A8BB26E" w:rsidR="00381B2F" w:rsidRDefault="00381B2F" w:rsidP="00381B2F">
      <w:pPr>
        <w:pStyle w:val="Heading2"/>
        <w:rPr>
          <w:lang w:val="en-US"/>
        </w:rPr>
      </w:pPr>
      <w:bookmarkStart w:id="17" w:name="_Toc52886236"/>
      <w:bookmarkStart w:id="18" w:name="_Toc86347177"/>
      <w:r w:rsidRPr="00F04593">
        <w:rPr>
          <w:lang w:val="en-US"/>
        </w:rPr>
        <w:t>Office of the Chief Psychiatrist and the Department of Health</w:t>
      </w:r>
      <w:bookmarkEnd w:id="17"/>
      <w:bookmarkEnd w:id="18"/>
    </w:p>
    <w:p w14:paraId="5234DE7A" w14:textId="1F020F69" w:rsidR="00381B2F" w:rsidRDefault="00381B2F" w:rsidP="00563C62">
      <w:pPr>
        <w:pStyle w:val="Body"/>
        <w:rPr>
          <w:lang w:val="en-US"/>
        </w:rPr>
      </w:pPr>
      <w:r w:rsidRPr="00F04593">
        <w:rPr>
          <w:lang w:val="en-US"/>
        </w:rPr>
        <w:t xml:space="preserve">The Act defines the statutory role of the Chief Psychiatrist, who also holds an executive officer role in the </w:t>
      </w:r>
      <w:r w:rsidR="00ED205E">
        <w:rPr>
          <w:lang w:val="en-US"/>
        </w:rPr>
        <w:t>d</w:t>
      </w:r>
      <w:r w:rsidRPr="00F04593">
        <w:rPr>
          <w:lang w:val="en-US"/>
        </w:rPr>
        <w:t>epartment</w:t>
      </w:r>
      <w:r w:rsidR="009159EC">
        <w:rPr>
          <w:lang w:val="en-US"/>
        </w:rPr>
        <w:t>, where they lead</w:t>
      </w:r>
      <w:r w:rsidRPr="00F04593">
        <w:rPr>
          <w:lang w:val="en-US"/>
        </w:rPr>
        <w:t xml:space="preserve"> the OCP.</w:t>
      </w:r>
      <w:r w:rsidR="0057779F">
        <w:rPr>
          <w:lang w:val="en-US"/>
        </w:rPr>
        <w:t xml:space="preserve"> </w:t>
      </w:r>
      <w:r w:rsidRPr="00F04593">
        <w:rPr>
          <w:lang w:val="en-US"/>
        </w:rPr>
        <w:t xml:space="preserve">As the </w:t>
      </w:r>
      <w:r w:rsidR="00ED205E">
        <w:rPr>
          <w:lang w:val="en-US"/>
        </w:rPr>
        <w:t>d</w:t>
      </w:r>
      <w:r w:rsidRPr="00F04593">
        <w:rPr>
          <w:lang w:val="en-US"/>
        </w:rPr>
        <w:t xml:space="preserve">epartment’s quality and safety ‘arm’ in the stewardship of clinical mental health services, the OCP supports the Chief Psychiatrist’s responsibility to provide clinical leadership to the sector. </w:t>
      </w:r>
      <w:r w:rsidRPr="006D2325">
        <w:rPr>
          <w:lang w:val="en-US"/>
        </w:rPr>
        <w:t>The OCP</w:t>
      </w:r>
      <w:r w:rsidRPr="00F04593">
        <w:rPr>
          <w:lang w:val="en-US"/>
        </w:rPr>
        <w:t xml:space="preserve"> undertakes a wide range of activities including:</w:t>
      </w:r>
      <w:r w:rsidR="0057779F">
        <w:rPr>
          <w:lang w:val="en-US"/>
        </w:rPr>
        <w:t xml:space="preserve"> </w:t>
      </w:r>
    </w:p>
    <w:p w14:paraId="5147CB88" w14:textId="77777777" w:rsidR="00381B2F" w:rsidRPr="00F04593" w:rsidRDefault="00381B2F" w:rsidP="00563C62">
      <w:pPr>
        <w:pStyle w:val="Bullet1"/>
      </w:pPr>
      <w:r w:rsidRPr="00F04593">
        <w:t xml:space="preserve">monitoring restrictive and invasive interventions, which include seclusion, restraint and electroconvulsive treatment (ECT) </w:t>
      </w:r>
    </w:p>
    <w:p w14:paraId="4A57F8BF" w14:textId="510E5722" w:rsidR="00381B2F" w:rsidRPr="00F04593" w:rsidRDefault="00381B2F" w:rsidP="00563C62">
      <w:pPr>
        <w:pStyle w:val="Bullet1"/>
      </w:pPr>
      <w:r w:rsidRPr="00F04593">
        <w:t>responding to serious clinical incidents</w:t>
      </w:r>
      <w:r w:rsidR="0057779F">
        <w:t xml:space="preserve"> </w:t>
      </w:r>
    </w:p>
    <w:p w14:paraId="2BEE9726" w14:textId="40106ACE" w:rsidR="00381B2F" w:rsidRPr="00F04593" w:rsidRDefault="00381B2F" w:rsidP="00563C62">
      <w:pPr>
        <w:pStyle w:val="Bullet1"/>
      </w:pPr>
      <w:r w:rsidRPr="00F04593">
        <w:t>working with mental health and other service providers to improve care for individual consumers</w:t>
      </w:r>
      <w:r w:rsidR="0057779F">
        <w:t xml:space="preserve"> </w:t>
      </w:r>
    </w:p>
    <w:p w14:paraId="7B294586" w14:textId="77777777" w:rsidR="00381B2F" w:rsidRDefault="00381B2F" w:rsidP="00563C62">
      <w:pPr>
        <w:pStyle w:val="Bullet1"/>
      </w:pPr>
      <w:r w:rsidRPr="00F04593">
        <w:t>helping to embed new practices and models of care.</w:t>
      </w:r>
    </w:p>
    <w:p w14:paraId="02A621C1" w14:textId="6B3B30BB" w:rsidR="00381B2F" w:rsidRPr="002B020F" w:rsidRDefault="00381B2F" w:rsidP="0032154F">
      <w:pPr>
        <w:pStyle w:val="Bodyafterbullets"/>
        <w:rPr>
          <w:highlight w:val="yellow"/>
          <w:lang w:val="en-US"/>
        </w:rPr>
      </w:pPr>
      <w:r w:rsidRPr="00F01940">
        <w:rPr>
          <w:lang w:val="en-US"/>
        </w:rPr>
        <w:t xml:space="preserve">The Chief Mental Health Nurse is an executive officer who leads the Office of the Chief Mental Health Nurse </w:t>
      </w:r>
      <w:r w:rsidR="00BF3C21">
        <w:rPr>
          <w:lang w:val="en-US"/>
        </w:rPr>
        <w:t xml:space="preserve">(OCMHN) </w:t>
      </w:r>
      <w:r w:rsidRPr="00F01940">
        <w:rPr>
          <w:lang w:val="en-US"/>
        </w:rPr>
        <w:t>within the OCP.</w:t>
      </w:r>
      <w:r w:rsidR="0057779F" w:rsidRPr="00F01940">
        <w:rPr>
          <w:lang w:val="en-US"/>
        </w:rPr>
        <w:t xml:space="preserve"> </w:t>
      </w:r>
      <w:r w:rsidRPr="00F01940">
        <w:rPr>
          <w:lang w:val="en-US"/>
        </w:rPr>
        <w:t xml:space="preserve">The Chief Mental Health Nurse provides leadership in the mental health nursing sector and promotes collaboration between the </w:t>
      </w:r>
      <w:r w:rsidR="00ED205E">
        <w:rPr>
          <w:lang w:val="en-US"/>
        </w:rPr>
        <w:t>d</w:t>
      </w:r>
      <w:r w:rsidRPr="00F01940">
        <w:rPr>
          <w:lang w:val="en-US"/>
        </w:rPr>
        <w:t>epartment and mental health nurses.</w:t>
      </w:r>
      <w:r w:rsidR="0057779F" w:rsidRPr="00F01940">
        <w:rPr>
          <w:lang w:val="en-US"/>
        </w:rPr>
        <w:t xml:space="preserve"> </w:t>
      </w:r>
      <w:r w:rsidRPr="00F01940">
        <w:rPr>
          <w:lang w:val="en-US"/>
        </w:rPr>
        <w:t>The Chief Mental Health Nurse represents the profession at all levels of government and across all health service sectors.</w:t>
      </w:r>
      <w:r w:rsidR="0057779F" w:rsidRPr="00F01940">
        <w:rPr>
          <w:lang w:val="en-US"/>
        </w:rPr>
        <w:t xml:space="preserve"> </w:t>
      </w:r>
      <w:r w:rsidRPr="00F01940">
        <w:rPr>
          <w:lang w:val="en-US"/>
        </w:rPr>
        <w:t>The Chief Mental Health Nurse promotes recognition of the mental health nursing profession, provides education and training, and promotes best practice standards, workforce planning</w:t>
      </w:r>
      <w:r w:rsidR="00277EF8" w:rsidRPr="00F01940">
        <w:rPr>
          <w:lang w:val="en-US"/>
        </w:rPr>
        <w:t>/</w:t>
      </w:r>
      <w:r w:rsidRPr="00F01940">
        <w:rPr>
          <w:lang w:val="en-US"/>
        </w:rPr>
        <w:t>development and professional leadership.</w:t>
      </w:r>
    </w:p>
    <w:p w14:paraId="19F87528" w14:textId="34C95812" w:rsidR="00FE2187" w:rsidRPr="00977254" w:rsidRDefault="00FE2187" w:rsidP="00563C62">
      <w:pPr>
        <w:pStyle w:val="Body"/>
        <w:rPr>
          <w:color w:val="FF0000"/>
          <w:lang w:val="en-US"/>
        </w:rPr>
      </w:pPr>
      <w:r>
        <w:rPr>
          <w:lang w:val="en-US"/>
        </w:rPr>
        <w:t>On 1 July 202</w:t>
      </w:r>
      <w:r w:rsidR="00D01262">
        <w:rPr>
          <w:lang w:val="en-US"/>
        </w:rPr>
        <w:t>1</w:t>
      </w:r>
      <w:r>
        <w:rPr>
          <w:lang w:val="en-US"/>
        </w:rPr>
        <w:t xml:space="preserve"> the </w:t>
      </w:r>
      <w:r w:rsidR="00BF3C21">
        <w:rPr>
          <w:lang w:val="en-US"/>
        </w:rPr>
        <w:t>OCMHN</w:t>
      </w:r>
      <w:r w:rsidR="00BF3C21" w:rsidDel="00BF3C21">
        <w:rPr>
          <w:lang w:val="en-US"/>
        </w:rPr>
        <w:t xml:space="preserve"> </w:t>
      </w:r>
      <w:r w:rsidR="00D01262">
        <w:rPr>
          <w:lang w:val="en-US"/>
        </w:rPr>
        <w:t xml:space="preserve">transferred </w:t>
      </w:r>
      <w:r w:rsidR="00EA732A">
        <w:rPr>
          <w:lang w:val="en-US"/>
        </w:rPr>
        <w:t>to Safer Care Victoria</w:t>
      </w:r>
      <w:r w:rsidR="000F4D7B">
        <w:rPr>
          <w:lang w:val="en-US"/>
        </w:rPr>
        <w:t>. This change was part of</w:t>
      </w:r>
      <w:r w:rsidR="00A73D98">
        <w:rPr>
          <w:lang w:val="en-US"/>
        </w:rPr>
        <w:t xml:space="preserve"> implementing</w:t>
      </w:r>
      <w:r w:rsidR="000F4D7B">
        <w:rPr>
          <w:lang w:val="en-US"/>
        </w:rPr>
        <w:t xml:space="preserve"> the new mental health governance architecture </w:t>
      </w:r>
      <w:r w:rsidR="00A73D98">
        <w:rPr>
          <w:lang w:val="en-US"/>
        </w:rPr>
        <w:t>recommended by the Royal Commission into Victoria’s Mental Health System (see below).</w:t>
      </w:r>
    </w:p>
    <w:p w14:paraId="778212D3" w14:textId="77777777" w:rsidR="006B3F7E" w:rsidRDefault="006B3F7E">
      <w:pPr>
        <w:rPr>
          <w:rFonts w:ascii="Arial" w:hAnsi="Arial"/>
          <w:b/>
          <w:color w:val="004EA8"/>
          <w:sz w:val="32"/>
          <w:szCs w:val="28"/>
        </w:rPr>
      </w:pPr>
      <w:bookmarkStart w:id="19" w:name="_Toc52886237"/>
      <w:bookmarkStart w:id="20" w:name="_Hlk51074546"/>
      <w:r>
        <w:br w:type="page"/>
      </w:r>
    </w:p>
    <w:p w14:paraId="60EE2401" w14:textId="29F001CE" w:rsidR="00381B2F" w:rsidRPr="00C01899" w:rsidRDefault="00381B2F" w:rsidP="00381B2F">
      <w:pPr>
        <w:pStyle w:val="Heading2"/>
      </w:pPr>
      <w:bookmarkStart w:id="21" w:name="_Toc86347178"/>
      <w:r w:rsidRPr="00C01899">
        <w:lastRenderedPageBreak/>
        <w:t>The year in review</w:t>
      </w:r>
      <w:bookmarkEnd w:id="19"/>
      <w:bookmarkEnd w:id="21"/>
    </w:p>
    <w:p w14:paraId="7698E3AB" w14:textId="2177075C" w:rsidR="00FF2843" w:rsidRDefault="00D139F7" w:rsidP="00563C62">
      <w:pPr>
        <w:pStyle w:val="Body"/>
      </w:pPr>
      <w:r>
        <w:t xml:space="preserve">In </w:t>
      </w:r>
      <w:r w:rsidR="00EC7768">
        <w:t xml:space="preserve">March </w:t>
      </w:r>
      <w:r>
        <w:t>2021 t</w:t>
      </w:r>
      <w:r w:rsidR="00D809AB">
        <w:t xml:space="preserve">he </w:t>
      </w:r>
      <w:r w:rsidR="00111C39">
        <w:t xml:space="preserve">final report of </w:t>
      </w:r>
      <w:r w:rsidR="00D809AB">
        <w:t xml:space="preserve">Royal Commission into Victoria’s Mental Health </w:t>
      </w:r>
      <w:r w:rsidR="00AE7141">
        <w:t>S</w:t>
      </w:r>
      <w:r w:rsidR="00D809AB">
        <w:t>ystem</w:t>
      </w:r>
      <w:r w:rsidR="00EC7768">
        <w:t xml:space="preserve"> was tabled in the Victorian Parliament</w:t>
      </w:r>
      <w:r w:rsidR="00BB1F9A">
        <w:t xml:space="preserve">. </w:t>
      </w:r>
      <w:r w:rsidR="00BC1D58">
        <w:t>It</w:t>
      </w:r>
      <w:r w:rsidR="003076C8">
        <w:t xml:space="preserve"> </w:t>
      </w:r>
      <w:r w:rsidR="00BB1F9A">
        <w:t xml:space="preserve">set out </w:t>
      </w:r>
      <w:r w:rsidR="00207F49" w:rsidRPr="00207F49">
        <w:t>an ambitious reform agenda</w:t>
      </w:r>
      <w:r w:rsidR="00207F49">
        <w:t xml:space="preserve">, handing down </w:t>
      </w:r>
      <w:r w:rsidR="00513545">
        <w:t>65</w:t>
      </w:r>
      <w:r w:rsidR="00CC40C6">
        <w:t xml:space="preserve"> recommendations</w:t>
      </w:r>
      <w:r w:rsidR="005A4AA3">
        <w:t xml:space="preserve"> </w:t>
      </w:r>
      <w:r w:rsidR="00334D99">
        <w:t>to</w:t>
      </w:r>
      <w:r w:rsidR="00800F9E">
        <w:t xml:space="preserve"> </w:t>
      </w:r>
      <w:r w:rsidR="005D2A55">
        <w:t xml:space="preserve">fundamentally </w:t>
      </w:r>
      <w:r w:rsidR="00800F9E">
        <w:t>transform</w:t>
      </w:r>
      <w:r w:rsidR="00334D99">
        <w:t xml:space="preserve"> </w:t>
      </w:r>
      <w:r w:rsidR="006A096E">
        <w:t xml:space="preserve">how </w:t>
      </w:r>
      <w:r w:rsidR="009966F1">
        <w:t xml:space="preserve">mental health and wellbeing </w:t>
      </w:r>
      <w:r w:rsidR="004E2A98">
        <w:t>treatment, care and support</w:t>
      </w:r>
      <w:r w:rsidR="00334D99">
        <w:t xml:space="preserve"> </w:t>
      </w:r>
      <w:r w:rsidR="00D553F2">
        <w:t>are</w:t>
      </w:r>
      <w:r w:rsidR="006A096E">
        <w:t xml:space="preserve"> provided </w:t>
      </w:r>
      <w:r w:rsidR="00A05DAB">
        <w:t xml:space="preserve">in </w:t>
      </w:r>
      <w:r w:rsidR="009966F1">
        <w:t>Victoria</w:t>
      </w:r>
      <w:r w:rsidR="00A05DAB">
        <w:t xml:space="preserve">. </w:t>
      </w:r>
      <w:r w:rsidR="004F4B33">
        <w:t xml:space="preserve">These recommendations </w:t>
      </w:r>
      <w:r w:rsidR="00AF1DA7">
        <w:t xml:space="preserve">were developed </w:t>
      </w:r>
      <w:r w:rsidR="00FD7E58">
        <w:t>through</w:t>
      </w:r>
      <w:r w:rsidR="00AF1DA7">
        <w:t xml:space="preserve"> a</w:t>
      </w:r>
      <w:r w:rsidR="00880451">
        <w:t>n inquiry into Victoria’s mental health system that lasted nearly two years</w:t>
      </w:r>
      <w:r w:rsidR="00DE4FC1">
        <w:t xml:space="preserve"> and</w:t>
      </w:r>
      <w:r w:rsidR="00E858EA">
        <w:t xml:space="preserve"> </w:t>
      </w:r>
      <w:r w:rsidR="00E9722A">
        <w:t>focus</w:t>
      </w:r>
      <w:r w:rsidR="001D45C7">
        <w:t xml:space="preserve"> on</w:t>
      </w:r>
      <w:r w:rsidR="00544E93">
        <w:t xml:space="preserve"> four main areas</w:t>
      </w:r>
      <w:r w:rsidR="00254072">
        <w:t xml:space="preserve"> of reform</w:t>
      </w:r>
      <w:r w:rsidR="00544E93">
        <w:t xml:space="preserve">: </w:t>
      </w:r>
    </w:p>
    <w:p w14:paraId="3D4F8543" w14:textId="77777777" w:rsidR="00DA6F2B" w:rsidRDefault="002C06C1" w:rsidP="00563C62">
      <w:pPr>
        <w:pStyle w:val="Bullet1"/>
      </w:pPr>
      <w:r>
        <w:t>the expansion of a community-based model of care</w:t>
      </w:r>
      <w:r w:rsidR="001A4B0F">
        <w:t>, where people receive treatment</w:t>
      </w:r>
      <w:r w:rsidR="00B11FF0">
        <w:t>, care and support close to their homes and their communities</w:t>
      </w:r>
    </w:p>
    <w:p w14:paraId="6445F184" w14:textId="106C5D5D" w:rsidR="00DA6F2B" w:rsidRDefault="00F733AC" w:rsidP="00563C62">
      <w:pPr>
        <w:pStyle w:val="Bullet1"/>
      </w:pPr>
      <w:r>
        <w:t xml:space="preserve">the promotion of inclusion, </w:t>
      </w:r>
      <w:r w:rsidR="005C3D4C">
        <w:t xml:space="preserve">where </w:t>
      </w:r>
      <w:r w:rsidR="00DA318E">
        <w:t xml:space="preserve">stigma and discrimination </w:t>
      </w:r>
      <w:r w:rsidR="005C3D4C">
        <w:t xml:space="preserve">are reduced </w:t>
      </w:r>
      <w:r w:rsidR="0005050E">
        <w:t xml:space="preserve">and </w:t>
      </w:r>
      <w:r w:rsidR="005C3D4C">
        <w:t>the</w:t>
      </w:r>
      <w:r w:rsidR="00831529">
        <w:t xml:space="preserve"> system </w:t>
      </w:r>
      <w:r w:rsidR="004333A2">
        <w:t>i</w:t>
      </w:r>
      <w:r w:rsidR="001D0506">
        <w:t>s</w:t>
      </w:r>
      <w:r w:rsidR="005C3D4C">
        <w:t xml:space="preserve"> </w:t>
      </w:r>
      <w:r w:rsidR="00831529">
        <w:t xml:space="preserve">more </w:t>
      </w:r>
      <w:r w:rsidR="00F860BF">
        <w:t xml:space="preserve">accessible </w:t>
      </w:r>
      <w:r w:rsidR="00831529">
        <w:t xml:space="preserve">to </w:t>
      </w:r>
      <w:r w:rsidR="00DB00F9">
        <w:t>people experiencing disadv</w:t>
      </w:r>
      <w:r w:rsidR="00C66893">
        <w:t>antage</w:t>
      </w:r>
    </w:p>
    <w:p w14:paraId="2929615E" w14:textId="169CE36F" w:rsidR="00DA6F2B" w:rsidRDefault="001B1CC7" w:rsidP="00563C62">
      <w:pPr>
        <w:pStyle w:val="Bullet1"/>
      </w:pPr>
      <w:r>
        <w:t>strengthened</w:t>
      </w:r>
      <w:r w:rsidR="004246B3">
        <w:t xml:space="preserve"> leadership</w:t>
      </w:r>
      <w:r w:rsidR="00737303">
        <w:t xml:space="preserve"> and</w:t>
      </w:r>
      <w:r w:rsidR="004246B3">
        <w:t xml:space="preserve"> </w:t>
      </w:r>
      <w:r w:rsidR="00737303">
        <w:t>oversight</w:t>
      </w:r>
      <w:r w:rsidR="004246B3">
        <w:t xml:space="preserve">, </w:t>
      </w:r>
      <w:r w:rsidR="00993717">
        <w:t>whe</w:t>
      </w:r>
      <w:r w:rsidR="00E74C23">
        <w:t>re</w:t>
      </w:r>
      <w:r w:rsidR="00D633ED">
        <w:t xml:space="preserve"> government </w:t>
      </w:r>
      <w:r w:rsidR="00653759">
        <w:t>bodies</w:t>
      </w:r>
      <w:r w:rsidR="00E74C23">
        <w:t xml:space="preserve"> collaborate with one another</w:t>
      </w:r>
      <w:r w:rsidR="00C72BAA">
        <w:t xml:space="preserve"> </w:t>
      </w:r>
      <w:r w:rsidR="00656A4B">
        <w:t>more frequently to</w:t>
      </w:r>
      <w:r w:rsidR="008C10FB">
        <w:t xml:space="preserve"> plan</w:t>
      </w:r>
      <w:r w:rsidR="003D627B">
        <w:t>, fund and monitor services</w:t>
      </w:r>
      <w:r w:rsidR="00995A44">
        <w:t>,</w:t>
      </w:r>
      <w:r w:rsidR="00E74C23">
        <w:t xml:space="preserve"> </w:t>
      </w:r>
      <w:r w:rsidR="00985EA3">
        <w:t xml:space="preserve">and </w:t>
      </w:r>
      <w:r w:rsidR="00995A44">
        <w:t xml:space="preserve">where </w:t>
      </w:r>
      <w:r w:rsidR="00E243D0">
        <w:t xml:space="preserve">people with lived experience of </w:t>
      </w:r>
      <w:r w:rsidR="008D2839">
        <w:t>mental illness or psychological distress</w:t>
      </w:r>
      <w:r w:rsidR="00E74C23">
        <w:t xml:space="preserve"> </w:t>
      </w:r>
      <w:r w:rsidR="004333A2">
        <w:t>have</w:t>
      </w:r>
      <w:r w:rsidR="00214697">
        <w:t xml:space="preserve"> more opportunities to </w:t>
      </w:r>
      <w:r w:rsidR="00E74C23">
        <w:t>participate in decision</w:t>
      </w:r>
      <w:r w:rsidR="00ED205E">
        <w:t xml:space="preserve"> </w:t>
      </w:r>
      <w:r w:rsidR="00E74C23">
        <w:t>making</w:t>
      </w:r>
      <w:r w:rsidR="006C7883">
        <w:t xml:space="preserve"> on issues that affect their lives</w:t>
      </w:r>
    </w:p>
    <w:p w14:paraId="1FC6ED33" w14:textId="56A73A67" w:rsidR="00513545" w:rsidRDefault="00C77AE1" w:rsidP="00563C62">
      <w:pPr>
        <w:pStyle w:val="Bullet1"/>
      </w:pPr>
      <w:r>
        <w:t>greater</w:t>
      </w:r>
      <w:r w:rsidR="008F2907">
        <w:t xml:space="preserve"> </w:t>
      </w:r>
      <w:r w:rsidR="00A5018A">
        <w:t xml:space="preserve">adaptability, </w:t>
      </w:r>
      <w:r w:rsidR="005C3D4C">
        <w:t>where</w:t>
      </w:r>
      <w:r w:rsidR="00A5018A">
        <w:t xml:space="preserve"> the new system </w:t>
      </w:r>
      <w:r w:rsidR="005C3D4C">
        <w:t>is</w:t>
      </w:r>
      <w:r w:rsidR="00090785">
        <w:t xml:space="preserve"> better </w:t>
      </w:r>
      <w:r w:rsidR="009626EB">
        <w:t>equipped</w:t>
      </w:r>
      <w:r w:rsidR="00F810F0">
        <w:t xml:space="preserve"> to </w:t>
      </w:r>
      <w:r w:rsidR="008152A4">
        <w:t>keep pace with</w:t>
      </w:r>
      <w:r w:rsidR="00EB263B">
        <w:t xml:space="preserve"> </w:t>
      </w:r>
      <w:r w:rsidR="000C39D8">
        <w:t xml:space="preserve">new </w:t>
      </w:r>
      <w:r w:rsidR="00856C87">
        <w:t>expectations, trends and challenges</w:t>
      </w:r>
      <w:r w:rsidR="00EB263B">
        <w:t xml:space="preserve"> </w:t>
      </w:r>
      <w:r w:rsidR="005169D9">
        <w:t>that</w:t>
      </w:r>
      <w:r w:rsidR="000C39D8">
        <w:t xml:space="preserve"> </w:t>
      </w:r>
      <w:r w:rsidR="00ED205E">
        <w:t>affect</w:t>
      </w:r>
      <w:r w:rsidR="009F6991">
        <w:t xml:space="preserve"> </w:t>
      </w:r>
      <w:r w:rsidR="00015428">
        <w:t>the promotion of</w:t>
      </w:r>
      <w:r w:rsidR="000C39D8">
        <w:t xml:space="preserve"> mental health </w:t>
      </w:r>
      <w:r w:rsidR="003A7702">
        <w:t xml:space="preserve">and wellbeing. </w:t>
      </w:r>
    </w:p>
    <w:p w14:paraId="058594A4" w14:textId="1CC31AA2" w:rsidR="00F0603D" w:rsidRPr="00FB51E1" w:rsidRDefault="00552D8C" w:rsidP="0032154F">
      <w:pPr>
        <w:pStyle w:val="Bodyafterbullets"/>
      </w:pPr>
      <w:r>
        <w:t xml:space="preserve">The Victorian Government </w:t>
      </w:r>
      <w:r w:rsidR="00164BBD">
        <w:t xml:space="preserve">made a </w:t>
      </w:r>
      <w:r w:rsidR="00CB47ED">
        <w:t>commit</w:t>
      </w:r>
      <w:r w:rsidR="00164BBD">
        <w:t>ment</w:t>
      </w:r>
      <w:r>
        <w:t xml:space="preserve"> to implement all</w:t>
      </w:r>
      <w:r w:rsidR="00C21344">
        <w:t xml:space="preserve"> the</w:t>
      </w:r>
      <w:r w:rsidR="00DC173A">
        <w:t xml:space="preserve"> recommendations</w:t>
      </w:r>
      <w:r w:rsidR="00CB47ED">
        <w:t xml:space="preserve">, with </w:t>
      </w:r>
      <w:r w:rsidR="00EC7768">
        <w:t xml:space="preserve">the </w:t>
      </w:r>
      <w:r w:rsidR="00CB47ED">
        <w:t xml:space="preserve">Premier </w:t>
      </w:r>
      <w:r w:rsidR="00D67EE2">
        <w:t xml:space="preserve">describing them as </w:t>
      </w:r>
      <w:r w:rsidR="00A03920">
        <w:t>‘our</w:t>
      </w:r>
      <w:r w:rsidR="00D67EE2">
        <w:t xml:space="preserve"> blueprint for delivering</w:t>
      </w:r>
      <w:r w:rsidR="00CB47ED">
        <w:t xml:space="preserve"> </w:t>
      </w:r>
      <w:r w:rsidR="00423BF0">
        <w:t>the biggest social reform in a generation</w:t>
      </w:r>
      <w:r w:rsidR="00CB47ED">
        <w:t>’</w:t>
      </w:r>
      <w:r w:rsidR="00423BF0">
        <w:t>.</w:t>
      </w:r>
    </w:p>
    <w:p w14:paraId="341534FA" w14:textId="4AF8BCD0" w:rsidR="00946B1D" w:rsidRDefault="00F865AC" w:rsidP="00563C62">
      <w:pPr>
        <w:pStyle w:val="Body"/>
      </w:pPr>
      <w:r>
        <w:t xml:space="preserve">The </w:t>
      </w:r>
      <w:r w:rsidR="00FD01A8">
        <w:t>R</w:t>
      </w:r>
      <w:r w:rsidR="005C12D2">
        <w:t xml:space="preserve">oyal </w:t>
      </w:r>
      <w:r w:rsidR="00FD01A8">
        <w:t>C</w:t>
      </w:r>
      <w:r w:rsidR="005C12D2">
        <w:t xml:space="preserve">ommission’s </w:t>
      </w:r>
      <w:r w:rsidR="00203656">
        <w:t>refor</w:t>
      </w:r>
      <w:r w:rsidR="00477178">
        <w:t xml:space="preserve">m </w:t>
      </w:r>
      <w:r w:rsidR="00610687">
        <w:t>agenda</w:t>
      </w:r>
      <w:r w:rsidR="00477178">
        <w:t xml:space="preserve"> </w:t>
      </w:r>
      <w:r w:rsidR="00363E7C">
        <w:t>entails</w:t>
      </w:r>
      <w:r w:rsidR="009E3922">
        <w:t xml:space="preserve"> significant change in the </w:t>
      </w:r>
      <w:r w:rsidR="00610687">
        <w:t>OCP</w:t>
      </w:r>
      <w:r w:rsidR="009E3922">
        <w:t xml:space="preserve"> </w:t>
      </w:r>
      <w:r w:rsidR="00E47E76">
        <w:t xml:space="preserve">and the broader Mental Health </w:t>
      </w:r>
      <w:r w:rsidR="00FC6742">
        <w:t xml:space="preserve">and Wellbeing </w:t>
      </w:r>
      <w:r w:rsidR="00E47E76">
        <w:t xml:space="preserve">Division within which the office sits. </w:t>
      </w:r>
      <w:r w:rsidR="005E718F">
        <w:t xml:space="preserve">As part of the </w:t>
      </w:r>
      <w:r w:rsidR="00FD01A8">
        <w:t>R</w:t>
      </w:r>
      <w:r w:rsidR="005E718F">
        <w:t xml:space="preserve">oyal </w:t>
      </w:r>
      <w:r w:rsidR="00FD01A8">
        <w:t>C</w:t>
      </w:r>
      <w:r w:rsidR="005E718F">
        <w:t xml:space="preserve">ommission’s </w:t>
      </w:r>
      <w:r w:rsidR="0048766A">
        <w:t xml:space="preserve">new </w:t>
      </w:r>
      <w:r w:rsidR="005E718F">
        <w:t xml:space="preserve">approach to </w:t>
      </w:r>
      <w:r w:rsidR="006772E6">
        <w:t xml:space="preserve">the </w:t>
      </w:r>
      <w:r w:rsidR="005E718F">
        <w:t>governance</w:t>
      </w:r>
      <w:r w:rsidR="006772E6">
        <w:t xml:space="preserve"> of </w:t>
      </w:r>
      <w:r w:rsidR="008D0822">
        <w:t xml:space="preserve">mental health and wellbeing </w:t>
      </w:r>
      <w:r w:rsidR="006772E6">
        <w:t>services</w:t>
      </w:r>
      <w:r w:rsidR="005E718F">
        <w:t xml:space="preserve">, </w:t>
      </w:r>
      <w:r w:rsidR="002A3DD2">
        <w:t xml:space="preserve">quality and safety </w:t>
      </w:r>
      <w:r w:rsidR="002A3DD2" w:rsidRPr="002C0FCA">
        <w:t>improvement</w:t>
      </w:r>
      <w:r w:rsidR="002A3DD2">
        <w:t xml:space="preserve"> responsibilities will </w:t>
      </w:r>
      <w:r w:rsidR="007C25F6">
        <w:t xml:space="preserve">be </w:t>
      </w:r>
      <w:r w:rsidR="003A0BD6">
        <w:t>undertaken by</w:t>
      </w:r>
      <w:r w:rsidR="00C76F94">
        <w:t xml:space="preserve"> the Mental Health Improvement Unit</w:t>
      </w:r>
      <w:r w:rsidR="00E34873">
        <w:t xml:space="preserve">. This </w:t>
      </w:r>
      <w:r w:rsidR="00C76F94">
        <w:t xml:space="preserve">new </w:t>
      </w:r>
      <w:r w:rsidR="007E7994">
        <w:t xml:space="preserve">team </w:t>
      </w:r>
      <w:r w:rsidR="00F54162">
        <w:t>will be</w:t>
      </w:r>
      <w:r w:rsidR="00C76F94">
        <w:t xml:space="preserve"> established in Safer Care Victoria</w:t>
      </w:r>
      <w:r w:rsidR="00FB03A0">
        <w:t xml:space="preserve"> </w:t>
      </w:r>
      <w:r w:rsidR="00137279">
        <w:t xml:space="preserve">and </w:t>
      </w:r>
      <w:r w:rsidR="00F54162">
        <w:t xml:space="preserve">become </w:t>
      </w:r>
      <w:r w:rsidR="00137279">
        <w:t xml:space="preserve">operational </w:t>
      </w:r>
      <w:r w:rsidR="000F60BF">
        <w:t xml:space="preserve">by January </w:t>
      </w:r>
      <w:r w:rsidR="001C4E7E">
        <w:t>2022</w:t>
      </w:r>
      <w:r w:rsidR="00C76F94">
        <w:t xml:space="preserve">. </w:t>
      </w:r>
      <w:r w:rsidR="000A559A">
        <w:t xml:space="preserve">Quality and safety </w:t>
      </w:r>
      <w:r w:rsidR="000A559A" w:rsidRPr="00C93614">
        <w:t>oversight</w:t>
      </w:r>
      <w:r w:rsidR="00215CE7">
        <w:t xml:space="preserve"> </w:t>
      </w:r>
      <w:r w:rsidR="00B72458">
        <w:t xml:space="preserve">of clinical services, along with </w:t>
      </w:r>
      <w:r w:rsidR="00DF748D">
        <w:t xml:space="preserve">clinical </w:t>
      </w:r>
      <w:r w:rsidR="00B72458">
        <w:t xml:space="preserve">leadership, </w:t>
      </w:r>
      <w:r w:rsidR="00342088">
        <w:t xml:space="preserve">will continue to be </w:t>
      </w:r>
      <w:r w:rsidR="00B72458">
        <w:t>core</w:t>
      </w:r>
      <w:r w:rsidR="00342088">
        <w:t xml:space="preserve"> responsibilit</w:t>
      </w:r>
      <w:r w:rsidR="007F57BC">
        <w:t>ies</w:t>
      </w:r>
      <w:r w:rsidR="00342088">
        <w:t xml:space="preserve"> of the Chief Psychiatrist</w:t>
      </w:r>
      <w:r w:rsidR="005C70BA">
        <w:t xml:space="preserve">. </w:t>
      </w:r>
    </w:p>
    <w:p w14:paraId="2778CC45" w14:textId="57D48E86" w:rsidR="0005744F" w:rsidRDefault="005C70BA" w:rsidP="00563C62">
      <w:pPr>
        <w:pStyle w:val="Body"/>
      </w:pPr>
      <w:r>
        <w:t>Th</w:t>
      </w:r>
      <w:r w:rsidR="00946B1D">
        <w:t>is new</w:t>
      </w:r>
      <w:r w:rsidR="00137279">
        <w:t xml:space="preserve"> </w:t>
      </w:r>
      <w:r w:rsidR="000444F1">
        <w:t>a</w:t>
      </w:r>
      <w:r w:rsidR="005001C2">
        <w:t>rrangement</w:t>
      </w:r>
      <w:r w:rsidR="003C4D4A">
        <w:t xml:space="preserve"> </w:t>
      </w:r>
      <w:r>
        <w:t xml:space="preserve">will be </w:t>
      </w:r>
      <w:r w:rsidR="005001C2">
        <w:t xml:space="preserve">consolidated through </w:t>
      </w:r>
      <w:r w:rsidR="001A52F8">
        <w:t>replac</w:t>
      </w:r>
      <w:r w:rsidR="005C12D2">
        <w:t>ing</w:t>
      </w:r>
      <w:r w:rsidR="00B7435D" w:rsidRPr="00B7435D">
        <w:t xml:space="preserve"> the current </w:t>
      </w:r>
      <w:r w:rsidR="00B7435D" w:rsidRPr="00C95758">
        <w:t>Mental Health Act</w:t>
      </w:r>
      <w:r w:rsidR="00B7435D" w:rsidRPr="001A52F8">
        <w:rPr>
          <w:i/>
          <w:iCs/>
        </w:rPr>
        <w:t xml:space="preserve"> </w:t>
      </w:r>
      <w:r w:rsidR="00B7435D" w:rsidRPr="00B7435D">
        <w:t xml:space="preserve">with </w:t>
      </w:r>
      <w:r w:rsidR="00C870CE">
        <w:t>a</w:t>
      </w:r>
      <w:r w:rsidR="00C870CE" w:rsidRPr="00B7435D">
        <w:t xml:space="preserve"> </w:t>
      </w:r>
      <w:r w:rsidR="00B7435D" w:rsidRPr="00B7435D">
        <w:t>new Mental Health and Wellbeing Act</w:t>
      </w:r>
      <w:r w:rsidR="001A52F8">
        <w:t xml:space="preserve"> </w:t>
      </w:r>
      <w:r w:rsidR="0064177E" w:rsidRPr="00B02C12">
        <w:t>–</w:t>
      </w:r>
      <w:r w:rsidR="008F7C15">
        <w:t xml:space="preserve"> due to </w:t>
      </w:r>
      <w:r w:rsidR="001A52F8">
        <w:t>be</w:t>
      </w:r>
      <w:r w:rsidR="00612BB7">
        <w:t xml:space="preserve"> enacted by</w:t>
      </w:r>
      <w:r w:rsidR="001E4152">
        <w:t xml:space="preserve"> mid-2022</w:t>
      </w:r>
      <w:r w:rsidR="00FC477C">
        <w:t>. A</w:t>
      </w:r>
      <w:r w:rsidR="00E11594">
        <w:t xml:space="preserve"> memorandum of understanding</w:t>
      </w:r>
      <w:r w:rsidR="007C5C08">
        <w:t xml:space="preserve"> between </w:t>
      </w:r>
      <w:r w:rsidR="00C870CE">
        <w:t xml:space="preserve">the </w:t>
      </w:r>
      <w:r w:rsidR="007C5C08" w:rsidRPr="007C5C08">
        <w:t xml:space="preserve">OCP and </w:t>
      </w:r>
      <w:r w:rsidR="00C870CE">
        <w:t xml:space="preserve">the </w:t>
      </w:r>
      <w:r w:rsidR="007C5C08" w:rsidRPr="007C5C08">
        <w:t>Mental Health Improvement Unit</w:t>
      </w:r>
      <w:r w:rsidR="003B0872">
        <w:t xml:space="preserve"> will</w:t>
      </w:r>
      <w:r w:rsidR="009A2C6B">
        <w:t xml:space="preserve"> outline the </w:t>
      </w:r>
      <w:r w:rsidR="004C3223">
        <w:t>coordinate</w:t>
      </w:r>
      <w:r w:rsidR="009E2065">
        <w:t>d</w:t>
      </w:r>
      <w:r w:rsidR="004C3223">
        <w:t xml:space="preserve"> approach </w:t>
      </w:r>
      <w:r w:rsidR="003B6F20">
        <w:t xml:space="preserve">these </w:t>
      </w:r>
      <w:r w:rsidR="007C5C08">
        <w:t>entit</w:t>
      </w:r>
      <w:r w:rsidR="003B6F20">
        <w:t>ies</w:t>
      </w:r>
      <w:r w:rsidR="008C5F0A">
        <w:t xml:space="preserve"> </w:t>
      </w:r>
      <w:r w:rsidR="00740EE9">
        <w:t xml:space="preserve">will take </w:t>
      </w:r>
      <w:r w:rsidR="00B778B8">
        <w:t xml:space="preserve">to </w:t>
      </w:r>
      <w:r w:rsidR="00EA5AAC">
        <w:t>promot</w:t>
      </w:r>
      <w:r w:rsidR="00B778B8">
        <w:t>e</w:t>
      </w:r>
      <w:r w:rsidR="00B67D91">
        <w:t xml:space="preserve"> quality and safety </w:t>
      </w:r>
      <w:r w:rsidR="00EA5AAC">
        <w:t>in clinical services</w:t>
      </w:r>
      <w:r w:rsidR="00B67D91">
        <w:t>.</w:t>
      </w:r>
    </w:p>
    <w:p w14:paraId="65AE4EDE" w14:textId="39B525C6" w:rsidR="00877C2D" w:rsidRDefault="00CC79AD" w:rsidP="00563C62">
      <w:pPr>
        <w:pStyle w:val="Body"/>
      </w:pPr>
      <w:r>
        <w:t xml:space="preserve">A </w:t>
      </w:r>
      <w:r w:rsidR="006C4C24">
        <w:t xml:space="preserve">further aspect </w:t>
      </w:r>
      <w:r w:rsidR="000B6CEB">
        <w:t>of</w:t>
      </w:r>
      <w:r w:rsidR="00194782">
        <w:t xml:space="preserve"> </w:t>
      </w:r>
      <w:r w:rsidR="00186AA3">
        <w:t>th</w:t>
      </w:r>
      <w:r w:rsidR="007E05F0">
        <w:t>is</w:t>
      </w:r>
      <w:r w:rsidR="00186AA3">
        <w:t xml:space="preserve"> new governance architecture </w:t>
      </w:r>
      <w:r w:rsidR="009A4CCA">
        <w:t xml:space="preserve">is the </w:t>
      </w:r>
      <w:r w:rsidR="00BC1FE2">
        <w:t xml:space="preserve">transfer </w:t>
      </w:r>
      <w:r w:rsidR="009A4CCA">
        <w:t xml:space="preserve">of </w:t>
      </w:r>
      <w:r w:rsidR="00877C2D">
        <w:t>t</w:t>
      </w:r>
      <w:r w:rsidR="00EF75CB">
        <w:t xml:space="preserve">he </w:t>
      </w:r>
      <w:r w:rsidR="00BF3C21">
        <w:rPr>
          <w:lang w:val="en-US"/>
        </w:rPr>
        <w:t>OCMHN</w:t>
      </w:r>
      <w:r w:rsidR="00BF3C21" w:rsidDel="00BF3C21">
        <w:t xml:space="preserve"> </w:t>
      </w:r>
      <w:r w:rsidR="00EF75CB">
        <w:t>from the OCP to Safer Care Victoria</w:t>
      </w:r>
      <w:r w:rsidR="009A4CCA">
        <w:t>.</w:t>
      </w:r>
      <w:r w:rsidR="00F76EF8">
        <w:t xml:space="preserve"> </w:t>
      </w:r>
      <w:r w:rsidR="00163BE1">
        <w:t>This</w:t>
      </w:r>
      <w:r w:rsidR="00A90A53">
        <w:t xml:space="preserve"> </w:t>
      </w:r>
      <w:r w:rsidR="006B0905">
        <w:t>was completed</w:t>
      </w:r>
      <w:r w:rsidR="00A90A53">
        <w:t xml:space="preserve"> on 1 July 2021</w:t>
      </w:r>
      <w:r w:rsidR="008B7852">
        <w:t xml:space="preserve">, </w:t>
      </w:r>
      <w:r w:rsidR="005F5135">
        <w:t xml:space="preserve">increasing the capacity of Safer Care Victoria to carry out improvement </w:t>
      </w:r>
      <w:r w:rsidR="00C0213C">
        <w:t>activities</w:t>
      </w:r>
      <w:r w:rsidR="005F5135">
        <w:t xml:space="preserve"> </w:t>
      </w:r>
      <w:r w:rsidR="00B10979">
        <w:t>in the</w:t>
      </w:r>
      <w:r w:rsidR="005F5135">
        <w:t xml:space="preserve"> mental h</w:t>
      </w:r>
      <w:r w:rsidR="006B424B">
        <w:t>ealth and wellbeing s</w:t>
      </w:r>
      <w:r w:rsidR="00B10979">
        <w:t>ector</w:t>
      </w:r>
      <w:r w:rsidR="006B424B">
        <w:t xml:space="preserve">. </w:t>
      </w:r>
      <w:r w:rsidR="00A64AB4">
        <w:t>Under this new arrangement, t</w:t>
      </w:r>
      <w:r w:rsidR="00F20F8D">
        <w:t xml:space="preserve">he OCP will continue to collaborate </w:t>
      </w:r>
      <w:r w:rsidR="00875BF6">
        <w:t xml:space="preserve">with the </w:t>
      </w:r>
      <w:r w:rsidR="00BF3C21">
        <w:rPr>
          <w:lang w:val="en-US"/>
        </w:rPr>
        <w:t>OCMHN</w:t>
      </w:r>
      <w:r w:rsidR="00BF3C21" w:rsidDel="00BF3C21">
        <w:t xml:space="preserve"> </w:t>
      </w:r>
      <w:r w:rsidR="00E84D41">
        <w:t>t</w:t>
      </w:r>
      <w:r w:rsidR="00722C89">
        <w:t>o promote best practice</w:t>
      </w:r>
      <w:r w:rsidR="000A6412">
        <w:t xml:space="preserve"> in deliver</w:t>
      </w:r>
      <w:r w:rsidR="00C870CE">
        <w:t>ing</w:t>
      </w:r>
      <w:r w:rsidR="000A6412">
        <w:t xml:space="preserve"> </w:t>
      </w:r>
      <w:r w:rsidR="00337473">
        <w:t>treatment, care and support</w:t>
      </w:r>
      <w:r w:rsidR="008A5DD7">
        <w:t>.</w:t>
      </w:r>
    </w:p>
    <w:p w14:paraId="552EC384" w14:textId="5EA1E2F1" w:rsidR="006B3F7E" w:rsidRDefault="00A92124" w:rsidP="00563C62">
      <w:pPr>
        <w:pStyle w:val="Body"/>
        <w:rPr>
          <w:lang w:val="en-US"/>
        </w:rPr>
      </w:pPr>
      <w:r>
        <w:rPr>
          <w:lang w:val="en-US"/>
        </w:rPr>
        <w:t>The expansion of the OCP</w:t>
      </w:r>
      <w:r w:rsidR="00EF323D">
        <w:rPr>
          <w:lang w:val="en-US"/>
        </w:rPr>
        <w:t xml:space="preserve">, </w:t>
      </w:r>
      <w:r w:rsidR="003945C1">
        <w:rPr>
          <w:lang w:val="en-US"/>
        </w:rPr>
        <w:t>supported</w:t>
      </w:r>
      <w:r w:rsidR="00EF323D">
        <w:rPr>
          <w:lang w:val="en-US"/>
        </w:rPr>
        <w:t xml:space="preserve"> by additional fixed</w:t>
      </w:r>
      <w:r w:rsidR="004C104B">
        <w:rPr>
          <w:lang w:val="en-US"/>
        </w:rPr>
        <w:t>-</w:t>
      </w:r>
      <w:r w:rsidR="00EF323D">
        <w:rPr>
          <w:lang w:val="en-US"/>
        </w:rPr>
        <w:t>term funding from 2019</w:t>
      </w:r>
      <w:r w:rsidR="007B2175">
        <w:rPr>
          <w:lang w:val="en-US"/>
        </w:rPr>
        <w:t>–</w:t>
      </w:r>
      <w:r w:rsidR="00EF323D">
        <w:rPr>
          <w:lang w:val="en-US"/>
        </w:rPr>
        <w:t>20</w:t>
      </w:r>
      <w:r w:rsidR="0034094A">
        <w:rPr>
          <w:lang w:val="en-US"/>
        </w:rPr>
        <w:t xml:space="preserve"> and into </w:t>
      </w:r>
      <w:r w:rsidR="007B2175">
        <w:rPr>
          <w:lang w:val="en-US"/>
        </w:rPr>
        <w:t>2020–21</w:t>
      </w:r>
      <w:r w:rsidR="00D100AC">
        <w:rPr>
          <w:lang w:val="en-US"/>
        </w:rPr>
        <w:t>,</w:t>
      </w:r>
      <w:r w:rsidR="00EF323D">
        <w:rPr>
          <w:lang w:val="en-US"/>
        </w:rPr>
        <w:t xml:space="preserve"> has </w:t>
      </w:r>
      <w:r w:rsidR="003945C1">
        <w:rPr>
          <w:lang w:val="en-US"/>
        </w:rPr>
        <w:t>been cr</w:t>
      </w:r>
      <w:r w:rsidR="0034094A">
        <w:rPr>
          <w:lang w:val="en-US"/>
        </w:rPr>
        <w:t>ucial in e</w:t>
      </w:r>
      <w:r w:rsidR="003945C1">
        <w:rPr>
          <w:lang w:val="en-US"/>
        </w:rPr>
        <w:t>nabl</w:t>
      </w:r>
      <w:r w:rsidR="0034094A">
        <w:rPr>
          <w:lang w:val="en-US"/>
        </w:rPr>
        <w:t>ing</w:t>
      </w:r>
      <w:r w:rsidR="003945C1">
        <w:rPr>
          <w:lang w:val="en-US"/>
        </w:rPr>
        <w:t xml:space="preserve"> the OCP to continue to meet the </w:t>
      </w:r>
      <w:r w:rsidR="00424EFA">
        <w:rPr>
          <w:lang w:val="en-US"/>
        </w:rPr>
        <w:t>significant increase in demand</w:t>
      </w:r>
      <w:r w:rsidR="00D100AC">
        <w:rPr>
          <w:lang w:val="en-US"/>
        </w:rPr>
        <w:t xml:space="preserve"> experienced </w:t>
      </w:r>
      <w:r w:rsidR="00424EFA">
        <w:rPr>
          <w:lang w:val="en-US"/>
        </w:rPr>
        <w:t xml:space="preserve">as a result of the COVID-19 pandemic </w:t>
      </w:r>
      <w:r w:rsidR="004B1018">
        <w:rPr>
          <w:lang w:val="en-US"/>
        </w:rPr>
        <w:t xml:space="preserve">and the </w:t>
      </w:r>
      <w:r w:rsidR="004104B7">
        <w:rPr>
          <w:lang w:val="en-US"/>
        </w:rPr>
        <w:t xml:space="preserve">final report of the </w:t>
      </w:r>
      <w:r w:rsidR="00FD01A8">
        <w:rPr>
          <w:lang w:val="en-US"/>
        </w:rPr>
        <w:t>R</w:t>
      </w:r>
      <w:r w:rsidR="004B1018">
        <w:rPr>
          <w:lang w:val="en-US"/>
        </w:rPr>
        <w:t xml:space="preserve">oyal </w:t>
      </w:r>
      <w:r w:rsidR="00FD01A8">
        <w:rPr>
          <w:lang w:val="en-US"/>
        </w:rPr>
        <w:t>C</w:t>
      </w:r>
      <w:r w:rsidR="004B1018">
        <w:rPr>
          <w:lang w:val="en-US"/>
        </w:rPr>
        <w:t>ommission.</w:t>
      </w:r>
      <w:r w:rsidR="00B5548B">
        <w:rPr>
          <w:lang w:val="en-US"/>
        </w:rPr>
        <w:t xml:space="preserve"> </w:t>
      </w:r>
      <w:r w:rsidR="0084083E">
        <w:rPr>
          <w:lang w:val="en-US"/>
        </w:rPr>
        <w:t>As fo</w:t>
      </w:r>
      <w:r w:rsidR="00DD5D69">
        <w:rPr>
          <w:lang w:val="en-US"/>
        </w:rPr>
        <w:t>reshadowed in 2019</w:t>
      </w:r>
      <w:r w:rsidR="007B2175">
        <w:rPr>
          <w:lang w:val="en-US"/>
        </w:rPr>
        <w:t>–</w:t>
      </w:r>
      <w:r w:rsidR="00DD5D69">
        <w:rPr>
          <w:lang w:val="en-US"/>
        </w:rPr>
        <w:t xml:space="preserve">20, the team has continued to work remotely through </w:t>
      </w:r>
      <w:r w:rsidR="004C104B">
        <w:rPr>
          <w:lang w:val="en-US"/>
        </w:rPr>
        <w:t xml:space="preserve">most </w:t>
      </w:r>
      <w:r w:rsidR="00DD5D69">
        <w:rPr>
          <w:lang w:val="en-US"/>
        </w:rPr>
        <w:t xml:space="preserve">of the </w:t>
      </w:r>
      <w:r w:rsidR="007B2175">
        <w:rPr>
          <w:lang w:val="en-US"/>
        </w:rPr>
        <w:t>2020–21</w:t>
      </w:r>
      <w:r w:rsidR="00DD5D69">
        <w:rPr>
          <w:lang w:val="en-US"/>
        </w:rPr>
        <w:t xml:space="preserve"> year, in line with </w:t>
      </w:r>
      <w:r w:rsidR="00213B63">
        <w:rPr>
          <w:lang w:val="en-US"/>
        </w:rPr>
        <w:t xml:space="preserve">public health </w:t>
      </w:r>
      <w:r w:rsidR="00DD5D69">
        <w:rPr>
          <w:lang w:val="en-US"/>
        </w:rPr>
        <w:t xml:space="preserve">directions. </w:t>
      </w:r>
      <w:r w:rsidR="00F036A3">
        <w:rPr>
          <w:lang w:val="en-US"/>
        </w:rPr>
        <w:t xml:space="preserve">This has led to further </w:t>
      </w:r>
      <w:r w:rsidR="00AA4C95">
        <w:rPr>
          <w:lang w:val="en-US"/>
        </w:rPr>
        <w:t xml:space="preserve">innovations and new ways of working, including a series of online ECT forums in late 2020 and </w:t>
      </w:r>
      <w:r w:rsidR="00C2473E">
        <w:rPr>
          <w:lang w:val="en-US"/>
        </w:rPr>
        <w:t xml:space="preserve">remote participation in </w:t>
      </w:r>
      <w:r w:rsidR="00107D3B">
        <w:rPr>
          <w:lang w:val="en-US"/>
        </w:rPr>
        <w:t xml:space="preserve">health service </w:t>
      </w:r>
      <w:r w:rsidR="00C2473E">
        <w:rPr>
          <w:lang w:val="en-US"/>
        </w:rPr>
        <w:t>reviews and investigations</w:t>
      </w:r>
      <w:r w:rsidR="00D728C1">
        <w:rPr>
          <w:lang w:val="en-US"/>
        </w:rPr>
        <w:t xml:space="preserve">. </w:t>
      </w:r>
    </w:p>
    <w:p w14:paraId="5080A3EA" w14:textId="77777777" w:rsidR="006B3F7E" w:rsidRDefault="006B3F7E">
      <w:pPr>
        <w:rPr>
          <w:rFonts w:ascii="Arial" w:eastAsia="Times" w:hAnsi="Arial"/>
          <w:sz w:val="21"/>
          <w:szCs w:val="21"/>
          <w:lang w:val="en-US"/>
        </w:rPr>
      </w:pPr>
      <w:r>
        <w:rPr>
          <w:lang w:val="en-US"/>
        </w:rPr>
        <w:br w:type="page"/>
      </w:r>
    </w:p>
    <w:p w14:paraId="639792DC" w14:textId="77777777" w:rsidR="00CC0ED7" w:rsidRDefault="00CC0ED7" w:rsidP="00563C62">
      <w:pPr>
        <w:pStyle w:val="Body"/>
        <w:rPr>
          <w:lang w:val="en-US"/>
        </w:rPr>
      </w:pPr>
    </w:p>
    <w:tbl>
      <w:tblPr>
        <w:tblStyle w:val="TableGrid"/>
        <w:tblW w:w="0" w:type="auto"/>
        <w:tblLook w:val="04A0" w:firstRow="1" w:lastRow="0" w:firstColumn="1" w:lastColumn="0" w:noHBand="0" w:noVBand="1"/>
      </w:tblPr>
      <w:tblGrid>
        <w:gridCol w:w="9180"/>
      </w:tblGrid>
      <w:tr w:rsidR="002A1C2C" w14:paraId="2D4851E4" w14:textId="77777777" w:rsidTr="00FA334F">
        <w:tc>
          <w:tcPr>
            <w:tcW w:w="9288" w:type="dxa"/>
            <w:shd w:val="clear" w:color="auto" w:fill="DBE5F1" w:themeFill="accent1" w:themeFillTint="33"/>
          </w:tcPr>
          <w:p w14:paraId="7AFAE847" w14:textId="7C85EE80" w:rsidR="00CC0ED7" w:rsidRPr="00CC0ED7" w:rsidRDefault="004F2B19" w:rsidP="00BD7299">
            <w:pPr>
              <w:pStyle w:val="Boxtitle"/>
            </w:pPr>
            <w:r>
              <w:t>E.F.</w:t>
            </w:r>
            <w:r w:rsidR="00CC0ED7" w:rsidRPr="00CC0ED7">
              <w:t>, Senior Clinical Advis</w:t>
            </w:r>
            <w:r w:rsidR="004F1508">
              <w:t>e</w:t>
            </w:r>
            <w:r w:rsidR="00CC0ED7" w:rsidRPr="00CC0ED7">
              <w:t>r</w:t>
            </w:r>
            <w:r w:rsidR="00CC0ED7">
              <w:t>, Office of the Chief Psychiatrist</w:t>
            </w:r>
          </w:p>
          <w:p w14:paraId="06ADEF25" w14:textId="6D0C32E9" w:rsidR="00CC0ED7" w:rsidRPr="00CC0ED7" w:rsidRDefault="00CC0ED7" w:rsidP="00563C62">
            <w:pPr>
              <w:pStyle w:val="Body"/>
            </w:pPr>
            <w:r w:rsidRPr="00CC0ED7">
              <w:t xml:space="preserve">I am a registered mental health nurse, qualified in the </w:t>
            </w:r>
            <w:r w:rsidR="0013779B" w:rsidRPr="00B9474D">
              <w:t xml:space="preserve">United Kingdom </w:t>
            </w:r>
            <w:r w:rsidRPr="00CC0ED7">
              <w:t xml:space="preserve">with a Bachelor of Mental Health Nursing with First Class Honours. I have dedicated my adult career, 15 years to date, to working in public mental health services. I moved from the UK to Australia in 2013, looking to continue my career in a warmer climate, and was offered a sponsorship to work for Monash Health. For </w:t>
            </w:r>
            <w:r w:rsidR="004C104B">
              <w:t>eight</w:t>
            </w:r>
            <w:r w:rsidRPr="00CC0ED7">
              <w:t xml:space="preserve"> years I worked in the </w:t>
            </w:r>
            <w:r w:rsidR="00F22070">
              <w:t>s</w:t>
            </w:r>
            <w:r w:rsidRPr="00CC0ED7">
              <w:t xml:space="preserve">ecure </w:t>
            </w:r>
            <w:r w:rsidR="00F22070">
              <w:t>e</w:t>
            </w:r>
            <w:r w:rsidRPr="00CC0ED7">
              <w:t xml:space="preserve">xtended </w:t>
            </w:r>
            <w:r w:rsidR="00F22070">
              <w:t>c</w:t>
            </w:r>
            <w:r w:rsidRPr="00CC0ED7">
              <w:t xml:space="preserve">are </w:t>
            </w:r>
            <w:r w:rsidR="00F22070">
              <w:t>u</w:t>
            </w:r>
            <w:r w:rsidRPr="00CC0ED7">
              <w:t xml:space="preserve">nit (SECU) as both nurse and nurse manager, caring for consumers with serious mental illness and providing support to their family and carers. </w:t>
            </w:r>
          </w:p>
          <w:p w14:paraId="59BC21F3" w14:textId="77777777" w:rsidR="00CC0ED7" w:rsidRPr="00CC0ED7" w:rsidRDefault="00CC0ED7" w:rsidP="00563C62">
            <w:pPr>
              <w:pStyle w:val="Body"/>
            </w:pPr>
            <w:r w:rsidRPr="00CC0ED7">
              <w:t xml:space="preserve">In my time at the SECU, I had contact with the OCP, informing the Chief Psychiatrist on workplace matters that fall within their statutory role. Late in 2020 an opportunity presented itself to work at the OCP as a clinical advisor. I applied and was offered the position. Since then, I have not looked back, using my experience to support clinicians, consumers and carers across Victoria and to contribute to service improvement initiatives. </w:t>
            </w:r>
          </w:p>
          <w:p w14:paraId="216F5A5F" w14:textId="4A61DB38" w:rsidR="00CC0ED7" w:rsidRPr="00CC0ED7" w:rsidRDefault="00CC0ED7" w:rsidP="00563C62">
            <w:pPr>
              <w:pStyle w:val="Body"/>
            </w:pPr>
            <w:r w:rsidRPr="00CC0ED7">
              <w:t xml:space="preserve">As a senior clinical advisor in the OCP, no two days are the same. The pace of work is often set by the volume of calls we receive through the OCP enquiry line and the requests we receive from the </w:t>
            </w:r>
            <w:r w:rsidR="004C104B">
              <w:t>m</w:t>
            </w:r>
            <w:r w:rsidRPr="00CC0ED7">
              <w:t xml:space="preserve">inister’s </w:t>
            </w:r>
            <w:r w:rsidR="004C104B">
              <w:t>o</w:t>
            </w:r>
            <w:r w:rsidRPr="00CC0ED7">
              <w:t>ffice to provide advice and support to carers, consumers and clinicians across Victoria. I work closely with other members of the OCP’s clinical team to respond to enquiries, and I liaise with mental health services to support the coordination of care for Victorians with complex mental health needs. I am also involved in monitoring the use of restrictive interventions by services, a statutory function of the OCP. Carrying out this task requires the frequent review of data and the delivery of feedback to services on how they can improve from a quality and safety standpoint.</w:t>
            </w:r>
          </w:p>
          <w:p w14:paraId="47EAA1FD" w14:textId="77777777" w:rsidR="00CC0ED7" w:rsidRPr="00CC0ED7" w:rsidRDefault="00CC0ED7" w:rsidP="00563C62">
            <w:pPr>
              <w:pStyle w:val="Body"/>
            </w:pPr>
            <w:r w:rsidRPr="00CC0ED7">
              <w:t xml:space="preserve">I find satisfaction in my job by knowing that I assist people to access services and the support they need. There are so many amazing mental health and social support services in Victoria; I am still learning about them and seem to stumble across a new one every day. It is heartening to know that there are many people out there providing sanctuary and support to those in need. </w:t>
            </w:r>
          </w:p>
          <w:p w14:paraId="0583D328" w14:textId="670E5EAC" w:rsidR="002A1C2C" w:rsidRPr="00CC0ED7" w:rsidRDefault="00CC0ED7" w:rsidP="00563C62">
            <w:pPr>
              <w:pStyle w:val="Body"/>
            </w:pPr>
            <w:r w:rsidRPr="00CC0ED7">
              <w:t>I also have the privilege of working with an extremely professional and warm team. There is always someone in the team to talk to, hear a new perspective from, and learn from.</w:t>
            </w:r>
          </w:p>
        </w:tc>
      </w:tr>
    </w:tbl>
    <w:p w14:paraId="256BFD5A" w14:textId="647C1EF2" w:rsidR="00795E8C" w:rsidRPr="00381B2F" w:rsidRDefault="00A35B5D" w:rsidP="00795E8C">
      <w:pPr>
        <w:pStyle w:val="Heading2"/>
        <w:rPr>
          <w:rStyle w:val="normaltextrun"/>
        </w:rPr>
      </w:pPr>
      <w:bookmarkStart w:id="22" w:name="_Toc86347179"/>
      <w:r>
        <w:rPr>
          <w:lang w:val="en-US"/>
        </w:rPr>
        <w:t xml:space="preserve">Enquiries received </w:t>
      </w:r>
      <w:bookmarkStart w:id="23" w:name="_Toc52886238"/>
      <w:r w:rsidR="00C5245B">
        <w:rPr>
          <w:lang w:val="en-US"/>
        </w:rPr>
        <w:t xml:space="preserve">and </w:t>
      </w:r>
      <w:r w:rsidR="004C104B">
        <w:rPr>
          <w:lang w:val="en-US"/>
        </w:rPr>
        <w:t xml:space="preserve">the </w:t>
      </w:r>
      <w:r w:rsidR="00795E8C" w:rsidRPr="00381B2F">
        <w:rPr>
          <w:rStyle w:val="normaltextrun"/>
        </w:rPr>
        <w:t>COVI</w:t>
      </w:r>
      <w:r w:rsidR="00795E8C">
        <w:rPr>
          <w:rStyle w:val="normaltextrun"/>
        </w:rPr>
        <w:t>D-19</w:t>
      </w:r>
      <w:r w:rsidR="00795E8C" w:rsidRPr="00381B2F">
        <w:rPr>
          <w:rStyle w:val="normaltextrun"/>
        </w:rPr>
        <w:t xml:space="preserve"> mental health response</w:t>
      </w:r>
      <w:bookmarkEnd w:id="22"/>
      <w:bookmarkEnd w:id="23"/>
    </w:p>
    <w:p w14:paraId="2C04B102" w14:textId="63CDAAF0" w:rsidR="00381B2F" w:rsidRDefault="004C02F0" w:rsidP="00563C62">
      <w:pPr>
        <w:pStyle w:val="Body"/>
        <w:rPr>
          <w:lang w:val="en-US"/>
        </w:rPr>
      </w:pPr>
      <w:r w:rsidRPr="00E34713">
        <w:rPr>
          <w:lang w:val="en-US"/>
        </w:rPr>
        <w:t xml:space="preserve">Table 1 </w:t>
      </w:r>
      <w:r w:rsidR="00FE687A">
        <w:rPr>
          <w:lang w:val="en-US"/>
        </w:rPr>
        <w:t>and Figure 1</w:t>
      </w:r>
      <w:r w:rsidR="00381B2F" w:rsidRPr="00892665">
        <w:rPr>
          <w:lang w:val="en-US"/>
        </w:rPr>
        <w:t xml:space="preserve"> provide an outline of the </w:t>
      </w:r>
      <w:r w:rsidR="0016283B">
        <w:rPr>
          <w:lang w:val="en-US"/>
        </w:rPr>
        <w:t>e</w:t>
      </w:r>
      <w:r w:rsidR="00C0173E">
        <w:rPr>
          <w:lang w:val="en-US"/>
        </w:rPr>
        <w:t>nquir</w:t>
      </w:r>
      <w:r w:rsidR="007B2175">
        <w:rPr>
          <w:lang w:val="en-US"/>
        </w:rPr>
        <w:t>i</w:t>
      </w:r>
      <w:r w:rsidR="00C0173E">
        <w:rPr>
          <w:lang w:val="en-US"/>
        </w:rPr>
        <w:t xml:space="preserve">es received by </w:t>
      </w:r>
      <w:r w:rsidR="004C104B">
        <w:rPr>
          <w:lang w:val="en-US"/>
        </w:rPr>
        <w:t xml:space="preserve">the </w:t>
      </w:r>
      <w:r w:rsidR="00743E2D" w:rsidRPr="00892665">
        <w:rPr>
          <w:lang w:val="en-US"/>
        </w:rPr>
        <w:t>OCP</w:t>
      </w:r>
      <w:r w:rsidR="00C0173E">
        <w:rPr>
          <w:lang w:val="en-US"/>
        </w:rPr>
        <w:t xml:space="preserve"> over a period of several year</w:t>
      </w:r>
      <w:r w:rsidR="003E0D59">
        <w:rPr>
          <w:lang w:val="en-US"/>
        </w:rPr>
        <w:t>s</w:t>
      </w:r>
      <w:r w:rsidR="00381B2F" w:rsidRPr="00892665">
        <w:rPr>
          <w:lang w:val="en-US"/>
        </w:rPr>
        <w:t>.</w:t>
      </w:r>
      <w:r w:rsidR="0057779F" w:rsidRPr="00892665">
        <w:rPr>
          <w:lang w:val="en-US"/>
        </w:rPr>
        <w:t xml:space="preserve"> </w:t>
      </w:r>
      <w:r w:rsidR="00381B2F" w:rsidRPr="00892665">
        <w:rPr>
          <w:lang w:val="en-US"/>
        </w:rPr>
        <w:t xml:space="preserve">What is clear from the data is that most </w:t>
      </w:r>
      <w:r w:rsidR="00890682">
        <w:rPr>
          <w:lang w:val="en-US"/>
        </w:rPr>
        <w:t xml:space="preserve">contacts with the OCP </w:t>
      </w:r>
      <w:r w:rsidR="003E0D59">
        <w:rPr>
          <w:lang w:val="en-US"/>
        </w:rPr>
        <w:t>during</w:t>
      </w:r>
      <w:r w:rsidR="00D532A8">
        <w:rPr>
          <w:lang w:val="en-US"/>
        </w:rPr>
        <w:t xml:space="preserve"> the</w:t>
      </w:r>
      <w:r w:rsidR="003E0D59" w:rsidRPr="00892665">
        <w:rPr>
          <w:lang w:val="en-US"/>
        </w:rPr>
        <w:t xml:space="preserve"> 20</w:t>
      </w:r>
      <w:r w:rsidR="003E0D59">
        <w:rPr>
          <w:lang w:val="en-US"/>
        </w:rPr>
        <w:t>20</w:t>
      </w:r>
      <w:r w:rsidR="003E0D59" w:rsidRPr="00892665">
        <w:rPr>
          <w:lang w:val="en-US"/>
        </w:rPr>
        <w:t>–2</w:t>
      </w:r>
      <w:r w:rsidR="003E0D59">
        <w:rPr>
          <w:lang w:val="en-US"/>
        </w:rPr>
        <w:t>1</w:t>
      </w:r>
      <w:r w:rsidR="003E0D59" w:rsidRPr="00892665">
        <w:rPr>
          <w:lang w:val="en-US"/>
        </w:rPr>
        <w:t xml:space="preserve"> year</w:t>
      </w:r>
      <w:r w:rsidR="003E0D59" w:rsidRPr="00986270">
        <w:rPr>
          <w:lang w:val="en-US"/>
        </w:rPr>
        <w:t xml:space="preserve"> </w:t>
      </w:r>
      <w:r w:rsidR="00381B2F" w:rsidRPr="00986270">
        <w:rPr>
          <w:lang w:val="en-US"/>
        </w:rPr>
        <w:t>(</w:t>
      </w:r>
      <w:r w:rsidR="00126A20" w:rsidRPr="00986270">
        <w:rPr>
          <w:lang w:val="en-US"/>
        </w:rPr>
        <w:t>3</w:t>
      </w:r>
      <w:r w:rsidR="002B0105">
        <w:rPr>
          <w:lang w:val="en-US"/>
        </w:rPr>
        <w:t>6.8</w:t>
      </w:r>
      <w:r w:rsidR="008F74B0" w:rsidRPr="00986270">
        <w:rPr>
          <w:lang w:val="en-US"/>
        </w:rPr>
        <w:t xml:space="preserve"> per cent</w:t>
      </w:r>
      <w:r w:rsidR="00381B2F" w:rsidRPr="00892665">
        <w:rPr>
          <w:lang w:val="en-US"/>
        </w:rPr>
        <w:t xml:space="preserve">) </w:t>
      </w:r>
      <w:r w:rsidR="00890682">
        <w:rPr>
          <w:lang w:val="en-US"/>
        </w:rPr>
        <w:t xml:space="preserve">came via </w:t>
      </w:r>
      <w:r w:rsidR="000B4E91">
        <w:rPr>
          <w:lang w:val="en-US"/>
        </w:rPr>
        <w:t>clinical services</w:t>
      </w:r>
      <w:r w:rsidR="35885834" w:rsidRPr="75EB3A12">
        <w:rPr>
          <w:lang w:val="en-US"/>
        </w:rPr>
        <w:t>, closely followed by contact from consumers</w:t>
      </w:r>
      <w:r w:rsidR="003A3944" w:rsidRPr="75EB3A12">
        <w:rPr>
          <w:lang w:val="en-US"/>
        </w:rPr>
        <w:t>.</w:t>
      </w:r>
      <w:r w:rsidR="003A3944" w:rsidRPr="00892665">
        <w:rPr>
          <w:lang w:val="en-US"/>
        </w:rPr>
        <w:t xml:space="preserve"> These contacts</w:t>
      </w:r>
      <w:r w:rsidR="00AE47A7" w:rsidRPr="00892665">
        <w:rPr>
          <w:lang w:val="en-US"/>
        </w:rPr>
        <w:t xml:space="preserve"> </w:t>
      </w:r>
      <w:r w:rsidR="00EA0A9D" w:rsidRPr="00892665">
        <w:rPr>
          <w:lang w:val="en-US"/>
        </w:rPr>
        <w:t>we</w:t>
      </w:r>
      <w:r w:rsidR="00F6661B" w:rsidRPr="00892665">
        <w:rPr>
          <w:lang w:val="en-US"/>
        </w:rPr>
        <w:t xml:space="preserve">re </w:t>
      </w:r>
      <w:r w:rsidR="00710C91" w:rsidRPr="00892665">
        <w:rPr>
          <w:lang w:val="en-US"/>
        </w:rPr>
        <w:t xml:space="preserve">frequently </w:t>
      </w:r>
      <w:r w:rsidR="00BF2679" w:rsidRPr="00892665">
        <w:rPr>
          <w:lang w:val="en-US"/>
        </w:rPr>
        <w:t xml:space="preserve">related to treatment access </w:t>
      </w:r>
      <w:r w:rsidR="00E520AB" w:rsidRPr="00892665">
        <w:rPr>
          <w:lang w:val="en-US"/>
        </w:rPr>
        <w:t xml:space="preserve">and </w:t>
      </w:r>
      <w:r w:rsidR="00A1033D" w:rsidRPr="00892665">
        <w:rPr>
          <w:lang w:val="en-US"/>
        </w:rPr>
        <w:t xml:space="preserve">clinical </w:t>
      </w:r>
      <w:r w:rsidR="00840002" w:rsidRPr="00892665">
        <w:rPr>
          <w:lang w:val="en-US"/>
        </w:rPr>
        <w:t>practice</w:t>
      </w:r>
      <w:r w:rsidR="00381B2F" w:rsidRPr="00892665">
        <w:rPr>
          <w:lang w:val="en-US"/>
        </w:rPr>
        <w:t>.</w:t>
      </w:r>
      <w:r w:rsidR="0057779F">
        <w:rPr>
          <w:lang w:val="en-US"/>
        </w:rPr>
        <w:t xml:space="preserve"> </w:t>
      </w:r>
    </w:p>
    <w:p w14:paraId="75936E3F" w14:textId="167A4BB8" w:rsidR="00381B2F" w:rsidRDefault="00C0122F" w:rsidP="000D0B9B">
      <w:pPr>
        <w:pStyle w:val="Tablecaption"/>
        <w:rPr>
          <w:lang w:val="en-US"/>
        </w:rPr>
      </w:pPr>
      <w:r>
        <w:rPr>
          <w:lang w:val="en-US"/>
        </w:rPr>
        <w:t>Table</w:t>
      </w:r>
      <w:r w:rsidR="00381B2F">
        <w:rPr>
          <w:lang w:val="en-US"/>
        </w:rPr>
        <w:t xml:space="preserve"> 1</w:t>
      </w:r>
      <w:r w:rsidR="00381B2F" w:rsidRPr="00E9A183">
        <w:rPr>
          <w:lang w:val="en-US"/>
        </w:rPr>
        <w:t>:</w:t>
      </w:r>
      <w:r w:rsidR="00381B2F">
        <w:rPr>
          <w:lang w:val="en-US"/>
        </w:rPr>
        <w:t xml:space="preserve"> Type of enquiries to the </w:t>
      </w:r>
      <w:r w:rsidR="00500664">
        <w:rPr>
          <w:lang w:val="en-US"/>
        </w:rPr>
        <w:t>Office of the Chief Psychiatrist</w:t>
      </w:r>
      <w:r w:rsidR="00381B2F">
        <w:rPr>
          <w:lang w:val="en-US"/>
        </w:rPr>
        <w:t xml:space="preserve">, </w:t>
      </w:r>
      <w:r w:rsidR="007B2175">
        <w:rPr>
          <w:lang w:val="en-US"/>
        </w:rPr>
        <w:t>2020–21</w:t>
      </w:r>
    </w:p>
    <w:tbl>
      <w:tblPr>
        <w:tblStyle w:val="TableGrid"/>
        <w:tblW w:w="0" w:type="auto"/>
        <w:tblLook w:val="04A0" w:firstRow="1" w:lastRow="0" w:firstColumn="1" w:lastColumn="0" w:noHBand="0" w:noVBand="1"/>
      </w:tblPr>
      <w:tblGrid>
        <w:gridCol w:w="1597"/>
        <w:gridCol w:w="1710"/>
        <w:gridCol w:w="1710"/>
      </w:tblGrid>
      <w:tr w:rsidR="00126DD9" w14:paraId="4B4B0320" w14:textId="622B0F37" w:rsidTr="00EA6A89">
        <w:trPr>
          <w:tblHeader/>
        </w:trPr>
        <w:tc>
          <w:tcPr>
            <w:tcW w:w="1597" w:type="dxa"/>
          </w:tcPr>
          <w:p w14:paraId="178E1CE6" w14:textId="0FF66344" w:rsidR="00126DD9" w:rsidRDefault="00126DD9" w:rsidP="000D0B9B">
            <w:pPr>
              <w:pStyle w:val="Tablecolhead"/>
              <w:rPr>
                <w:lang w:val="en-US"/>
              </w:rPr>
            </w:pPr>
            <w:r>
              <w:rPr>
                <w:lang w:val="en-US"/>
              </w:rPr>
              <w:t>Enquiry type</w:t>
            </w:r>
          </w:p>
        </w:tc>
        <w:tc>
          <w:tcPr>
            <w:tcW w:w="1710" w:type="dxa"/>
          </w:tcPr>
          <w:p w14:paraId="41F76784" w14:textId="35E0E4AE" w:rsidR="00126DD9" w:rsidRDefault="00126DD9" w:rsidP="000D0B9B">
            <w:pPr>
              <w:pStyle w:val="Tablecolhead"/>
              <w:rPr>
                <w:lang w:val="en-US"/>
              </w:rPr>
            </w:pPr>
            <w:r>
              <w:rPr>
                <w:lang w:val="en-US"/>
              </w:rPr>
              <w:t>Number</w:t>
            </w:r>
          </w:p>
        </w:tc>
        <w:tc>
          <w:tcPr>
            <w:tcW w:w="1710" w:type="dxa"/>
          </w:tcPr>
          <w:p w14:paraId="28F3A5CC" w14:textId="73AA7D79" w:rsidR="00126DD9" w:rsidRDefault="00126DD9" w:rsidP="000D0B9B">
            <w:pPr>
              <w:pStyle w:val="Tablecolhead"/>
              <w:rPr>
                <w:lang w:val="en-US"/>
              </w:rPr>
            </w:pPr>
            <w:r>
              <w:rPr>
                <w:lang w:val="en-US"/>
              </w:rPr>
              <w:t>Proportion (%)</w:t>
            </w:r>
          </w:p>
        </w:tc>
      </w:tr>
      <w:tr w:rsidR="00126DD9" w14:paraId="567FA968" w14:textId="09C8071D" w:rsidTr="00EA6A89">
        <w:tc>
          <w:tcPr>
            <w:tcW w:w="1597" w:type="dxa"/>
          </w:tcPr>
          <w:p w14:paraId="17C3CA1B" w14:textId="3051E261" w:rsidR="00126DD9" w:rsidRPr="000D0B9B" w:rsidRDefault="00126DD9" w:rsidP="000D0B9B">
            <w:pPr>
              <w:pStyle w:val="Tabletext"/>
            </w:pPr>
            <w:r w:rsidRPr="000D0B9B">
              <w:t>Clinical</w:t>
            </w:r>
          </w:p>
        </w:tc>
        <w:tc>
          <w:tcPr>
            <w:tcW w:w="1710" w:type="dxa"/>
          </w:tcPr>
          <w:p w14:paraId="4D2D1B5D" w14:textId="200CB936" w:rsidR="00126DD9" w:rsidRDefault="00126DD9" w:rsidP="000D0B9B">
            <w:pPr>
              <w:pStyle w:val="Tabletext"/>
            </w:pPr>
            <w:r>
              <w:t>365</w:t>
            </w:r>
          </w:p>
        </w:tc>
        <w:tc>
          <w:tcPr>
            <w:tcW w:w="1710" w:type="dxa"/>
          </w:tcPr>
          <w:p w14:paraId="59C5A147" w14:textId="1B1AF043" w:rsidR="00126DD9" w:rsidRDefault="00126DD9" w:rsidP="000D0B9B">
            <w:pPr>
              <w:pStyle w:val="Tabletext"/>
            </w:pPr>
            <w:r>
              <w:t>3</w:t>
            </w:r>
            <w:r w:rsidR="005F5BC0">
              <w:t>6</w:t>
            </w:r>
            <w:r>
              <w:t>.8%</w:t>
            </w:r>
          </w:p>
        </w:tc>
      </w:tr>
      <w:tr w:rsidR="00126DD9" w14:paraId="648E6438" w14:textId="04FA8DB0" w:rsidTr="00EA6A89">
        <w:tc>
          <w:tcPr>
            <w:tcW w:w="1597" w:type="dxa"/>
          </w:tcPr>
          <w:p w14:paraId="7A92E6D3" w14:textId="76E70732" w:rsidR="00126DD9" w:rsidRDefault="00126DD9" w:rsidP="000D0B9B">
            <w:pPr>
              <w:pStyle w:val="Tabletext"/>
            </w:pPr>
            <w:r>
              <w:t>Consumer</w:t>
            </w:r>
          </w:p>
        </w:tc>
        <w:tc>
          <w:tcPr>
            <w:tcW w:w="1710" w:type="dxa"/>
          </w:tcPr>
          <w:p w14:paraId="70AE2A01" w14:textId="599A7CDB" w:rsidR="00126DD9" w:rsidRDefault="00126DD9" w:rsidP="000D0B9B">
            <w:pPr>
              <w:pStyle w:val="Tabletext"/>
            </w:pPr>
            <w:r>
              <w:t>302</w:t>
            </w:r>
          </w:p>
        </w:tc>
        <w:tc>
          <w:tcPr>
            <w:tcW w:w="1710" w:type="dxa"/>
          </w:tcPr>
          <w:p w14:paraId="1B1A4B38" w14:textId="4D5DB3D5" w:rsidR="00126DD9" w:rsidRDefault="00946596" w:rsidP="000D0B9B">
            <w:pPr>
              <w:pStyle w:val="Tabletext"/>
            </w:pPr>
            <w:r>
              <w:t>30.4%</w:t>
            </w:r>
          </w:p>
        </w:tc>
      </w:tr>
      <w:tr w:rsidR="00126DD9" w14:paraId="3925CC90" w14:textId="27FC866E" w:rsidTr="00EA6A89">
        <w:tc>
          <w:tcPr>
            <w:tcW w:w="1597" w:type="dxa"/>
          </w:tcPr>
          <w:p w14:paraId="45A79BEC" w14:textId="4554523B" w:rsidR="00126DD9" w:rsidRDefault="00126DD9" w:rsidP="000D0B9B">
            <w:pPr>
              <w:pStyle w:val="Tabletext"/>
            </w:pPr>
            <w:r>
              <w:t>Carer</w:t>
            </w:r>
          </w:p>
        </w:tc>
        <w:tc>
          <w:tcPr>
            <w:tcW w:w="1710" w:type="dxa"/>
          </w:tcPr>
          <w:p w14:paraId="4A1595EF" w14:textId="48361E8C" w:rsidR="00126DD9" w:rsidRDefault="00126DD9" w:rsidP="000D0B9B">
            <w:pPr>
              <w:pStyle w:val="Tabletext"/>
            </w:pPr>
            <w:r>
              <w:t>192</w:t>
            </w:r>
          </w:p>
        </w:tc>
        <w:tc>
          <w:tcPr>
            <w:tcW w:w="1710" w:type="dxa"/>
          </w:tcPr>
          <w:p w14:paraId="1DBDE156" w14:textId="26138408" w:rsidR="00126DD9" w:rsidRDefault="00946596" w:rsidP="000D0B9B">
            <w:pPr>
              <w:pStyle w:val="Tabletext"/>
            </w:pPr>
            <w:r>
              <w:t>19.3%</w:t>
            </w:r>
          </w:p>
        </w:tc>
      </w:tr>
      <w:tr w:rsidR="00126DD9" w14:paraId="77B8C86D" w14:textId="2EB25955" w:rsidTr="00EA6A89">
        <w:tc>
          <w:tcPr>
            <w:tcW w:w="1597" w:type="dxa"/>
          </w:tcPr>
          <w:p w14:paraId="7A2588E0" w14:textId="7EB21688" w:rsidR="00126DD9" w:rsidRDefault="00126DD9" w:rsidP="000D0B9B">
            <w:pPr>
              <w:pStyle w:val="Tabletext"/>
            </w:pPr>
            <w:bookmarkStart w:id="24" w:name="_Hlk82608769"/>
            <w:r>
              <w:lastRenderedPageBreak/>
              <w:t>General</w:t>
            </w:r>
            <w:bookmarkEnd w:id="24"/>
          </w:p>
        </w:tc>
        <w:tc>
          <w:tcPr>
            <w:tcW w:w="1710" w:type="dxa"/>
          </w:tcPr>
          <w:p w14:paraId="0D00EE0B" w14:textId="066A613C" w:rsidR="00126DD9" w:rsidRDefault="00126DD9" w:rsidP="000D0B9B">
            <w:pPr>
              <w:pStyle w:val="Tabletext"/>
            </w:pPr>
            <w:r>
              <w:t>95</w:t>
            </w:r>
          </w:p>
        </w:tc>
        <w:tc>
          <w:tcPr>
            <w:tcW w:w="1710" w:type="dxa"/>
          </w:tcPr>
          <w:p w14:paraId="0B19E654" w14:textId="73B15AF6" w:rsidR="00126DD9" w:rsidRDefault="00946596" w:rsidP="000D0B9B">
            <w:pPr>
              <w:pStyle w:val="Tabletext"/>
            </w:pPr>
            <w:r>
              <w:t>9.6%</w:t>
            </w:r>
          </w:p>
        </w:tc>
      </w:tr>
      <w:tr w:rsidR="00126DD9" w14:paraId="05955DE8" w14:textId="490807AB" w:rsidTr="00EA6A89">
        <w:tc>
          <w:tcPr>
            <w:tcW w:w="1597" w:type="dxa"/>
          </w:tcPr>
          <w:p w14:paraId="06EDF2CA" w14:textId="47BB6D58" w:rsidR="00126DD9" w:rsidRDefault="00126DD9" w:rsidP="000D0B9B">
            <w:pPr>
              <w:pStyle w:val="Tabletext"/>
            </w:pPr>
            <w:r>
              <w:t>Legal</w:t>
            </w:r>
          </w:p>
        </w:tc>
        <w:tc>
          <w:tcPr>
            <w:tcW w:w="1710" w:type="dxa"/>
          </w:tcPr>
          <w:p w14:paraId="7187E627" w14:textId="1D47BAC2" w:rsidR="00126DD9" w:rsidRDefault="00126DD9" w:rsidP="000D0B9B">
            <w:pPr>
              <w:pStyle w:val="Tabletext"/>
            </w:pPr>
            <w:r>
              <w:t>20</w:t>
            </w:r>
          </w:p>
        </w:tc>
        <w:tc>
          <w:tcPr>
            <w:tcW w:w="1710" w:type="dxa"/>
          </w:tcPr>
          <w:p w14:paraId="541B1538" w14:textId="25FFAD6B" w:rsidR="00126DD9" w:rsidRDefault="00946596" w:rsidP="000D0B9B">
            <w:pPr>
              <w:pStyle w:val="Tabletext"/>
            </w:pPr>
            <w:r>
              <w:t>2.0%</w:t>
            </w:r>
          </w:p>
        </w:tc>
      </w:tr>
      <w:tr w:rsidR="00126DD9" w14:paraId="7A09132A" w14:textId="77777777" w:rsidTr="00EA6A89">
        <w:tc>
          <w:tcPr>
            <w:tcW w:w="1597" w:type="dxa"/>
          </w:tcPr>
          <w:p w14:paraId="24896F19" w14:textId="3D4D3699" w:rsidR="00126DD9" w:rsidRPr="00544291" w:rsidRDefault="00464B53" w:rsidP="000D0B9B">
            <w:pPr>
              <w:pStyle w:val="Tabletext"/>
              <w:rPr>
                <w:color w:val="FF0000"/>
              </w:rPr>
            </w:pPr>
            <w:r>
              <w:t>Other</w:t>
            </w:r>
          </w:p>
        </w:tc>
        <w:tc>
          <w:tcPr>
            <w:tcW w:w="1710" w:type="dxa"/>
          </w:tcPr>
          <w:p w14:paraId="4777E255" w14:textId="187EECC9" w:rsidR="00126DD9" w:rsidRDefault="00126DD9" w:rsidP="000D0B9B">
            <w:pPr>
              <w:pStyle w:val="Tabletext"/>
            </w:pPr>
            <w:r>
              <w:t>13</w:t>
            </w:r>
          </w:p>
        </w:tc>
        <w:tc>
          <w:tcPr>
            <w:tcW w:w="1710" w:type="dxa"/>
          </w:tcPr>
          <w:p w14:paraId="5D329EF5" w14:textId="57604ED1" w:rsidR="00126DD9" w:rsidRDefault="00946596" w:rsidP="000D0B9B">
            <w:pPr>
              <w:pStyle w:val="Tabletext"/>
            </w:pPr>
            <w:r>
              <w:t>1.3%</w:t>
            </w:r>
          </w:p>
        </w:tc>
      </w:tr>
      <w:tr w:rsidR="00126DD9" w14:paraId="0D3A5811" w14:textId="77777777" w:rsidTr="00EA6A89">
        <w:tc>
          <w:tcPr>
            <w:tcW w:w="1597" w:type="dxa"/>
          </w:tcPr>
          <w:p w14:paraId="4D575404" w14:textId="79803364" w:rsidR="00126DD9" w:rsidRDefault="00126DD9" w:rsidP="000D0B9B">
            <w:pPr>
              <w:pStyle w:val="Tabletext"/>
            </w:pPr>
            <w:r>
              <w:t>Coroner</w:t>
            </w:r>
          </w:p>
        </w:tc>
        <w:tc>
          <w:tcPr>
            <w:tcW w:w="1710" w:type="dxa"/>
          </w:tcPr>
          <w:p w14:paraId="2A3EFF50" w14:textId="584EA679" w:rsidR="00126DD9" w:rsidRDefault="00126DD9" w:rsidP="000D0B9B">
            <w:pPr>
              <w:pStyle w:val="Tabletext"/>
            </w:pPr>
            <w:r>
              <w:t>6</w:t>
            </w:r>
          </w:p>
        </w:tc>
        <w:tc>
          <w:tcPr>
            <w:tcW w:w="1710" w:type="dxa"/>
          </w:tcPr>
          <w:p w14:paraId="4DD55C14" w14:textId="6127B254" w:rsidR="00126DD9" w:rsidRDefault="00946596" w:rsidP="000D0B9B">
            <w:pPr>
              <w:pStyle w:val="Tabletext"/>
            </w:pPr>
            <w:r>
              <w:t>0.6%</w:t>
            </w:r>
          </w:p>
        </w:tc>
      </w:tr>
      <w:tr w:rsidR="00126DD9" w14:paraId="39ED480A" w14:textId="77777777" w:rsidTr="00EA6A89">
        <w:tc>
          <w:tcPr>
            <w:tcW w:w="1597" w:type="dxa"/>
          </w:tcPr>
          <w:p w14:paraId="16115D00" w14:textId="3871941E" w:rsidR="00126DD9" w:rsidRPr="00125A99" w:rsidRDefault="00126DD9" w:rsidP="000D0B9B">
            <w:pPr>
              <w:pStyle w:val="Tabletext"/>
              <w:rPr>
                <w:b/>
                <w:bCs/>
              </w:rPr>
            </w:pPr>
            <w:r w:rsidRPr="00125A99">
              <w:rPr>
                <w:b/>
                <w:bCs/>
              </w:rPr>
              <w:t>Total</w:t>
            </w:r>
          </w:p>
        </w:tc>
        <w:tc>
          <w:tcPr>
            <w:tcW w:w="1710" w:type="dxa"/>
          </w:tcPr>
          <w:p w14:paraId="33297E46" w14:textId="751A7CF7" w:rsidR="00126DD9" w:rsidRPr="00125A99" w:rsidRDefault="00126DD9" w:rsidP="000D0B9B">
            <w:pPr>
              <w:pStyle w:val="Tabletext"/>
              <w:rPr>
                <w:b/>
                <w:bCs/>
              </w:rPr>
            </w:pPr>
            <w:r w:rsidRPr="00125A99">
              <w:rPr>
                <w:b/>
                <w:bCs/>
              </w:rPr>
              <w:t>993</w:t>
            </w:r>
          </w:p>
        </w:tc>
        <w:tc>
          <w:tcPr>
            <w:tcW w:w="1710" w:type="dxa"/>
          </w:tcPr>
          <w:p w14:paraId="59DE22E3" w14:textId="19E9CE7A" w:rsidR="00126DD9" w:rsidRPr="00125A99" w:rsidRDefault="00946596" w:rsidP="000D0B9B">
            <w:pPr>
              <w:pStyle w:val="Tabletext"/>
              <w:rPr>
                <w:b/>
                <w:bCs/>
              </w:rPr>
            </w:pPr>
            <w:r w:rsidRPr="00125A99">
              <w:rPr>
                <w:b/>
                <w:bCs/>
              </w:rPr>
              <w:t>100%</w:t>
            </w:r>
          </w:p>
        </w:tc>
      </w:tr>
    </w:tbl>
    <w:p w14:paraId="2BC5F4EB" w14:textId="6281310B" w:rsidR="003546AA" w:rsidRPr="00A9539C" w:rsidRDefault="00F46937" w:rsidP="00F22070">
      <w:pPr>
        <w:pStyle w:val="Bodyaftertable"/>
        <w:rPr>
          <w:color w:val="FF0000"/>
          <w:lang w:val="en-US"/>
        </w:rPr>
      </w:pPr>
      <w:r>
        <w:rPr>
          <w:lang w:val="en-US"/>
        </w:rPr>
        <w:t>The enquiry types received by the OCP can be explained as follows:</w:t>
      </w:r>
      <w:r w:rsidR="00A9539C">
        <w:rPr>
          <w:lang w:val="en-US"/>
        </w:rPr>
        <w:t xml:space="preserve"> </w:t>
      </w:r>
    </w:p>
    <w:p w14:paraId="61D87263" w14:textId="430F05BC" w:rsidR="007C4716" w:rsidRPr="007C4716" w:rsidRDefault="004C104B" w:rsidP="00563C62">
      <w:pPr>
        <w:pStyle w:val="Bullet1"/>
        <w:rPr>
          <w:lang w:val="en-US"/>
        </w:rPr>
      </w:pPr>
      <w:r>
        <w:rPr>
          <w:i/>
          <w:iCs/>
          <w:lang w:val="en-US"/>
        </w:rPr>
        <w:t>c</w:t>
      </w:r>
      <w:r w:rsidR="0016283B" w:rsidRPr="00956807">
        <w:rPr>
          <w:i/>
          <w:iCs/>
          <w:lang w:val="en-US"/>
        </w:rPr>
        <w:t>linical</w:t>
      </w:r>
      <w:r w:rsidR="00960B23">
        <w:rPr>
          <w:lang w:val="en-US"/>
        </w:rPr>
        <w:t xml:space="preserve"> </w:t>
      </w:r>
      <w:r w:rsidR="0024398B">
        <w:rPr>
          <w:lang w:val="en-US"/>
        </w:rPr>
        <w:t xml:space="preserve">– </w:t>
      </w:r>
      <w:r w:rsidR="00180AC7">
        <w:rPr>
          <w:lang w:val="en-US"/>
        </w:rPr>
        <w:t>relat</w:t>
      </w:r>
      <w:r w:rsidR="00256DDD">
        <w:rPr>
          <w:lang w:val="en-US"/>
        </w:rPr>
        <w:t>e</w:t>
      </w:r>
      <w:r w:rsidR="00180AC7">
        <w:rPr>
          <w:lang w:val="en-US"/>
        </w:rPr>
        <w:t xml:space="preserve"> to</w:t>
      </w:r>
      <w:r w:rsidR="00E57B28">
        <w:rPr>
          <w:lang w:val="en-US"/>
        </w:rPr>
        <w:t xml:space="preserve"> clinical practice and service delivery</w:t>
      </w:r>
    </w:p>
    <w:p w14:paraId="475AF702" w14:textId="07617CEB" w:rsidR="0016283B" w:rsidRDefault="004C104B" w:rsidP="00563C62">
      <w:pPr>
        <w:pStyle w:val="Bullet1"/>
        <w:rPr>
          <w:lang w:val="en-US"/>
        </w:rPr>
      </w:pPr>
      <w:r>
        <w:rPr>
          <w:i/>
          <w:iCs/>
          <w:lang w:val="en-US"/>
        </w:rPr>
        <w:t>c</w:t>
      </w:r>
      <w:r w:rsidR="0016283B" w:rsidRPr="00956807">
        <w:rPr>
          <w:i/>
          <w:iCs/>
          <w:lang w:val="en-US"/>
        </w:rPr>
        <w:t>onsumer</w:t>
      </w:r>
      <w:r w:rsidR="007B3471">
        <w:rPr>
          <w:lang w:val="en-US"/>
        </w:rPr>
        <w:t xml:space="preserve"> </w:t>
      </w:r>
      <w:r w:rsidR="0024398B">
        <w:rPr>
          <w:lang w:val="en-US"/>
        </w:rPr>
        <w:t xml:space="preserve">– </w:t>
      </w:r>
      <w:r w:rsidR="00256DDD">
        <w:rPr>
          <w:lang w:val="en-US"/>
        </w:rPr>
        <w:t>relate</w:t>
      </w:r>
      <w:r w:rsidR="00512491">
        <w:rPr>
          <w:lang w:val="en-US"/>
        </w:rPr>
        <w:t xml:space="preserve"> </w:t>
      </w:r>
      <w:r w:rsidR="004657A1">
        <w:rPr>
          <w:lang w:val="en-US"/>
        </w:rPr>
        <w:t>to consumers of mental health services</w:t>
      </w:r>
    </w:p>
    <w:p w14:paraId="617F1F8A" w14:textId="13322606" w:rsidR="0016283B" w:rsidRDefault="004C104B" w:rsidP="00563C62">
      <w:pPr>
        <w:pStyle w:val="Bullet1"/>
        <w:rPr>
          <w:lang w:val="en-US"/>
        </w:rPr>
      </w:pPr>
      <w:r>
        <w:rPr>
          <w:i/>
          <w:iCs/>
          <w:lang w:val="en-US"/>
        </w:rPr>
        <w:t>c</w:t>
      </w:r>
      <w:r w:rsidR="0016283B" w:rsidRPr="00956807">
        <w:rPr>
          <w:i/>
          <w:iCs/>
          <w:lang w:val="en-US"/>
        </w:rPr>
        <w:t>arer</w:t>
      </w:r>
      <w:r w:rsidR="004657A1">
        <w:rPr>
          <w:lang w:val="en-US"/>
        </w:rPr>
        <w:t xml:space="preserve"> </w:t>
      </w:r>
      <w:r w:rsidR="0024398B">
        <w:rPr>
          <w:lang w:val="en-US"/>
        </w:rPr>
        <w:t xml:space="preserve">– </w:t>
      </w:r>
      <w:r w:rsidR="00256DDD">
        <w:rPr>
          <w:lang w:val="en-US"/>
        </w:rPr>
        <w:t xml:space="preserve">relate to </w:t>
      </w:r>
      <w:r w:rsidR="004657A1">
        <w:rPr>
          <w:lang w:val="en-US"/>
        </w:rPr>
        <w:t>carers of mental health consumers</w:t>
      </w:r>
    </w:p>
    <w:p w14:paraId="34C8E9DB" w14:textId="48F03C3E" w:rsidR="0016283B" w:rsidRDefault="004C104B" w:rsidP="00563C62">
      <w:pPr>
        <w:pStyle w:val="Bullet1"/>
        <w:rPr>
          <w:lang w:val="en-US"/>
        </w:rPr>
      </w:pPr>
      <w:r>
        <w:rPr>
          <w:i/>
          <w:iCs/>
          <w:lang w:val="en-US"/>
        </w:rPr>
        <w:t>g</w:t>
      </w:r>
      <w:r w:rsidR="00D532A8" w:rsidRPr="00956807">
        <w:rPr>
          <w:i/>
          <w:iCs/>
          <w:lang w:val="en-US"/>
        </w:rPr>
        <w:t>eneral</w:t>
      </w:r>
      <w:r w:rsidR="00256DDD">
        <w:rPr>
          <w:lang w:val="en-US"/>
        </w:rPr>
        <w:t xml:space="preserve"> </w:t>
      </w:r>
      <w:r w:rsidR="0024398B">
        <w:rPr>
          <w:lang w:val="en-US"/>
        </w:rPr>
        <w:t xml:space="preserve">– </w:t>
      </w:r>
      <w:r w:rsidR="00256DDD">
        <w:rPr>
          <w:lang w:val="en-US"/>
        </w:rPr>
        <w:t>relate to</w:t>
      </w:r>
      <w:r w:rsidR="009832EE">
        <w:rPr>
          <w:lang w:val="en-US"/>
        </w:rPr>
        <w:t xml:space="preserve"> </w:t>
      </w:r>
      <w:r w:rsidR="00E168D0">
        <w:rPr>
          <w:lang w:val="en-US"/>
        </w:rPr>
        <w:t>comp</w:t>
      </w:r>
      <w:r w:rsidR="009832EE">
        <w:rPr>
          <w:lang w:val="en-US"/>
        </w:rPr>
        <w:t xml:space="preserve">laints about care and treatment, operational matters </w:t>
      </w:r>
      <w:r w:rsidR="00256DDD">
        <w:rPr>
          <w:lang w:val="en-US"/>
        </w:rPr>
        <w:t xml:space="preserve">and </w:t>
      </w:r>
      <w:r w:rsidR="009832EE">
        <w:rPr>
          <w:lang w:val="en-US"/>
        </w:rPr>
        <w:t>requests for information</w:t>
      </w:r>
    </w:p>
    <w:p w14:paraId="2A37CE60" w14:textId="37085631" w:rsidR="00D35FED" w:rsidRPr="00D35FED" w:rsidRDefault="004C104B" w:rsidP="00563C62">
      <w:pPr>
        <w:pStyle w:val="Bullet1"/>
        <w:rPr>
          <w:lang w:val="en-US"/>
        </w:rPr>
      </w:pPr>
      <w:r>
        <w:rPr>
          <w:i/>
          <w:iCs/>
          <w:lang w:val="en-US"/>
        </w:rPr>
        <w:t>l</w:t>
      </w:r>
      <w:r w:rsidR="00D532A8" w:rsidRPr="00956807">
        <w:rPr>
          <w:i/>
          <w:iCs/>
          <w:lang w:val="en-US"/>
        </w:rPr>
        <w:t>egal</w:t>
      </w:r>
      <w:r w:rsidR="00515E22">
        <w:rPr>
          <w:lang w:val="en-US"/>
        </w:rPr>
        <w:t xml:space="preserve"> </w:t>
      </w:r>
      <w:r w:rsidR="0024398B">
        <w:rPr>
          <w:lang w:val="en-US"/>
        </w:rPr>
        <w:t xml:space="preserve">– </w:t>
      </w:r>
      <w:r w:rsidR="002A14D4">
        <w:rPr>
          <w:lang w:val="en-US"/>
        </w:rPr>
        <w:t>relate to</w:t>
      </w:r>
      <w:r w:rsidR="00515E22">
        <w:rPr>
          <w:lang w:val="en-US"/>
        </w:rPr>
        <w:t xml:space="preserve"> </w:t>
      </w:r>
      <w:r w:rsidR="009F537C">
        <w:rPr>
          <w:lang w:val="en-US"/>
        </w:rPr>
        <w:t xml:space="preserve">apprehension orders, non-custodial supervision orders, </w:t>
      </w:r>
      <w:r w:rsidR="000959C3">
        <w:rPr>
          <w:lang w:val="en-US"/>
        </w:rPr>
        <w:t>subpoenas</w:t>
      </w:r>
      <w:r w:rsidR="00A636DF">
        <w:rPr>
          <w:lang w:val="en-US"/>
        </w:rPr>
        <w:t xml:space="preserve">, the Mental Health Act, </w:t>
      </w:r>
      <w:r w:rsidR="00325B86">
        <w:rPr>
          <w:lang w:val="en-US"/>
        </w:rPr>
        <w:t>the F</w:t>
      </w:r>
      <w:r w:rsidR="001E2103">
        <w:rPr>
          <w:lang w:val="en-US"/>
        </w:rPr>
        <w:t xml:space="preserve">orensic </w:t>
      </w:r>
      <w:r w:rsidR="00325B86">
        <w:rPr>
          <w:lang w:val="en-US"/>
        </w:rPr>
        <w:t>L</w:t>
      </w:r>
      <w:r w:rsidR="001E2103">
        <w:rPr>
          <w:lang w:val="en-US"/>
        </w:rPr>
        <w:t xml:space="preserve">eave </w:t>
      </w:r>
      <w:r w:rsidR="00325B86">
        <w:rPr>
          <w:lang w:val="en-US"/>
        </w:rPr>
        <w:t>P</w:t>
      </w:r>
      <w:r w:rsidR="001E2103">
        <w:rPr>
          <w:lang w:val="en-US"/>
        </w:rPr>
        <w:t>anel</w:t>
      </w:r>
      <w:r w:rsidR="00325B86">
        <w:rPr>
          <w:lang w:val="en-US"/>
        </w:rPr>
        <w:t xml:space="preserve"> and i</w:t>
      </w:r>
      <w:r w:rsidR="00B56703">
        <w:rPr>
          <w:lang w:val="en-US"/>
        </w:rPr>
        <w:t>ntra-Australian transfers</w:t>
      </w:r>
    </w:p>
    <w:p w14:paraId="0AC4114C" w14:textId="64065824" w:rsidR="004D2FA6" w:rsidRDefault="004C104B" w:rsidP="00563C62">
      <w:pPr>
        <w:pStyle w:val="Bullet1"/>
        <w:rPr>
          <w:lang w:val="en-US"/>
        </w:rPr>
      </w:pPr>
      <w:r>
        <w:rPr>
          <w:i/>
          <w:iCs/>
          <w:lang w:val="en-US"/>
        </w:rPr>
        <w:t>c</w:t>
      </w:r>
      <w:r w:rsidR="00D532A8" w:rsidRPr="00956807">
        <w:rPr>
          <w:i/>
          <w:iCs/>
          <w:lang w:val="en-US"/>
        </w:rPr>
        <w:t>oroner</w:t>
      </w:r>
      <w:r w:rsidR="00824053">
        <w:rPr>
          <w:lang w:val="en-US"/>
        </w:rPr>
        <w:t xml:space="preserve"> </w:t>
      </w:r>
      <w:r w:rsidR="0024398B">
        <w:rPr>
          <w:lang w:val="en-US"/>
        </w:rPr>
        <w:t xml:space="preserve">– </w:t>
      </w:r>
      <w:r w:rsidR="00325B86">
        <w:rPr>
          <w:lang w:val="en-US"/>
        </w:rPr>
        <w:t xml:space="preserve">relate to </w:t>
      </w:r>
      <w:r w:rsidR="00824053">
        <w:rPr>
          <w:lang w:val="en-US"/>
        </w:rPr>
        <w:t xml:space="preserve">information </w:t>
      </w:r>
      <w:r w:rsidR="0081137B">
        <w:rPr>
          <w:lang w:val="en-US"/>
        </w:rPr>
        <w:t>that</w:t>
      </w:r>
      <w:r w:rsidR="00824053">
        <w:rPr>
          <w:lang w:val="en-US"/>
        </w:rPr>
        <w:t xml:space="preserve"> assist</w:t>
      </w:r>
      <w:r w:rsidR="0081137B">
        <w:rPr>
          <w:lang w:val="en-US"/>
        </w:rPr>
        <w:t>s</w:t>
      </w:r>
      <w:r w:rsidR="00824053">
        <w:rPr>
          <w:lang w:val="en-US"/>
        </w:rPr>
        <w:t xml:space="preserve"> coroner investigations</w:t>
      </w:r>
      <w:r w:rsidR="008D1CA6">
        <w:rPr>
          <w:lang w:val="en-US"/>
        </w:rPr>
        <w:t>.</w:t>
      </w:r>
    </w:p>
    <w:p w14:paraId="279E3CA8" w14:textId="78B49674" w:rsidR="00144714" w:rsidRDefault="001B3D1E" w:rsidP="007B2175">
      <w:pPr>
        <w:pStyle w:val="Figurecaption"/>
      </w:pPr>
      <w:r>
        <w:t>Fig</w:t>
      </w:r>
      <w:r w:rsidR="00E93819">
        <w:t>ure 1: Enquir</w:t>
      </w:r>
      <w:r w:rsidR="007B2175">
        <w:t>i</w:t>
      </w:r>
      <w:r w:rsidR="00E93819">
        <w:t>es received by Office of the Chief Psychiatrist, by number per quarter</w:t>
      </w:r>
      <w:r w:rsidR="004D2FA6">
        <w:t xml:space="preserve">, </w:t>
      </w:r>
      <w:r w:rsidR="00993C80">
        <w:br/>
      </w:r>
      <w:r w:rsidR="004D2FA6">
        <w:t>2014</w:t>
      </w:r>
      <w:r w:rsidR="006F4A1E">
        <w:t>–</w:t>
      </w:r>
      <w:r w:rsidR="004D2FA6">
        <w:t xml:space="preserve">15 to </w:t>
      </w:r>
      <w:r w:rsidR="007B2175">
        <w:t>2020–21</w:t>
      </w:r>
    </w:p>
    <w:p w14:paraId="0F09C032" w14:textId="15E50B4D" w:rsidR="001B3D1E" w:rsidRPr="001B3D1E" w:rsidRDefault="5CD7D016" w:rsidP="00563C62">
      <w:pPr>
        <w:pStyle w:val="Body"/>
      </w:pPr>
      <w:r>
        <w:rPr>
          <w:noProof/>
        </w:rPr>
        <w:drawing>
          <wp:inline distT="0" distB="0" distL="0" distR="0" wp14:anchorId="117679DF" wp14:editId="2E095028">
            <wp:extent cx="5623774" cy="2507266"/>
            <wp:effectExtent l="0" t="0" r="0" b="0"/>
            <wp:docPr id="1604849310" name="Picture 1604849310" descr="Refer to Table 2 for a breakdown of the numbers contained in thi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49310" name="Picture 1604849310" descr="Refer to Table 2 for a breakdown of the numbers contained in this figure."/>
                    <pic:cNvPicPr/>
                  </pic:nvPicPr>
                  <pic:blipFill>
                    <a:blip r:embed="rId17">
                      <a:extLst>
                        <a:ext uri="{28A0092B-C50C-407E-A947-70E740481C1C}">
                          <a14:useLocalDpi xmlns:a14="http://schemas.microsoft.com/office/drawing/2010/main" val="0"/>
                        </a:ext>
                      </a:extLst>
                    </a:blip>
                    <a:stretch>
                      <a:fillRect/>
                    </a:stretch>
                  </pic:blipFill>
                  <pic:spPr>
                    <a:xfrm>
                      <a:off x="0" y="0"/>
                      <a:ext cx="5623774" cy="2507266"/>
                    </a:xfrm>
                    <a:prstGeom prst="rect">
                      <a:avLst/>
                    </a:prstGeom>
                  </pic:spPr>
                </pic:pic>
              </a:graphicData>
            </a:graphic>
          </wp:inline>
        </w:drawing>
      </w:r>
    </w:p>
    <w:p w14:paraId="106CD558" w14:textId="78902715" w:rsidR="002D7392" w:rsidRPr="002D7392" w:rsidRDefault="002D7392" w:rsidP="0099684E">
      <w:pPr>
        <w:pStyle w:val="Tablecaption"/>
        <w:rPr>
          <w:lang w:val="en-US"/>
        </w:rPr>
      </w:pPr>
      <w:bookmarkStart w:id="25" w:name="_Hlk83106005"/>
      <w:r w:rsidRPr="002D7392">
        <w:rPr>
          <w:lang w:val="en-US"/>
        </w:rPr>
        <w:t>Table 2</w:t>
      </w:r>
      <w:r w:rsidRPr="002D7392">
        <w:rPr>
          <w:iCs/>
          <w:lang w:val="en-US"/>
        </w:rPr>
        <w:t>:</w:t>
      </w:r>
      <w:r w:rsidRPr="002D7392">
        <w:rPr>
          <w:lang w:val="en-US"/>
        </w:rPr>
        <w:t xml:space="preserve"> Enquiries received by the Office of the Chief Psychiatrist, by number per quarter, </w:t>
      </w:r>
      <w:r w:rsidRPr="002D7392">
        <w:rPr>
          <w:lang w:val="en-US"/>
        </w:rPr>
        <w:br/>
        <w:t>2014</w:t>
      </w:r>
      <w:r w:rsidR="00993C80">
        <w:rPr>
          <w:lang w:val="en-US"/>
        </w:rPr>
        <w:t>–</w:t>
      </w:r>
      <w:r w:rsidRPr="002D7392">
        <w:rPr>
          <w:lang w:val="en-US"/>
        </w:rPr>
        <w:t>15 to 2020</w:t>
      </w:r>
      <w:r w:rsidR="0099684E">
        <w:rPr>
          <w:lang w:val="en-US"/>
        </w:rPr>
        <w:t>–</w:t>
      </w:r>
      <w:r w:rsidRPr="002D7392">
        <w:rPr>
          <w:lang w:val="en-US"/>
        </w:rPr>
        <w:t>21</w:t>
      </w:r>
    </w:p>
    <w:tbl>
      <w:tblPr>
        <w:tblStyle w:val="TableGrid"/>
        <w:tblW w:w="9180" w:type="dxa"/>
        <w:tblLook w:val="04A0" w:firstRow="1" w:lastRow="0" w:firstColumn="1" w:lastColumn="0" w:noHBand="0" w:noVBand="1"/>
      </w:tblPr>
      <w:tblGrid>
        <w:gridCol w:w="750"/>
        <w:gridCol w:w="1146"/>
        <w:gridCol w:w="1214"/>
        <w:gridCol w:w="1214"/>
        <w:gridCol w:w="1214"/>
        <w:gridCol w:w="1214"/>
        <w:gridCol w:w="1214"/>
        <w:gridCol w:w="1214"/>
      </w:tblGrid>
      <w:tr w:rsidR="005852E0" w14:paraId="302F8146" w14:textId="77777777" w:rsidTr="00A3248E">
        <w:trPr>
          <w:tblHeader/>
        </w:trPr>
        <w:tc>
          <w:tcPr>
            <w:tcW w:w="750" w:type="dxa"/>
          </w:tcPr>
          <w:p w14:paraId="0D23CFFB" w14:textId="77777777" w:rsidR="005852E0" w:rsidRDefault="005852E0" w:rsidP="00A3248E">
            <w:pPr>
              <w:pStyle w:val="DHHStablecolhead"/>
              <w:rPr>
                <w:lang w:val="en-US"/>
              </w:rPr>
            </w:pPr>
            <w:r>
              <w:rPr>
                <w:lang w:val="en-US"/>
              </w:rPr>
              <w:t>Time</w:t>
            </w:r>
          </w:p>
        </w:tc>
        <w:tc>
          <w:tcPr>
            <w:tcW w:w="1146" w:type="dxa"/>
          </w:tcPr>
          <w:p w14:paraId="31EE8F59" w14:textId="77777777" w:rsidR="005852E0" w:rsidRDefault="005852E0" w:rsidP="00A3248E">
            <w:pPr>
              <w:pStyle w:val="DHHStablecolhead"/>
              <w:rPr>
                <w:lang w:val="en-US"/>
              </w:rPr>
            </w:pPr>
            <w:r w:rsidRPr="00A413E4">
              <w:rPr>
                <w:lang w:val="en-US"/>
              </w:rPr>
              <w:t>201</w:t>
            </w:r>
            <w:r>
              <w:rPr>
                <w:lang w:val="en-US"/>
              </w:rPr>
              <w:t>4</w:t>
            </w:r>
            <w:r w:rsidRPr="00A413E4">
              <w:rPr>
                <w:lang w:val="en-US"/>
              </w:rPr>
              <w:t>–1</w:t>
            </w:r>
            <w:r>
              <w:rPr>
                <w:lang w:val="en-US"/>
              </w:rPr>
              <w:t>5</w:t>
            </w:r>
          </w:p>
        </w:tc>
        <w:tc>
          <w:tcPr>
            <w:tcW w:w="1214" w:type="dxa"/>
          </w:tcPr>
          <w:p w14:paraId="27FE27E5" w14:textId="77777777" w:rsidR="005852E0" w:rsidRDefault="005852E0" w:rsidP="00A3248E">
            <w:pPr>
              <w:pStyle w:val="DHHStablecolhead"/>
              <w:rPr>
                <w:lang w:val="en-US"/>
              </w:rPr>
            </w:pPr>
            <w:r w:rsidRPr="00A413E4">
              <w:rPr>
                <w:lang w:val="en-US"/>
              </w:rPr>
              <w:t>201</w:t>
            </w:r>
            <w:r>
              <w:rPr>
                <w:lang w:val="en-US"/>
              </w:rPr>
              <w:t>5</w:t>
            </w:r>
            <w:r w:rsidRPr="00A413E4">
              <w:rPr>
                <w:lang w:val="en-US"/>
              </w:rPr>
              <w:t>–1</w:t>
            </w:r>
            <w:r>
              <w:rPr>
                <w:lang w:val="en-US"/>
              </w:rPr>
              <w:t>6</w:t>
            </w:r>
          </w:p>
        </w:tc>
        <w:tc>
          <w:tcPr>
            <w:tcW w:w="1214" w:type="dxa"/>
          </w:tcPr>
          <w:p w14:paraId="5C4D3882" w14:textId="77777777" w:rsidR="005852E0" w:rsidRDefault="005852E0" w:rsidP="00A3248E">
            <w:pPr>
              <w:pStyle w:val="DHHStablecolhead"/>
              <w:rPr>
                <w:lang w:val="en-US"/>
              </w:rPr>
            </w:pPr>
            <w:r w:rsidRPr="00A413E4">
              <w:rPr>
                <w:lang w:val="en-US"/>
              </w:rPr>
              <w:t>201</w:t>
            </w:r>
            <w:r>
              <w:rPr>
                <w:lang w:val="en-US"/>
              </w:rPr>
              <w:t>6</w:t>
            </w:r>
            <w:r w:rsidRPr="00A413E4">
              <w:rPr>
                <w:lang w:val="en-US"/>
              </w:rPr>
              <w:t>–1</w:t>
            </w:r>
            <w:r>
              <w:rPr>
                <w:lang w:val="en-US"/>
              </w:rPr>
              <w:t>7</w:t>
            </w:r>
          </w:p>
        </w:tc>
        <w:tc>
          <w:tcPr>
            <w:tcW w:w="1214" w:type="dxa"/>
          </w:tcPr>
          <w:p w14:paraId="197DB589" w14:textId="77777777" w:rsidR="005852E0" w:rsidRDefault="005852E0" w:rsidP="00A3248E">
            <w:pPr>
              <w:pStyle w:val="DHHStablecolhead"/>
              <w:rPr>
                <w:lang w:val="en-US"/>
              </w:rPr>
            </w:pPr>
            <w:r w:rsidRPr="00A413E4">
              <w:rPr>
                <w:lang w:val="en-US"/>
              </w:rPr>
              <w:t>201</w:t>
            </w:r>
            <w:r>
              <w:rPr>
                <w:lang w:val="en-US"/>
              </w:rPr>
              <w:t>7</w:t>
            </w:r>
            <w:r w:rsidRPr="00A413E4">
              <w:rPr>
                <w:lang w:val="en-US"/>
              </w:rPr>
              <w:t>–1</w:t>
            </w:r>
            <w:r>
              <w:rPr>
                <w:lang w:val="en-US"/>
              </w:rPr>
              <w:t>8</w:t>
            </w:r>
          </w:p>
        </w:tc>
        <w:tc>
          <w:tcPr>
            <w:tcW w:w="1214" w:type="dxa"/>
          </w:tcPr>
          <w:p w14:paraId="06AA083D" w14:textId="77777777" w:rsidR="005852E0" w:rsidRDefault="005852E0" w:rsidP="00A3248E">
            <w:pPr>
              <w:pStyle w:val="DHHStablecolhead"/>
              <w:rPr>
                <w:lang w:val="en-US"/>
              </w:rPr>
            </w:pPr>
            <w:r w:rsidRPr="00A413E4">
              <w:rPr>
                <w:lang w:val="en-US"/>
              </w:rPr>
              <w:t>201</w:t>
            </w:r>
            <w:r>
              <w:rPr>
                <w:lang w:val="en-US"/>
              </w:rPr>
              <w:t>8</w:t>
            </w:r>
            <w:r w:rsidRPr="00A413E4">
              <w:rPr>
                <w:lang w:val="en-US"/>
              </w:rPr>
              <w:t>–1</w:t>
            </w:r>
            <w:r>
              <w:rPr>
                <w:lang w:val="en-US"/>
              </w:rPr>
              <w:t>9</w:t>
            </w:r>
          </w:p>
        </w:tc>
        <w:tc>
          <w:tcPr>
            <w:tcW w:w="1214" w:type="dxa"/>
          </w:tcPr>
          <w:p w14:paraId="440AB9DE" w14:textId="77777777" w:rsidR="005852E0" w:rsidRDefault="005852E0" w:rsidP="00A3248E">
            <w:pPr>
              <w:pStyle w:val="DHHStablecolhead"/>
              <w:rPr>
                <w:lang w:val="en-US"/>
              </w:rPr>
            </w:pPr>
            <w:r w:rsidRPr="00A413E4">
              <w:rPr>
                <w:lang w:val="en-US"/>
              </w:rPr>
              <w:t>201</w:t>
            </w:r>
            <w:r>
              <w:rPr>
                <w:lang w:val="en-US"/>
              </w:rPr>
              <w:t>9</w:t>
            </w:r>
            <w:r w:rsidRPr="00A413E4">
              <w:rPr>
                <w:lang w:val="en-US"/>
              </w:rPr>
              <w:t>–</w:t>
            </w:r>
            <w:r>
              <w:rPr>
                <w:lang w:val="en-US"/>
              </w:rPr>
              <w:t>20</w:t>
            </w:r>
          </w:p>
        </w:tc>
        <w:tc>
          <w:tcPr>
            <w:tcW w:w="1214" w:type="dxa"/>
          </w:tcPr>
          <w:p w14:paraId="6A894BD8" w14:textId="4D385494" w:rsidR="005852E0" w:rsidRDefault="005852E0" w:rsidP="00A3248E">
            <w:pPr>
              <w:pStyle w:val="DHHStablecolhead"/>
              <w:rPr>
                <w:lang w:val="en-US"/>
              </w:rPr>
            </w:pPr>
            <w:r w:rsidRPr="00A413E4">
              <w:rPr>
                <w:lang w:val="en-US"/>
              </w:rPr>
              <w:t>20</w:t>
            </w:r>
            <w:r>
              <w:rPr>
                <w:lang w:val="en-US"/>
              </w:rPr>
              <w:t>20</w:t>
            </w:r>
            <w:r w:rsidR="0099684E">
              <w:rPr>
                <w:lang w:val="en-US"/>
              </w:rPr>
              <w:t>–</w:t>
            </w:r>
            <w:r>
              <w:rPr>
                <w:lang w:val="en-US"/>
              </w:rPr>
              <w:t>21</w:t>
            </w:r>
          </w:p>
        </w:tc>
      </w:tr>
      <w:tr w:rsidR="005852E0" w14:paraId="3B4509AF" w14:textId="77777777" w:rsidTr="00A3248E">
        <w:tc>
          <w:tcPr>
            <w:tcW w:w="750" w:type="dxa"/>
          </w:tcPr>
          <w:p w14:paraId="297F322C" w14:textId="77777777" w:rsidR="005852E0" w:rsidRDefault="005852E0" w:rsidP="0099684E">
            <w:pPr>
              <w:pStyle w:val="Tabletext"/>
            </w:pPr>
            <w:r>
              <w:t>Q1</w:t>
            </w:r>
          </w:p>
        </w:tc>
        <w:tc>
          <w:tcPr>
            <w:tcW w:w="1146" w:type="dxa"/>
          </w:tcPr>
          <w:p w14:paraId="0FB4905D" w14:textId="77777777" w:rsidR="005852E0" w:rsidRDefault="005852E0" w:rsidP="0099684E">
            <w:pPr>
              <w:pStyle w:val="Tabletext"/>
            </w:pPr>
            <w:r>
              <w:t>70</w:t>
            </w:r>
          </w:p>
        </w:tc>
        <w:tc>
          <w:tcPr>
            <w:tcW w:w="1214" w:type="dxa"/>
          </w:tcPr>
          <w:p w14:paraId="1D12F31D" w14:textId="77777777" w:rsidR="005852E0" w:rsidRDefault="005852E0" w:rsidP="0099684E">
            <w:pPr>
              <w:pStyle w:val="Tabletext"/>
            </w:pPr>
            <w:r>
              <w:t>66</w:t>
            </w:r>
          </w:p>
        </w:tc>
        <w:tc>
          <w:tcPr>
            <w:tcW w:w="1214" w:type="dxa"/>
          </w:tcPr>
          <w:p w14:paraId="7B056344" w14:textId="77777777" w:rsidR="005852E0" w:rsidRDefault="005852E0" w:rsidP="0099684E">
            <w:pPr>
              <w:pStyle w:val="Tabletext"/>
            </w:pPr>
            <w:r>
              <w:t>74</w:t>
            </w:r>
          </w:p>
        </w:tc>
        <w:tc>
          <w:tcPr>
            <w:tcW w:w="1214" w:type="dxa"/>
          </w:tcPr>
          <w:p w14:paraId="18BE2FB3" w14:textId="77777777" w:rsidR="005852E0" w:rsidRDefault="005852E0" w:rsidP="0099684E">
            <w:pPr>
              <w:pStyle w:val="Tabletext"/>
            </w:pPr>
            <w:r>
              <w:t>72</w:t>
            </w:r>
          </w:p>
        </w:tc>
        <w:tc>
          <w:tcPr>
            <w:tcW w:w="1214" w:type="dxa"/>
          </w:tcPr>
          <w:p w14:paraId="5338B394" w14:textId="77777777" w:rsidR="005852E0" w:rsidRDefault="005852E0" w:rsidP="0099684E">
            <w:pPr>
              <w:pStyle w:val="Tabletext"/>
            </w:pPr>
            <w:r>
              <w:t>105</w:t>
            </w:r>
          </w:p>
        </w:tc>
        <w:tc>
          <w:tcPr>
            <w:tcW w:w="1214" w:type="dxa"/>
          </w:tcPr>
          <w:p w14:paraId="414E0E88" w14:textId="77777777" w:rsidR="005852E0" w:rsidRDefault="005852E0" w:rsidP="0099684E">
            <w:pPr>
              <w:pStyle w:val="Tabletext"/>
            </w:pPr>
            <w:r>
              <w:t>134</w:t>
            </w:r>
          </w:p>
        </w:tc>
        <w:tc>
          <w:tcPr>
            <w:tcW w:w="1214" w:type="dxa"/>
          </w:tcPr>
          <w:p w14:paraId="6A90421C" w14:textId="77777777" w:rsidR="005852E0" w:rsidRDefault="005852E0" w:rsidP="0099684E">
            <w:pPr>
              <w:pStyle w:val="Tabletext"/>
            </w:pPr>
            <w:r>
              <w:t>287</w:t>
            </w:r>
          </w:p>
        </w:tc>
      </w:tr>
      <w:tr w:rsidR="005852E0" w14:paraId="2F3D7258" w14:textId="77777777" w:rsidTr="00A3248E">
        <w:tc>
          <w:tcPr>
            <w:tcW w:w="750" w:type="dxa"/>
          </w:tcPr>
          <w:p w14:paraId="62914C6C" w14:textId="77777777" w:rsidR="005852E0" w:rsidRDefault="005852E0" w:rsidP="0099684E">
            <w:pPr>
              <w:pStyle w:val="Tabletext"/>
            </w:pPr>
            <w:r>
              <w:t>Q2</w:t>
            </w:r>
          </w:p>
        </w:tc>
        <w:tc>
          <w:tcPr>
            <w:tcW w:w="1146" w:type="dxa"/>
          </w:tcPr>
          <w:p w14:paraId="7B2DC0DE" w14:textId="77777777" w:rsidR="005852E0" w:rsidRDefault="005852E0" w:rsidP="0099684E">
            <w:pPr>
              <w:pStyle w:val="Tabletext"/>
            </w:pPr>
            <w:r>
              <w:t>98</w:t>
            </w:r>
          </w:p>
        </w:tc>
        <w:tc>
          <w:tcPr>
            <w:tcW w:w="1214" w:type="dxa"/>
          </w:tcPr>
          <w:p w14:paraId="254D0B99" w14:textId="77777777" w:rsidR="005852E0" w:rsidRDefault="005852E0" w:rsidP="0099684E">
            <w:pPr>
              <w:pStyle w:val="Tabletext"/>
            </w:pPr>
            <w:r>
              <w:t>56</w:t>
            </w:r>
          </w:p>
        </w:tc>
        <w:tc>
          <w:tcPr>
            <w:tcW w:w="1214" w:type="dxa"/>
          </w:tcPr>
          <w:p w14:paraId="17C2A54E" w14:textId="77777777" w:rsidR="005852E0" w:rsidRDefault="005852E0" w:rsidP="0099684E">
            <w:pPr>
              <w:pStyle w:val="Tabletext"/>
            </w:pPr>
            <w:r>
              <w:t>74</w:t>
            </w:r>
          </w:p>
        </w:tc>
        <w:tc>
          <w:tcPr>
            <w:tcW w:w="1214" w:type="dxa"/>
          </w:tcPr>
          <w:p w14:paraId="214C6812" w14:textId="77777777" w:rsidR="005852E0" w:rsidRDefault="005852E0" w:rsidP="0099684E">
            <w:pPr>
              <w:pStyle w:val="Tabletext"/>
            </w:pPr>
            <w:r>
              <w:t>95</w:t>
            </w:r>
          </w:p>
        </w:tc>
        <w:tc>
          <w:tcPr>
            <w:tcW w:w="1214" w:type="dxa"/>
          </w:tcPr>
          <w:p w14:paraId="0B414000" w14:textId="77777777" w:rsidR="005852E0" w:rsidRDefault="005852E0" w:rsidP="0099684E">
            <w:pPr>
              <w:pStyle w:val="Tabletext"/>
            </w:pPr>
            <w:r>
              <w:t>143</w:t>
            </w:r>
          </w:p>
        </w:tc>
        <w:tc>
          <w:tcPr>
            <w:tcW w:w="1214" w:type="dxa"/>
          </w:tcPr>
          <w:p w14:paraId="61410216" w14:textId="77777777" w:rsidR="005852E0" w:rsidRDefault="005852E0" w:rsidP="0099684E">
            <w:pPr>
              <w:pStyle w:val="Tabletext"/>
            </w:pPr>
            <w:r>
              <w:t>157</w:t>
            </w:r>
          </w:p>
        </w:tc>
        <w:tc>
          <w:tcPr>
            <w:tcW w:w="1214" w:type="dxa"/>
          </w:tcPr>
          <w:p w14:paraId="15F9E7C7" w14:textId="77777777" w:rsidR="005852E0" w:rsidRDefault="005852E0" w:rsidP="0099684E">
            <w:pPr>
              <w:pStyle w:val="Tabletext"/>
            </w:pPr>
            <w:r>
              <w:t>209</w:t>
            </w:r>
          </w:p>
        </w:tc>
      </w:tr>
      <w:tr w:rsidR="005852E0" w14:paraId="745222D9" w14:textId="77777777" w:rsidTr="00A3248E">
        <w:tc>
          <w:tcPr>
            <w:tcW w:w="750" w:type="dxa"/>
          </w:tcPr>
          <w:p w14:paraId="63586485" w14:textId="77777777" w:rsidR="005852E0" w:rsidRDefault="005852E0" w:rsidP="0099684E">
            <w:pPr>
              <w:pStyle w:val="Tabletext"/>
            </w:pPr>
            <w:r>
              <w:t>Q3</w:t>
            </w:r>
          </w:p>
        </w:tc>
        <w:tc>
          <w:tcPr>
            <w:tcW w:w="1146" w:type="dxa"/>
          </w:tcPr>
          <w:p w14:paraId="51153841" w14:textId="77777777" w:rsidR="005852E0" w:rsidRDefault="005852E0" w:rsidP="0099684E">
            <w:pPr>
              <w:pStyle w:val="Tabletext"/>
            </w:pPr>
            <w:r>
              <w:t>76</w:t>
            </w:r>
          </w:p>
        </w:tc>
        <w:tc>
          <w:tcPr>
            <w:tcW w:w="1214" w:type="dxa"/>
          </w:tcPr>
          <w:p w14:paraId="361BEBB5" w14:textId="77777777" w:rsidR="005852E0" w:rsidRDefault="005852E0" w:rsidP="0099684E">
            <w:pPr>
              <w:pStyle w:val="Tabletext"/>
            </w:pPr>
            <w:r>
              <w:t>70</w:t>
            </w:r>
          </w:p>
        </w:tc>
        <w:tc>
          <w:tcPr>
            <w:tcW w:w="1214" w:type="dxa"/>
          </w:tcPr>
          <w:p w14:paraId="682E4D47" w14:textId="77777777" w:rsidR="005852E0" w:rsidRDefault="005852E0" w:rsidP="0099684E">
            <w:pPr>
              <w:pStyle w:val="Tabletext"/>
            </w:pPr>
            <w:r>
              <w:t>66</w:t>
            </w:r>
          </w:p>
        </w:tc>
        <w:tc>
          <w:tcPr>
            <w:tcW w:w="1214" w:type="dxa"/>
          </w:tcPr>
          <w:p w14:paraId="5357846B" w14:textId="77777777" w:rsidR="005852E0" w:rsidRDefault="005852E0" w:rsidP="0099684E">
            <w:pPr>
              <w:pStyle w:val="Tabletext"/>
            </w:pPr>
            <w:r>
              <w:t>105</w:t>
            </w:r>
          </w:p>
        </w:tc>
        <w:tc>
          <w:tcPr>
            <w:tcW w:w="1214" w:type="dxa"/>
          </w:tcPr>
          <w:p w14:paraId="5F7FDEBA" w14:textId="77777777" w:rsidR="005852E0" w:rsidRDefault="005852E0" w:rsidP="0099684E">
            <w:pPr>
              <w:pStyle w:val="Tabletext"/>
            </w:pPr>
            <w:r>
              <w:t>161</w:t>
            </w:r>
          </w:p>
        </w:tc>
        <w:tc>
          <w:tcPr>
            <w:tcW w:w="1214" w:type="dxa"/>
          </w:tcPr>
          <w:p w14:paraId="479067F3" w14:textId="77777777" w:rsidR="005852E0" w:rsidRDefault="005852E0" w:rsidP="0099684E">
            <w:pPr>
              <w:pStyle w:val="Tabletext"/>
            </w:pPr>
            <w:r>
              <w:t>142</w:t>
            </w:r>
          </w:p>
        </w:tc>
        <w:tc>
          <w:tcPr>
            <w:tcW w:w="1214" w:type="dxa"/>
          </w:tcPr>
          <w:p w14:paraId="09F0C214" w14:textId="77777777" w:rsidR="005852E0" w:rsidRDefault="005852E0" w:rsidP="0099684E">
            <w:pPr>
              <w:pStyle w:val="Tabletext"/>
            </w:pPr>
            <w:r>
              <w:t>226</w:t>
            </w:r>
          </w:p>
        </w:tc>
      </w:tr>
      <w:tr w:rsidR="005852E0" w14:paraId="2642E88B" w14:textId="77777777" w:rsidTr="00A3248E">
        <w:tc>
          <w:tcPr>
            <w:tcW w:w="750" w:type="dxa"/>
          </w:tcPr>
          <w:p w14:paraId="0E0FD7C5" w14:textId="77777777" w:rsidR="005852E0" w:rsidRDefault="005852E0" w:rsidP="0099684E">
            <w:pPr>
              <w:pStyle w:val="Tabletext"/>
            </w:pPr>
            <w:r>
              <w:t>Q4</w:t>
            </w:r>
          </w:p>
        </w:tc>
        <w:tc>
          <w:tcPr>
            <w:tcW w:w="1146" w:type="dxa"/>
          </w:tcPr>
          <w:p w14:paraId="10D55AA4" w14:textId="77777777" w:rsidR="005852E0" w:rsidRDefault="005852E0" w:rsidP="0099684E">
            <w:pPr>
              <w:pStyle w:val="Tabletext"/>
            </w:pPr>
            <w:r>
              <w:t>64</w:t>
            </w:r>
          </w:p>
        </w:tc>
        <w:tc>
          <w:tcPr>
            <w:tcW w:w="1214" w:type="dxa"/>
          </w:tcPr>
          <w:p w14:paraId="6402F049" w14:textId="77777777" w:rsidR="005852E0" w:rsidRDefault="005852E0" w:rsidP="0099684E">
            <w:pPr>
              <w:pStyle w:val="Tabletext"/>
            </w:pPr>
            <w:r>
              <w:t>72</w:t>
            </w:r>
          </w:p>
        </w:tc>
        <w:tc>
          <w:tcPr>
            <w:tcW w:w="1214" w:type="dxa"/>
          </w:tcPr>
          <w:p w14:paraId="5FC90EE3" w14:textId="77777777" w:rsidR="005852E0" w:rsidRDefault="005852E0" w:rsidP="0099684E">
            <w:pPr>
              <w:pStyle w:val="Tabletext"/>
            </w:pPr>
            <w:r>
              <w:t>70</w:t>
            </w:r>
          </w:p>
        </w:tc>
        <w:tc>
          <w:tcPr>
            <w:tcW w:w="1214" w:type="dxa"/>
          </w:tcPr>
          <w:p w14:paraId="3F4D09A9" w14:textId="77777777" w:rsidR="005852E0" w:rsidRDefault="005852E0" w:rsidP="0099684E">
            <w:pPr>
              <w:pStyle w:val="Tabletext"/>
            </w:pPr>
            <w:r>
              <w:t>93</w:t>
            </w:r>
          </w:p>
        </w:tc>
        <w:tc>
          <w:tcPr>
            <w:tcW w:w="1214" w:type="dxa"/>
          </w:tcPr>
          <w:p w14:paraId="09786127" w14:textId="77777777" w:rsidR="005852E0" w:rsidRDefault="005852E0" w:rsidP="0099684E">
            <w:pPr>
              <w:pStyle w:val="Tabletext"/>
            </w:pPr>
            <w:r>
              <w:t>122</w:t>
            </w:r>
          </w:p>
        </w:tc>
        <w:tc>
          <w:tcPr>
            <w:tcW w:w="1214" w:type="dxa"/>
          </w:tcPr>
          <w:p w14:paraId="6A33D6F4" w14:textId="77777777" w:rsidR="005852E0" w:rsidRDefault="005852E0" w:rsidP="0099684E">
            <w:pPr>
              <w:pStyle w:val="Tabletext"/>
            </w:pPr>
            <w:r>
              <w:t>218</w:t>
            </w:r>
          </w:p>
        </w:tc>
        <w:tc>
          <w:tcPr>
            <w:tcW w:w="1214" w:type="dxa"/>
          </w:tcPr>
          <w:p w14:paraId="61CA3AE9" w14:textId="77777777" w:rsidR="005852E0" w:rsidRDefault="005852E0" w:rsidP="0099684E">
            <w:pPr>
              <w:pStyle w:val="Tabletext"/>
            </w:pPr>
            <w:r>
              <w:t>271</w:t>
            </w:r>
          </w:p>
        </w:tc>
      </w:tr>
      <w:tr w:rsidR="005852E0" w14:paraId="152AF5FE" w14:textId="77777777" w:rsidTr="00A3248E">
        <w:tc>
          <w:tcPr>
            <w:tcW w:w="750" w:type="dxa"/>
          </w:tcPr>
          <w:p w14:paraId="6FDFE58C" w14:textId="77777777" w:rsidR="005852E0" w:rsidRPr="005F5BC0" w:rsidRDefault="005852E0" w:rsidP="0099684E">
            <w:pPr>
              <w:pStyle w:val="Tabletext"/>
              <w:rPr>
                <w:b/>
                <w:bCs/>
              </w:rPr>
            </w:pPr>
            <w:r w:rsidRPr="005F5BC0">
              <w:rPr>
                <w:b/>
                <w:bCs/>
              </w:rPr>
              <w:t>Total</w:t>
            </w:r>
          </w:p>
        </w:tc>
        <w:tc>
          <w:tcPr>
            <w:tcW w:w="1146" w:type="dxa"/>
          </w:tcPr>
          <w:p w14:paraId="7B762FE1" w14:textId="77777777" w:rsidR="005852E0" w:rsidRPr="005F5BC0" w:rsidRDefault="005852E0" w:rsidP="0099684E">
            <w:pPr>
              <w:pStyle w:val="Tabletext"/>
              <w:rPr>
                <w:b/>
                <w:bCs/>
              </w:rPr>
            </w:pPr>
            <w:r w:rsidRPr="005F5BC0">
              <w:rPr>
                <w:b/>
                <w:bCs/>
              </w:rPr>
              <w:t>308</w:t>
            </w:r>
          </w:p>
        </w:tc>
        <w:tc>
          <w:tcPr>
            <w:tcW w:w="1214" w:type="dxa"/>
          </w:tcPr>
          <w:p w14:paraId="0017CD0B" w14:textId="77777777" w:rsidR="005852E0" w:rsidRPr="005F5BC0" w:rsidRDefault="005852E0" w:rsidP="0099684E">
            <w:pPr>
              <w:pStyle w:val="Tabletext"/>
              <w:rPr>
                <w:b/>
                <w:bCs/>
              </w:rPr>
            </w:pPr>
            <w:r w:rsidRPr="005F5BC0">
              <w:rPr>
                <w:b/>
                <w:bCs/>
              </w:rPr>
              <w:t>264</w:t>
            </w:r>
          </w:p>
        </w:tc>
        <w:tc>
          <w:tcPr>
            <w:tcW w:w="1214" w:type="dxa"/>
          </w:tcPr>
          <w:p w14:paraId="2C21CDAE" w14:textId="77777777" w:rsidR="005852E0" w:rsidRPr="005F5BC0" w:rsidRDefault="005852E0" w:rsidP="0099684E">
            <w:pPr>
              <w:pStyle w:val="Tabletext"/>
              <w:rPr>
                <w:b/>
                <w:bCs/>
              </w:rPr>
            </w:pPr>
            <w:r w:rsidRPr="005F5BC0">
              <w:rPr>
                <w:b/>
                <w:bCs/>
              </w:rPr>
              <w:t>284</w:t>
            </w:r>
          </w:p>
        </w:tc>
        <w:tc>
          <w:tcPr>
            <w:tcW w:w="1214" w:type="dxa"/>
          </w:tcPr>
          <w:p w14:paraId="27DC45E9" w14:textId="77777777" w:rsidR="005852E0" w:rsidRPr="005F5BC0" w:rsidRDefault="005852E0" w:rsidP="0099684E">
            <w:pPr>
              <w:pStyle w:val="Tabletext"/>
              <w:rPr>
                <w:b/>
                <w:bCs/>
              </w:rPr>
            </w:pPr>
            <w:r w:rsidRPr="005F5BC0">
              <w:rPr>
                <w:b/>
                <w:bCs/>
              </w:rPr>
              <w:t>365</w:t>
            </w:r>
          </w:p>
        </w:tc>
        <w:tc>
          <w:tcPr>
            <w:tcW w:w="1214" w:type="dxa"/>
          </w:tcPr>
          <w:p w14:paraId="4872B783" w14:textId="77777777" w:rsidR="005852E0" w:rsidRPr="005F5BC0" w:rsidRDefault="005852E0" w:rsidP="0099684E">
            <w:pPr>
              <w:pStyle w:val="Tabletext"/>
              <w:rPr>
                <w:b/>
                <w:bCs/>
              </w:rPr>
            </w:pPr>
            <w:r w:rsidRPr="005F5BC0">
              <w:rPr>
                <w:b/>
                <w:bCs/>
              </w:rPr>
              <w:t>531</w:t>
            </w:r>
          </w:p>
        </w:tc>
        <w:tc>
          <w:tcPr>
            <w:tcW w:w="1214" w:type="dxa"/>
          </w:tcPr>
          <w:p w14:paraId="73F6FB72" w14:textId="77777777" w:rsidR="005852E0" w:rsidRPr="005F5BC0" w:rsidRDefault="005852E0" w:rsidP="0099684E">
            <w:pPr>
              <w:pStyle w:val="Tabletext"/>
              <w:rPr>
                <w:b/>
                <w:bCs/>
              </w:rPr>
            </w:pPr>
            <w:r w:rsidRPr="005F5BC0">
              <w:rPr>
                <w:b/>
                <w:bCs/>
              </w:rPr>
              <w:t>651</w:t>
            </w:r>
          </w:p>
        </w:tc>
        <w:tc>
          <w:tcPr>
            <w:tcW w:w="1214" w:type="dxa"/>
          </w:tcPr>
          <w:p w14:paraId="651942F7" w14:textId="77777777" w:rsidR="005852E0" w:rsidRPr="005F5BC0" w:rsidRDefault="005852E0" w:rsidP="0099684E">
            <w:pPr>
              <w:pStyle w:val="Tabletext"/>
              <w:rPr>
                <w:b/>
                <w:bCs/>
              </w:rPr>
            </w:pPr>
            <w:r w:rsidRPr="005F5BC0">
              <w:rPr>
                <w:b/>
                <w:bCs/>
              </w:rPr>
              <w:t>993</w:t>
            </w:r>
          </w:p>
        </w:tc>
      </w:tr>
    </w:tbl>
    <w:p w14:paraId="135F9AB5" w14:textId="05119234" w:rsidR="005852E0" w:rsidRPr="00052F88" w:rsidRDefault="0099684E" w:rsidP="00D55654">
      <w:pPr>
        <w:pStyle w:val="Tablefigurenote"/>
      </w:pPr>
      <w:bookmarkStart w:id="26" w:name="_Hlk83213090"/>
      <w:bookmarkStart w:id="27" w:name="_Hlk83213124"/>
      <w:r>
        <w:t xml:space="preserve">Note: </w:t>
      </w:r>
      <w:bookmarkEnd w:id="26"/>
      <w:r w:rsidR="002B6688" w:rsidRPr="002B6688">
        <w:t xml:space="preserve">This table </w:t>
      </w:r>
      <w:r w:rsidR="00792533">
        <w:t>corresponds with</w:t>
      </w:r>
      <w:r w:rsidR="002B6688" w:rsidRPr="002B6688">
        <w:t xml:space="preserve"> the graph above. It is included for purposes of accessibility</w:t>
      </w:r>
      <w:r w:rsidR="00344E29" w:rsidRPr="00052F88">
        <w:t>.</w:t>
      </w:r>
      <w:bookmarkEnd w:id="27"/>
    </w:p>
    <w:p w14:paraId="05E81473" w14:textId="49F6E7D6" w:rsidR="00AD1364" w:rsidRPr="00AD1364" w:rsidRDefault="00AD1364" w:rsidP="0099684E">
      <w:pPr>
        <w:pStyle w:val="Tablecaption"/>
        <w:rPr>
          <w:lang w:val="en-US"/>
        </w:rPr>
      </w:pPr>
      <w:r w:rsidRPr="00AD1364">
        <w:rPr>
          <w:lang w:val="en-US"/>
        </w:rPr>
        <w:lastRenderedPageBreak/>
        <w:t xml:space="preserve">Table </w:t>
      </w:r>
      <w:r w:rsidR="008B788D" w:rsidRPr="007F108E">
        <w:rPr>
          <w:lang w:val="en-US"/>
        </w:rPr>
        <w:t>3</w:t>
      </w:r>
      <w:r w:rsidRPr="00AD1364">
        <w:rPr>
          <w:lang w:val="en-US"/>
        </w:rPr>
        <w:t>: Enquiries to the Office of the Chief Psychiatrist, trend data</w:t>
      </w:r>
      <w:r w:rsidR="008D1CA6">
        <w:rPr>
          <w:lang w:val="en-US"/>
        </w:rPr>
        <w:t>,</w:t>
      </w:r>
      <w:r w:rsidRPr="00AD1364">
        <w:rPr>
          <w:lang w:val="en-US"/>
        </w:rPr>
        <w:t xml:space="preserve"> 20</w:t>
      </w:r>
      <w:r w:rsidR="008D1CA6">
        <w:rPr>
          <w:lang w:val="en-US"/>
        </w:rPr>
        <w:t>18</w:t>
      </w:r>
      <w:r w:rsidR="008D1CA6" w:rsidRPr="00AD1364">
        <w:rPr>
          <w:lang w:val="en-US"/>
        </w:rPr>
        <w:t>–</w:t>
      </w:r>
      <w:r w:rsidRPr="00AD1364">
        <w:rPr>
          <w:lang w:val="en-US"/>
        </w:rPr>
        <w:t>19</w:t>
      </w:r>
      <w:bookmarkStart w:id="28" w:name="_Hlk84858781"/>
      <w:r w:rsidR="008D1CA6">
        <w:rPr>
          <w:lang w:val="en-US"/>
        </w:rPr>
        <w:t xml:space="preserve"> to 2020</w:t>
      </w:r>
      <w:r w:rsidRPr="00AD1364">
        <w:rPr>
          <w:lang w:val="en-US"/>
        </w:rPr>
        <w:t>–</w:t>
      </w:r>
      <w:bookmarkEnd w:id="28"/>
      <w:r w:rsidRPr="00AD1364">
        <w:rPr>
          <w:lang w:val="en-US"/>
        </w:rPr>
        <w:t>21</w:t>
      </w:r>
    </w:p>
    <w:tbl>
      <w:tblPr>
        <w:tblStyle w:val="TableGrid"/>
        <w:tblW w:w="9465" w:type="dxa"/>
        <w:tblInd w:w="27" w:type="dxa"/>
        <w:tblLook w:val="04A0" w:firstRow="1" w:lastRow="0" w:firstColumn="1" w:lastColumn="0" w:noHBand="0" w:noVBand="1"/>
      </w:tblPr>
      <w:tblGrid>
        <w:gridCol w:w="1268"/>
        <w:gridCol w:w="683"/>
        <w:gridCol w:w="683"/>
        <w:gridCol w:w="683"/>
        <w:gridCol w:w="683"/>
        <w:gridCol w:w="683"/>
        <w:gridCol w:w="683"/>
        <w:gridCol w:w="683"/>
        <w:gridCol w:w="683"/>
        <w:gridCol w:w="683"/>
        <w:gridCol w:w="683"/>
        <w:gridCol w:w="683"/>
        <w:gridCol w:w="684"/>
      </w:tblGrid>
      <w:tr w:rsidR="007833E4" w14:paraId="312CCFD2" w14:textId="77777777" w:rsidTr="00A3248E">
        <w:trPr>
          <w:tblHeader/>
        </w:trPr>
        <w:tc>
          <w:tcPr>
            <w:tcW w:w="1268" w:type="dxa"/>
          </w:tcPr>
          <w:p w14:paraId="058CF307" w14:textId="77777777" w:rsidR="007833E4" w:rsidRDefault="007833E4" w:rsidP="00A3248E">
            <w:pPr>
              <w:pStyle w:val="DHHStablecolhead"/>
              <w:rPr>
                <w:lang w:val="en-US"/>
              </w:rPr>
            </w:pPr>
            <w:r>
              <w:rPr>
                <w:lang w:val="en-US"/>
              </w:rPr>
              <w:t>Year</w:t>
            </w:r>
          </w:p>
        </w:tc>
        <w:tc>
          <w:tcPr>
            <w:tcW w:w="683" w:type="dxa"/>
          </w:tcPr>
          <w:p w14:paraId="0B5419E7" w14:textId="77777777" w:rsidR="007833E4" w:rsidRDefault="007833E4" w:rsidP="00A3248E">
            <w:pPr>
              <w:pStyle w:val="DHHStablecolhead"/>
              <w:rPr>
                <w:lang w:val="en-US"/>
              </w:rPr>
            </w:pPr>
            <w:r>
              <w:rPr>
                <w:lang w:val="en-US"/>
              </w:rPr>
              <w:t>Jul</w:t>
            </w:r>
          </w:p>
        </w:tc>
        <w:tc>
          <w:tcPr>
            <w:tcW w:w="683" w:type="dxa"/>
          </w:tcPr>
          <w:p w14:paraId="34727BE6" w14:textId="77777777" w:rsidR="007833E4" w:rsidRDefault="007833E4" w:rsidP="00A3248E">
            <w:pPr>
              <w:pStyle w:val="DHHStablecolhead"/>
              <w:rPr>
                <w:lang w:val="en-US"/>
              </w:rPr>
            </w:pPr>
            <w:r>
              <w:rPr>
                <w:lang w:val="en-US"/>
              </w:rPr>
              <w:t>Aug</w:t>
            </w:r>
          </w:p>
        </w:tc>
        <w:tc>
          <w:tcPr>
            <w:tcW w:w="683" w:type="dxa"/>
          </w:tcPr>
          <w:p w14:paraId="2707FD40" w14:textId="77777777" w:rsidR="007833E4" w:rsidRDefault="007833E4" w:rsidP="00A3248E">
            <w:pPr>
              <w:pStyle w:val="DHHStablecolhead"/>
              <w:rPr>
                <w:lang w:val="en-US"/>
              </w:rPr>
            </w:pPr>
            <w:r>
              <w:rPr>
                <w:lang w:val="en-US"/>
              </w:rPr>
              <w:t>Sep</w:t>
            </w:r>
          </w:p>
        </w:tc>
        <w:tc>
          <w:tcPr>
            <w:tcW w:w="683" w:type="dxa"/>
          </w:tcPr>
          <w:p w14:paraId="788B39CB" w14:textId="77777777" w:rsidR="007833E4" w:rsidRDefault="007833E4" w:rsidP="00A3248E">
            <w:pPr>
              <w:pStyle w:val="DHHStablecolhead"/>
              <w:rPr>
                <w:lang w:val="en-US"/>
              </w:rPr>
            </w:pPr>
            <w:r>
              <w:rPr>
                <w:lang w:val="en-US"/>
              </w:rPr>
              <w:t>Oct</w:t>
            </w:r>
          </w:p>
        </w:tc>
        <w:tc>
          <w:tcPr>
            <w:tcW w:w="683" w:type="dxa"/>
          </w:tcPr>
          <w:p w14:paraId="10350DC5" w14:textId="77777777" w:rsidR="007833E4" w:rsidRDefault="007833E4" w:rsidP="00A3248E">
            <w:pPr>
              <w:pStyle w:val="DHHStablecolhead"/>
              <w:rPr>
                <w:lang w:val="en-US"/>
              </w:rPr>
            </w:pPr>
            <w:r>
              <w:rPr>
                <w:lang w:val="en-US"/>
              </w:rPr>
              <w:t>Nov</w:t>
            </w:r>
          </w:p>
        </w:tc>
        <w:tc>
          <w:tcPr>
            <w:tcW w:w="683" w:type="dxa"/>
          </w:tcPr>
          <w:p w14:paraId="5E5DFD21" w14:textId="77777777" w:rsidR="007833E4" w:rsidRDefault="007833E4" w:rsidP="00A3248E">
            <w:pPr>
              <w:pStyle w:val="DHHStablecolhead"/>
              <w:rPr>
                <w:lang w:val="en-US"/>
              </w:rPr>
            </w:pPr>
            <w:r>
              <w:rPr>
                <w:lang w:val="en-US"/>
              </w:rPr>
              <w:t>Dec</w:t>
            </w:r>
          </w:p>
        </w:tc>
        <w:tc>
          <w:tcPr>
            <w:tcW w:w="683" w:type="dxa"/>
          </w:tcPr>
          <w:p w14:paraId="56C4CE87" w14:textId="77777777" w:rsidR="007833E4" w:rsidRDefault="007833E4" w:rsidP="00A3248E">
            <w:pPr>
              <w:pStyle w:val="DHHStablecolhead"/>
              <w:rPr>
                <w:lang w:val="en-US"/>
              </w:rPr>
            </w:pPr>
            <w:r>
              <w:rPr>
                <w:lang w:val="en-US"/>
              </w:rPr>
              <w:t>Jan</w:t>
            </w:r>
          </w:p>
        </w:tc>
        <w:tc>
          <w:tcPr>
            <w:tcW w:w="683" w:type="dxa"/>
          </w:tcPr>
          <w:p w14:paraId="5733EE54" w14:textId="77777777" w:rsidR="007833E4" w:rsidRDefault="007833E4" w:rsidP="00A3248E">
            <w:pPr>
              <w:pStyle w:val="DHHStablecolhead"/>
              <w:rPr>
                <w:lang w:val="en-US"/>
              </w:rPr>
            </w:pPr>
            <w:r>
              <w:rPr>
                <w:lang w:val="en-US"/>
              </w:rPr>
              <w:t>Feb</w:t>
            </w:r>
          </w:p>
        </w:tc>
        <w:tc>
          <w:tcPr>
            <w:tcW w:w="683" w:type="dxa"/>
          </w:tcPr>
          <w:p w14:paraId="7E4AEBD2" w14:textId="77777777" w:rsidR="007833E4" w:rsidRDefault="007833E4" w:rsidP="00A3248E">
            <w:pPr>
              <w:pStyle w:val="DHHStablecolhead"/>
              <w:rPr>
                <w:lang w:val="en-US"/>
              </w:rPr>
            </w:pPr>
            <w:r>
              <w:rPr>
                <w:lang w:val="en-US"/>
              </w:rPr>
              <w:t>Mar</w:t>
            </w:r>
          </w:p>
        </w:tc>
        <w:tc>
          <w:tcPr>
            <w:tcW w:w="683" w:type="dxa"/>
          </w:tcPr>
          <w:p w14:paraId="1B45D94B" w14:textId="77777777" w:rsidR="007833E4" w:rsidRDefault="007833E4" w:rsidP="00A3248E">
            <w:pPr>
              <w:pStyle w:val="DHHStablecolhead"/>
              <w:rPr>
                <w:lang w:val="en-US"/>
              </w:rPr>
            </w:pPr>
            <w:r>
              <w:rPr>
                <w:lang w:val="en-US"/>
              </w:rPr>
              <w:t>Apr</w:t>
            </w:r>
          </w:p>
        </w:tc>
        <w:tc>
          <w:tcPr>
            <w:tcW w:w="683" w:type="dxa"/>
          </w:tcPr>
          <w:p w14:paraId="61ADCB6A" w14:textId="77777777" w:rsidR="007833E4" w:rsidRDefault="007833E4" w:rsidP="00A3248E">
            <w:pPr>
              <w:pStyle w:val="DHHStablecolhead"/>
              <w:rPr>
                <w:lang w:val="en-US"/>
              </w:rPr>
            </w:pPr>
            <w:r>
              <w:rPr>
                <w:lang w:val="en-US"/>
              </w:rPr>
              <w:t>May</w:t>
            </w:r>
          </w:p>
        </w:tc>
        <w:tc>
          <w:tcPr>
            <w:tcW w:w="684" w:type="dxa"/>
          </w:tcPr>
          <w:p w14:paraId="6361920C" w14:textId="77777777" w:rsidR="007833E4" w:rsidRDefault="007833E4" w:rsidP="00A3248E">
            <w:pPr>
              <w:pStyle w:val="DHHStablecolhead"/>
              <w:rPr>
                <w:lang w:val="en-US"/>
              </w:rPr>
            </w:pPr>
            <w:r>
              <w:rPr>
                <w:lang w:val="en-US"/>
              </w:rPr>
              <w:t>Jun</w:t>
            </w:r>
          </w:p>
        </w:tc>
      </w:tr>
      <w:tr w:rsidR="007833E4" w14:paraId="78CD58C1" w14:textId="77777777" w:rsidTr="00A3248E">
        <w:tc>
          <w:tcPr>
            <w:tcW w:w="1268" w:type="dxa"/>
          </w:tcPr>
          <w:p w14:paraId="1F2D6FA0" w14:textId="77777777" w:rsidR="007833E4" w:rsidRDefault="007833E4" w:rsidP="0099684E">
            <w:pPr>
              <w:pStyle w:val="Tabletext"/>
            </w:pPr>
            <w:r>
              <w:t>2018–19</w:t>
            </w:r>
          </w:p>
        </w:tc>
        <w:tc>
          <w:tcPr>
            <w:tcW w:w="683" w:type="dxa"/>
            <w:vAlign w:val="bottom"/>
          </w:tcPr>
          <w:p w14:paraId="2D2019C7" w14:textId="77777777" w:rsidR="007833E4" w:rsidRPr="00F41AA3" w:rsidRDefault="007833E4" w:rsidP="0099684E">
            <w:pPr>
              <w:pStyle w:val="Tabletext"/>
            </w:pPr>
            <w:r w:rsidRPr="00F41AA3">
              <w:t>28</w:t>
            </w:r>
          </w:p>
        </w:tc>
        <w:tc>
          <w:tcPr>
            <w:tcW w:w="683" w:type="dxa"/>
            <w:vAlign w:val="bottom"/>
          </w:tcPr>
          <w:p w14:paraId="4389BA2A" w14:textId="77777777" w:rsidR="007833E4" w:rsidRPr="00F41AA3" w:rsidRDefault="007833E4" w:rsidP="0099684E">
            <w:pPr>
              <w:pStyle w:val="Tabletext"/>
            </w:pPr>
            <w:r w:rsidRPr="00F41AA3">
              <w:t>49</w:t>
            </w:r>
          </w:p>
        </w:tc>
        <w:tc>
          <w:tcPr>
            <w:tcW w:w="683" w:type="dxa"/>
            <w:vAlign w:val="bottom"/>
          </w:tcPr>
          <w:p w14:paraId="15B7B30E" w14:textId="77777777" w:rsidR="007833E4" w:rsidRPr="00F41AA3" w:rsidRDefault="007833E4" w:rsidP="0099684E">
            <w:pPr>
              <w:pStyle w:val="Tabletext"/>
            </w:pPr>
            <w:r w:rsidRPr="00F41AA3">
              <w:t>28</w:t>
            </w:r>
          </w:p>
        </w:tc>
        <w:tc>
          <w:tcPr>
            <w:tcW w:w="683" w:type="dxa"/>
            <w:vAlign w:val="bottom"/>
          </w:tcPr>
          <w:p w14:paraId="435CD2BD" w14:textId="77777777" w:rsidR="007833E4" w:rsidRPr="00F41AA3" w:rsidRDefault="007833E4" w:rsidP="0099684E">
            <w:pPr>
              <w:pStyle w:val="Tabletext"/>
            </w:pPr>
            <w:r w:rsidRPr="00F41AA3">
              <w:t>40</w:t>
            </w:r>
          </w:p>
        </w:tc>
        <w:tc>
          <w:tcPr>
            <w:tcW w:w="683" w:type="dxa"/>
            <w:vAlign w:val="bottom"/>
          </w:tcPr>
          <w:p w14:paraId="5B0D6E68" w14:textId="77777777" w:rsidR="007833E4" w:rsidRPr="00F41AA3" w:rsidRDefault="007833E4" w:rsidP="0099684E">
            <w:pPr>
              <w:pStyle w:val="Tabletext"/>
            </w:pPr>
            <w:r w:rsidRPr="00F41AA3">
              <w:t>50</w:t>
            </w:r>
          </w:p>
        </w:tc>
        <w:tc>
          <w:tcPr>
            <w:tcW w:w="683" w:type="dxa"/>
            <w:vAlign w:val="bottom"/>
          </w:tcPr>
          <w:p w14:paraId="2D516C24" w14:textId="77777777" w:rsidR="007833E4" w:rsidRPr="00F41AA3" w:rsidRDefault="007833E4" w:rsidP="0099684E">
            <w:pPr>
              <w:pStyle w:val="Tabletext"/>
            </w:pPr>
            <w:r w:rsidRPr="00F41AA3">
              <w:t>53</w:t>
            </w:r>
          </w:p>
        </w:tc>
        <w:tc>
          <w:tcPr>
            <w:tcW w:w="683" w:type="dxa"/>
            <w:vAlign w:val="bottom"/>
          </w:tcPr>
          <w:p w14:paraId="27AE6B2F" w14:textId="77777777" w:rsidR="007833E4" w:rsidRPr="00F41AA3" w:rsidRDefault="007833E4" w:rsidP="0099684E">
            <w:pPr>
              <w:pStyle w:val="Tabletext"/>
            </w:pPr>
            <w:r w:rsidRPr="00F41AA3">
              <w:t>62</w:t>
            </w:r>
          </w:p>
        </w:tc>
        <w:tc>
          <w:tcPr>
            <w:tcW w:w="683" w:type="dxa"/>
            <w:vAlign w:val="bottom"/>
          </w:tcPr>
          <w:p w14:paraId="6952B633" w14:textId="77777777" w:rsidR="007833E4" w:rsidRPr="00F41AA3" w:rsidRDefault="007833E4" w:rsidP="0099684E">
            <w:pPr>
              <w:pStyle w:val="Tabletext"/>
            </w:pPr>
            <w:r w:rsidRPr="00F41AA3">
              <w:t>49</w:t>
            </w:r>
          </w:p>
        </w:tc>
        <w:tc>
          <w:tcPr>
            <w:tcW w:w="683" w:type="dxa"/>
            <w:vAlign w:val="bottom"/>
          </w:tcPr>
          <w:p w14:paraId="2524B159" w14:textId="77777777" w:rsidR="007833E4" w:rsidRPr="00F41AA3" w:rsidRDefault="007833E4" w:rsidP="0099684E">
            <w:pPr>
              <w:pStyle w:val="Tabletext"/>
            </w:pPr>
            <w:r w:rsidRPr="00F41AA3">
              <w:t>50</w:t>
            </w:r>
          </w:p>
        </w:tc>
        <w:tc>
          <w:tcPr>
            <w:tcW w:w="683" w:type="dxa"/>
            <w:vAlign w:val="bottom"/>
          </w:tcPr>
          <w:p w14:paraId="0BB46F9D" w14:textId="77777777" w:rsidR="007833E4" w:rsidRPr="00F41AA3" w:rsidRDefault="007833E4" w:rsidP="0099684E">
            <w:pPr>
              <w:pStyle w:val="Tabletext"/>
            </w:pPr>
            <w:r w:rsidRPr="00F41AA3">
              <w:t>50</w:t>
            </w:r>
          </w:p>
        </w:tc>
        <w:tc>
          <w:tcPr>
            <w:tcW w:w="683" w:type="dxa"/>
            <w:vAlign w:val="bottom"/>
          </w:tcPr>
          <w:p w14:paraId="242A8A11" w14:textId="77777777" w:rsidR="007833E4" w:rsidRPr="00F41AA3" w:rsidRDefault="007833E4" w:rsidP="0099684E">
            <w:pPr>
              <w:pStyle w:val="Tabletext"/>
            </w:pPr>
            <w:r w:rsidRPr="00F41AA3">
              <w:t>36</w:t>
            </w:r>
          </w:p>
        </w:tc>
        <w:tc>
          <w:tcPr>
            <w:tcW w:w="684" w:type="dxa"/>
            <w:vAlign w:val="bottom"/>
          </w:tcPr>
          <w:p w14:paraId="0EFF7237" w14:textId="77777777" w:rsidR="007833E4" w:rsidRPr="00F41AA3" w:rsidRDefault="007833E4" w:rsidP="0099684E">
            <w:pPr>
              <w:pStyle w:val="Tabletext"/>
            </w:pPr>
            <w:r w:rsidRPr="00F41AA3">
              <w:t>36</w:t>
            </w:r>
          </w:p>
        </w:tc>
      </w:tr>
      <w:tr w:rsidR="007833E4" w14:paraId="1F9BF28E" w14:textId="77777777" w:rsidTr="00A3248E">
        <w:tc>
          <w:tcPr>
            <w:tcW w:w="1268" w:type="dxa"/>
          </w:tcPr>
          <w:p w14:paraId="78D2EDD4" w14:textId="77777777" w:rsidR="007833E4" w:rsidRDefault="007833E4" w:rsidP="0099684E">
            <w:pPr>
              <w:pStyle w:val="Tabletext"/>
            </w:pPr>
            <w:r>
              <w:t>2019–20</w:t>
            </w:r>
          </w:p>
        </w:tc>
        <w:tc>
          <w:tcPr>
            <w:tcW w:w="683" w:type="dxa"/>
            <w:vAlign w:val="bottom"/>
          </w:tcPr>
          <w:p w14:paraId="4EFAD8D3" w14:textId="77777777" w:rsidR="007833E4" w:rsidRPr="00F41AA3" w:rsidRDefault="007833E4" w:rsidP="0099684E">
            <w:pPr>
              <w:pStyle w:val="Tabletext"/>
            </w:pPr>
            <w:r w:rsidRPr="00F41AA3">
              <w:t>50</w:t>
            </w:r>
          </w:p>
        </w:tc>
        <w:tc>
          <w:tcPr>
            <w:tcW w:w="683" w:type="dxa"/>
            <w:vAlign w:val="bottom"/>
          </w:tcPr>
          <w:p w14:paraId="085CE568" w14:textId="77777777" w:rsidR="007833E4" w:rsidRPr="00F41AA3" w:rsidRDefault="007833E4" w:rsidP="0099684E">
            <w:pPr>
              <w:pStyle w:val="Tabletext"/>
            </w:pPr>
            <w:r w:rsidRPr="00F41AA3">
              <w:t>42</w:t>
            </w:r>
          </w:p>
        </w:tc>
        <w:tc>
          <w:tcPr>
            <w:tcW w:w="683" w:type="dxa"/>
            <w:vAlign w:val="bottom"/>
          </w:tcPr>
          <w:p w14:paraId="6ED97695" w14:textId="77777777" w:rsidR="007833E4" w:rsidRPr="00F41AA3" w:rsidRDefault="007833E4" w:rsidP="0099684E">
            <w:pPr>
              <w:pStyle w:val="Tabletext"/>
            </w:pPr>
            <w:r w:rsidRPr="00F41AA3">
              <w:t>42</w:t>
            </w:r>
          </w:p>
        </w:tc>
        <w:tc>
          <w:tcPr>
            <w:tcW w:w="683" w:type="dxa"/>
            <w:vAlign w:val="bottom"/>
          </w:tcPr>
          <w:p w14:paraId="27A72DFD" w14:textId="77777777" w:rsidR="007833E4" w:rsidRPr="00F41AA3" w:rsidRDefault="007833E4" w:rsidP="0099684E">
            <w:pPr>
              <w:pStyle w:val="Tabletext"/>
            </w:pPr>
            <w:r w:rsidRPr="00F41AA3">
              <w:t>72</w:t>
            </w:r>
          </w:p>
        </w:tc>
        <w:tc>
          <w:tcPr>
            <w:tcW w:w="683" w:type="dxa"/>
            <w:vAlign w:val="bottom"/>
          </w:tcPr>
          <w:p w14:paraId="539C0020" w14:textId="77777777" w:rsidR="007833E4" w:rsidRPr="00F41AA3" w:rsidRDefault="007833E4" w:rsidP="0099684E">
            <w:pPr>
              <w:pStyle w:val="Tabletext"/>
            </w:pPr>
            <w:r w:rsidRPr="00F41AA3">
              <w:t>42</w:t>
            </w:r>
          </w:p>
        </w:tc>
        <w:tc>
          <w:tcPr>
            <w:tcW w:w="683" w:type="dxa"/>
            <w:vAlign w:val="bottom"/>
          </w:tcPr>
          <w:p w14:paraId="22BDB4D4" w14:textId="77777777" w:rsidR="007833E4" w:rsidRPr="00F41AA3" w:rsidRDefault="007833E4" w:rsidP="0099684E">
            <w:pPr>
              <w:pStyle w:val="Tabletext"/>
            </w:pPr>
            <w:r w:rsidRPr="00F41AA3">
              <w:t>43</w:t>
            </w:r>
          </w:p>
        </w:tc>
        <w:tc>
          <w:tcPr>
            <w:tcW w:w="683" w:type="dxa"/>
            <w:vAlign w:val="bottom"/>
          </w:tcPr>
          <w:p w14:paraId="62CEDD64" w14:textId="77777777" w:rsidR="007833E4" w:rsidRPr="00F41AA3" w:rsidRDefault="007833E4" w:rsidP="0099684E">
            <w:pPr>
              <w:pStyle w:val="Tabletext"/>
            </w:pPr>
            <w:r w:rsidRPr="00F41AA3">
              <w:t>59</w:t>
            </w:r>
          </w:p>
        </w:tc>
        <w:tc>
          <w:tcPr>
            <w:tcW w:w="683" w:type="dxa"/>
            <w:vAlign w:val="bottom"/>
          </w:tcPr>
          <w:p w14:paraId="35101DE5" w14:textId="77777777" w:rsidR="007833E4" w:rsidRPr="00F41AA3" w:rsidRDefault="007833E4" w:rsidP="0099684E">
            <w:pPr>
              <w:pStyle w:val="Tabletext"/>
            </w:pPr>
            <w:r w:rsidRPr="00F41AA3">
              <w:t>42</w:t>
            </w:r>
          </w:p>
        </w:tc>
        <w:tc>
          <w:tcPr>
            <w:tcW w:w="683" w:type="dxa"/>
            <w:vAlign w:val="bottom"/>
          </w:tcPr>
          <w:p w14:paraId="4657A87E" w14:textId="77777777" w:rsidR="007833E4" w:rsidRPr="00F41AA3" w:rsidRDefault="007833E4" w:rsidP="0099684E">
            <w:pPr>
              <w:pStyle w:val="Tabletext"/>
            </w:pPr>
            <w:r w:rsidRPr="00F41AA3">
              <w:t>41</w:t>
            </w:r>
          </w:p>
        </w:tc>
        <w:tc>
          <w:tcPr>
            <w:tcW w:w="683" w:type="dxa"/>
            <w:vAlign w:val="bottom"/>
          </w:tcPr>
          <w:p w14:paraId="2BE7BC7F" w14:textId="77777777" w:rsidR="007833E4" w:rsidRPr="00F41AA3" w:rsidRDefault="007833E4" w:rsidP="0099684E">
            <w:pPr>
              <w:pStyle w:val="Tabletext"/>
            </w:pPr>
            <w:r w:rsidRPr="00F41AA3">
              <w:t>69</w:t>
            </w:r>
          </w:p>
        </w:tc>
        <w:tc>
          <w:tcPr>
            <w:tcW w:w="683" w:type="dxa"/>
            <w:vAlign w:val="bottom"/>
          </w:tcPr>
          <w:p w14:paraId="74371BFD" w14:textId="77777777" w:rsidR="007833E4" w:rsidRPr="00F41AA3" w:rsidRDefault="007833E4" w:rsidP="0099684E">
            <w:pPr>
              <w:pStyle w:val="Tabletext"/>
            </w:pPr>
            <w:r w:rsidRPr="00F41AA3">
              <w:t>63</w:t>
            </w:r>
          </w:p>
        </w:tc>
        <w:tc>
          <w:tcPr>
            <w:tcW w:w="684" w:type="dxa"/>
            <w:vAlign w:val="bottom"/>
          </w:tcPr>
          <w:p w14:paraId="0139C089" w14:textId="77777777" w:rsidR="007833E4" w:rsidRPr="00F41AA3" w:rsidRDefault="007833E4" w:rsidP="0099684E">
            <w:pPr>
              <w:pStyle w:val="Tabletext"/>
            </w:pPr>
            <w:r w:rsidRPr="00F41AA3">
              <w:t>86</w:t>
            </w:r>
          </w:p>
        </w:tc>
      </w:tr>
      <w:tr w:rsidR="007833E4" w14:paraId="10CBAC29" w14:textId="77777777" w:rsidTr="00A3248E">
        <w:tc>
          <w:tcPr>
            <w:tcW w:w="1268" w:type="dxa"/>
          </w:tcPr>
          <w:p w14:paraId="3CB50090" w14:textId="5C85FEF3" w:rsidR="007833E4" w:rsidRDefault="007833E4" w:rsidP="0099684E">
            <w:pPr>
              <w:pStyle w:val="Tabletext"/>
            </w:pPr>
            <w:r>
              <w:t>2020</w:t>
            </w:r>
            <w:r w:rsidR="0099684E">
              <w:t>–</w:t>
            </w:r>
            <w:r>
              <w:t>21</w:t>
            </w:r>
          </w:p>
        </w:tc>
        <w:tc>
          <w:tcPr>
            <w:tcW w:w="683" w:type="dxa"/>
            <w:vAlign w:val="bottom"/>
          </w:tcPr>
          <w:p w14:paraId="06E36487" w14:textId="77777777" w:rsidR="007833E4" w:rsidRPr="00F41AA3" w:rsidRDefault="007833E4" w:rsidP="0099684E">
            <w:pPr>
              <w:pStyle w:val="Tabletext"/>
            </w:pPr>
            <w:r>
              <w:t>97</w:t>
            </w:r>
          </w:p>
        </w:tc>
        <w:tc>
          <w:tcPr>
            <w:tcW w:w="683" w:type="dxa"/>
            <w:vAlign w:val="bottom"/>
          </w:tcPr>
          <w:p w14:paraId="5C94407F" w14:textId="77777777" w:rsidR="007833E4" w:rsidRPr="00F41AA3" w:rsidRDefault="007833E4" w:rsidP="0099684E">
            <w:pPr>
              <w:pStyle w:val="Tabletext"/>
            </w:pPr>
            <w:r>
              <w:t>106</w:t>
            </w:r>
          </w:p>
        </w:tc>
        <w:tc>
          <w:tcPr>
            <w:tcW w:w="683" w:type="dxa"/>
            <w:vAlign w:val="bottom"/>
          </w:tcPr>
          <w:p w14:paraId="3E7B1D7B" w14:textId="77777777" w:rsidR="007833E4" w:rsidRPr="00F41AA3" w:rsidRDefault="007833E4" w:rsidP="0099684E">
            <w:pPr>
              <w:pStyle w:val="Tabletext"/>
            </w:pPr>
            <w:r>
              <w:t>84</w:t>
            </w:r>
          </w:p>
        </w:tc>
        <w:tc>
          <w:tcPr>
            <w:tcW w:w="683" w:type="dxa"/>
            <w:vAlign w:val="bottom"/>
          </w:tcPr>
          <w:p w14:paraId="1426CD41" w14:textId="77777777" w:rsidR="007833E4" w:rsidRPr="00F41AA3" w:rsidRDefault="007833E4" w:rsidP="0099684E">
            <w:pPr>
              <w:pStyle w:val="Tabletext"/>
            </w:pPr>
            <w:r>
              <w:t>67</w:t>
            </w:r>
          </w:p>
        </w:tc>
        <w:tc>
          <w:tcPr>
            <w:tcW w:w="683" w:type="dxa"/>
            <w:vAlign w:val="bottom"/>
          </w:tcPr>
          <w:p w14:paraId="2F9CFAB9" w14:textId="77777777" w:rsidR="007833E4" w:rsidRPr="00F41AA3" w:rsidRDefault="007833E4" w:rsidP="0099684E">
            <w:pPr>
              <w:pStyle w:val="Tabletext"/>
            </w:pPr>
            <w:r>
              <w:t>72</w:t>
            </w:r>
          </w:p>
        </w:tc>
        <w:tc>
          <w:tcPr>
            <w:tcW w:w="683" w:type="dxa"/>
            <w:vAlign w:val="bottom"/>
          </w:tcPr>
          <w:p w14:paraId="344B6951" w14:textId="77777777" w:rsidR="007833E4" w:rsidRPr="00F41AA3" w:rsidRDefault="007833E4" w:rsidP="0099684E">
            <w:pPr>
              <w:pStyle w:val="Tabletext"/>
            </w:pPr>
            <w:r>
              <w:t>70</w:t>
            </w:r>
          </w:p>
        </w:tc>
        <w:tc>
          <w:tcPr>
            <w:tcW w:w="683" w:type="dxa"/>
            <w:vAlign w:val="bottom"/>
          </w:tcPr>
          <w:p w14:paraId="4C1427A9" w14:textId="77777777" w:rsidR="007833E4" w:rsidRPr="00F41AA3" w:rsidRDefault="007833E4" w:rsidP="0099684E">
            <w:pPr>
              <w:pStyle w:val="Tabletext"/>
            </w:pPr>
            <w:r>
              <w:t>70</w:t>
            </w:r>
          </w:p>
        </w:tc>
        <w:tc>
          <w:tcPr>
            <w:tcW w:w="683" w:type="dxa"/>
            <w:vAlign w:val="bottom"/>
          </w:tcPr>
          <w:p w14:paraId="3C425310" w14:textId="77777777" w:rsidR="007833E4" w:rsidRPr="00F41AA3" w:rsidRDefault="007833E4" w:rsidP="0099684E">
            <w:pPr>
              <w:pStyle w:val="Tabletext"/>
            </w:pPr>
            <w:r>
              <w:t>64</w:t>
            </w:r>
          </w:p>
        </w:tc>
        <w:tc>
          <w:tcPr>
            <w:tcW w:w="683" w:type="dxa"/>
            <w:vAlign w:val="bottom"/>
          </w:tcPr>
          <w:p w14:paraId="57797064" w14:textId="77777777" w:rsidR="007833E4" w:rsidRPr="00F41AA3" w:rsidRDefault="007833E4" w:rsidP="0099684E">
            <w:pPr>
              <w:pStyle w:val="Tabletext"/>
            </w:pPr>
            <w:r>
              <w:t>92</w:t>
            </w:r>
          </w:p>
        </w:tc>
        <w:tc>
          <w:tcPr>
            <w:tcW w:w="683" w:type="dxa"/>
            <w:vAlign w:val="bottom"/>
          </w:tcPr>
          <w:p w14:paraId="68D99586" w14:textId="77777777" w:rsidR="007833E4" w:rsidRPr="00F41AA3" w:rsidRDefault="007833E4" w:rsidP="0099684E">
            <w:pPr>
              <w:pStyle w:val="Tabletext"/>
            </w:pPr>
            <w:r>
              <w:t>96</w:t>
            </w:r>
          </w:p>
        </w:tc>
        <w:tc>
          <w:tcPr>
            <w:tcW w:w="683" w:type="dxa"/>
            <w:vAlign w:val="bottom"/>
          </w:tcPr>
          <w:p w14:paraId="7E4A36C7" w14:textId="77777777" w:rsidR="007833E4" w:rsidRPr="00F41AA3" w:rsidRDefault="007833E4" w:rsidP="0099684E">
            <w:pPr>
              <w:pStyle w:val="Tabletext"/>
            </w:pPr>
            <w:r>
              <w:t>79</w:t>
            </w:r>
          </w:p>
        </w:tc>
        <w:tc>
          <w:tcPr>
            <w:tcW w:w="684" w:type="dxa"/>
            <w:vAlign w:val="bottom"/>
          </w:tcPr>
          <w:p w14:paraId="00246F3A" w14:textId="77777777" w:rsidR="007833E4" w:rsidRPr="00F41AA3" w:rsidRDefault="007833E4" w:rsidP="0099684E">
            <w:pPr>
              <w:pStyle w:val="Tabletext"/>
            </w:pPr>
            <w:r>
              <w:t>96</w:t>
            </w:r>
          </w:p>
        </w:tc>
      </w:tr>
    </w:tbl>
    <w:p w14:paraId="39ADACA6" w14:textId="1B929F79" w:rsidR="00344E29" w:rsidRPr="00052F88" w:rsidRDefault="0099684E" w:rsidP="00D55654">
      <w:pPr>
        <w:pStyle w:val="Tablefigurenote"/>
      </w:pPr>
      <w:r>
        <w:t xml:space="preserve">Note: </w:t>
      </w:r>
      <w:r w:rsidR="002B6688" w:rsidRPr="002B6688">
        <w:t xml:space="preserve">This table </w:t>
      </w:r>
      <w:r w:rsidR="00792533">
        <w:t>corresponds with</w:t>
      </w:r>
      <w:r w:rsidR="002B6688" w:rsidRPr="002B6688">
        <w:t xml:space="preserve"> the graph above. It is included for purposes of accessibility</w:t>
      </w:r>
      <w:r w:rsidR="007833E4" w:rsidRPr="00052F88">
        <w:t>.</w:t>
      </w:r>
    </w:p>
    <w:bookmarkEnd w:id="20"/>
    <w:bookmarkEnd w:id="25"/>
    <w:p w14:paraId="33120E1E" w14:textId="652F1493" w:rsidR="00381B2F" w:rsidRDefault="00B92BE0" w:rsidP="00993C80">
      <w:pPr>
        <w:pStyle w:val="Bodyaftertable"/>
        <w:rPr>
          <w:rStyle w:val="normaltextrun"/>
          <w:rFonts w:cstheme="minorBidi"/>
          <w:lang w:val="en-US"/>
        </w:rPr>
      </w:pPr>
      <w:r>
        <w:rPr>
          <w:rStyle w:val="normaltextrun"/>
          <w:rFonts w:cstheme="minorBidi"/>
          <w:lang w:val="en-US"/>
        </w:rPr>
        <w:t>Figure 1</w:t>
      </w:r>
      <w:r w:rsidR="004C02F0" w:rsidRPr="75EB3A12">
        <w:rPr>
          <w:rStyle w:val="normaltextrun"/>
          <w:rFonts w:cstheme="minorBidi"/>
          <w:lang w:val="en-US"/>
        </w:rPr>
        <w:t xml:space="preserve"> </w:t>
      </w:r>
      <w:r w:rsidRPr="00817690">
        <w:rPr>
          <w:rStyle w:val="normaltextrun"/>
          <w:rFonts w:cstheme="minorBidi"/>
          <w:lang w:val="en-US"/>
        </w:rPr>
        <w:t>illustrates</w:t>
      </w:r>
      <w:r w:rsidR="00381B2F" w:rsidRPr="00817690">
        <w:rPr>
          <w:rStyle w:val="normaltextrun"/>
          <w:rFonts w:cstheme="minorBidi"/>
          <w:lang w:val="en-US"/>
        </w:rPr>
        <w:t xml:space="preserve"> the </w:t>
      </w:r>
      <w:r w:rsidR="00385023">
        <w:rPr>
          <w:rStyle w:val="normaltextrun"/>
          <w:rFonts w:cstheme="minorBidi"/>
          <w:lang w:val="en-US"/>
        </w:rPr>
        <w:t xml:space="preserve">volume of enquiries received by </w:t>
      </w:r>
      <w:r w:rsidR="00381B2F" w:rsidRPr="00817690">
        <w:rPr>
          <w:rStyle w:val="normaltextrun"/>
          <w:rFonts w:cstheme="minorBidi"/>
          <w:lang w:val="en-US"/>
        </w:rPr>
        <w:t>the OCP</w:t>
      </w:r>
      <w:r w:rsidR="00CC3376">
        <w:rPr>
          <w:rStyle w:val="normaltextrun"/>
          <w:rFonts w:cstheme="minorBidi"/>
          <w:lang w:val="en-US"/>
        </w:rPr>
        <w:t xml:space="preserve"> over the course of s</w:t>
      </w:r>
      <w:r w:rsidR="00F04963">
        <w:rPr>
          <w:rStyle w:val="normaltextrun"/>
          <w:rFonts w:cstheme="minorBidi"/>
          <w:lang w:val="en-US"/>
        </w:rPr>
        <w:t>even</w:t>
      </w:r>
      <w:r w:rsidR="00CC3376">
        <w:rPr>
          <w:rStyle w:val="normaltextrun"/>
          <w:rFonts w:cstheme="minorBidi"/>
          <w:lang w:val="en-US"/>
        </w:rPr>
        <w:t xml:space="preserve"> years</w:t>
      </w:r>
      <w:r w:rsidR="005F5A1C">
        <w:rPr>
          <w:rStyle w:val="normaltextrun"/>
          <w:rFonts w:cstheme="minorBidi"/>
          <w:lang w:val="en-US"/>
        </w:rPr>
        <w:t xml:space="preserve">. </w:t>
      </w:r>
      <w:r w:rsidR="00574A04">
        <w:rPr>
          <w:rStyle w:val="normaltextrun"/>
          <w:rFonts w:cstheme="minorBidi"/>
          <w:lang w:val="en-US"/>
        </w:rPr>
        <w:t xml:space="preserve">These </w:t>
      </w:r>
      <w:r w:rsidR="00A73D34">
        <w:rPr>
          <w:rStyle w:val="normaltextrun"/>
          <w:rFonts w:cstheme="minorBidi"/>
          <w:lang w:val="en-US"/>
        </w:rPr>
        <w:t xml:space="preserve">have been on an upward trend since </w:t>
      </w:r>
      <w:r w:rsidR="00817690" w:rsidRPr="00817690">
        <w:rPr>
          <w:rStyle w:val="normaltextrun"/>
          <w:rFonts w:cstheme="minorBidi"/>
          <w:lang w:val="en-US"/>
        </w:rPr>
        <w:t>2015</w:t>
      </w:r>
      <w:r w:rsidR="006F4A1E">
        <w:rPr>
          <w:rStyle w:val="normaltextrun"/>
          <w:rFonts w:cstheme="minorBidi"/>
          <w:lang w:val="en-US"/>
        </w:rPr>
        <w:t>–</w:t>
      </w:r>
      <w:r w:rsidR="00817690" w:rsidRPr="00817690">
        <w:rPr>
          <w:rStyle w:val="normaltextrun"/>
          <w:rFonts w:cstheme="minorBidi"/>
          <w:lang w:val="en-US"/>
        </w:rPr>
        <w:t>16</w:t>
      </w:r>
      <w:r w:rsidR="004870AC">
        <w:rPr>
          <w:rStyle w:val="normaltextrun"/>
          <w:rFonts w:cstheme="minorBidi"/>
          <w:lang w:val="en-US"/>
        </w:rPr>
        <w:t>, rising from 264 enquir</w:t>
      </w:r>
      <w:r w:rsidR="007B2175">
        <w:rPr>
          <w:rStyle w:val="normaltextrun"/>
          <w:rFonts w:cstheme="minorBidi"/>
          <w:lang w:val="en-US"/>
        </w:rPr>
        <w:t>i</w:t>
      </w:r>
      <w:r w:rsidR="004870AC">
        <w:rPr>
          <w:rStyle w:val="normaltextrun"/>
          <w:rFonts w:cstheme="minorBidi"/>
          <w:lang w:val="en-US"/>
        </w:rPr>
        <w:t>e</w:t>
      </w:r>
      <w:r w:rsidR="00D66421">
        <w:rPr>
          <w:rStyle w:val="normaltextrun"/>
          <w:rFonts w:cstheme="minorBidi"/>
          <w:lang w:val="en-US"/>
        </w:rPr>
        <w:t>s in that year to 651 in 2019</w:t>
      </w:r>
      <w:r w:rsidR="007B2175">
        <w:rPr>
          <w:rStyle w:val="normaltextrun"/>
          <w:rFonts w:cstheme="minorBidi"/>
          <w:lang w:val="en-US"/>
        </w:rPr>
        <w:t>–</w:t>
      </w:r>
      <w:r w:rsidR="00D66421">
        <w:rPr>
          <w:rStyle w:val="normaltextrun"/>
          <w:rFonts w:cstheme="minorBidi"/>
          <w:lang w:val="en-US"/>
        </w:rPr>
        <w:t xml:space="preserve">20. However, the increase was </w:t>
      </w:r>
      <w:r w:rsidR="006C702B">
        <w:rPr>
          <w:rStyle w:val="normaltextrun"/>
          <w:rFonts w:cstheme="minorBidi"/>
          <w:lang w:val="en-US"/>
        </w:rPr>
        <w:t xml:space="preserve">especially steep </w:t>
      </w:r>
      <w:r w:rsidR="00595B3F">
        <w:rPr>
          <w:rStyle w:val="normaltextrun"/>
          <w:rFonts w:cstheme="minorBidi"/>
          <w:lang w:val="en-US"/>
        </w:rPr>
        <w:t>between</w:t>
      </w:r>
      <w:r w:rsidR="006C702B">
        <w:rPr>
          <w:rStyle w:val="normaltextrun"/>
          <w:rFonts w:cstheme="minorBidi"/>
          <w:lang w:val="en-US"/>
        </w:rPr>
        <w:t xml:space="preserve"> 2019</w:t>
      </w:r>
      <w:r w:rsidR="007B2175">
        <w:rPr>
          <w:rStyle w:val="normaltextrun"/>
          <w:rFonts w:cstheme="minorBidi"/>
          <w:lang w:val="en-US"/>
        </w:rPr>
        <w:t>–</w:t>
      </w:r>
      <w:r w:rsidR="00133A53">
        <w:rPr>
          <w:rStyle w:val="normaltextrun"/>
          <w:rFonts w:cstheme="minorBidi"/>
          <w:lang w:val="en-US"/>
        </w:rPr>
        <w:t xml:space="preserve">20 </w:t>
      </w:r>
      <w:r w:rsidR="00595B3F">
        <w:rPr>
          <w:rStyle w:val="normaltextrun"/>
          <w:rFonts w:cstheme="minorBidi"/>
          <w:lang w:val="en-US"/>
        </w:rPr>
        <w:t>and</w:t>
      </w:r>
      <w:r w:rsidR="00133A53">
        <w:rPr>
          <w:rStyle w:val="normaltextrun"/>
          <w:rFonts w:cstheme="minorBidi"/>
          <w:lang w:val="en-US"/>
        </w:rPr>
        <w:t xml:space="preserve"> </w:t>
      </w:r>
      <w:r w:rsidR="007B2175">
        <w:rPr>
          <w:rStyle w:val="normaltextrun"/>
          <w:rFonts w:cstheme="minorBidi"/>
          <w:lang w:val="en-US"/>
        </w:rPr>
        <w:t>2020–21</w:t>
      </w:r>
      <w:r w:rsidR="00133A53">
        <w:rPr>
          <w:rStyle w:val="normaltextrun"/>
          <w:rFonts w:cstheme="minorBidi"/>
          <w:lang w:val="en-US"/>
        </w:rPr>
        <w:t>,</w:t>
      </w:r>
      <w:r w:rsidR="00746B14">
        <w:rPr>
          <w:rStyle w:val="normaltextrun"/>
          <w:rFonts w:cstheme="minorBidi"/>
          <w:lang w:val="en-US"/>
        </w:rPr>
        <w:t xml:space="preserve"> </w:t>
      </w:r>
      <w:r w:rsidR="00CC3507">
        <w:rPr>
          <w:rStyle w:val="normaltextrun"/>
          <w:rFonts w:cstheme="minorBidi"/>
          <w:lang w:val="en-US"/>
        </w:rPr>
        <w:t>when</w:t>
      </w:r>
      <w:r w:rsidR="002467C8">
        <w:rPr>
          <w:rStyle w:val="normaltextrun"/>
          <w:rFonts w:cstheme="minorBidi"/>
          <w:lang w:val="en-US"/>
        </w:rPr>
        <w:t xml:space="preserve"> enquir</w:t>
      </w:r>
      <w:r w:rsidR="007B2175">
        <w:rPr>
          <w:rStyle w:val="normaltextrun"/>
          <w:rFonts w:cstheme="minorBidi"/>
          <w:lang w:val="en-US"/>
        </w:rPr>
        <w:t>i</w:t>
      </w:r>
      <w:r w:rsidR="002467C8">
        <w:rPr>
          <w:rStyle w:val="normaltextrun"/>
          <w:rFonts w:cstheme="minorBidi"/>
          <w:lang w:val="en-US"/>
        </w:rPr>
        <w:t xml:space="preserve">es rose </w:t>
      </w:r>
      <w:r w:rsidR="00207614">
        <w:rPr>
          <w:rStyle w:val="normaltextrun"/>
          <w:rFonts w:cstheme="minorBidi"/>
          <w:lang w:val="en-US"/>
        </w:rPr>
        <w:t>to 993</w:t>
      </w:r>
      <w:r w:rsidR="00725E99">
        <w:rPr>
          <w:rStyle w:val="normaltextrun"/>
          <w:rFonts w:cstheme="minorBidi"/>
          <w:lang w:val="en-US"/>
        </w:rPr>
        <w:t xml:space="preserve">, </w:t>
      </w:r>
      <w:r w:rsidR="00FD51CD">
        <w:rPr>
          <w:rStyle w:val="normaltextrun"/>
          <w:rFonts w:cstheme="minorBidi"/>
          <w:lang w:val="en-US"/>
        </w:rPr>
        <w:t xml:space="preserve">a </w:t>
      </w:r>
      <w:r w:rsidR="00346E61">
        <w:rPr>
          <w:rStyle w:val="normaltextrun"/>
          <w:rFonts w:cstheme="minorBidi"/>
          <w:lang w:val="en-US"/>
        </w:rPr>
        <w:t>53</w:t>
      </w:r>
      <w:r w:rsidR="002467C8">
        <w:rPr>
          <w:rStyle w:val="normaltextrun"/>
          <w:rFonts w:cstheme="minorBidi"/>
          <w:lang w:val="en-US"/>
        </w:rPr>
        <w:t xml:space="preserve"> per cent </w:t>
      </w:r>
      <w:r w:rsidR="00FD51CD">
        <w:rPr>
          <w:rStyle w:val="normaltextrun"/>
          <w:rFonts w:cstheme="minorBidi"/>
          <w:lang w:val="en-US"/>
        </w:rPr>
        <w:t xml:space="preserve">increase on the previous </w:t>
      </w:r>
      <w:r w:rsidR="00346E61">
        <w:rPr>
          <w:rStyle w:val="normaltextrun"/>
          <w:rFonts w:cstheme="minorBidi"/>
          <w:lang w:val="en-US"/>
        </w:rPr>
        <w:t>year</w:t>
      </w:r>
      <w:r w:rsidR="00207614">
        <w:rPr>
          <w:rStyle w:val="normaltextrun"/>
          <w:rFonts w:cstheme="minorBidi"/>
          <w:lang w:val="en-US"/>
        </w:rPr>
        <w:t xml:space="preserve">. </w:t>
      </w:r>
      <w:r w:rsidR="003415F6">
        <w:rPr>
          <w:rStyle w:val="normaltextrun"/>
          <w:rFonts w:cstheme="minorBidi"/>
          <w:lang w:val="en-US"/>
        </w:rPr>
        <w:t>Th</w:t>
      </w:r>
      <w:r w:rsidR="00FD21C3">
        <w:rPr>
          <w:rStyle w:val="normaltextrun"/>
          <w:rFonts w:cstheme="minorBidi"/>
          <w:lang w:val="en-US"/>
        </w:rPr>
        <w:t>is</w:t>
      </w:r>
      <w:r w:rsidR="003415F6">
        <w:rPr>
          <w:rStyle w:val="normaltextrun"/>
          <w:rFonts w:cstheme="minorBidi"/>
          <w:lang w:val="en-US"/>
        </w:rPr>
        <w:t xml:space="preserve"> </w:t>
      </w:r>
      <w:r w:rsidR="008300CF">
        <w:rPr>
          <w:rStyle w:val="normaltextrun"/>
          <w:rFonts w:cstheme="minorBidi"/>
          <w:lang w:val="en-US"/>
        </w:rPr>
        <w:t>significant</w:t>
      </w:r>
      <w:r w:rsidR="003415F6">
        <w:rPr>
          <w:rStyle w:val="normaltextrun"/>
          <w:rFonts w:cstheme="minorBidi"/>
          <w:lang w:val="en-US"/>
        </w:rPr>
        <w:t xml:space="preserve"> </w:t>
      </w:r>
      <w:r w:rsidR="001F6A46">
        <w:rPr>
          <w:rStyle w:val="normaltextrun"/>
          <w:rFonts w:cstheme="minorBidi"/>
          <w:lang w:val="en-US"/>
        </w:rPr>
        <w:t>difference</w:t>
      </w:r>
      <w:r w:rsidR="003415F6">
        <w:rPr>
          <w:rStyle w:val="normaltextrun"/>
          <w:rFonts w:cstheme="minorBidi"/>
          <w:lang w:val="en-US"/>
        </w:rPr>
        <w:t xml:space="preserve"> </w:t>
      </w:r>
      <w:r w:rsidR="00133A53">
        <w:rPr>
          <w:rStyle w:val="normaltextrun"/>
          <w:rFonts w:cstheme="minorBidi"/>
          <w:lang w:val="en-US"/>
        </w:rPr>
        <w:t>coincid</w:t>
      </w:r>
      <w:r w:rsidR="003415F6">
        <w:rPr>
          <w:rStyle w:val="normaltextrun"/>
          <w:rFonts w:cstheme="minorBidi"/>
          <w:lang w:val="en-US"/>
        </w:rPr>
        <w:t xml:space="preserve">es with the </w:t>
      </w:r>
      <w:r w:rsidR="00A424DB" w:rsidRPr="75EB3A12">
        <w:rPr>
          <w:rStyle w:val="normaltextrun"/>
          <w:rFonts w:cstheme="minorBidi"/>
          <w:lang w:val="en-US"/>
        </w:rPr>
        <w:t>COVID-19</w:t>
      </w:r>
      <w:r w:rsidR="00381B2F" w:rsidRPr="75EB3A12">
        <w:rPr>
          <w:rStyle w:val="normaltextrun"/>
          <w:rFonts w:cstheme="minorBidi"/>
          <w:lang w:val="en-US"/>
        </w:rPr>
        <w:t xml:space="preserve"> </w:t>
      </w:r>
      <w:r w:rsidR="0031700E">
        <w:rPr>
          <w:rStyle w:val="normaltextrun"/>
          <w:rFonts w:cstheme="minorBidi"/>
          <w:lang w:val="en-US"/>
        </w:rPr>
        <w:t>pandemic</w:t>
      </w:r>
      <w:r w:rsidR="00381B2F" w:rsidRPr="75EB3A12">
        <w:rPr>
          <w:rStyle w:val="normaltextrun"/>
          <w:rFonts w:cstheme="minorBidi"/>
          <w:lang w:val="en-US"/>
        </w:rPr>
        <w:t xml:space="preserve">. </w:t>
      </w:r>
      <w:r w:rsidR="00FD21C3">
        <w:rPr>
          <w:rStyle w:val="normaltextrun"/>
          <w:rFonts w:cstheme="minorBidi"/>
          <w:lang w:val="en-US"/>
        </w:rPr>
        <w:t>As such, the</w:t>
      </w:r>
      <w:r w:rsidR="00482C5B">
        <w:rPr>
          <w:rStyle w:val="normaltextrun"/>
          <w:rFonts w:cstheme="minorBidi"/>
          <w:lang w:val="en-US"/>
        </w:rPr>
        <w:t xml:space="preserve"> markedly</w:t>
      </w:r>
      <w:r w:rsidR="00FD21C3">
        <w:rPr>
          <w:rStyle w:val="normaltextrun"/>
          <w:rFonts w:cstheme="minorBidi"/>
          <w:lang w:val="en-US"/>
        </w:rPr>
        <w:t xml:space="preserve"> high</w:t>
      </w:r>
      <w:r w:rsidR="001C400D">
        <w:rPr>
          <w:rStyle w:val="normaltextrun"/>
          <w:rFonts w:cstheme="minorBidi"/>
          <w:lang w:val="en-US"/>
        </w:rPr>
        <w:t>er</w:t>
      </w:r>
      <w:r w:rsidR="00FD21C3">
        <w:rPr>
          <w:rStyle w:val="normaltextrun"/>
          <w:rFonts w:cstheme="minorBidi"/>
          <w:lang w:val="en-US"/>
        </w:rPr>
        <w:t xml:space="preserve"> rate of </w:t>
      </w:r>
      <w:r w:rsidR="00B875C0">
        <w:rPr>
          <w:rStyle w:val="normaltextrun"/>
          <w:rFonts w:cstheme="minorBidi"/>
          <w:lang w:val="en-US"/>
        </w:rPr>
        <w:t>enquir</w:t>
      </w:r>
      <w:r w:rsidR="00A96729">
        <w:rPr>
          <w:rStyle w:val="normaltextrun"/>
          <w:rFonts w:cstheme="minorBidi"/>
          <w:lang w:val="en-US"/>
        </w:rPr>
        <w:t>i</w:t>
      </w:r>
      <w:r w:rsidR="00B875C0">
        <w:rPr>
          <w:rStyle w:val="normaltextrun"/>
          <w:rFonts w:cstheme="minorBidi"/>
          <w:lang w:val="en-US"/>
        </w:rPr>
        <w:t xml:space="preserve">es can </w:t>
      </w:r>
      <w:r w:rsidR="0028703D">
        <w:rPr>
          <w:rStyle w:val="normaltextrun"/>
          <w:rFonts w:cstheme="minorBidi"/>
          <w:lang w:val="en-US"/>
        </w:rPr>
        <w:t xml:space="preserve">in part </w:t>
      </w:r>
      <w:r w:rsidR="00381B2F" w:rsidRPr="75EB3A12">
        <w:rPr>
          <w:rStyle w:val="normaltextrun"/>
          <w:rFonts w:cstheme="minorBidi"/>
          <w:lang w:val="en-US"/>
        </w:rPr>
        <w:t>be explained by mental health services</w:t>
      </w:r>
      <w:r w:rsidR="00CC2575">
        <w:rPr>
          <w:rStyle w:val="normaltextrun"/>
          <w:rFonts w:cstheme="minorBidi"/>
          <w:lang w:val="en-US"/>
        </w:rPr>
        <w:t>,</w:t>
      </w:r>
      <w:r w:rsidR="00381B2F" w:rsidRPr="75EB3A12">
        <w:rPr>
          <w:rStyle w:val="normaltextrun"/>
          <w:rFonts w:cstheme="minorBidi"/>
          <w:lang w:val="en-US"/>
        </w:rPr>
        <w:t xml:space="preserve"> consumers and carers coming to terms with the impact of the virus</w:t>
      </w:r>
      <w:r w:rsidR="00F734D1">
        <w:rPr>
          <w:rStyle w:val="normaltextrun"/>
          <w:rFonts w:cstheme="minorBidi"/>
          <w:lang w:val="en-US"/>
        </w:rPr>
        <w:t xml:space="preserve"> by </w:t>
      </w:r>
      <w:r w:rsidR="0096415E">
        <w:rPr>
          <w:rStyle w:val="normaltextrun"/>
          <w:rFonts w:cstheme="minorBidi"/>
          <w:lang w:val="en-US"/>
        </w:rPr>
        <w:t>raising</w:t>
      </w:r>
      <w:r w:rsidR="00102A0A">
        <w:rPr>
          <w:rStyle w:val="normaltextrun"/>
          <w:rFonts w:cstheme="minorBidi"/>
          <w:lang w:val="en-US"/>
        </w:rPr>
        <w:t xml:space="preserve"> </w:t>
      </w:r>
      <w:r w:rsidR="00381B2F" w:rsidRPr="75EB3A12">
        <w:rPr>
          <w:rStyle w:val="normaltextrun"/>
          <w:rFonts w:cstheme="minorBidi"/>
          <w:lang w:val="en-US"/>
        </w:rPr>
        <w:t xml:space="preserve">treatment and safety issues and </w:t>
      </w:r>
      <w:r w:rsidR="0096415E">
        <w:rPr>
          <w:rStyle w:val="normaltextrun"/>
          <w:rFonts w:cstheme="minorBidi"/>
          <w:lang w:val="en-US"/>
        </w:rPr>
        <w:t xml:space="preserve">seeking to </w:t>
      </w:r>
      <w:r w:rsidR="00047CFC">
        <w:rPr>
          <w:rStyle w:val="normaltextrun"/>
          <w:rFonts w:cstheme="minorBidi"/>
          <w:lang w:val="en-US"/>
        </w:rPr>
        <w:t xml:space="preserve">grasp </w:t>
      </w:r>
      <w:r w:rsidR="00381B2F" w:rsidRPr="75EB3A12">
        <w:rPr>
          <w:rStyle w:val="normaltextrun"/>
          <w:rFonts w:cstheme="minorBidi"/>
          <w:lang w:val="en-US"/>
        </w:rPr>
        <w:t xml:space="preserve">the implications of </w:t>
      </w:r>
      <w:r w:rsidR="009D2A47" w:rsidRPr="75EB3A12">
        <w:rPr>
          <w:rStyle w:val="normaltextrun"/>
          <w:rFonts w:cstheme="minorBidi"/>
          <w:lang w:val="en-US"/>
        </w:rPr>
        <w:t xml:space="preserve">physical </w:t>
      </w:r>
      <w:r w:rsidR="00381B2F" w:rsidRPr="75EB3A12">
        <w:rPr>
          <w:rStyle w:val="normaltextrun"/>
          <w:rFonts w:cstheme="minorBidi"/>
          <w:lang w:val="en-US"/>
        </w:rPr>
        <w:t xml:space="preserve">distancing on the continued delivery of </w:t>
      </w:r>
      <w:r w:rsidR="29390E28" w:rsidRPr="75EB3A12">
        <w:rPr>
          <w:rStyle w:val="normaltextrun"/>
          <w:rFonts w:cstheme="minorBidi"/>
          <w:lang w:val="en-US"/>
        </w:rPr>
        <w:t xml:space="preserve">and access to </w:t>
      </w:r>
      <w:r w:rsidR="00381B2F" w:rsidRPr="75EB3A12">
        <w:rPr>
          <w:rStyle w:val="normaltextrun"/>
          <w:rFonts w:cstheme="minorBidi"/>
          <w:lang w:val="en-US"/>
        </w:rPr>
        <w:t>clinical care.</w:t>
      </w:r>
    </w:p>
    <w:p w14:paraId="15620E98" w14:textId="58B1E3D7" w:rsidR="00C1498B" w:rsidRPr="00423AE8" w:rsidRDefault="00CA2DA1" w:rsidP="00563C62">
      <w:pPr>
        <w:pStyle w:val="Body"/>
        <w:rPr>
          <w:rStyle w:val="normaltextrun"/>
          <w:rFonts w:cstheme="minorBidi"/>
          <w:color w:val="FF0000"/>
          <w:lang w:val="en-US"/>
        </w:rPr>
      </w:pPr>
      <w:r w:rsidRPr="75EB3A12">
        <w:rPr>
          <w:rStyle w:val="normaltextrun"/>
          <w:rFonts w:cstheme="minorBidi"/>
          <w:lang w:val="en-US"/>
        </w:rPr>
        <w:t>T</w:t>
      </w:r>
      <w:r w:rsidR="00381B2F" w:rsidRPr="75EB3A12">
        <w:rPr>
          <w:rStyle w:val="normaltextrun"/>
          <w:rFonts w:cstheme="minorBidi"/>
          <w:lang w:val="en-US"/>
        </w:rPr>
        <w:t xml:space="preserve">he steep increase in </w:t>
      </w:r>
      <w:r w:rsidR="006B4F4E">
        <w:rPr>
          <w:rStyle w:val="normaltextrun"/>
          <w:rFonts w:cstheme="minorBidi"/>
          <w:lang w:val="en-US"/>
        </w:rPr>
        <w:t>enquiries</w:t>
      </w:r>
      <w:r w:rsidR="00381B2F" w:rsidRPr="75EB3A12">
        <w:rPr>
          <w:rStyle w:val="normaltextrun"/>
          <w:rFonts w:cstheme="minorBidi"/>
          <w:lang w:val="en-US"/>
        </w:rPr>
        <w:t xml:space="preserve"> over the period </w:t>
      </w:r>
      <w:r w:rsidR="009D2948">
        <w:rPr>
          <w:rStyle w:val="normaltextrun"/>
          <w:rFonts w:cstheme="minorBidi"/>
          <w:lang w:val="en-US"/>
        </w:rPr>
        <w:t>corresponding with</w:t>
      </w:r>
      <w:r w:rsidR="00381B2F" w:rsidRPr="75EB3A12">
        <w:rPr>
          <w:rStyle w:val="normaltextrun"/>
          <w:rFonts w:cstheme="minorBidi"/>
          <w:lang w:val="en-US"/>
        </w:rPr>
        <w:t xml:space="preserve"> the </w:t>
      </w:r>
      <w:r w:rsidR="00A424DB" w:rsidRPr="75EB3A12">
        <w:rPr>
          <w:rStyle w:val="normaltextrun"/>
          <w:rFonts w:cstheme="minorBidi"/>
          <w:lang w:val="en-US"/>
        </w:rPr>
        <w:t>COVID-19</w:t>
      </w:r>
      <w:r w:rsidR="00381B2F" w:rsidRPr="75EB3A12">
        <w:rPr>
          <w:rStyle w:val="normaltextrun"/>
          <w:rFonts w:cstheme="minorBidi"/>
          <w:lang w:val="en-US"/>
        </w:rPr>
        <w:t xml:space="preserve"> pandemic </w:t>
      </w:r>
      <w:r w:rsidR="00B53B5A" w:rsidRPr="75EB3A12">
        <w:rPr>
          <w:rStyle w:val="normaltextrun"/>
          <w:rFonts w:cstheme="minorBidi"/>
          <w:lang w:val="en-US"/>
        </w:rPr>
        <w:t>may also</w:t>
      </w:r>
      <w:r w:rsidR="00381B2F" w:rsidRPr="75EB3A12">
        <w:rPr>
          <w:rStyle w:val="normaltextrun"/>
          <w:rFonts w:cstheme="minorBidi"/>
          <w:lang w:val="en-US"/>
        </w:rPr>
        <w:t xml:space="preserve"> demonstrate </w:t>
      </w:r>
      <w:r w:rsidR="00187DB3">
        <w:rPr>
          <w:rStyle w:val="normaltextrun"/>
          <w:rFonts w:cstheme="minorBidi"/>
          <w:lang w:val="en-US"/>
        </w:rPr>
        <w:t xml:space="preserve">the </w:t>
      </w:r>
      <w:r w:rsidR="00366D91">
        <w:rPr>
          <w:rStyle w:val="normaltextrun"/>
          <w:rFonts w:cstheme="minorBidi"/>
          <w:lang w:val="en-US"/>
        </w:rPr>
        <w:t xml:space="preserve">heightened stress and anxiety </w:t>
      </w:r>
      <w:r w:rsidR="004627FC" w:rsidRPr="00C94CD0">
        <w:rPr>
          <w:rStyle w:val="normaltextrun"/>
          <w:rFonts w:cstheme="minorBidi"/>
          <w:lang w:val="en-US"/>
        </w:rPr>
        <w:t>created by the pandemic</w:t>
      </w:r>
      <w:r w:rsidR="003010FC" w:rsidRPr="00C94CD0">
        <w:rPr>
          <w:rStyle w:val="normaltextrun"/>
          <w:rFonts w:cstheme="minorBidi"/>
          <w:lang w:val="en-US"/>
        </w:rPr>
        <w:t>.</w:t>
      </w:r>
      <w:r w:rsidR="00DD4C7C">
        <w:rPr>
          <w:rStyle w:val="normaltextrun"/>
          <w:rFonts w:cstheme="minorBidi"/>
          <w:lang w:val="en-US"/>
        </w:rPr>
        <w:t xml:space="preserve"> </w:t>
      </w:r>
      <w:r w:rsidR="006F4A1E">
        <w:rPr>
          <w:rStyle w:val="normaltextrun"/>
          <w:rFonts w:cstheme="minorBidi"/>
          <w:lang w:val="en-US"/>
        </w:rPr>
        <w:t>D</w:t>
      </w:r>
      <w:r w:rsidR="00DD4C7C">
        <w:rPr>
          <w:rStyle w:val="normaltextrun"/>
          <w:rFonts w:cstheme="minorBidi"/>
          <w:lang w:val="en-US"/>
        </w:rPr>
        <w:t xml:space="preserve">uring lockdowns, </w:t>
      </w:r>
      <w:r w:rsidR="009E0560">
        <w:rPr>
          <w:rStyle w:val="normaltextrun"/>
          <w:rFonts w:cstheme="minorBidi"/>
          <w:lang w:val="en-US"/>
        </w:rPr>
        <w:t>the</w:t>
      </w:r>
      <w:r w:rsidR="00902DBA">
        <w:rPr>
          <w:rStyle w:val="normaltextrun"/>
          <w:rFonts w:cstheme="minorBidi"/>
          <w:lang w:val="en-US"/>
        </w:rPr>
        <w:t xml:space="preserve"> volume</w:t>
      </w:r>
      <w:r w:rsidR="00CC571D">
        <w:rPr>
          <w:rStyle w:val="normaltextrun"/>
          <w:rFonts w:cstheme="minorBidi"/>
          <w:lang w:val="en-US"/>
        </w:rPr>
        <w:t xml:space="preserve"> of </w:t>
      </w:r>
      <w:r w:rsidR="00270E86">
        <w:rPr>
          <w:rStyle w:val="normaltextrun"/>
          <w:rFonts w:cstheme="minorBidi"/>
          <w:lang w:val="en-US"/>
        </w:rPr>
        <w:t>requests for support and advice</w:t>
      </w:r>
      <w:r w:rsidR="003A0DD0">
        <w:rPr>
          <w:rStyle w:val="normaltextrun"/>
          <w:rFonts w:cstheme="minorBidi"/>
          <w:lang w:val="en-US"/>
        </w:rPr>
        <w:t xml:space="preserve"> coming to our office</w:t>
      </w:r>
      <w:r w:rsidR="00270E86">
        <w:rPr>
          <w:rStyle w:val="normaltextrun"/>
          <w:rFonts w:cstheme="minorBidi"/>
          <w:lang w:val="en-US"/>
        </w:rPr>
        <w:t xml:space="preserve"> </w:t>
      </w:r>
      <w:r w:rsidR="00DD4C7C">
        <w:rPr>
          <w:rStyle w:val="normaltextrun"/>
          <w:rFonts w:cstheme="minorBidi"/>
          <w:lang w:val="en-US"/>
        </w:rPr>
        <w:t>in</w:t>
      </w:r>
      <w:r w:rsidR="00902DBA">
        <w:rPr>
          <w:rStyle w:val="normaltextrun"/>
          <w:rFonts w:cstheme="minorBidi"/>
          <w:lang w:val="en-US"/>
        </w:rPr>
        <w:t xml:space="preserve"> relation to </w:t>
      </w:r>
      <w:r w:rsidR="00C47E26">
        <w:rPr>
          <w:rStyle w:val="normaltextrun"/>
          <w:rFonts w:cstheme="minorBidi"/>
          <w:lang w:val="en-US"/>
        </w:rPr>
        <w:t>people experiencing</w:t>
      </w:r>
      <w:r w:rsidR="005F467D">
        <w:rPr>
          <w:rStyle w:val="normaltextrun"/>
          <w:rFonts w:cstheme="minorBidi"/>
          <w:lang w:val="en-US"/>
        </w:rPr>
        <w:t xml:space="preserve"> </w:t>
      </w:r>
      <w:r w:rsidR="00C47E26">
        <w:rPr>
          <w:rStyle w:val="normaltextrun"/>
          <w:rFonts w:cstheme="minorBidi"/>
          <w:lang w:val="en-US"/>
        </w:rPr>
        <w:t xml:space="preserve">distress and </w:t>
      </w:r>
      <w:r w:rsidR="00C1219F">
        <w:rPr>
          <w:rStyle w:val="normaltextrun"/>
          <w:rFonts w:cstheme="minorBidi"/>
          <w:lang w:val="en-US"/>
        </w:rPr>
        <w:t>managing</w:t>
      </w:r>
      <w:r w:rsidR="00E244F9">
        <w:rPr>
          <w:rStyle w:val="normaltextrun"/>
          <w:rFonts w:cstheme="minorBidi"/>
          <w:lang w:val="en-US"/>
        </w:rPr>
        <w:t xml:space="preserve"> access to treatment</w:t>
      </w:r>
      <w:r w:rsidR="009E0560">
        <w:rPr>
          <w:rStyle w:val="normaltextrun"/>
          <w:rFonts w:cstheme="minorBidi"/>
          <w:lang w:val="en-US"/>
        </w:rPr>
        <w:t xml:space="preserve"> tended to increase</w:t>
      </w:r>
      <w:r w:rsidR="00E244F9">
        <w:rPr>
          <w:rStyle w:val="normaltextrun"/>
          <w:rFonts w:cstheme="minorBidi"/>
          <w:lang w:val="en-US"/>
        </w:rPr>
        <w:t>.</w:t>
      </w:r>
    </w:p>
    <w:p w14:paraId="67938F90" w14:textId="6D1EB2A0" w:rsidR="00AE0D92" w:rsidRDefault="00507C36" w:rsidP="00563C62">
      <w:pPr>
        <w:pStyle w:val="Body"/>
        <w:rPr>
          <w:rStyle w:val="normaltextrun"/>
          <w:rFonts w:cstheme="minorBidi"/>
          <w:lang w:val="en-US"/>
        </w:rPr>
      </w:pPr>
      <w:r>
        <w:rPr>
          <w:rStyle w:val="normaltextrun"/>
          <w:rFonts w:cstheme="minorBidi"/>
          <w:lang w:val="en-US"/>
        </w:rPr>
        <w:t xml:space="preserve">A further factor that </w:t>
      </w:r>
      <w:r w:rsidR="002E3881">
        <w:rPr>
          <w:rStyle w:val="normaltextrun"/>
          <w:rFonts w:cstheme="minorBidi"/>
          <w:lang w:val="en-US"/>
        </w:rPr>
        <w:t>helps to explain the rise in enquir</w:t>
      </w:r>
      <w:r w:rsidR="007B2175">
        <w:rPr>
          <w:rStyle w:val="normaltextrun"/>
          <w:rFonts w:cstheme="minorBidi"/>
          <w:lang w:val="en-US"/>
        </w:rPr>
        <w:t>i</w:t>
      </w:r>
      <w:r w:rsidR="002E3881">
        <w:rPr>
          <w:rStyle w:val="normaltextrun"/>
          <w:rFonts w:cstheme="minorBidi"/>
          <w:lang w:val="en-US"/>
        </w:rPr>
        <w:t xml:space="preserve">es is the </w:t>
      </w:r>
      <w:r w:rsidR="0095162C">
        <w:rPr>
          <w:rStyle w:val="normaltextrun"/>
          <w:rFonts w:cstheme="minorBidi"/>
          <w:lang w:val="en-US"/>
        </w:rPr>
        <w:t>operation</w:t>
      </w:r>
      <w:r w:rsidR="00660001">
        <w:rPr>
          <w:rStyle w:val="normaltextrun"/>
          <w:rFonts w:cstheme="minorBidi"/>
          <w:lang w:val="en-US"/>
        </w:rPr>
        <w:t xml:space="preserve"> of the </w:t>
      </w:r>
      <w:r w:rsidR="00633969">
        <w:rPr>
          <w:rStyle w:val="normaltextrun"/>
          <w:rFonts w:cstheme="minorBidi"/>
          <w:lang w:val="en-US"/>
        </w:rPr>
        <w:t>Royal Commission into Victoria’s Mental Health System.</w:t>
      </w:r>
      <w:r w:rsidR="004D2206">
        <w:rPr>
          <w:rStyle w:val="normaltextrun"/>
          <w:rFonts w:cstheme="minorBidi"/>
          <w:lang w:val="en-US"/>
        </w:rPr>
        <w:t xml:space="preserve"> </w:t>
      </w:r>
      <w:r w:rsidR="007C70A5">
        <w:rPr>
          <w:rStyle w:val="normaltextrun"/>
          <w:rFonts w:cstheme="minorBidi"/>
          <w:lang w:val="en-US"/>
        </w:rPr>
        <w:t xml:space="preserve">The </w:t>
      </w:r>
      <w:r w:rsidR="00FD01A8">
        <w:rPr>
          <w:rStyle w:val="normaltextrun"/>
          <w:rFonts w:cstheme="minorBidi"/>
          <w:lang w:val="en-US"/>
        </w:rPr>
        <w:t>R</w:t>
      </w:r>
      <w:r w:rsidR="007C70A5">
        <w:rPr>
          <w:rStyle w:val="normaltextrun"/>
          <w:rFonts w:cstheme="minorBidi"/>
          <w:lang w:val="en-US"/>
        </w:rPr>
        <w:t xml:space="preserve">oyal </w:t>
      </w:r>
      <w:r w:rsidR="00FD01A8">
        <w:rPr>
          <w:rStyle w:val="normaltextrun"/>
          <w:rFonts w:cstheme="minorBidi"/>
          <w:lang w:val="en-US"/>
        </w:rPr>
        <w:t>C</w:t>
      </w:r>
      <w:r w:rsidR="007C70A5">
        <w:rPr>
          <w:rStyle w:val="normaltextrun"/>
          <w:rFonts w:cstheme="minorBidi"/>
          <w:lang w:val="en-US"/>
        </w:rPr>
        <w:t xml:space="preserve">ommission’s sittings of witnesses </w:t>
      </w:r>
      <w:r w:rsidR="0072493F">
        <w:rPr>
          <w:rStyle w:val="normaltextrun"/>
          <w:rFonts w:cstheme="minorBidi"/>
          <w:lang w:val="en-US"/>
        </w:rPr>
        <w:t>were held</w:t>
      </w:r>
      <w:r w:rsidR="007C70A5">
        <w:rPr>
          <w:rStyle w:val="normaltextrun"/>
          <w:rFonts w:cstheme="minorBidi"/>
          <w:lang w:val="en-US"/>
        </w:rPr>
        <w:t xml:space="preserve"> </w:t>
      </w:r>
      <w:r w:rsidR="00CB1595">
        <w:rPr>
          <w:rStyle w:val="normaltextrun"/>
          <w:rFonts w:cstheme="minorBidi"/>
          <w:lang w:val="en-US"/>
        </w:rPr>
        <w:t>from</w:t>
      </w:r>
      <w:r w:rsidR="00001553">
        <w:rPr>
          <w:rStyle w:val="normaltextrun"/>
          <w:rFonts w:cstheme="minorBidi"/>
          <w:lang w:val="en-US"/>
        </w:rPr>
        <w:t xml:space="preserve"> </w:t>
      </w:r>
      <w:r w:rsidR="001D6800">
        <w:rPr>
          <w:rStyle w:val="normaltextrun"/>
          <w:rFonts w:cstheme="minorBidi"/>
          <w:lang w:val="en-US"/>
        </w:rPr>
        <w:t>2018 to 2020</w:t>
      </w:r>
      <w:r w:rsidR="00A67E5F">
        <w:rPr>
          <w:rStyle w:val="normaltextrun"/>
          <w:rFonts w:cstheme="minorBidi"/>
          <w:lang w:val="en-US"/>
        </w:rPr>
        <w:t>. Th</w:t>
      </w:r>
      <w:r w:rsidR="005E332D">
        <w:rPr>
          <w:rStyle w:val="normaltextrun"/>
          <w:rFonts w:cstheme="minorBidi"/>
          <w:lang w:val="en-US"/>
        </w:rPr>
        <w:t>ese sittings</w:t>
      </w:r>
      <w:r w:rsidR="00A67E5F">
        <w:rPr>
          <w:rStyle w:val="normaltextrun"/>
          <w:rFonts w:cstheme="minorBidi"/>
          <w:lang w:val="en-US"/>
        </w:rPr>
        <w:t xml:space="preserve"> created </w:t>
      </w:r>
      <w:r w:rsidR="004B7CB1">
        <w:rPr>
          <w:rStyle w:val="normaltextrun"/>
          <w:rFonts w:cstheme="minorBidi"/>
          <w:lang w:val="en-US"/>
        </w:rPr>
        <w:t xml:space="preserve">increased exposure to </w:t>
      </w:r>
      <w:r w:rsidR="00B93619">
        <w:rPr>
          <w:rStyle w:val="normaltextrun"/>
          <w:rFonts w:cstheme="minorBidi"/>
          <w:lang w:val="en-US"/>
        </w:rPr>
        <w:t xml:space="preserve">mental illness </w:t>
      </w:r>
      <w:r w:rsidR="004872CF">
        <w:rPr>
          <w:rStyle w:val="normaltextrun"/>
          <w:rFonts w:cstheme="minorBidi"/>
          <w:lang w:val="en-US"/>
        </w:rPr>
        <w:t xml:space="preserve">and triggered a </w:t>
      </w:r>
      <w:r w:rsidR="00B466C0">
        <w:rPr>
          <w:rStyle w:val="normaltextrun"/>
          <w:rFonts w:cstheme="minorBidi"/>
          <w:lang w:val="en-US"/>
        </w:rPr>
        <w:t xml:space="preserve">public debate on the issue. </w:t>
      </w:r>
      <w:r w:rsidR="00553542">
        <w:rPr>
          <w:rStyle w:val="normaltextrun"/>
          <w:rFonts w:cstheme="minorBidi"/>
          <w:lang w:val="en-US"/>
        </w:rPr>
        <w:t xml:space="preserve">It also </w:t>
      </w:r>
      <w:r w:rsidR="00DF2CD4">
        <w:rPr>
          <w:rStyle w:val="normaltextrun"/>
          <w:rFonts w:cstheme="minorBidi"/>
          <w:lang w:val="en-US"/>
        </w:rPr>
        <w:t xml:space="preserve">invoked </w:t>
      </w:r>
      <w:r w:rsidR="00A24E73">
        <w:rPr>
          <w:rStyle w:val="normaltextrun"/>
          <w:rFonts w:cstheme="minorBidi"/>
          <w:lang w:val="en-US"/>
        </w:rPr>
        <w:t xml:space="preserve">strong </w:t>
      </w:r>
      <w:r w:rsidR="00232C78">
        <w:rPr>
          <w:rStyle w:val="normaltextrun"/>
          <w:rFonts w:cstheme="minorBidi"/>
          <w:lang w:val="en-US"/>
        </w:rPr>
        <w:t xml:space="preserve">emotions from </w:t>
      </w:r>
      <w:r w:rsidR="00601D47">
        <w:rPr>
          <w:rStyle w:val="normaltextrun"/>
          <w:rFonts w:cstheme="minorBidi"/>
          <w:lang w:val="en-US"/>
        </w:rPr>
        <w:t>some consumers</w:t>
      </w:r>
      <w:r w:rsidR="00546485">
        <w:rPr>
          <w:rStyle w:val="normaltextrun"/>
          <w:rFonts w:cstheme="minorBidi"/>
          <w:lang w:val="en-US"/>
        </w:rPr>
        <w:t xml:space="preserve">, who recalled </w:t>
      </w:r>
      <w:r w:rsidR="00032AC6">
        <w:rPr>
          <w:rStyle w:val="normaltextrun"/>
          <w:rFonts w:cstheme="minorBidi"/>
          <w:lang w:val="en-US"/>
        </w:rPr>
        <w:t>the</w:t>
      </w:r>
      <w:r w:rsidR="00527CA1">
        <w:rPr>
          <w:rStyle w:val="normaltextrun"/>
          <w:rFonts w:cstheme="minorBidi"/>
          <w:lang w:val="en-US"/>
        </w:rPr>
        <w:t>ir</w:t>
      </w:r>
      <w:r w:rsidR="00032AC6">
        <w:rPr>
          <w:rStyle w:val="normaltextrun"/>
          <w:rFonts w:cstheme="minorBidi"/>
          <w:lang w:val="en-US"/>
        </w:rPr>
        <w:t xml:space="preserve"> negative experiences with mental illness and the</w:t>
      </w:r>
      <w:r w:rsidR="004F01E6">
        <w:rPr>
          <w:rStyle w:val="normaltextrun"/>
          <w:rFonts w:cstheme="minorBidi"/>
          <w:lang w:val="en-US"/>
        </w:rPr>
        <w:t xml:space="preserve">ir treatment in the </w:t>
      </w:r>
      <w:r w:rsidR="00B82799">
        <w:rPr>
          <w:rStyle w:val="normaltextrun"/>
          <w:rFonts w:cstheme="minorBidi"/>
          <w:lang w:val="en-US"/>
        </w:rPr>
        <w:t xml:space="preserve">mental health </w:t>
      </w:r>
      <w:r w:rsidR="00032AC6">
        <w:rPr>
          <w:rStyle w:val="normaltextrun"/>
          <w:rFonts w:cstheme="minorBidi"/>
          <w:lang w:val="en-US"/>
        </w:rPr>
        <w:t>system</w:t>
      </w:r>
      <w:r w:rsidR="00BF4AE1">
        <w:rPr>
          <w:rStyle w:val="normaltextrun"/>
          <w:rFonts w:cstheme="minorBidi"/>
          <w:lang w:val="en-US"/>
        </w:rPr>
        <w:t xml:space="preserve">. The </w:t>
      </w:r>
      <w:r w:rsidR="00260D89">
        <w:rPr>
          <w:rStyle w:val="normaltextrun"/>
          <w:rFonts w:cstheme="minorBidi"/>
          <w:lang w:val="en-US"/>
        </w:rPr>
        <w:t xml:space="preserve">OCP </w:t>
      </w:r>
      <w:r w:rsidR="00BF4AE1">
        <w:rPr>
          <w:rStyle w:val="normaltextrun"/>
          <w:rFonts w:cstheme="minorBidi"/>
          <w:lang w:val="en-US"/>
        </w:rPr>
        <w:t xml:space="preserve">received </w:t>
      </w:r>
      <w:r w:rsidR="005D1ED1">
        <w:rPr>
          <w:rStyle w:val="normaltextrun"/>
          <w:rFonts w:cstheme="minorBidi"/>
          <w:lang w:val="en-US"/>
        </w:rPr>
        <w:t xml:space="preserve">enquiries from </w:t>
      </w:r>
      <w:r w:rsidR="00004E44">
        <w:rPr>
          <w:rStyle w:val="normaltextrun"/>
          <w:rFonts w:cstheme="minorBidi"/>
          <w:lang w:val="en-US"/>
        </w:rPr>
        <w:t>the</w:t>
      </w:r>
      <w:r w:rsidR="00977BEF">
        <w:rPr>
          <w:rStyle w:val="normaltextrun"/>
          <w:rFonts w:cstheme="minorBidi"/>
          <w:lang w:val="en-US"/>
        </w:rPr>
        <w:t>se individuals</w:t>
      </w:r>
      <w:r w:rsidR="005F6263">
        <w:rPr>
          <w:rStyle w:val="normaltextrun"/>
          <w:rFonts w:cstheme="minorBidi"/>
          <w:lang w:val="en-US"/>
        </w:rPr>
        <w:t>,</w:t>
      </w:r>
      <w:r w:rsidR="00977BEF">
        <w:rPr>
          <w:rStyle w:val="normaltextrun"/>
          <w:rFonts w:cstheme="minorBidi"/>
          <w:lang w:val="en-US"/>
        </w:rPr>
        <w:t xml:space="preserve"> who</w:t>
      </w:r>
      <w:r w:rsidR="00516DD1">
        <w:rPr>
          <w:rStyle w:val="normaltextrun"/>
          <w:rFonts w:cstheme="minorBidi"/>
          <w:lang w:val="en-US"/>
        </w:rPr>
        <w:t xml:space="preserve"> contacted </w:t>
      </w:r>
      <w:r w:rsidR="00F24052">
        <w:rPr>
          <w:rStyle w:val="normaltextrun"/>
          <w:rFonts w:cstheme="minorBidi"/>
          <w:lang w:val="en-US"/>
        </w:rPr>
        <w:t>the office</w:t>
      </w:r>
      <w:r w:rsidR="00516DD1">
        <w:rPr>
          <w:rStyle w:val="normaltextrun"/>
          <w:rFonts w:cstheme="minorBidi"/>
          <w:lang w:val="en-US"/>
        </w:rPr>
        <w:t xml:space="preserve"> to </w:t>
      </w:r>
      <w:r w:rsidR="00260D89">
        <w:rPr>
          <w:rStyle w:val="normaltextrun"/>
          <w:rFonts w:cstheme="minorBidi"/>
          <w:lang w:val="en-US"/>
        </w:rPr>
        <w:t xml:space="preserve">talk </w:t>
      </w:r>
      <w:r w:rsidR="00C00115">
        <w:rPr>
          <w:rStyle w:val="normaltextrun"/>
          <w:rFonts w:cstheme="minorBidi"/>
          <w:lang w:val="en-US"/>
        </w:rPr>
        <w:t xml:space="preserve">about </w:t>
      </w:r>
      <w:r w:rsidR="00BF7872">
        <w:rPr>
          <w:rStyle w:val="normaltextrun"/>
          <w:rFonts w:cstheme="minorBidi"/>
          <w:lang w:val="en-US"/>
        </w:rPr>
        <w:t>their experiences</w:t>
      </w:r>
      <w:r w:rsidR="00C00115">
        <w:rPr>
          <w:rStyle w:val="normaltextrun"/>
          <w:rFonts w:cstheme="minorBidi"/>
          <w:lang w:val="en-US"/>
        </w:rPr>
        <w:t>.</w:t>
      </w:r>
    </w:p>
    <w:p w14:paraId="0A427DD8" w14:textId="0D68D274" w:rsidR="00914AC3" w:rsidRPr="006D4A08" w:rsidRDefault="009D2A47" w:rsidP="00446C56">
      <w:pPr>
        <w:pStyle w:val="Body"/>
        <w:rPr>
          <w:rFonts w:ascii="Segoe UI" w:hAnsi="Segoe UI" w:cs="Segoe UI"/>
          <w:sz w:val="18"/>
          <w:szCs w:val="18"/>
          <w:lang w:eastAsia="en-AU"/>
        </w:rPr>
      </w:pPr>
      <w:r w:rsidRPr="00425F79">
        <w:rPr>
          <w:lang w:eastAsia="en-AU"/>
        </w:rPr>
        <w:t>With </w:t>
      </w:r>
      <w:r w:rsidR="00381B2F" w:rsidRPr="00425F79">
        <w:rPr>
          <w:lang w:eastAsia="en-AU"/>
        </w:rPr>
        <w:t>the outbreak of COVI</w:t>
      </w:r>
      <w:r w:rsidR="00892ED8" w:rsidRPr="00425F79">
        <w:rPr>
          <w:lang w:eastAsia="en-AU"/>
        </w:rPr>
        <w:t>D-19</w:t>
      </w:r>
      <w:r w:rsidRPr="00425F79">
        <w:rPr>
          <w:lang w:eastAsia="en-AU"/>
        </w:rPr>
        <w:t>,</w:t>
      </w:r>
      <w:r w:rsidR="00381B2F" w:rsidRPr="00425F79">
        <w:rPr>
          <w:lang w:eastAsia="en-AU"/>
        </w:rPr>
        <w:t xml:space="preserve"> the OCP was required to </w:t>
      </w:r>
      <w:r w:rsidR="00425F79">
        <w:rPr>
          <w:lang w:eastAsia="en-AU"/>
        </w:rPr>
        <w:t xml:space="preserve">shift resources to </w:t>
      </w:r>
      <w:r w:rsidR="00C7389C">
        <w:rPr>
          <w:lang w:eastAsia="en-AU"/>
        </w:rPr>
        <w:t xml:space="preserve">support </w:t>
      </w:r>
      <w:r w:rsidR="009A5DAC">
        <w:rPr>
          <w:lang w:eastAsia="en-AU"/>
        </w:rPr>
        <w:t xml:space="preserve">the </w:t>
      </w:r>
      <w:r w:rsidR="00AB620B">
        <w:rPr>
          <w:lang w:eastAsia="en-AU"/>
        </w:rPr>
        <w:t xml:space="preserve">Victorian </w:t>
      </w:r>
      <w:r w:rsidR="009A5DAC">
        <w:rPr>
          <w:lang w:eastAsia="en-AU"/>
        </w:rPr>
        <w:t xml:space="preserve">mental health sector’s preparedness and outbreak responses. </w:t>
      </w:r>
      <w:r w:rsidR="0097422C">
        <w:rPr>
          <w:lang w:eastAsia="en-AU"/>
        </w:rPr>
        <w:t xml:space="preserve">This included clinical </w:t>
      </w:r>
      <w:r w:rsidR="009C32E0">
        <w:rPr>
          <w:lang w:eastAsia="en-AU"/>
        </w:rPr>
        <w:t xml:space="preserve">practice </w:t>
      </w:r>
      <w:r w:rsidR="003B4561">
        <w:rPr>
          <w:lang w:eastAsia="en-AU"/>
        </w:rPr>
        <w:t xml:space="preserve">change </w:t>
      </w:r>
      <w:r w:rsidR="009C32E0">
        <w:rPr>
          <w:lang w:eastAsia="en-AU"/>
        </w:rPr>
        <w:t xml:space="preserve">across </w:t>
      </w:r>
      <w:r w:rsidR="00381B2F" w:rsidRPr="00425F79">
        <w:rPr>
          <w:lang w:eastAsia="en-AU"/>
        </w:rPr>
        <w:t>the acute mental</w:t>
      </w:r>
      <w:r w:rsidR="007710C5" w:rsidRPr="00425F79">
        <w:rPr>
          <w:lang w:eastAsia="en-AU"/>
        </w:rPr>
        <w:t xml:space="preserve"> </w:t>
      </w:r>
      <w:r w:rsidR="00381B2F" w:rsidRPr="00425F79">
        <w:rPr>
          <w:lang w:eastAsia="en-AU"/>
        </w:rPr>
        <w:t>health sector</w:t>
      </w:r>
      <w:r w:rsidR="002F58CC">
        <w:rPr>
          <w:lang w:eastAsia="en-AU"/>
        </w:rPr>
        <w:t>,</w:t>
      </w:r>
      <w:r w:rsidR="00381B2F" w:rsidRPr="00425F79">
        <w:rPr>
          <w:lang w:eastAsia="en-AU"/>
        </w:rPr>
        <w:t xml:space="preserve"> including in the private mental health sector</w:t>
      </w:r>
      <w:r w:rsidR="00381B2F" w:rsidRPr="00893219">
        <w:rPr>
          <w:lang w:eastAsia="en-AU"/>
        </w:rPr>
        <w:t>.</w:t>
      </w:r>
      <w:r w:rsidR="00B5548B">
        <w:rPr>
          <w:lang w:eastAsia="en-AU"/>
        </w:rPr>
        <w:t xml:space="preserve"> </w:t>
      </w:r>
    </w:p>
    <w:p w14:paraId="18F2D515" w14:textId="143EBE43" w:rsidR="005D018B" w:rsidRPr="00D923F1" w:rsidRDefault="00381B2F" w:rsidP="00563C62">
      <w:pPr>
        <w:pStyle w:val="Body"/>
        <w:rPr>
          <w:lang w:eastAsia="en-AU"/>
        </w:rPr>
      </w:pPr>
      <w:r w:rsidRPr="1105F1AA">
        <w:rPr>
          <w:lang w:eastAsia="en-AU"/>
        </w:rPr>
        <w:t>The role of the OCP in the COVI</w:t>
      </w:r>
      <w:r w:rsidR="00892ED8" w:rsidRPr="1105F1AA">
        <w:rPr>
          <w:lang w:eastAsia="en-AU"/>
        </w:rPr>
        <w:t>D-19</w:t>
      </w:r>
      <w:r w:rsidRPr="1105F1AA">
        <w:rPr>
          <w:lang w:eastAsia="en-AU"/>
        </w:rPr>
        <w:t> response in the</w:t>
      </w:r>
      <w:r w:rsidR="00F85747">
        <w:rPr>
          <w:lang w:eastAsia="en-AU"/>
        </w:rPr>
        <w:t xml:space="preserve"> then</w:t>
      </w:r>
      <w:r w:rsidRPr="1105F1AA">
        <w:rPr>
          <w:lang w:eastAsia="en-AU"/>
        </w:rPr>
        <w:t xml:space="preserve"> Mental Health and Drugs </w:t>
      </w:r>
      <w:r w:rsidR="0081691B" w:rsidRPr="1105F1AA">
        <w:rPr>
          <w:lang w:eastAsia="en-AU"/>
        </w:rPr>
        <w:t>B</w:t>
      </w:r>
      <w:r w:rsidRPr="1105F1AA">
        <w:rPr>
          <w:lang w:eastAsia="en-AU"/>
        </w:rPr>
        <w:t>ranch</w:t>
      </w:r>
      <w:r w:rsidR="00F85747">
        <w:rPr>
          <w:lang w:eastAsia="en-AU"/>
        </w:rPr>
        <w:t xml:space="preserve"> (and later the Mental Health and Wellbeing Division)</w:t>
      </w:r>
      <w:r w:rsidRPr="1105F1AA">
        <w:rPr>
          <w:lang w:eastAsia="en-AU"/>
        </w:rPr>
        <w:t xml:space="preserve"> involved several interrelated but distinct pieces of work. Initially the work centred </w:t>
      </w:r>
      <w:r w:rsidR="007710C5" w:rsidRPr="1105F1AA">
        <w:rPr>
          <w:lang w:eastAsia="en-AU"/>
        </w:rPr>
        <w:t xml:space="preserve">on </w:t>
      </w:r>
      <w:r w:rsidRPr="1105F1AA">
        <w:rPr>
          <w:lang w:eastAsia="en-AU"/>
        </w:rPr>
        <w:t>supporting</w:t>
      </w:r>
      <w:r w:rsidR="00631765" w:rsidRPr="1105F1AA">
        <w:rPr>
          <w:lang w:eastAsia="en-AU"/>
        </w:rPr>
        <w:t xml:space="preserve"> </w:t>
      </w:r>
      <w:r w:rsidR="007710C5" w:rsidRPr="1105F1AA">
        <w:rPr>
          <w:lang w:eastAsia="en-AU"/>
        </w:rPr>
        <w:t>a</w:t>
      </w:r>
      <w:r w:rsidRPr="1105F1AA">
        <w:rPr>
          <w:lang w:eastAsia="en-AU"/>
        </w:rPr>
        <w:t>rea</w:t>
      </w:r>
      <w:r w:rsidR="00631765" w:rsidRPr="1105F1AA">
        <w:rPr>
          <w:lang w:eastAsia="en-AU"/>
        </w:rPr>
        <w:t xml:space="preserve"> </w:t>
      </w:r>
      <w:r w:rsidR="007710C5" w:rsidRPr="1105F1AA">
        <w:rPr>
          <w:lang w:eastAsia="en-AU"/>
        </w:rPr>
        <w:t>m</w:t>
      </w:r>
      <w:r w:rsidRPr="1105F1AA">
        <w:rPr>
          <w:lang w:eastAsia="en-AU"/>
        </w:rPr>
        <w:t>ental</w:t>
      </w:r>
      <w:r w:rsidR="00631765" w:rsidRPr="1105F1AA">
        <w:rPr>
          <w:lang w:eastAsia="en-AU"/>
        </w:rPr>
        <w:t xml:space="preserve"> </w:t>
      </w:r>
      <w:r w:rsidR="007710C5" w:rsidRPr="1105F1AA">
        <w:rPr>
          <w:lang w:eastAsia="en-AU"/>
        </w:rPr>
        <w:t>h</w:t>
      </w:r>
      <w:r w:rsidRPr="1105F1AA">
        <w:rPr>
          <w:lang w:eastAsia="en-AU"/>
        </w:rPr>
        <w:t>ealth</w:t>
      </w:r>
      <w:r w:rsidR="00631765" w:rsidRPr="1105F1AA">
        <w:rPr>
          <w:lang w:eastAsia="en-AU"/>
        </w:rPr>
        <w:t xml:space="preserve"> </w:t>
      </w:r>
      <w:r w:rsidR="007710C5" w:rsidRPr="1105F1AA">
        <w:rPr>
          <w:lang w:eastAsia="en-AU"/>
        </w:rPr>
        <w:t>s</w:t>
      </w:r>
      <w:r w:rsidRPr="1105F1AA">
        <w:rPr>
          <w:lang w:eastAsia="en-AU"/>
        </w:rPr>
        <w:t>ervices (AM</w:t>
      </w:r>
      <w:r w:rsidR="00631765" w:rsidRPr="1105F1AA">
        <w:rPr>
          <w:lang w:eastAsia="en-AU"/>
        </w:rPr>
        <w:t>H</w:t>
      </w:r>
      <w:r w:rsidRPr="1105F1AA">
        <w:rPr>
          <w:lang w:eastAsia="en-AU"/>
        </w:rPr>
        <w:t>S) and </w:t>
      </w:r>
      <w:r w:rsidR="007710C5" w:rsidRPr="1105F1AA">
        <w:rPr>
          <w:lang w:eastAsia="en-AU"/>
        </w:rPr>
        <w:t>n</w:t>
      </w:r>
      <w:r w:rsidRPr="1105F1AA">
        <w:rPr>
          <w:lang w:eastAsia="en-AU"/>
        </w:rPr>
        <w:t>on-</w:t>
      </w:r>
      <w:r w:rsidR="007710C5" w:rsidRPr="1105F1AA">
        <w:rPr>
          <w:lang w:eastAsia="en-AU"/>
        </w:rPr>
        <w:t>g</w:t>
      </w:r>
      <w:r w:rsidRPr="1105F1AA">
        <w:rPr>
          <w:lang w:eastAsia="en-AU"/>
        </w:rPr>
        <w:t>overnment</w:t>
      </w:r>
      <w:r w:rsidR="007710C5" w:rsidRPr="1105F1AA">
        <w:rPr>
          <w:lang w:eastAsia="en-AU"/>
        </w:rPr>
        <w:t xml:space="preserve"> </w:t>
      </w:r>
      <w:r w:rsidRPr="1105F1AA">
        <w:rPr>
          <w:lang w:eastAsia="en-AU"/>
        </w:rPr>
        <w:t>organisations</w:t>
      </w:r>
      <w:r w:rsidR="00631765" w:rsidRPr="1105F1AA">
        <w:rPr>
          <w:lang w:eastAsia="en-AU"/>
        </w:rPr>
        <w:t xml:space="preserve"> </w:t>
      </w:r>
      <w:r w:rsidRPr="1105F1AA">
        <w:rPr>
          <w:lang w:eastAsia="en-AU"/>
        </w:rPr>
        <w:t>(NGO</w:t>
      </w:r>
      <w:r w:rsidR="00631765" w:rsidRPr="1105F1AA">
        <w:rPr>
          <w:lang w:eastAsia="en-AU"/>
        </w:rPr>
        <w:t>s</w:t>
      </w:r>
      <w:r w:rsidRPr="1105F1AA">
        <w:rPr>
          <w:lang w:eastAsia="en-AU"/>
        </w:rPr>
        <w:t>)</w:t>
      </w:r>
      <w:r w:rsidR="00631765" w:rsidRPr="1105F1AA">
        <w:rPr>
          <w:lang w:eastAsia="en-AU"/>
        </w:rPr>
        <w:t xml:space="preserve"> in </w:t>
      </w:r>
      <w:r w:rsidRPr="1105F1AA">
        <w:rPr>
          <w:lang w:eastAsia="en-AU"/>
        </w:rPr>
        <w:t>their</w:t>
      </w:r>
      <w:r w:rsidR="00631765" w:rsidRPr="1105F1AA">
        <w:rPr>
          <w:lang w:eastAsia="en-AU"/>
        </w:rPr>
        <w:t xml:space="preserve"> </w:t>
      </w:r>
      <w:r w:rsidRPr="1105F1AA">
        <w:rPr>
          <w:lang w:eastAsia="en-AU"/>
        </w:rPr>
        <w:t>pandemic</w:t>
      </w:r>
      <w:r w:rsidR="00631765" w:rsidRPr="1105F1AA">
        <w:rPr>
          <w:lang w:eastAsia="en-AU"/>
        </w:rPr>
        <w:t xml:space="preserve"> </w:t>
      </w:r>
      <w:r w:rsidRPr="1105F1AA">
        <w:rPr>
          <w:lang w:eastAsia="en-AU"/>
        </w:rPr>
        <w:t>preparedness and </w:t>
      </w:r>
      <w:r w:rsidR="00F572AE" w:rsidRPr="1105F1AA">
        <w:rPr>
          <w:lang w:eastAsia="en-AU"/>
        </w:rPr>
        <w:t>C</w:t>
      </w:r>
      <w:r w:rsidRPr="1105F1AA">
        <w:rPr>
          <w:lang w:eastAsia="en-AU"/>
        </w:rPr>
        <w:t>OVI</w:t>
      </w:r>
      <w:r w:rsidR="00892ED8" w:rsidRPr="1105F1AA">
        <w:rPr>
          <w:lang w:eastAsia="en-AU"/>
        </w:rPr>
        <w:t>D-19</w:t>
      </w:r>
      <w:r w:rsidRPr="1105F1AA">
        <w:rPr>
          <w:lang w:eastAsia="en-AU"/>
        </w:rPr>
        <w:t> infection prevention and control processes.</w:t>
      </w:r>
      <w:r w:rsidR="0057779F" w:rsidRPr="1105F1AA">
        <w:rPr>
          <w:lang w:eastAsia="en-AU"/>
        </w:rPr>
        <w:t xml:space="preserve"> </w:t>
      </w:r>
      <w:r w:rsidRPr="1105F1AA">
        <w:rPr>
          <w:lang w:eastAsia="en-AU"/>
        </w:rPr>
        <w:t xml:space="preserve">This work included authoring </w:t>
      </w:r>
      <w:r w:rsidR="007710C5" w:rsidRPr="1105F1AA">
        <w:rPr>
          <w:lang w:eastAsia="en-AU"/>
        </w:rPr>
        <w:t>p</w:t>
      </w:r>
      <w:r w:rsidRPr="1105F1AA">
        <w:rPr>
          <w:lang w:eastAsia="en-AU"/>
        </w:rPr>
        <w:t>ersonal </w:t>
      </w:r>
      <w:r w:rsidR="007710C5" w:rsidRPr="1105F1AA">
        <w:rPr>
          <w:lang w:eastAsia="en-AU"/>
        </w:rPr>
        <w:t>p</w:t>
      </w:r>
      <w:r w:rsidRPr="1105F1AA">
        <w:rPr>
          <w:lang w:eastAsia="en-AU"/>
        </w:rPr>
        <w:t>rotective </w:t>
      </w:r>
      <w:r w:rsidR="007710C5" w:rsidRPr="1105F1AA">
        <w:rPr>
          <w:lang w:eastAsia="en-AU"/>
        </w:rPr>
        <w:t>e</w:t>
      </w:r>
      <w:r w:rsidRPr="1105F1AA">
        <w:rPr>
          <w:lang w:eastAsia="en-AU"/>
        </w:rPr>
        <w:t>quipment</w:t>
      </w:r>
      <w:r w:rsidR="002022A1" w:rsidRPr="1105F1AA">
        <w:rPr>
          <w:lang w:eastAsia="en-AU"/>
        </w:rPr>
        <w:t xml:space="preserve"> </w:t>
      </w:r>
      <w:r w:rsidRPr="1105F1AA">
        <w:rPr>
          <w:lang w:eastAsia="en-AU"/>
        </w:rPr>
        <w:t>guidance,</w:t>
      </w:r>
      <w:r w:rsidR="002022A1" w:rsidRPr="1105F1AA">
        <w:rPr>
          <w:lang w:eastAsia="en-AU"/>
        </w:rPr>
        <w:t xml:space="preserve"> </w:t>
      </w:r>
      <w:r w:rsidRPr="1105F1AA">
        <w:rPr>
          <w:lang w:eastAsia="en-AU"/>
        </w:rPr>
        <w:t>including</w:t>
      </w:r>
      <w:r w:rsidR="002022A1" w:rsidRPr="1105F1AA">
        <w:rPr>
          <w:lang w:eastAsia="en-AU"/>
        </w:rPr>
        <w:t xml:space="preserve"> </w:t>
      </w:r>
      <w:r w:rsidRPr="1105F1AA">
        <w:rPr>
          <w:lang w:eastAsia="en-AU"/>
        </w:rPr>
        <w:t>representation on</w:t>
      </w:r>
      <w:r w:rsidR="0057779F" w:rsidRPr="1105F1AA">
        <w:rPr>
          <w:lang w:eastAsia="en-AU"/>
        </w:rPr>
        <w:t xml:space="preserve"> </w:t>
      </w:r>
      <w:r w:rsidRPr="1105F1AA">
        <w:rPr>
          <w:lang w:eastAsia="en-AU"/>
        </w:rPr>
        <w:t>the</w:t>
      </w:r>
      <w:r w:rsidR="0057779F" w:rsidRPr="1105F1AA">
        <w:rPr>
          <w:lang w:eastAsia="en-AU"/>
        </w:rPr>
        <w:t xml:space="preserve"> </w:t>
      </w:r>
      <w:r w:rsidR="00CD3E14" w:rsidRPr="1105F1AA">
        <w:rPr>
          <w:lang w:eastAsia="en-AU"/>
        </w:rPr>
        <w:t>d</w:t>
      </w:r>
      <w:r w:rsidRPr="1105F1AA">
        <w:rPr>
          <w:lang w:eastAsia="en-AU"/>
        </w:rPr>
        <w:t>epartment’s</w:t>
      </w:r>
      <w:r w:rsidR="00631765" w:rsidRPr="1105F1AA">
        <w:rPr>
          <w:lang w:eastAsia="en-AU"/>
        </w:rPr>
        <w:t xml:space="preserve"> </w:t>
      </w:r>
      <w:r w:rsidRPr="1105F1AA">
        <w:rPr>
          <w:lang w:eastAsia="en-AU"/>
        </w:rPr>
        <w:t>Personal</w:t>
      </w:r>
      <w:r w:rsidR="0057779F" w:rsidRPr="1105F1AA">
        <w:rPr>
          <w:lang w:eastAsia="en-AU"/>
        </w:rPr>
        <w:t xml:space="preserve"> </w:t>
      </w:r>
      <w:r w:rsidRPr="1105F1AA">
        <w:rPr>
          <w:lang w:eastAsia="en-AU"/>
        </w:rPr>
        <w:t>Protective</w:t>
      </w:r>
      <w:r w:rsidR="0057779F" w:rsidRPr="1105F1AA">
        <w:rPr>
          <w:lang w:eastAsia="en-AU"/>
        </w:rPr>
        <w:t xml:space="preserve"> </w:t>
      </w:r>
      <w:r w:rsidRPr="1105F1AA">
        <w:rPr>
          <w:lang w:eastAsia="en-AU"/>
        </w:rPr>
        <w:t>Equipment</w:t>
      </w:r>
      <w:r w:rsidR="0057779F" w:rsidRPr="1105F1AA">
        <w:rPr>
          <w:lang w:eastAsia="en-AU"/>
        </w:rPr>
        <w:t xml:space="preserve"> </w:t>
      </w:r>
      <w:r w:rsidRPr="1105F1AA">
        <w:rPr>
          <w:lang w:eastAsia="en-AU"/>
        </w:rPr>
        <w:t>Taskforce, to ensure the continued delivery of mental health services and administration</w:t>
      </w:r>
      <w:r w:rsidR="002022A1" w:rsidRPr="1105F1AA">
        <w:rPr>
          <w:lang w:eastAsia="en-AU"/>
        </w:rPr>
        <w:t xml:space="preserve"> </w:t>
      </w:r>
      <w:r w:rsidRPr="1105F1AA">
        <w:rPr>
          <w:lang w:eastAsia="en-AU"/>
        </w:rPr>
        <w:t>of</w:t>
      </w:r>
      <w:r w:rsidR="002022A1" w:rsidRPr="1105F1AA">
        <w:rPr>
          <w:lang w:eastAsia="en-AU"/>
        </w:rPr>
        <w:t xml:space="preserve"> </w:t>
      </w:r>
      <w:r w:rsidRPr="1105F1AA">
        <w:rPr>
          <w:lang w:eastAsia="en-AU"/>
        </w:rPr>
        <w:t>antipsychotic</w:t>
      </w:r>
      <w:r w:rsidR="002022A1" w:rsidRPr="1105F1AA">
        <w:rPr>
          <w:lang w:eastAsia="en-AU"/>
        </w:rPr>
        <w:t xml:space="preserve"> </w:t>
      </w:r>
      <w:r w:rsidRPr="1105F1AA">
        <w:rPr>
          <w:lang w:eastAsia="en-AU"/>
        </w:rPr>
        <w:t>depot medication. The OCP also co</w:t>
      </w:r>
      <w:r w:rsidR="005E5AA4">
        <w:rPr>
          <w:lang w:eastAsia="en-AU"/>
        </w:rPr>
        <w:t>ntributed to develop</w:t>
      </w:r>
      <w:r w:rsidR="006F4A1E">
        <w:rPr>
          <w:lang w:eastAsia="en-AU"/>
        </w:rPr>
        <w:t>ing</w:t>
      </w:r>
      <w:r w:rsidR="00631765" w:rsidRPr="1105F1AA">
        <w:rPr>
          <w:lang w:eastAsia="en-AU"/>
        </w:rPr>
        <w:t xml:space="preserve"> </w:t>
      </w:r>
      <w:r w:rsidRPr="1105F1AA">
        <w:rPr>
          <w:lang w:eastAsia="en-AU"/>
        </w:rPr>
        <w:t>inpatient</w:t>
      </w:r>
      <w:r w:rsidR="00631765" w:rsidRPr="1105F1AA">
        <w:rPr>
          <w:lang w:eastAsia="en-AU"/>
        </w:rPr>
        <w:t xml:space="preserve"> </w:t>
      </w:r>
      <w:r w:rsidRPr="1105F1AA">
        <w:rPr>
          <w:lang w:eastAsia="en-AU"/>
        </w:rPr>
        <w:t>and community consumer pathways of care and workforce documents to support mental health service delivery</w:t>
      </w:r>
      <w:r w:rsidR="00B97270">
        <w:rPr>
          <w:lang w:eastAsia="en-AU"/>
        </w:rPr>
        <w:t xml:space="preserve"> as part of the Mental Health COVID response team</w:t>
      </w:r>
      <w:r w:rsidRPr="1105F1AA">
        <w:rPr>
          <w:lang w:eastAsia="en-AU"/>
        </w:rPr>
        <w:t>.</w:t>
      </w:r>
    </w:p>
    <w:p w14:paraId="3415460A" w14:textId="688FBB78" w:rsidR="00381B2F" w:rsidRPr="00893219" w:rsidRDefault="00381B2F" w:rsidP="00563C62">
      <w:pPr>
        <w:pStyle w:val="Body"/>
        <w:rPr>
          <w:lang w:eastAsia="en-AU"/>
        </w:rPr>
      </w:pPr>
      <w:r w:rsidRPr="6AC39D9E">
        <w:rPr>
          <w:lang w:eastAsia="en-AU"/>
        </w:rPr>
        <w:t>The OCP worked to continue clinical oversight </w:t>
      </w:r>
      <w:r w:rsidR="007710C5" w:rsidRPr="6AC39D9E">
        <w:rPr>
          <w:lang w:eastAsia="en-AU"/>
        </w:rPr>
        <w:t>of</w:t>
      </w:r>
      <w:r w:rsidRPr="6AC39D9E">
        <w:rPr>
          <w:lang w:eastAsia="en-AU"/>
        </w:rPr>
        <w:t> </w:t>
      </w:r>
      <w:r w:rsidR="00CD3E14" w:rsidRPr="6AC39D9E">
        <w:rPr>
          <w:lang w:eastAsia="en-AU"/>
        </w:rPr>
        <w:t>C</w:t>
      </w:r>
      <w:r w:rsidRPr="6AC39D9E">
        <w:rPr>
          <w:lang w:eastAsia="en-AU"/>
        </w:rPr>
        <w:t>OVI</w:t>
      </w:r>
      <w:r w:rsidR="00892ED8" w:rsidRPr="6AC39D9E">
        <w:rPr>
          <w:lang w:eastAsia="en-AU"/>
        </w:rPr>
        <w:t>D-19</w:t>
      </w:r>
      <w:r w:rsidR="00CD3E14" w:rsidRPr="6AC39D9E">
        <w:rPr>
          <w:lang w:eastAsia="en-AU"/>
        </w:rPr>
        <w:t>-</w:t>
      </w:r>
      <w:r w:rsidRPr="6AC39D9E">
        <w:rPr>
          <w:lang w:eastAsia="en-AU"/>
        </w:rPr>
        <w:t>related incidents</w:t>
      </w:r>
      <w:r w:rsidR="004D4154">
        <w:rPr>
          <w:lang w:eastAsia="en-AU"/>
        </w:rPr>
        <w:t>,</w:t>
      </w:r>
      <w:r w:rsidRPr="6AC39D9E">
        <w:rPr>
          <w:lang w:eastAsia="en-AU"/>
        </w:rPr>
        <w:t xml:space="preserve"> including clarif</w:t>
      </w:r>
      <w:r w:rsidR="007073C5">
        <w:rPr>
          <w:lang w:eastAsia="en-AU"/>
        </w:rPr>
        <w:t>ying</w:t>
      </w:r>
      <w:r w:rsidR="002022A1" w:rsidRPr="6AC39D9E">
        <w:rPr>
          <w:lang w:eastAsia="en-AU"/>
        </w:rPr>
        <w:t xml:space="preserve"> </w:t>
      </w:r>
      <w:r w:rsidRPr="6AC39D9E">
        <w:rPr>
          <w:lang w:eastAsia="en-AU"/>
        </w:rPr>
        <w:t>issues relating to the </w:t>
      </w:r>
      <w:r w:rsidRPr="009717C1">
        <w:rPr>
          <w:lang w:eastAsia="en-AU"/>
        </w:rPr>
        <w:t>Mental Health Act</w:t>
      </w:r>
      <w:r w:rsidRPr="6AC39D9E">
        <w:rPr>
          <w:lang w:eastAsia="en-AU"/>
        </w:rPr>
        <w:t>.</w:t>
      </w:r>
      <w:r w:rsidR="0057779F" w:rsidRPr="6AC39D9E">
        <w:rPr>
          <w:lang w:eastAsia="en-AU"/>
        </w:rPr>
        <w:t xml:space="preserve"> </w:t>
      </w:r>
      <w:r w:rsidRPr="6AC39D9E">
        <w:rPr>
          <w:lang w:eastAsia="en-AU"/>
        </w:rPr>
        <w:t>This work included maintaining and improving</w:t>
      </w:r>
      <w:r w:rsidR="002022A1" w:rsidRPr="6AC39D9E">
        <w:rPr>
          <w:lang w:eastAsia="en-AU"/>
        </w:rPr>
        <w:t xml:space="preserve"> </w:t>
      </w:r>
      <w:r w:rsidRPr="6AC39D9E">
        <w:rPr>
          <w:lang w:eastAsia="en-AU"/>
        </w:rPr>
        <w:t>access</w:t>
      </w:r>
      <w:r w:rsidR="006E7A62" w:rsidRPr="6AC39D9E">
        <w:rPr>
          <w:lang w:eastAsia="en-AU"/>
        </w:rPr>
        <w:t xml:space="preserve"> </w:t>
      </w:r>
      <w:r w:rsidRPr="6AC39D9E">
        <w:rPr>
          <w:lang w:eastAsia="en-AU"/>
        </w:rPr>
        <w:t>to</w:t>
      </w:r>
      <w:r w:rsidR="002022A1" w:rsidRPr="6AC39D9E">
        <w:rPr>
          <w:lang w:eastAsia="en-AU"/>
        </w:rPr>
        <w:t xml:space="preserve"> </w:t>
      </w:r>
      <w:r w:rsidRPr="6AC39D9E">
        <w:rPr>
          <w:lang w:eastAsia="en-AU"/>
        </w:rPr>
        <w:t>mental</w:t>
      </w:r>
      <w:r w:rsidR="002022A1" w:rsidRPr="6AC39D9E">
        <w:rPr>
          <w:lang w:eastAsia="en-AU"/>
        </w:rPr>
        <w:t xml:space="preserve"> </w:t>
      </w:r>
      <w:r w:rsidRPr="6AC39D9E">
        <w:rPr>
          <w:lang w:eastAsia="en-AU"/>
        </w:rPr>
        <w:t>health</w:t>
      </w:r>
      <w:r w:rsidR="002022A1" w:rsidRPr="6AC39D9E">
        <w:rPr>
          <w:lang w:eastAsia="en-AU"/>
        </w:rPr>
        <w:t xml:space="preserve"> </w:t>
      </w:r>
      <w:r w:rsidRPr="6AC39D9E">
        <w:rPr>
          <w:lang w:eastAsia="en-AU"/>
        </w:rPr>
        <w:t>treatment whil</w:t>
      </w:r>
      <w:r w:rsidR="00A424DB" w:rsidRPr="6AC39D9E">
        <w:rPr>
          <w:lang w:eastAsia="en-AU"/>
        </w:rPr>
        <w:t>e</w:t>
      </w:r>
      <w:r w:rsidRPr="6AC39D9E">
        <w:rPr>
          <w:lang w:eastAsia="en-AU"/>
        </w:rPr>
        <w:t> considering appropriate infection prevention and control measures.</w:t>
      </w:r>
      <w:r w:rsidR="006E7A62" w:rsidRPr="6AC39D9E">
        <w:rPr>
          <w:lang w:eastAsia="en-AU"/>
        </w:rPr>
        <w:t xml:space="preserve"> </w:t>
      </w:r>
      <w:r w:rsidRPr="6AC39D9E">
        <w:rPr>
          <w:lang w:eastAsia="en-AU"/>
        </w:rPr>
        <w:t>Our role extended</w:t>
      </w:r>
      <w:r w:rsidR="002022A1" w:rsidRPr="6AC39D9E">
        <w:rPr>
          <w:lang w:eastAsia="en-AU"/>
        </w:rPr>
        <w:t xml:space="preserve"> </w:t>
      </w:r>
      <w:r w:rsidRPr="6AC39D9E">
        <w:rPr>
          <w:lang w:eastAsia="en-AU"/>
        </w:rPr>
        <w:t>to</w:t>
      </w:r>
      <w:r w:rsidR="002022A1" w:rsidRPr="6AC39D9E">
        <w:rPr>
          <w:lang w:eastAsia="en-AU"/>
        </w:rPr>
        <w:t xml:space="preserve"> </w:t>
      </w:r>
      <w:r w:rsidRPr="6AC39D9E">
        <w:rPr>
          <w:lang w:eastAsia="en-AU"/>
        </w:rPr>
        <w:t>examining consumer and carer complaints </w:t>
      </w:r>
      <w:r w:rsidR="006E7A62" w:rsidRPr="6AC39D9E">
        <w:rPr>
          <w:lang w:eastAsia="en-AU"/>
        </w:rPr>
        <w:t xml:space="preserve">about </w:t>
      </w:r>
      <w:r w:rsidRPr="6AC39D9E">
        <w:rPr>
          <w:lang w:eastAsia="en-AU"/>
        </w:rPr>
        <w:t>service delivery</w:t>
      </w:r>
      <w:r w:rsidR="006E7A62" w:rsidRPr="6AC39D9E">
        <w:rPr>
          <w:lang w:eastAsia="en-AU"/>
        </w:rPr>
        <w:t xml:space="preserve"> </w:t>
      </w:r>
      <w:r w:rsidRPr="6AC39D9E">
        <w:rPr>
          <w:lang w:eastAsia="en-AU"/>
        </w:rPr>
        <w:t>and</w:t>
      </w:r>
      <w:r w:rsidR="006E7A62" w:rsidRPr="6AC39D9E">
        <w:rPr>
          <w:lang w:eastAsia="en-AU"/>
        </w:rPr>
        <w:t xml:space="preserve"> the </w:t>
      </w:r>
      <w:r w:rsidRPr="6AC39D9E">
        <w:rPr>
          <w:lang w:eastAsia="en-AU"/>
        </w:rPr>
        <w:t>impact on inpatient hospital visitors and </w:t>
      </w:r>
      <w:r w:rsidR="00AA735E" w:rsidRPr="6AC39D9E">
        <w:rPr>
          <w:lang w:eastAsia="en-AU"/>
        </w:rPr>
        <w:t xml:space="preserve">consumer </w:t>
      </w:r>
      <w:r w:rsidRPr="6AC39D9E">
        <w:rPr>
          <w:lang w:eastAsia="en-AU"/>
        </w:rPr>
        <w:t>leave</w:t>
      </w:r>
      <w:r w:rsidR="006E7A62" w:rsidRPr="6AC39D9E">
        <w:rPr>
          <w:lang w:eastAsia="en-AU"/>
        </w:rPr>
        <w:t>. We were tasked with</w:t>
      </w:r>
      <w:r w:rsidRPr="6AC39D9E">
        <w:rPr>
          <w:lang w:eastAsia="en-AU"/>
        </w:rPr>
        <w:t xml:space="preserve"> ensuring that service providers</w:t>
      </w:r>
      <w:r w:rsidR="006E7A62" w:rsidRPr="6AC39D9E">
        <w:rPr>
          <w:lang w:eastAsia="en-AU"/>
        </w:rPr>
        <w:t xml:space="preserve"> </w:t>
      </w:r>
      <w:r w:rsidRPr="6AC39D9E">
        <w:rPr>
          <w:lang w:eastAsia="en-AU"/>
        </w:rPr>
        <w:t>underst</w:t>
      </w:r>
      <w:r w:rsidR="006E7A62" w:rsidRPr="6AC39D9E">
        <w:rPr>
          <w:lang w:eastAsia="en-AU"/>
        </w:rPr>
        <w:t>oo</w:t>
      </w:r>
      <w:r w:rsidRPr="6AC39D9E">
        <w:rPr>
          <w:lang w:eastAsia="en-AU"/>
        </w:rPr>
        <w:t>d</w:t>
      </w:r>
      <w:r w:rsidR="00631765" w:rsidRPr="6AC39D9E">
        <w:rPr>
          <w:lang w:eastAsia="en-AU"/>
        </w:rPr>
        <w:t xml:space="preserve"> </w:t>
      </w:r>
      <w:r w:rsidR="006E7A62" w:rsidRPr="6AC39D9E">
        <w:rPr>
          <w:lang w:eastAsia="en-AU"/>
        </w:rPr>
        <w:t>how to apply</w:t>
      </w:r>
      <w:r w:rsidRPr="6AC39D9E">
        <w:rPr>
          <w:lang w:eastAsia="en-AU"/>
        </w:rPr>
        <w:t xml:space="preserve"> </w:t>
      </w:r>
      <w:r w:rsidR="000846DB" w:rsidRPr="6AC39D9E">
        <w:rPr>
          <w:lang w:eastAsia="en-AU"/>
        </w:rPr>
        <w:t xml:space="preserve">the department’s </w:t>
      </w:r>
      <w:r w:rsidRPr="6AC39D9E">
        <w:rPr>
          <w:lang w:eastAsia="en-AU"/>
        </w:rPr>
        <w:t xml:space="preserve">information and guidance and directives from </w:t>
      </w:r>
      <w:r w:rsidR="004C5221" w:rsidRPr="6AC39D9E">
        <w:rPr>
          <w:lang w:eastAsia="en-AU"/>
        </w:rPr>
        <w:t>the C</w:t>
      </w:r>
      <w:r w:rsidRPr="6AC39D9E">
        <w:rPr>
          <w:lang w:eastAsia="en-AU"/>
        </w:rPr>
        <w:t>hief</w:t>
      </w:r>
      <w:r w:rsidR="006E7A62" w:rsidRPr="6AC39D9E">
        <w:rPr>
          <w:lang w:eastAsia="en-AU"/>
        </w:rPr>
        <w:t xml:space="preserve"> </w:t>
      </w:r>
      <w:r w:rsidR="004C5221" w:rsidRPr="6AC39D9E">
        <w:rPr>
          <w:lang w:eastAsia="en-AU"/>
        </w:rPr>
        <w:t>H</w:t>
      </w:r>
      <w:r w:rsidRPr="6AC39D9E">
        <w:rPr>
          <w:lang w:eastAsia="en-AU"/>
        </w:rPr>
        <w:t>ealth</w:t>
      </w:r>
      <w:r w:rsidR="006E7A62" w:rsidRPr="6AC39D9E">
        <w:rPr>
          <w:lang w:eastAsia="en-AU"/>
        </w:rPr>
        <w:t xml:space="preserve"> </w:t>
      </w:r>
      <w:r w:rsidR="004C5221" w:rsidRPr="6AC39D9E">
        <w:rPr>
          <w:lang w:eastAsia="en-AU"/>
        </w:rPr>
        <w:t>O</w:t>
      </w:r>
      <w:r w:rsidRPr="6AC39D9E">
        <w:rPr>
          <w:lang w:eastAsia="en-AU"/>
        </w:rPr>
        <w:t>fficer. </w:t>
      </w:r>
    </w:p>
    <w:p w14:paraId="76418A5C" w14:textId="2FD01310" w:rsidR="00381B2F" w:rsidRPr="00FF535D" w:rsidRDefault="006E7A62" w:rsidP="00563C62">
      <w:pPr>
        <w:pStyle w:val="Body"/>
        <w:rPr>
          <w:rStyle w:val="normaltextrun"/>
          <w:rFonts w:cstheme="minorBidi"/>
          <w:color w:val="000000"/>
          <w:lang w:val="en-US"/>
        </w:rPr>
      </w:pPr>
      <w:r w:rsidRPr="75EB3A12">
        <w:rPr>
          <w:rStyle w:val="normaltextrun"/>
          <w:rFonts w:cstheme="minorBidi"/>
          <w:color w:val="000000" w:themeColor="text1"/>
          <w:lang w:val="en-US"/>
        </w:rPr>
        <w:lastRenderedPageBreak/>
        <w:t>Our p</w:t>
      </w:r>
      <w:r w:rsidR="00381B2F" w:rsidRPr="75EB3A12">
        <w:rPr>
          <w:rStyle w:val="normaltextrun"/>
          <w:rFonts w:cstheme="minorBidi"/>
          <w:color w:val="000000" w:themeColor="text1"/>
          <w:lang w:val="en-US"/>
        </w:rPr>
        <w:t>artnership with the </w:t>
      </w:r>
      <w:r w:rsidR="00ED205E">
        <w:rPr>
          <w:rStyle w:val="normaltextrun"/>
          <w:rFonts w:cstheme="minorBidi"/>
          <w:color w:val="000000" w:themeColor="text1"/>
          <w:lang w:val="en-US"/>
        </w:rPr>
        <w:t>d</w:t>
      </w:r>
      <w:r w:rsidR="00381B2F" w:rsidRPr="75EB3A12">
        <w:rPr>
          <w:rStyle w:val="normaltextrun"/>
          <w:rFonts w:cstheme="minorBidi"/>
          <w:color w:val="000000" w:themeColor="text1"/>
          <w:lang w:val="en-US"/>
        </w:rPr>
        <w:t>epartment’s Public Health team regarding outbreak management</w:t>
      </w:r>
      <w:r w:rsidR="002022A1" w:rsidRPr="75EB3A12">
        <w:rPr>
          <w:rStyle w:val="normaltextrun"/>
          <w:rFonts w:cstheme="minorBidi"/>
          <w:color w:val="000000" w:themeColor="text1"/>
          <w:lang w:val="en-US"/>
        </w:rPr>
        <w:t xml:space="preserve"> </w:t>
      </w:r>
      <w:r w:rsidR="00376875" w:rsidRPr="75EB3A12">
        <w:rPr>
          <w:rStyle w:val="normaltextrun"/>
          <w:rFonts w:cstheme="minorBidi"/>
          <w:color w:val="000000" w:themeColor="text1"/>
          <w:lang w:val="en-US"/>
        </w:rPr>
        <w:t xml:space="preserve">assisted </w:t>
      </w:r>
      <w:r w:rsidR="00E64730" w:rsidRPr="75EB3A12">
        <w:rPr>
          <w:rStyle w:val="normaltextrun"/>
          <w:rFonts w:cstheme="minorBidi"/>
          <w:color w:val="000000" w:themeColor="text1"/>
          <w:lang w:val="en-US"/>
        </w:rPr>
        <w:t xml:space="preserve">supported clinical decision </w:t>
      </w:r>
      <w:r w:rsidR="00BE1BBC" w:rsidRPr="75EB3A12">
        <w:rPr>
          <w:rStyle w:val="normaltextrun"/>
          <w:rFonts w:cstheme="minorBidi"/>
          <w:color w:val="000000" w:themeColor="text1"/>
          <w:lang w:val="en-US"/>
        </w:rPr>
        <w:t xml:space="preserve">making for </w:t>
      </w:r>
      <w:r w:rsidR="00381B2F" w:rsidRPr="75EB3A12">
        <w:rPr>
          <w:rStyle w:val="normaltextrun"/>
          <w:rFonts w:cstheme="minorBidi"/>
          <w:color w:val="000000" w:themeColor="text1"/>
          <w:lang w:val="en-US"/>
        </w:rPr>
        <w:t>consumers with complex needs</w:t>
      </w:r>
      <w:r w:rsidR="00376875" w:rsidRPr="75EB3A12">
        <w:rPr>
          <w:rStyle w:val="normaltextrun"/>
          <w:rFonts w:cstheme="minorBidi"/>
          <w:color w:val="000000" w:themeColor="text1"/>
          <w:lang w:val="en-US"/>
        </w:rPr>
        <w:t>.</w:t>
      </w:r>
      <w:r w:rsidR="00376875" w:rsidRPr="00E8533C">
        <w:rPr>
          <w:rFonts w:ascii="Calibri" w:eastAsia="Times New Roman" w:hAnsi="Calibri" w:cs="Calibri"/>
          <w:lang w:eastAsia="en-AU"/>
        </w:rPr>
        <w:t xml:space="preserve"> </w:t>
      </w:r>
      <w:r w:rsidR="00376875" w:rsidRPr="75EB3A12">
        <w:rPr>
          <w:rStyle w:val="normaltextrun"/>
          <w:rFonts w:cstheme="minorBidi"/>
          <w:color w:val="000000" w:themeColor="text1"/>
          <w:lang w:val="en-US"/>
        </w:rPr>
        <w:t xml:space="preserve">Many of these consumers were either </w:t>
      </w:r>
      <w:r w:rsidR="00381B2F" w:rsidRPr="75EB3A12">
        <w:rPr>
          <w:rStyle w:val="normaltextrun"/>
          <w:rFonts w:cstheme="minorBidi"/>
          <w:color w:val="000000" w:themeColor="text1"/>
          <w:lang w:val="en-US"/>
        </w:rPr>
        <w:t>unable or unwilling to comply with public health infection</w:t>
      </w:r>
      <w:r w:rsidR="00631765" w:rsidRPr="75EB3A12">
        <w:rPr>
          <w:rStyle w:val="normaltextrun"/>
          <w:rFonts w:cstheme="minorBidi"/>
          <w:color w:val="000000" w:themeColor="text1"/>
          <w:lang w:val="en-US"/>
        </w:rPr>
        <w:t xml:space="preserve"> </w:t>
      </w:r>
      <w:r w:rsidR="00381B2F" w:rsidRPr="75EB3A12">
        <w:rPr>
          <w:rStyle w:val="normaltextrun"/>
          <w:rFonts w:cstheme="minorBidi"/>
          <w:color w:val="000000" w:themeColor="text1"/>
          <w:lang w:val="en-US"/>
        </w:rPr>
        <w:t>control requirements and detention orders.</w:t>
      </w:r>
      <w:r w:rsidR="0057779F" w:rsidRPr="75EB3A12">
        <w:rPr>
          <w:rStyle w:val="normaltextrun"/>
          <w:rFonts w:cstheme="minorBidi"/>
          <w:color w:val="000000" w:themeColor="text1"/>
          <w:lang w:val="en-US"/>
        </w:rPr>
        <w:t xml:space="preserve"> </w:t>
      </w:r>
      <w:r w:rsidR="00381B2F" w:rsidRPr="75EB3A12">
        <w:rPr>
          <w:rStyle w:val="normaltextrun"/>
          <w:rFonts w:cstheme="minorBidi"/>
          <w:color w:val="000000" w:themeColor="text1"/>
          <w:lang w:val="en-US"/>
        </w:rPr>
        <w:t>This assistance ensured that consumers were able to</w:t>
      </w:r>
      <w:r w:rsidR="00631765" w:rsidRPr="75EB3A12">
        <w:rPr>
          <w:rStyle w:val="normaltextrun"/>
          <w:rFonts w:cstheme="minorBidi"/>
          <w:color w:val="000000" w:themeColor="text1"/>
          <w:lang w:val="en-US"/>
        </w:rPr>
        <w:t xml:space="preserve"> </w:t>
      </w:r>
      <w:r w:rsidR="00381B2F" w:rsidRPr="75EB3A12">
        <w:rPr>
          <w:rStyle w:val="normaltextrun"/>
          <w:rFonts w:cstheme="minorBidi"/>
          <w:color w:val="000000" w:themeColor="text1"/>
          <w:lang w:val="en-US"/>
        </w:rPr>
        <w:t xml:space="preserve">continue to </w:t>
      </w:r>
      <w:r w:rsidR="00376875" w:rsidRPr="75EB3A12">
        <w:rPr>
          <w:rStyle w:val="normaltextrun"/>
          <w:rFonts w:cstheme="minorBidi"/>
          <w:color w:val="000000" w:themeColor="text1"/>
          <w:lang w:val="en-US"/>
        </w:rPr>
        <w:t>live </w:t>
      </w:r>
      <w:r w:rsidR="00381B2F" w:rsidRPr="75EB3A12">
        <w:rPr>
          <w:rStyle w:val="normaltextrun"/>
          <w:rFonts w:cstheme="minorBidi"/>
          <w:color w:val="000000" w:themeColor="text1"/>
          <w:lang w:val="en-US"/>
        </w:rPr>
        <w:t xml:space="preserve">in accommodation </w:t>
      </w:r>
      <w:r w:rsidR="002A591B">
        <w:rPr>
          <w:rStyle w:val="normaltextrun"/>
          <w:rFonts w:cstheme="minorBidi"/>
          <w:color w:val="000000" w:themeColor="text1"/>
          <w:lang w:val="en-US"/>
        </w:rPr>
        <w:t>that was attentive to their needs</w:t>
      </w:r>
      <w:r w:rsidR="00AE17E8">
        <w:rPr>
          <w:rStyle w:val="normaltextrun"/>
          <w:rFonts w:cstheme="minorBidi"/>
          <w:color w:val="000000" w:themeColor="text1"/>
          <w:lang w:val="en-US"/>
        </w:rPr>
        <w:t>,</w:t>
      </w:r>
      <w:r w:rsidR="00381B2F" w:rsidRPr="75EB3A12">
        <w:rPr>
          <w:rStyle w:val="normaltextrun"/>
          <w:rFonts w:cstheme="minorBidi"/>
          <w:color w:val="000000" w:themeColor="text1"/>
          <w:lang w:val="en-US"/>
        </w:rPr>
        <w:t xml:space="preserve"> including </w:t>
      </w:r>
      <w:r w:rsidR="00ED205E">
        <w:rPr>
          <w:rStyle w:val="normaltextrun"/>
          <w:rFonts w:cstheme="minorBidi"/>
          <w:color w:val="000000" w:themeColor="text1"/>
          <w:lang w:val="en-US"/>
        </w:rPr>
        <w:t>s</w:t>
      </w:r>
      <w:r w:rsidR="00381B2F" w:rsidRPr="75EB3A12">
        <w:rPr>
          <w:rStyle w:val="normaltextrun"/>
          <w:rFonts w:cstheme="minorBidi"/>
          <w:color w:val="000000" w:themeColor="text1"/>
          <w:lang w:val="en-US"/>
        </w:rPr>
        <w:t>upported </w:t>
      </w:r>
      <w:r w:rsidR="00ED205E">
        <w:rPr>
          <w:rStyle w:val="normaltextrun"/>
          <w:rFonts w:cstheme="minorBidi"/>
          <w:color w:val="000000" w:themeColor="text1"/>
          <w:lang w:val="en-US"/>
        </w:rPr>
        <w:t>r</w:t>
      </w:r>
      <w:r w:rsidR="00381B2F" w:rsidRPr="75EB3A12">
        <w:rPr>
          <w:rStyle w:val="normaltextrun"/>
          <w:rFonts w:cstheme="minorBidi"/>
          <w:color w:val="000000" w:themeColor="text1"/>
          <w:lang w:val="en-US"/>
        </w:rPr>
        <w:t>esidential </w:t>
      </w:r>
      <w:r w:rsidR="00ED205E">
        <w:rPr>
          <w:rStyle w:val="normaltextrun"/>
          <w:rFonts w:cstheme="minorBidi"/>
          <w:color w:val="000000" w:themeColor="text1"/>
          <w:lang w:val="en-US"/>
        </w:rPr>
        <w:t>s</w:t>
      </w:r>
      <w:r w:rsidR="00381B2F" w:rsidRPr="75EB3A12">
        <w:rPr>
          <w:rStyle w:val="normaltextrun"/>
          <w:rFonts w:cstheme="minorBidi"/>
          <w:color w:val="000000" w:themeColor="text1"/>
          <w:lang w:val="en-US"/>
        </w:rPr>
        <w:t xml:space="preserve">ervices, </w:t>
      </w:r>
      <w:r w:rsidR="00376875" w:rsidRPr="75EB3A12">
        <w:rPr>
          <w:rStyle w:val="normaltextrun"/>
          <w:rFonts w:cstheme="minorBidi"/>
          <w:color w:val="000000" w:themeColor="text1"/>
          <w:lang w:val="en-US"/>
        </w:rPr>
        <w:t>r</w:t>
      </w:r>
      <w:r w:rsidR="00381B2F" w:rsidRPr="75EB3A12">
        <w:rPr>
          <w:rStyle w:val="normaltextrun"/>
          <w:rFonts w:cstheme="minorBidi"/>
          <w:color w:val="000000" w:themeColor="text1"/>
          <w:lang w:val="en-US"/>
        </w:rPr>
        <w:t>ooming</w:t>
      </w:r>
      <w:r w:rsidR="00631765" w:rsidRPr="75EB3A12">
        <w:rPr>
          <w:rStyle w:val="normaltextrun"/>
          <w:rFonts w:cstheme="minorBidi"/>
          <w:color w:val="000000" w:themeColor="text1"/>
          <w:lang w:val="en-US"/>
        </w:rPr>
        <w:t xml:space="preserve"> </w:t>
      </w:r>
      <w:r w:rsidR="00376875" w:rsidRPr="75EB3A12">
        <w:rPr>
          <w:rStyle w:val="normaltextrun"/>
          <w:rFonts w:cstheme="minorBidi"/>
          <w:color w:val="000000" w:themeColor="text1"/>
          <w:lang w:val="en-US"/>
        </w:rPr>
        <w:t>h</w:t>
      </w:r>
      <w:r w:rsidR="00381B2F" w:rsidRPr="75EB3A12">
        <w:rPr>
          <w:rStyle w:val="normaltextrun"/>
          <w:rFonts w:cstheme="minorBidi"/>
          <w:color w:val="000000" w:themeColor="text1"/>
          <w:lang w:val="en-US"/>
        </w:rPr>
        <w:t>ouses and public housing towers</w:t>
      </w:r>
      <w:r w:rsidR="00376875" w:rsidRPr="75EB3A12">
        <w:rPr>
          <w:rStyle w:val="normaltextrun"/>
          <w:rFonts w:cstheme="minorBidi"/>
          <w:color w:val="000000" w:themeColor="text1"/>
          <w:lang w:val="en-US"/>
        </w:rPr>
        <w:t>,</w:t>
      </w:r>
      <w:r w:rsidR="00381B2F" w:rsidRPr="75EB3A12">
        <w:rPr>
          <w:rStyle w:val="normaltextrun"/>
          <w:rFonts w:cstheme="minorBidi"/>
          <w:color w:val="000000" w:themeColor="text1"/>
          <w:lang w:val="en-US"/>
        </w:rPr>
        <w:t> and that the health response included</w:t>
      </w:r>
      <w:r w:rsidR="002022A1" w:rsidRPr="75EB3A12">
        <w:rPr>
          <w:rStyle w:val="normaltextrun"/>
          <w:rFonts w:cstheme="minorBidi"/>
          <w:color w:val="000000" w:themeColor="text1"/>
          <w:lang w:val="en-US"/>
        </w:rPr>
        <w:t xml:space="preserve"> </w:t>
      </w:r>
      <w:r w:rsidR="009255AC" w:rsidRPr="75EB3A12">
        <w:rPr>
          <w:rStyle w:val="normaltextrun"/>
          <w:rFonts w:cstheme="minorBidi"/>
          <w:color w:val="000000" w:themeColor="text1"/>
          <w:lang w:val="en-US"/>
        </w:rPr>
        <w:t xml:space="preserve">targeted </w:t>
      </w:r>
      <w:r w:rsidR="00381B2F" w:rsidRPr="75EB3A12">
        <w:rPr>
          <w:rStyle w:val="normaltextrun"/>
          <w:rFonts w:cstheme="minorBidi"/>
          <w:color w:val="000000" w:themeColor="text1"/>
          <w:lang w:val="en-US"/>
        </w:rPr>
        <w:t>mental</w:t>
      </w:r>
      <w:r w:rsidR="002022A1" w:rsidRPr="75EB3A12">
        <w:rPr>
          <w:rStyle w:val="normaltextrun"/>
          <w:rFonts w:cstheme="minorBidi"/>
          <w:color w:val="000000" w:themeColor="text1"/>
          <w:lang w:val="en-US"/>
        </w:rPr>
        <w:t xml:space="preserve"> </w:t>
      </w:r>
      <w:r w:rsidR="00381B2F" w:rsidRPr="75EB3A12">
        <w:rPr>
          <w:rStyle w:val="normaltextrun"/>
          <w:rFonts w:cstheme="minorBidi"/>
          <w:color w:val="000000" w:themeColor="text1"/>
          <w:lang w:val="en-US"/>
        </w:rPr>
        <w:t>health</w:t>
      </w:r>
      <w:r w:rsidR="002022A1" w:rsidRPr="75EB3A12">
        <w:rPr>
          <w:rStyle w:val="normaltextrun"/>
          <w:rFonts w:cstheme="minorBidi"/>
          <w:color w:val="000000" w:themeColor="text1"/>
          <w:lang w:val="en-US"/>
        </w:rPr>
        <w:t xml:space="preserve"> </w:t>
      </w:r>
      <w:r w:rsidR="00381B2F" w:rsidRPr="75EB3A12">
        <w:rPr>
          <w:rStyle w:val="normaltextrun"/>
          <w:rFonts w:cstheme="minorBidi"/>
          <w:color w:val="000000" w:themeColor="text1"/>
          <w:lang w:val="en-US"/>
        </w:rPr>
        <w:t>support.</w:t>
      </w:r>
    </w:p>
    <w:p w14:paraId="1C02596E" w14:textId="2B126A72" w:rsidR="00381B2F" w:rsidRPr="00FF535D" w:rsidRDefault="00381B2F" w:rsidP="00563C62">
      <w:pPr>
        <w:pStyle w:val="Body"/>
        <w:rPr>
          <w:rStyle w:val="normaltextrun"/>
          <w:rFonts w:cstheme="minorHAnsi"/>
          <w:color w:val="000000"/>
          <w:lang w:val="en-US"/>
        </w:rPr>
      </w:pPr>
      <w:r w:rsidRPr="00FF535D">
        <w:rPr>
          <w:rStyle w:val="normaltextrun"/>
          <w:rFonts w:cstheme="minorHAnsi"/>
          <w:color w:val="000000"/>
          <w:lang w:val="en-US"/>
        </w:rPr>
        <w:t>The timely distribution of </w:t>
      </w:r>
      <w:r w:rsidR="00631765">
        <w:rPr>
          <w:rStyle w:val="normaltextrun"/>
          <w:rFonts w:cstheme="minorHAnsi"/>
          <w:color w:val="000000"/>
          <w:lang w:val="en-US"/>
        </w:rPr>
        <w:t>d</w:t>
      </w:r>
      <w:r w:rsidRPr="00FF535D">
        <w:rPr>
          <w:rStyle w:val="normaltextrun"/>
          <w:rFonts w:cstheme="minorHAnsi"/>
          <w:color w:val="000000"/>
          <w:lang w:val="en-US"/>
        </w:rPr>
        <w:t>epartment directives/guidance and evidence</w:t>
      </w:r>
      <w:r w:rsidR="00631765">
        <w:rPr>
          <w:rStyle w:val="normaltextrun"/>
          <w:rFonts w:cstheme="minorHAnsi"/>
          <w:color w:val="000000"/>
          <w:lang w:val="en-US"/>
        </w:rPr>
        <w:t>-</w:t>
      </w:r>
      <w:r w:rsidRPr="00FF535D">
        <w:rPr>
          <w:rStyle w:val="normaltextrun"/>
          <w:rFonts w:cstheme="minorHAnsi"/>
          <w:color w:val="000000"/>
          <w:lang w:val="en-US"/>
        </w:rPr>
        <w:t xml:space="preserve">based information to AMHS and NGOs through the </w:t>
      </w:r>
      <w:r w:rsidR="00CD3E14" w:rsidRPr="00893219">
        <w:rPr>
          <w:lang w:eastAsia="en-AU"/>
        </w:rPr>
        <w:t>Mental Health and Drugs </w:t>
      </w:r>
      <w:r w:rsidR="0081691B">
        <w:rPr>
          <w:lang w:eastAsia="en-AU"/>
        </w:rPr>
        <w:t>B</w:t>
      </w:r>
      <w:r w:rsidR="00CD3E14" w:rsidRPr="00893219">
        <w:rPr>
          <w:lang w:eastAsia="en-AU"/>
        </w:rPr>
        <w:t xml:space="preserve">ranch </w:t>
      </w:r>
      <w:r w:rsidRPr="00FF535D">
        <w:rPr>
          <w:rStyle w:val="normaltextrun"/>
          <w:rFonts w:cstheme="minorHAnsi"/>
          <w:color w:val="000000"/>
          <w:lang w:val="en-US"/>
        </w:rPr>
        <w:t xml:space="preserve">and Mental Health Reform Victoria communiques and multiple regular forums for </w:t>
      </w:r>
      <w:r w:rsidR="00135E92">
        <w:rPr>
          <w:rStyle w:val="normaltextrun"/>
          <w:rFonts w:cstheme="minorHAnsi"/>
          <w:color w:val="000000"/>
          <w:lang w:val="en-US"/>
        </w:rPr>
        <w:t>c</w:t>
      </w:r>
      <w:r w:rsidRPr="00FF535D">
        <w:rPr>
          <w:rStyle w:val="normaltextrun"/>
          <w:rFonts w:cstheme="minorHAnsi"/>
          <w:color w:val="000000"/>
          <w:lang w:val="en-US"/>
        </w:rPr>
        <w:t xml:space="preserve">linical </w:t>
      </w:r>
      <w:r w:rsidR="00376875">
        <w:rPr>
          <w:rStyle w:val="normaltextrun"/>
          <w:rFonts w:cstheme="minorHAnsi"/>
          <w:color w:val="000000"/>
          <w:lang w:val="en-US"/>
        </w:rPr>
        <w:t>l</w:t>
      </w:r>
      <w:r w:rsidRPr="00FF535D">
        <w:rPr>
          <w:rStyle w:val="normaltextrun"/>
          <w:rFonts w:cstheme="minorHAnsi"/>
          <w:color w:val="000000"/>
          <w:lang w:val="en-US"/>
        </w:rPr>
        <w:t>eaders (AM</w:t>
      </w:r>
      <w:r w:rsidR="006B48EA">
        <w:rPr>
          <w:rStyle w:val="normaltextrun"/>
          <w:rFonts w:cstheme="minorHAnsi"/>
          <w:color w:val="000000"/>
          <w:lang w:val="en-US"/>
        </w:rPr>
        <w:t>H</w:t>
      </w:r>
      <w:r w:rsidRPr="00FF535D">
        <w:rPr>
          <w:rStyle w:val="normaltextrun"/>
          <w:rFonts w:cstheme="minorHAnsi"/>
          <w:color w:val="000000"/>
          <w:lang w:val="en-US"/>
        </w:rPr>
        <w:t>S </w:t>
      </w:r>
      <w:r w:rsidR="006B48EA">
        <w:rPr>
          <w:rStyle w:val="normaltextrun"/>
          <w:rFonts w:cstheme="minorHAnsi"/>
          <w:color w:val="000000"/>
          <w:lang w:val="en-US"/>
        </w:rPr>
        <w:t>c</w:t>
      </w:r>
      <w:r w:rsidRPr="00FF535D">
        <w:rPr>
          <w:rStyle w:val="normaltextrun"/>
          <w:rFonts w:cstheme="minorHAnsi"/>
          <w:color w:val="000000"/>
          <w:lang w:val="en-US"/>
        </w:rPr>
        <w:t xml:space="preserve">linical </w:t>
      </w:r>
      <w:r w:rsidR="006B48EA">
        <w:rPr>
          <w:rStyle w:val="normaltextrun"/>
          <w:rFonts w:cstheme="minorHAnsi"/>
          <w:color w:val="000000"/>
          <w:lang w:val="en-US"/>
        </w:rPr>
        <w:t>d</w:t>
      </w:r>
      <w:r w:rsidRPr="00FF535D">
        <w:rPr>
          <w:rStyle w:val="normaltextrun"/>
          <w:rFonts w:cstheme="minorHAnsi"/>
          <w:color w:val="000000"/>
          <w:lang w:val="en-US"/>
        </w:rPr>
        <w:t xml:space="preserve">irectors and </w:t>
      </w:r>
      <w:r w:rsidR="006B48EA">
        <w:rPr>
          <w:rStyle w:val="normaltextrun"/>
          <w:rFonts w:cstheme="minorHAnsi"/>
          <w:color w:val="000000"/>
          <w:lang w:val="en-US"/>
        </w:rPr>
        <w:t>o</w:t>
      </w:r>
      <w:r w:rsidRPr="00FF535D">
        <w:rPr>
          <w:rStyle w:val="normaltextrun"/>
          <w:rFonts w:cstheme="minorHAnsi"/>
          <w:color w:val="000000"/>
          <w:lang w:val="en-US"/>
        </w:rPr>
        <w:t xml:space="preserve">perational </w:t>
      </w:r>
      <w:r w:rsidR="006B48EA">
        <w:rPr>
          <w:rStyle w:val="normaltextrun"/>
          <w:rFonts w:cstheme="minorHAnsi"/>
          <w:color w:val="000000"/>
          <w:lang w:val="en-US"/>
        </w:rPr>
        <w:t>d</w:t>
      </w:r>
      <w:r w:rsidRPr="00FF535D">
        <w:rPr>
          <w:rStyle w:val="normaltextrun"/>
          <w:rFonts w:cstheme="minorHAnsi"/>
          <w:color w:val="000000"/>
          <w:lang w:val="en-US"/>
        </w:rPr>
        <w:t>irectors)</w:t>
      </w:r>
      <w:r w:rsidR="0057779F">
        <w:rPr>
          <w:rStyle w:val="normaltextrun"/>
          <w:rFonts w:cstheme="minorHAnsi"/>
          <w:color w:val="000000"/>
          <w:lang w:val="en-US"/>
        </w:rPr>
        <w:t xml:space="preserve"> </w:t>
      </w:r>
      <w:r w:rsidRPr="00FF535D">
        <w:rPr>
          <w:rStyle w:val="normaltextrun"/>
          <w:rFonts w:cstheme="minorHAnsi"/>
          <w:color w:val="000000"/>
          <w:lang w:val="en-US"/>
        </w:rPr>
        <w:t>bolstered</w:t>
      </w:r>
      <w:r w:rsidR="009255AC">
        <w:rPr>
          <w:rStyle w:val="normaltextrun"/>
          <w:rFonts w:cstheme="minorHAnsi"/>
          <w:color w:val="000000"/>
          <w:lang w:val="en-US"/>
        </w:rPr>
        <w:t xml:space="preserve"> </w:t>
      </w:r>
      <w:r w:rsidRPr="00FF535D">
        <w:rPr>
          <w:rStyle w:val="normaltextrun"/>
          <w:rFonts w:cstheme="minorHAnsi"/>
          <w:color w:val="000000"/>
          <w:lang w:val="en-US"/>
        </w:rPr>
        <w:t>the mental health system’s capacity to respond in a timely and humane </w:t>
      </w:r>
      <w:r w:rsidR="009255AC">
        <w:rPr>
          <w:rStyle w:val="normaltextrun"/>
          <w:rFonts w:cstheme="minorHAnsi"/>
          <w:color w:val="000000"/>
          <w:lang w:val="en-US"/>
        </w:rPr>
        <w:t>way</w:t>
      </w:r>
      <w:r w:rsidR="009255AC" w:rsidRPr="00FF535D">
        <w:rPr>
          <w:rStyle w:val="normaltextrun"/>
          <w:rFonts w:cstheme="minorHAnsi"/>
          <w:color w:val="000000"/>
          <w:lang w:val="en-US"/>
        </w:rPr>
        <w:t xml:space="preserve"> </w:t>
      </w:r>
      <w:r w:rsidRPr="00FF535D">
        <w:rPr>
          <w:rStyle w:val="normaltextrun"/>
          <w:rFonts w:cstheme="minorHAnsi"/>
          <w:color w:val="000000"/>
          <w:lang w:val="en-US"/>
        </w:rPr>
        <w:t>during this critical period.</w:t>
      </w:r>
      <w:r w:rsidR="0057779F">
        <w:rPr>
          <w:rStyle w:val="normaltextrun"/>
          <w:rFonts w:cstheme="minorHAnsi"/>
          <w:color w:val="000000"/>
          <w:lang w:val="en-US"/>
        </w:rPr>
        <w:t xml:space="preserve"> </w:t>
      </w:r>
      <w:r w:rsidR="009255AC">
        <w:rPr>
          <w:rStyle w:val="normaltextrun"/>
          <w:rFonts w:cstheme="minorHAnsi"/>
          <w:color w:val="000000"/>
          <w:lang w:val="en-US"/>
        </w:rPr>
        <w:t>T</w:t>
      </w:r>
      <w:r w:rsidRPr="00FF535D">
        <w:rPr>
          <w:rStyle w:val="normaltextrun"/>
          <w:rFonts w:cstheme="minorHAnsi"/>
          <w:color w:val="000000"/>
          <w:lang w:val="en-US"/>
        </w:rPr>
        <w:t xml:space="preserve">his advice </w:t>
      </w:r>
      <w:r w:rsidR="009255AC">
        <w:rPr>
          <w:rStyle w:val="normaltextrun"/>
          <w:rFonts w:cstheme="minorHAnsi"/>
          <w:color w:val="000000"/>
          <w:lang w:val="en-US"/>
        </w:rPr>
        <w:t xml:space="preserve">included </w:t>
      </w:r>
      <w:r w:rsidRPr="00FF535D">
        <w:rPr>
          <w:rStyle w:val="normaltextrun"/>
          <w:rFonts w:cstheme="minorHAnsi"/>
          <w:color w:val="000000"/>
          <w:lang w:val="en-US"/>
        </w:rPr>
        <w:t>Chief</w:t>
      </w:r>
      <w:r w:rsidR="002022A1">
        <w:rPr>
          <w:rStyle w:val="normaltextrun"/>
          <w:rFonts w:cstheme="minorHAnsi"/>
          <w:color w:val="000000"/>
          <w:lang w:val="en-US"/>
        </w:rPr>
        <w:t xml:space="preserve"> </w:t>
      </w:r>
      <w:r w:rsidRPr="00FF535D">
        <w:rPr>
          <w:rStyle w:val="normaltextrun"/>
          <w:rFonts w:cstheme="minorHAnsi"/>
          <w:color w:val="000000"/>
          <w:lang w:val="en-US"/>
        </w:rPr>
        <w:t>Health</w:t>
      </w:r>
      <w:r w:rsidR="002022A1">
        <w:rPr>
          <w:rStyle w:val="normaltextrun"/>
          <w:rFonts w:cstheme="minorHAnsi"/>
          <w:color w:val="000000"/>
          <w:lang w:val="en-US"/>
        </w:rPr>
        <w:t xml:space="preserve"> </w:t>
      </w:r>
      <w:r w:rsidRPr="00FF535D">
        <w:rPr>
          <w:rStyle w:val="normaltextrun"/>
          <w:rFonts w:cstheme="minorHAnsi"/>
          <w:color w:val="000000"/>
          <w:lang w:val="en-US"/>
        </w:rPr>
        <w:t xml:space="preserve">Officer Hospital Visitor Directions and liaison with </w:t>
      </w:r>
      <w:r w:rsidR="00413F85">
        <w:rPr>
          <w:rStyle w:val="normaltextrun"/>
          <w:rFonts w:cstheme="minorHAnsi"/>
          <w:color w:val="000000"/>
          <w:lang w:val="en-US"/>
        </w:rPr>
        <w:t>s</w:t>
      </w:r>
      <w:r w:rsidRPr="00FF535D">
        <w:rPr>
          <w:rStyle w:val="normaltextrun"/>
          <w:rFonts w:cstheme="minorHAnsi"/>
          <w:color w:val="000000"/>
          <w:lang w:val="en-US"/>
        </w:rPr>
        <w:t>afeguarding organisations</w:t>
      </w:r>
      <w:r w:rsidR="009255AC">
        <w:rPr>
          <w:rStyle w:val="normaltextrun"/>
          <w:rFonts w:cstheme="minorHAnsi"/>
          <w:color w:val="000000"/>
          <w:lang w:val="en-US"/>
        </w:rPr>
        <w:t>,</w:t>
      </w:r>
      <w:r w:rsidRPr="00FF535D">
        <w:rPr>
          <w:rStyle w:val="normaltextrun"/>
          <w:rFonts w:cstheme="minorHAnsi"/>
          <w:color w:val="000000"/>
          <w:lang w:val="en-US"/>
        </w:rPr>
        <w:t> with a view to treatment safety and continuation</w:t>
      </w:r>
      <w:r w:rsidR="009255AC">
        <w:rPr>
          <w:rStyle w:val="normaltextrun"/>
          <w:rFonts w:cstheme="minorHAnsi"/>
          <w:color w:val="000000"/>
          <w:lang w:val="en-US"/>
        </w:rPr>
        <w:t xml:space="preserve">. The target audience included </w:t>
      </w:r>
      <w:r w:rsidR="009255AC" w:rsidRPr="00FF535D">
        <w:rPr>
          <w:rStyle w:val="normaltextrun"/>
          <w:rFonts w:cstheme="minorHAnsi"/>
          <w:color w:val="000000"/>
          <w:lang w:val="en-US"/>
        </w:rPr>
        <w:t>leaders</w:t>
      </w:r>
      <w:r w:rsidR="009255AC">
        <w:rPr>
          <w:rStyle w:val="normaltextrun"/>
          <w:rFonts w:cstheme="minorHAnsi"/>
          <w:color w:val="000000"/>
          <w:lang w:val="en-US"/>
        </w:rPr>
        <w:t xml:space="preserve"> in youth and aged-focused AMHS</w:t>
      </w:r>
      <w:r w:rsidR="009255AC" w:rsidRPr="00FF535D">
        <w:rPr>
          <w:rStyle w:val="normaltextrun"/>
          <w:rFonts w:cstheme="minorHAnsi"/>
          <w:color w:val="000000"/>
          <w:lang w:val="en-US"/>
        </w:rPr>
        <w:t xml:space="preserve">, NGO </w:t>
      </w:r>
      <w:r w:rsidR="009255AC">
        <w:rPr>
          <w:rStyle w:val="normaltextrun"/>
          <w:rFonts w:cstheme="minorHAnsi"/>
          <w:color w:val="000000"/>
          <w:lang w:val="en-US"/>
        </w:rPr>
        <w:t>c</w:t>
      </w:r>
      <w:r w:rsidR="009255AC" w:rsidRPr="00FF535D">
        <w:rPr>
          <w:rStyle w:val="normaltextrun"/>
          <w:rFonts w:cstheme="minorHAnsi"/>
          <w:color w:val="000000"/>
          <w:lang w:val="en-US"/>
        </w:rPr>
        <w:t xml:space="preserve">ommunity </w:t>
      </w:r>
      <w:r w:rsidR="009255AC">
        <w:rPr>
          <w:rStyle w:val="normaltextrun"/>
          <w:rFonts w:cstheme="minorHAnsi"/>
          <w:color w:val="000000"/>
          <w:lang w:val="en-US"/>
        </w:rPr>
        <w:t>p</w:t>
      </w:r>
      <w:r w:rsidR="009255AC" w:rsidRPr="00FF535D">
        <w:rPr>
          <w:rStyle w:val="normaltextrun"/>
          <w:rFonts w:cstheme="minorHAnsi"/>
          <w:color w:val="000000"/>
          <w:lang w:val="en-US"/>
        </w:rPr>
        <w:t xml:space="preserve">roviders and ECT </w:t>
      </w:r>
      <w:r w:rsidR="009255AC">
        <w:rPr>
          <w:rStyle w:val="normaltextrun"/>
          <w:rFonts w:cstheme="minorHAnsi"/>
          <w:color w:val="000000"/>
          <w:lang w:val="en-US"/>
        </w:rPr>
        <w:t>c</w:t>
      </w:r>
      <w:r w:rsidR="009255AC" w:rsidRPr="00FF535D">
        <w:rPr>
          <w:rStyle w:val="normaltextrun"/>
          <w:rFonts w:cstheme="minorHAnsi"/>
          <w:color w:val="000000"/>
          <w:lang w:val="en-US"/>
        </w:rPr>
        <w:t xml:space="preserve">oordinators and </w:t>
      </w:r>
      <w:r w:rsidR="009255AC">
        <w:rPr>
          <w:rStyle w:val="normaltextrun"/>
          <w:rFonts w:cstheme="minorHAnsi"/>
          <w:color w:val="000000"/>
          <w:lang w:val="en-US"/>
        </w:rPr>
        <w:t>d</w:t>
      </w:r>
      <w:r w:rsidR="009255AC" w:rsidRPr="00FF535D">
        <w:rPr>
          <w:rStyle w:val="normaltextrun"/>
          <w:rFonts w:cstheme="minorHAnsi"/>
          <w:color w:val="000000"/>
          <w:lang w:val="en-US"/>
        </w:rPr>
        <w:t>irectors</w:t>
      </w:r>
      <w:r w:rsidR="009255AC">
        <w:rPr>
          <w:rStyle w:val="normaltextrun"/>
          <w:rFonts w:cstheme="minorHAnsi"/>
          <w:color w:val="000000"/>
          <w:lang w:val="en-US"/>
        </w:rPr>
        <w:t>.</w:t>
      </w:r>
    </w:p>
    <w:p w14:paraId="4E8A4654" w14:textId="3A79DBDC" w:rsidR="00A96C14" w:rsidRDefault="00944FED" w:rsidP="00CD340D">
      <w:pPr>
        <w:pStyle w:val="Body"/>
        <w:rPr>
          <w:rStyle w:val="normaltextrun"/>
          <w:rFonts w:cstheme="minorBidi"/>
          <w:color w:val="000000" w:themeColor="text1"/>
          <w:lang w:val="en-US"/>
        </w:rPr>
      </w:pPr>
      <w:r w:rsidRPr="00944FED">
        <w:rPr>
          <w:rStyle w:val="normaltextrun"/>
          <w:rFonts w:cstheme="minorBidi"/>
          <w:color w:val="000000" w:themeColor="text1"/>
          <w:lang w:val="en-US"/>
        </w:rPr>
        <w:t>The OCP will continue to monitor data and AMHS service responses in relation to quality and safety with reference to the impacts of this pandemic on the mental health service system, mental health workforce, consumers and carers</w:t>
      </w:r>
      <w:r w:rsidR="00381B2F" w:rsidRPr="6413A842">
        <w:rPr>
          <w:rStyle w:val="normaltextrun"/>
          <w:rFonts w:cstheme="minorBidi"/>
          <w:color w:val="000000" w:themeColor="text1"/>
          <w:lang w:val="en-US"/>
        </w:rPr>
        <w:t>.</w:t>
      </w:r>
      <w:r w:rsidR="0057779F" w:rsidRPr="6413A842">
        <w:rPr>
          <w:rStyle w:val="normaltextrun"/>
          <w:rFonts w:cstheme="minorBidi"/>
          <w:color w:val="000000" w:themeColor="text1"/>
          <w:lang w:val="en-US"/>
        </w:rPr>
        <w:t xml:space="preserve"> </w:t>
      </w:r>
      <w:r w:rsidR="00381B2F" w:rsidRPr="6413A842">
        <w:rPr>
          <w:rStyle w:val="normaltextrun"/>
          <w:rFonts w:cstheme="minorBidi"/>
          <w:color w:val="000000" w:themeColor="text1"/>
          <w:lang w:val="en-US"/>
        </w:rPr>
        <w:t>This will require an undertaking that considers the direct impacts on people’s wellbeing and mental health and the unintended consequences of the pandemic such as increases</w:t>
      </w:r>
      <w:r w:rsidR="002022A1" w:rsidRPr="6413A842">
        <w:rPr>
          <w:rStyle w:val="normaltextrun"/>
          <w:rFonts w:cstheme="minorBidi"/>
          <w:color w:val="000000" w:themeColor="text1"/>
          <w:lang w:val="en-US"/>
        </w:rPr>
        <w:t xml:space="preserve"> </w:t>
      </w:r>
      <w:r w:rsidR="00381B2F" w:rsidRPr="6413A842">
        <w:rPr>
          <w:rStyle w:val="normaltextrun"/>
          <w:rFonts w:cstheme="minorBidi"/>
          <w:color w:val="000000" w:themeColor="text1"/>
          <w:lang w:val="en-US"/>
        </w:rPr>
        <w:t>in eating disorder and drug misuse presentations in mental health services.</w:t>
      </w:r>
      <w:r w:rsidR="002022A1" w:rsidRPr="6413A842">
        <w:rPr>
          <w:rStyle w:val="normaltextrun"/>
          <w:rFonts w:cstheme="minorBidi"/>
          <w:color w:val="000000" w:themeColor="text1"/>
          <w:lang w:val="en-US"/>
        </w:rPr>
        <w:t xml:space="preserve"> </w:t>
      </w:r>
      <w:r w:rsidR="00381B2F" w:rsidRPr="6413A842">
        <w:rPr>
          <w:rStyle w:val="normaltextrun"/>
          <w:rFonts w:cstheme="minorBidi"/>
          <w:color w:val="000000" w:themeColor="text1"/>
          <w:lang w:val="en-US"/>
        </w:rPr>
        <w:t>Whil</w:t>
      </w:r>
      <w:r w:rsidR="00A424DB" w:rsidRPr="6413A842">
        <w:rPr>
          <w:rStyle w:val="normaltextrun"/>
          <w:rFonts w:cstheme="minorBidi"/>
          <w:color w:val="000000" w:themeColor="text1"/>
          <w:lang w:val="en-US"/>
        </w:rPr>
        <w:t>e</w:t>
      </w:r>
      <w:r w:rsidR="00381B2F" w:rsidRPr="6413A842">
        <w:rPr>
          <w:rStyle w:val="normaltextrun"/>
          <w:rFonts w:cstheme="minorBidi"/>
          <w:color w:val="000000" w:themeColor="text1"/>
          <w:lang w:val="en-US"/>
        </w:rPr>
        <w:t xml:space="preserve"> at some stage an end may be called to the pandemic, all expectations are that the</w:t>
      </w:r>
      <w:r w:rsidR="002022A1" w:rsidRPr="6413A842">
        <w:rPr>
          <w:rStyle w:val="normaltextrun"/>
          <w:rFonts w:cstheme="minorBidi"/>
          <w:color w:val="000000" w:themeColor="text1"/>
          <w:lang w:val="en-US"/>
        </w:rPr>
        <w:t xml:space="preserve"> </w:t>
      </w:r>
      <w:r w:rsidR="00381B2F" w:rsidRPr="6413A842">
        <w:rPr>
          <w:rStyle w:val="normaltextrun"/>
          <w:rFonts w:cstheme="minorBidi"/>
          <w:color w:val="000000" w:themeColor="text1"/>
          <w:lang w:val="en-US"/>
        </w:rPr>
        <w:t>consequences</w:t>
      </w:r>
      <w:r w:rsidR="002022A1" w:rsidRPr="6413A842">
        <w:rPr>
          <w:rStyle w:val="normaltextrun"/>
          <w:rFonts w:cstheme="minorBidi"/>
          <w:color w:val="000000" w:themeColor="text1"/>
          <w:lang w:val="en-US"/>
        </w:rPr>
        <w:t xml:space="preserve"> </w:t>
      </w:r>
      <w:r w:rsidR="00381B2F" w:rsidRPr="6413A842">
        <w:rPr>
          <w:rStyle w:val="normaltextrun"/>
          <w:rFonts w:cstheme="minorBidi"/>
          <w:color w:val="000000" w:themeColor="text1"/>
          <w:lang w:val="en-US"/>
        </w:rPr>
        <w:t>of this pandemic</w:t>
      </w:r>
      <w:r w:rsidR="002022A1" w:rsidRPr="6413A842">
        <w:rPr>
          <w:rStyle w:val="normaltextrun"/>
          <w:rFonts w:cstheme="minorBidi"/>
          <w:color w:val="000000" w:themeColor="text1"/>
          <w:lang w:val="en-US"/>
        </w:rPr>
        <w:t xml:space="preserve"> </w:t>
      </w:r>
      <w:r w:rsidR="00381B2F" w:rsidRPr="6413A842">
        <w:rPr>
          <w:rStyle w:val="normaltextrun"/>
          <w:rFonts w:cstheme="minorBidi"/>
          <w:color w:val="000000" w:themeColor="text1"/>
          <w:lang w:val="en-US"/>
        </w:rPr>
        <w:t>on people’s mental health and wellbeing will persist for many years to come.</w:t>
      </w:r>
    </w:p>
    <w:tbl>
      <w:tblPr>
        <w:tblStyle w:val="TableGrid"/>
        <w:tblW w:w="0" w:type="auto"/>
        <w:tblLook w:val="04A0" w:firstRow="1" w:lastRow="0" w:firstColumn="1" w:lastColumn="0" w:noHBand="0" w:noVBand="1"/>
      </w:tblPr>
      <w:tblGrid>
        <w:gridCol w:w="9180"/>
      </w:tblGrid>
      <w:tr w:rsidR="00795E31" w14:paraId="311E2BC9" w14:textId="77777777" w:rsidTr="00795E31">
        <w:tc>
          <w:tcPr>
            <w:tcW w:w="9288" w:type="dxa"/>
            <w:shd w:val="clear" w:color="auto" w:fill="DBE5F1" w:themeFill="accent1" w:themeFillTint="33"/>
          </w:tcPr>
          <w:p w14:paraId="06D333D7" w14:textId="0F87C467" w:rsidR="00497BAB" w:rsidRPr="00497BAB" w:rsidRDefault="004F2B19" w:rsidP="004F1508">
            <w:pPr>
              <w:pStyle w:val="Boxtitle"/>
            </w:pPr>
            <w:r>
              <w:t>M.A.</w:t>
            </w:r>
            <w:r w:rsidR="00497BAB" w:rsidRPr="00497BAB">
              <w:t>, Principal Project Adviser</w:t>
            </w:r>
            <w:r w:rsidR="00497BAB">
              <w:t>, Office of the Chief Psychiatrist</w:t>
            </w:r>
          </w:p>
          <w:p w14:paraId="6F786D42" w14:textId="5D416B6D" w:rsidR="00497BAB" w:rsidRPr="00497BAB" w:rsidRDefault="00497BAB" w:rsidP="00563C62">
            <w:pPr>
              <w:pStyle w:val="Body"/>
            </w:pPr>
            <w:r w:rsidRPr="00497BAB">
              <w:t xml:space="preserve">I have a background as a generalist counsellor and have worked in </w:t>
            </w:r>
            <w:r w:rsidR="007D5F11">
              <w:t>a</w:t>
            </w:r>
            <w:r w:rsidRPr="00497BAB">
              <w:t xml:space="preserve">lcohol and </w:t>
            </w:r>
            <w:r w:rsidR="007D5F11">
              <w:t>o</w:t>
            </w:r>
            <w:r w:rsidRPr="00497BAB">
              <w:t xml:space="preserve">ther </w:t>
            </w:r>
            <w:r w:rsidR="007D5F11">
              <w:t>d</w:t>
            </w:r>
            <w:r w:rsidRPr="00497BAB">
              <w:t xml:space="preserve">rug (AOD) services for about 15 years as a clinician and, following this, almost 20 years as a service manager at various levels of leadership. This includes being the CEO of two small </w:t>
            </w:r>
            <w:r w:rsidR="007D5F11">
              <w:t>n</w:t>
            </w:r>
            <w:r w:rsidRPr="00497BAB">
              <w:t>ot-for-profit organisations, one of which I was the founder of. I also have postgraduate qualifications in public health with a focus on AOD and a Master of Health Administration.</w:t>
            </w:r>
          </w:p>
          <w:p w14:paraId="7A0478FB" w14:textId="31C319D4" w:rsidR="00497BAB" w:rsidRPr="00497BAB" w:rsidRDefault="00497BAB" w:rsidP="00563C62">
            <w:pPr>
              <w:pStyle w:val="Body"/>
            </w:pPr>
            <w:r w:rsidRPr="00497BAB">
              <w:t>In my role as a Principal Project Adviser at the OCP, I draw on the various skills I have gained over the years that are relevant to the operation of systems, finding ways of improving and streamlining them. I manage projects of different sizes to consider how we can modernise and increase the efficiency of processes we use to collect data and handle queries from the sector. The goal of this work is to ensure the OCP continues to be effective at overseeing services and promoting quality and safety within them as changes take place and the recommendations of the Royal Commission into Victoria’s Mental Health System are implemented.</w:t>
            </w:r>
          </w:p>
          <w:p w14:paraId="18A226B4" w14:textId="19C304CF" w:rsidR="00497BAB" w:rsidRPr="00497BAB" w:rsidRDefault="00497BAB" w:rsidP="00563C62">
            <w:pPr>
              <w:pStyle w:val="Body"/>
            </w:pPr>
            <w:r w:rsidRPr="00497BAB">
              <w:t>I am also involved in the more strategic aspects of the OCP, providing advice on how our work can be positioned to ensure better clinical governance and leadership for a sector set to evolve significantly over the next decade or so</w:t>
            </w:r>
            <w:r w:rsidR="007D5F11">
              <w:t>.</w:t>
            </w:r>
          </w:p>
          <w:p w14:paraId="1DBE85C2" w14:textId="39004E4A" w:rsidR="00795E31" w:rsidRPr="00497BAB" w:rsidRDefault="00497BAB" w:rsidP="00563C62">
            <w:pPr>
              <w:pStyle w:val="Body"/>
              <w:rPr>
                <w:rStyle w:val="normaltextrun"/>
                <w:rFonts w:cstheme="minorBidi"/>
                <w:color w:val="000000"/>
              </w:rPr>
            </w:pPr>
            <w:r w:rsidRPr="00497BAB">
              <w:t>Most days at work involve juggling a whole lot of different moving pieces, and I gain satisfaction from knowing that what I do ultimately benefits the people we serve, some of whom are the most vulnerable members of the community. It is also gratifying working in a team where everyone’s opinion and experience is valued and where hierarchy and position is truly a secondary consideration. This reality helps me feel valued and ensures that I can contribute in significant and meaningful ways to the work of the office.</w:t>
            </w:r>
          </w:p>
        </w:tc>
      </w:tr>
    </w:tbl>
    <w:p w14:paraId="4DAF748C" w14:textId="2AC889C7" w:rsidR="00381B2F" w:rsidRPr="00371C0A" w:rsidRDefault="00381B2F" w:rsidP="00381B2F">
      <w:pPr>
        <w:pStyle w:val="Heading1"/>
        <w:rPr>
          <w:sz w:val="20"/>
          <w:szCs w:val="20"/>
        </w:rPr>
      </w:pPr>
      <w:bookmarkStart w:id="29" w:name="_Toc52886239"/>
      <w:bookmarkStart w:id="30" w:name="_Toc86347180"/>
      <w:r w:rsidRPr="00182DBC">
        <w:lastRenderedPageBreak/>
        <w:t>1</w:t>
      </w:r>
      <w:r w:rsidR="0049615B">
        <w:t>.</w:t>
      </w:r>
      <w:r w:rsidRPr="00182DBC">
        <w:t xml:space="preserve"> Statutory </w:t>
      </w:r>
      <w:r w:rsidR="00F06C75">
        <w:t>r</w:t>
      </w:r>
      <w:r w:rsidRPr="00182DBC">
        <w:t>eporting</w:t>
      </w:r>
      <w:bookmarkEnd w:id="29"/>
      <w:bookmarkEnd w:id="30"/>
    </w:p>
    <w:p w14:paraId="297B38E2" w14:textId="62FCADB6" w:rsidR="00381B2F" w:rsidRPr="00EC49D8" w:rsidRDefault="00381B2F" w:rsidP="00563C62">
      <w:pPr>
        <w:pStyle w:val="Body"/>
        <w:rPr>
          <w:rFonts w:eastAsia="Arial" w:cs="Arial"/>
          <w:color w:val="000000" w:themeColor="text1"/>
        </w:rPr>
      </w:pPr>
      <w:r>
        <w:t xml:space="preserve">Under the </w:t>
      </w:r>
      <w:r w:rsidRPr="0003685A">
        <w:t>Mental Health Act</w:t>
      </w:r>
      <w:r>
        <w:t>, mental health services must report to the Chief Psychiatrist about their use of ECT and restrictive interventions. They must also report the deaths of mental health consumers. The Chief Psychiatrist understands that the loss of a loved one or the use of restrictive practices</w:t>
      </w:r>
      <w:r w:rsidR="005A0956">
        <w:t xml:space="preserve"> has</w:t>
      </w:r>
      <w:r>
        <w:t xml:space="preserve"> impacts on people, their families and the workforce and is </w:t>
      </w:r>
      <w:r w:rsidR="374319EE" w:rsidRPr="00EC49D8">
        <w:rPr>
          <w:rFonts w:eastAsia="Arial" w:cs="Arial"/>
          <w:color w:val="000000" w:themeColor="text1"/>
        </w:rPr>
        <w:t>working with</w:t>
      </w:r>
      <w:r w:rsidR="0A7FB939" w:rsidRPr="00EC49D8">
        <w:rPr>
          <w:rFonts w:eastAsia="Arial" w:cs="Arial"/>
          <w:color w:val="000000" w:themeColor="text1"/>
        </w:rPr>
        <w:t xml:space="preserve"> services to improve consumers’ physical wellbeing and minimise the use of restrictive practices.</w:t>
      </w:r>
    </w:p>
    <w:p w14:paraId="7952D87B" w14:textId="7913AED2" w:rsidR="3266B38D" w:rsidRDefault="3266B38D" w:rsidP="00563C62">
      <w:pPr>
        <w:pStyle w:val="Body"/>
      </w:pPr>
      <w:r w:rsidRPr="00EC49D8">
        <w:t xml:space="preserve">Data collected by the Chief Psychiatrist offer the opportunity to monitor trends, identify issues and support improvements to quality and safety within clinical services. This section of the report provides data and analysis regarding </w:t>
      </w:r>
      <w:bookmarkStart w:id="31" w:name="_Hlk82767354"/>
      <w:r w:rsidRPr="00EC49D8">
        <w:t xml:space="preserve">ECT, restrictive interventions and consumers’ deaths </w:t>
      </w:r>
      <w:bookmarkEnd w:id="31"/>
      <w:r w:rsidRPr="00EC49D8">
        <w:t>for the year 20</w:t>
      </w:r>
      <w:r w:rsidR="00613598">
        <w:t>20</w:t>
      </w:r>
      <w:r w:rsidRPr="00EC49D8">
        <w:t>–2</w:t>
      </w:r>
      <w:r w:rsidR="00613598">
        <w:t>1</w:t>
      </w:r>
      <w:r w:rsidRPr="00EC49D8">
        <w:t>.</w:t>
      </w:r>
    </w:p>
    <w:p w14:paraId="45235E71" w14:textId="683869B6" w:rsidR="00033301" w:rsidRDefault="00617164" w:rsidP="00563C62">
      <w:pPr>
        <w:pStyle w:val="Body"/>
      </w:pPr>
      <w:r>
        <w:t xml:space="preserve">The </w:t>
      </w:r>
      <w:r w:rsidR="00E62729">
        <w:t xml:space="preserve">gender categorisation </w:t>
      </w:r>
      <w:r w:rsidR="00B573E4">
        <w:t>in this section</w:t>
      </w:r>
      <w:r w:rsidR="00736250">
        <w:t xml:space="preserve"> </w:t>
      </w:r>
      <w:r w:rsidR="00042503">
        <w:t>is grouped</w:t>
      </w:r>
      <w:r w:rsidR="00E933FC">
        <w:t xml:space="preserve"> </w:t>
      </w:r>
      <w:r w:rsidR="00E933FC" w:rsidRPr="00EC2812">
        <w:rPr>
          <w:i/>
          <w:iCs/>
        </w:rPr>
        <w:t>female</w:t>
      </w:r>
      <w:r w:rsidR="00E933FC">
        <w:t xml:space="preserve"> and </w:t>
      </w:r>
      <w:r w:rsidR="00E933FC" w:rsidRPr="00EC2812">
        <w:rPr>
          <w:i/>
          <w:iCs/>
        </w:rPr>
        <w:t>male</w:t>
      </w:r>
      <w:r w:rsidR="00E933FC">
        <w:t xml:space="preserve">. </w:t>
      </w:r>
      <w:r w:rsidR="00E62729">
        <w:t>T</w:t>
      </w:r>
      <w:r w:rsidR="00272F9A">
        <w:t xml:space="preserve">he </w:t>
      </w:r>
      <w:r w:rsidR="00E62729">
        <w:t>OCP</w:t>
      </w:r>
      <w:r w:rsidR="001501ED">
        <w:t xml:space="preserve"> acknowledge</w:t>
      </w:r>
      <w:r w:rsidR="00AD4311">
        <w:t>s</w:t>
      </w:r>
      <w:r w:rsidR="001501ED">
        <w:t xml:space="preserve"> that</w:t>
      </w:r>
      <w:r w:rsidR="00272F9A">
        <w:t xml:space="preserve"> </w:t>
      </w:r>
      <w:r w:rsidR="00AD4311">
        <w:t>some</w:t>
      </w:r>
      <w:r w:rsidR="001E000C">
        <w:t xml:space="preserve"> </w:t>
      </w:r>
      <w:r w:rsidR="001501ED">
        <w:t>people</w:t>
      </w:r>
      <w:r w:rsidR="001E000C">
        <w:t xml:space="preserve"> </w:t>
      </w:r>
      <w:r w:rsidR="001501ED">
        <w:t xml:space="preserve">express their </w:t>
      </w:r>
      <w:r w:rsidR="005112BA">
        <w:t xml:space="preserve">gender in ways that do not correspond with </w:t>
      </w:r>
      <w:r w:rsidR="0075166E">
        <w:t>the</w:t>
      </w:r>
      <w:r w:rsidR="00503EA2">
        <w:t>se</w:t>
      </w:r>
      <w:r w:rsidR="004D4154">
        <w:t xml:space="preserve"> differences</w:t>
      </w:r>
      <w:r w:rsidR="005112BA">
        <w:t xml:space="preserve">. </w:t>
      </w:r>
      <w:r w:rsidR="00F95BCD">
        <w:t xml:space="preserve">This includes people who </w:t>
      </w:r>
      <w:r w:rsidR="00FC0384">
        <w:t>are gender non-binary, gender queer, agender or gender fluid</w:t>
      </w:r>
      <w:r w:rsidR="001B0934">
        <w:t>/diverse</w:t>
      </w:r>
      <w:r w:rsidR="002E63ED">
        <w:t xml:space="preserve">. </w:t>
      </w:r>
      <w:r w:rsidR="007767A1">
        <w:t xml:space="preserve">The OCP data systems are </w:t>
      </w:r>
      <w:r w:rsidR="00033301">
        <w:t>operating under</w:t>
      </w:r>
      <w:r w:rsidR="00B6028D">
        <w:t xml:space="preserve"> historical and current data</w:t>
      </w:r>
      <w:r w:rsidR="002510D3">
        <w:t>-</w:t>
      </w:r>
      <w:r w:rsidR="00B6028D">
        <w:t>gathering methods, wh</w:t>
      </w:r>
      <w:r w:rsidR="001D3A39">
        <w:t xml:space="preserve">ich </w:t>
      </w:r>
      <w:r w:rsidR="0042798C">
        <w:t xml:space="preserve">typically </w:t>
      </w:r>
      <w:r w:rsidR="001D3A39">
        <w:t>group</w:t>
      </w:r>
      <w:r w:rsidR="00B6028D">
        <w:t xml:space="preserve"> </w:t>
      </w:r>
      <w:r w:rsidR="00CC0B35">
        <w:t xml:space="preserve">gender data </w:t>
      </w:r>
      <w:r w:rsidR="00872012">
        <w:t>according to</w:t>
      </w:r>
      <w:r w:rsidR="00F22CC3">
        <w:t xml:space="preserve"> th</w:t>
      </w:r>
      <w:r w:rsidR="00E40116">
        <w:t>e</w:t>
      </w:r>
      <w:r w:rsidR="00E7277E">
        <w:t>se</w:t>
      </w:r>
      <w:r w:rsidR="00E40116">
        <w:t xml:space="preserve"> two gender</w:t>
      </w:r>
      <w:r w:rsidR="00F22CC3">
        <w:t xml:space="preserve"> categories</w:t>
      </w:r>
      <w:r w:rsidR="00413593">
        <w:t xml:space="preserve">. The </w:t>
      </w:r>
      <w:r w:rsidR="00E62729">
        <w:t>OCP</w:t>
      </w:r>
      <w:r w:rsidR="00413593">
        <w:t xml:space="preserve"> acknowledges th</w:t>
      </w:r>
      <w:r w:rsidR="009F56E1">
        <w:t>at th</w:t>
      </w:r>
      <w:r w:rsidR="00CC7252">
        <w:t xml:space="preserve">is binary approach does not provide a full picture of </w:t>
      </w:r>
      <w:r w:rsidR="00C91B49">
        <w:t>the experiences of consumers</w:t>
      </w:r>
      <w:r w:rsidR="005911AB">
        <w:t xml:space="preserve"> and</w:t>
      </w:r>
      <w:r w:rsidR="00C91B49">
        <w:t xml:space="preserve"> </w:t>
      </w:r>
      <w:r w:rsidR="00D93E4E">
        <w:t xml:space="preserve">is currently working towards adopting a more </w:t>
      </w:r>
      <w:r w:rsidR="00E7277E">
        <w:t>inclusive</w:t>
      </w:r>
      <w:r w:rsidR="00D93E4E">
        <w:t xml:space="preserve"> approach that better captures </w:t>
      </w:r>
      <w:r w:rsidR="0007442C">
        <w:t xml:space="preserve">the </w:t>
      </w:r>
      <w:r w:rsidR="00E549B7">
        <w:t xml:space="preserve">diverse ways people </w:t>
      </w:r>
      <w:r w:rsidR="00E7277E">
        <w:t xml:space="preserve">express </w:t>
      </w:r>
      <w:r w:rsidR="00E549B7">
        <w:t>their gender</w:t>
      </w:r>
      <w:r w:rsidR="00D93E4E">
        <w:t>.</w:t>
      </w:r>
    </w:p>
    <w:p w14:paraId="12633735" w14:textId="5C11E9C1" w:rsidR="00381B2F" w:rsidRDefault="00381B2F" w:rsidP="00381B2F">
      <w:pPr>
        <w:pStyle w:val="Heading2"/>
        <w:rPr>
          <w:rFonts w:ascii="Calibri" w:eastAsia="Calibri" w:hAnsi="Calibri"/>
          <w:b w:val="0"/>
          <w:color w:val="auto"/>
          <w:sz w:val="22"/>
          <w:szCs w:val="22"/>
          <w:highlight w:val="magenta"/>
        </w:rPr>
      </w:pPr>
      <w:bookmarkStart w:id="32" w:name="_Toc52886240"/>
      <w:bookmarkStart w:id="33" w:name="_Toc86347181"/>
      <w:r>
        <w:t>Electroconvulsive treatment</w:t>
      </w:r>
      <w:bookmarkEnd w:id="32"/>
      <w:bookmarkEnd w:id="33"/>
    </w:p>
    <w:p w14:paraId="0349B670" w14:textId="77777777" w:rsidR="00381B2F" w:rsidRPr="00A809FE" w:rsidRDefault="00381B2F" w:rsidP="00563C62">
      <w:pPr>
        <w:pStyle w:val="Body"/>
      </w:pPr>
      <w:r w:rsidRPr="00A809FE">
        <w:t xml:space="preserve">ECT is a safe, effective, evidence-based treatment of mood disorders, psychosis and catatonia. It may be recommended when other medical treatments have not worked, or take too long to work, or cannot be undertaken safely. It might also be recommended to people for whom the treatment has worked well previously. </w:t>
      </w:r>
    </w:p>
    <w:p w14:paraId="3DE8936C" w14:textId="02DA4C88" w:rsidR="00381B2F" w:rsidRPr="00A809FE" w:rsidRDefault="00381B2F" w:rsidP="00563C62">
      <w:pPr>
        <w:pStyle w:val="Body"/>
      </w:pPr>
      <w:r w:rsidRPr="00A809FE">
        <w:t>ECT is now individually tailored to maximise its benefits and reduce side</w:t>
      </w:r>
      <w:r w:rsidR="005A0956">
        <w:t xml:space="preserve"> </w:t>
      </w:r>
      <w:r w:rsidRPr="00A809FE">
        <w:t xml:space="preserve">effects including cognitive impairment. Adverse effects are minimised by </w:t>
      </w:r>
      <w:r w:rsidR="2E2A88D2">
        <w:t xml:space="preserve">preferentially </w:t>
      </w:r>
      <w:r w:rsidRPr="00A809FE">
        <w:t>applying stimulation to one side of the head (unilateral ECT) with the smallest possible dose of electrical stimulation</w:t>
      </w:r>
      <w:r w:rsidRPr="00B84392">
        <w:t xml:space="preserve">. </w:t>
      </w:r>
      <w:r w:rsidR="00F12841" w:rsidRPr="00B84392">
        <w:t>Bilateral ECT is used when clinically indicated.</w:t>
      </w:r>
      <w:r w:rsidR="009831FD">
        <w:t xml:space="preserve"> </w:t>
      </w:r>
      <w:r w:rsidRPr="00A809FE">
        <w:t>Treatments are typically administered on two or three occasions per week over a period of two or more weeks. A small proportion of people benefit from ongoing occasional treatments to prevent relapse.</w:t>
      </w:r>
    </w:p>
    <w:p w14:paraId="1E6C5A93" w14:textId="21BEE9AA" w:rsidR="00381B2F" w:rsidRPr="00A809FE" w:rsidRDefault="00381B2F" w:rsidP="00563C62">
      <w:pPr>
        <w:pStyle w:val="Body"/>
      </w:pPr>
      <w:r w:rsidRPr="00A809FE">
        <w:t>The Chief Psychiatrist and the Mental Health Tribunal oversee the use of ECT. Services must inform the Chief Psychiatrist of each treatment, stipulating the type of treatment and the reason for its use.</w:t>
      </w:r>
      <w:r w:rsidR="0057779F">
        <w:t xml:space="preserve"> </w:t>
      </w:r>
    </w:p>
    <w:p w14:paraId="3DDB76B2" w14:textId="171F5273" w:rsidR="00381B2F" w:rsidRDefault="00381B2F" w:rsidP="00381B2F">
      <w:pPr>
        <w:pStyle w:val="Heading3"/>
      </w:pPr>
      <w:bookmarkStart w:id="34" w:name="_Toc52886241"/>
      <w:r w:rsidRPr="33B77389">
        <w:t>Electroconvulsive treatment in public mental health services</w:t>
      </w:r>
      <w:bookmarkEnd w:id="34"/>
    </w:p>
    <w:p w14:paraId="27655478" w14:textId="440D990A" w:rsidR="00381B2F" w:rsidRPr="00635EC3" w:rsidRDefault="00381B2F" w:rsidP="00563C62">
      <w:pPr>
        <w:pStyle w:val="Body"/>
      </w:pPr>
      <w:r w:rsidRPr="00A809FE">
        <w:t xml:space="preserve">In </w:t>
      </w:r>
      <w:r w:rsidR="002233A8" w:rsidRPr="00A809FE">
        <w:t>20</w:t>
      </w:r>
      <w:r w:rsidR="002233A8">
        <w:t>20–21</w:t>
      </w:r>
      <w:r w:rsidR="00272AC2">
        <w:t>,</w:t>
      </w:r>
      <w:r w:rsidRPr="00A809FE">
        <w:t xml:space="preserve"> </w:t>
      </w:r>
      <w:r w:rsidR="001E702D">
        <w:t>910</w:t>
      </w:r>
      <w:r w:rsidRPr="00A809FE">
        <w:t xml:space="preserve"> people received ECT</w:t>
      </w:r>
      <w:r w:rsidR="00EB7F4C">
        <w:t xml:space="preserve"> (Table </w:t>
      </w:r>
      <w:r w:rsidR="00C85E9E">
        <w:t>4</w:t>
      </w:r>
      <w:r w:rsidR="00280C7F">
        <w:t>)</w:t>
      </w:r>
      <w:r w:rsidRPr="00A809FE">
        <w:t xml:space="preserve">. </w:t>
      </w:r>
      <w:r w:rsidR="00D37BD5" w:rsidRPr="00D37BD5">
        <w:t>With a total of 11,965 ECT treatments delivered that year, the rate of treatments delivered per person was 13.2.</w:t>
      </w:r>
    </w:p>
    <w:p w14:paraId="62F03045" w14:textId="77777777" w:rsidR="006B3F7E" w:rsidRDefault="006B3F7E">
      <w:pPr>
        <w:rPr>
          <w:rFonts w:ascii="Arial" w:eastAsia="Arial" w:hAnsi="Arial"/>
          <w:b/>
          <w:sz w:val="21"/>
          <w:szCs w:val="21"/>
        </w:rPr>
      </w:pPr>
      <w:r>
        <w:rPr>
          <w:rFonts w:eastAsia="Arial"/>
        </w:rPr>
        <w:br w:type="page"/>
      </w:r>
    </w:p>
    <w:p w14:paraId="75665635" w14:textId="19B0571E" w:rsidR="00381B2F" w:rsidRPr="00A809FE" w:rsidRDefault="00381B2F" w:rsidP="000D0B9B">
      <w:pPr>
        <w:pStyle w:val="Tablecaption"/>
      </w:pPr>
      <w:r w:rsidRPr="00E9A183">
        <w:rPr>
          <w:rFonts w:eastAsia="Arial"/>
        </w:rPr>
        <w:lastRenderedPageBreak/>
        <w:t xml:space="preserve">Table </w:t>
      </w:r>
      <w:r w:rsidR="00C85E9E">
        <w:rPr>
          <w:rFonts w:eastAsia="Arial"/>
        </w:rPr>
        <w:t>4</w:t>
      </w:r>
      <w:r w:rsidRPr="00E9A183">
        <w:rPr>
          <w:rFonts w:eastAsia="Arial"/>
          <w:iCs/>
        </w:rPr>
        <w:t>:</w:t>
      </w:r>
      <w:r w:rsidRPr="00E9A183">
        <w:rPr>
          <w:rFonts w:eastAsia="Arial"/>
        </w:rPr>
        <w:t xml:space="preserve"> Number of treatments and people treated by ECT</w:t>
      </w:r>
      <w:r w:rsidR="00D437C5">
        <w:rPr>
          <w:rFonts w:eastAsia="Arial"/>
        </w:rPr>
        <w:t xml:space="preserve"> in public hospitals</w:t>
      </w:r>
      <w:r w:rsidRPr="00E9A183">
        <w:rPr>
          <w:rFonts w:eastAsia="Arial"/>
        </w:rPr>
        <w:t>, 2015</w:t>
      </w:r>
      <w:r w:rsidR="0012686C">
        <w:rPr>
          <w:rFonts w:eastAsia="Arial"/>
        </w:rPr>
        <w:t>–1</w:t>
      </w:r>
      <w:r w:rsidRPr="00E9A183">
        <w:rPr>
          <w:rFonts w:eastAsia="Arial"/>
        </w:rPr>
        <w:t>6 to 20</w:t>
      </w:r>
      <w:r w:rsidR="00E8354D">
        <w:rPr>
          <w:rFonts w:eastAsia="Arial"/>
        </w:rPr>
        <w:t>20</w:t>
      </w:r>
      <w:r w:rsidR="0012686C">
        <w:rPr>
          <w:rFonts w:eastAsia="Arial"/>
        </w:rPr>
        <w:t>–</w:t>
      </w:r>
      <w:r w:rsidRPr="00E9A183">
        <w:rPr>
          <w:rFonts w:eastAsia="Arial"/>
        </w:rPr>
        <w:t>2</w:t>
      </w:r>
      <w:r w:rsidR="00FE564D">
        <w:rPr>
          <w:rFonts w:eastAsia="Arial"/>
        </w:rPr>
        <w:t>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092"/>
        <w:gridCol w:w="1092"/>
        <w:gridCol w:w="1092"/>
        <w:gridCol w:w="1092"/>
        <w:gridCol w:w="1092"/>
        <w:gridCol w:w="1093"/>
      </w:tblGrid>
      <w:tr w:rsidR="00333B31" w:rsidRPr="00E60608" w14:paraId="54040192" w14:textId="102B08FB" w:rsidTr="00010A54">
        <w:trPr>
          <w:trHeight w:val="450"/>
          <w:tblHeader/>
        </w:trPr>
        <w:tc>
          <w:tcPr>
            <w:tcW w:w="2735" w:type="dxa"/>
            <w:shd w:val="clear" w:color="auto" w:fill="auto"/>
            <w:hideMark/>
          </w:tcPr>
          <w:p w14:paraId="73BA19FE" w14:textId="77AA3C55" w:rsidR="00333B31" w:rsidRPr="00E60608" w:rsidRDefault="00333B31" w:rsidP="000D0B9B">
            <w:pPr>
              <w:pStyle w:val="Tablecolhead"/>
              <w:rPr>
                <w:lang w:eastAsia="en-AU"/>
              </w:rPr>
            </w:pPr>
            <w:r>
              <w:rPr>
                <w:lang w:eastAsia="en-AU"/>
              </w:rPr>
              <w:t>Measure</w:t>
            </w:r>
          </w:p>
        </w:tc>
        <w:tc>
          <w:tcPr>
            <w:tcW w:w="1092" w:type="dxa"/>
            <w:shd w:val="clear" w:color="auto" w:fill="auto"/>
            <w:hideMark/>
          </w:tcPr>
          <w:p w14:paraId="4584184A" w14:textId="7FAE89EB" w:rsidR="00333B31" w:rsidRPr="00E60608" w:rsidRDefault="00333B31" w:rsidP="000D0B9B">
            <w:pPr>
              <w:pStyle w:val="Tablecolhead"/>
              <w:rPr>
                <w:lang w:eastAsia="en-AU"/>
              </w:rPr>
            </w:pPr>
            <w:r w:rsidRPr="00E60608">
              <w:t>2015</w:t>
            </w:r>
            <w:r>
              <w:t>–1</w:t>
            </w:r>
            <w:r w:rsidRPr="00E60608">
              <w:t>6</w:t>
            </w:r>
          </w:p>
        </w:tc>
        <w:tc>
          <w:tcPr>
            <w:tcW w:w="1092" w:type="dxa"/>
            <w:shd w:val="clear" w:color="auto" w:fill="auto"/>
            <w:hideMark/>
          </w:tcPr>
          <w:p w14:paraId="77A4A1D3" w14:textId="74B7B3E4" w:rsidR="00333B31" w:rsidRPr="00E60608" w:rsidRDefault="00333B31" w:rsidP="000D0B9B">
            <w:pPr>
              <w:pStyle w:val="Tablecolhead"/>
              <w:rPr>
                <w:lang w:eastAsia="en-AU"/>
              </w:rPr>
            </w:pPr>
            <w:r w:rsidRPr="00E60608">
              <w:t>2016</w:t>
            </w:r>
            <w:r>
              <w:t>–1</w:t>
            </w:r>
            <w:r w:rsidRPr="00E60608">
              <w:t>7</w:t>
            </w:r>
          </w:p>
        </w:tc>
        <w:tc>
          <w:tcPr>
            <w:tcW w:w="1092" w:type="dxa"/>
            <w:shd w:val="clear" w:color="auto" w:fill="auto"/>
            <w:hideMark/>
          </w:tcPr>
          <w:p w14:paraId="01E11EC8" w14:textId="4899B53F" w:rsidR="00333B31" w:rsidRPr="00E60608" w:rsidRDefault="00333B31" w:rsidP="000D0B9B">
            <w:pPr>
              <w:pStyle w:val="Tablecolhead"/>
              <w:rPr>
                <w:lang w:eastAsia="en-AU"/>
              </w:rPr>
            </w:pPr>
            <w:r w:rsidRPr="00E60608">
              <w:t>2017</w:t>
            </w:r>
            <w:r>
              <w:t>–1</w:t>
            </w:r>
            <w:r w:rsidRPr="00E60608">
              <w:t>8</w:t>
            </w:r>
          </w:p>
        </w:tc>
        <w:tc>
          <w:tcPr>
            <w:tcW w:w="1092" w:type="dxa"/>
            <w:shd w:val="clear" w:color="auto" w:fill="auto"/>
            <w:hideMark/>
          </w:tcPr>
          <w:p w14:paraId="34668D56" w14:textId="482BC921" w:rsidR="00333B31" w:rsidRPr="00E60608" w:rsidRDefault="00333B31" w:rsidP="000D0B9B">
            <w:pPr>
              <w:pStyle w:val="Tablecolhead"/>
              <w:rPr>
                <w:lang w:eastAsia="en-AU"/>
              </w:rPr>
            </w:pPr>
            <w:r w:rsidRPr="00E60608">
              <w:t>2018</w:t>
            </w:r>
            <w:r>
              <w:t>–1</w:t>
            </w:r>
            <w:r w:rsidRPr="00E60608">
              <w:t>9</w:t>
            </w:r>
          </w:p>
        </w:tc>
        <w:tc>
          <w:tcPr>
            <w:tcW w:w="1092" w:type="dxa"/>
            <w:shd w:val="clear" w:color="auto" w:fill="auto"/>
            <w:hideMark/>
          </w:tcPr>
          <w:p w14:paraId="5D48FC4D" w14:textId="11D1D709" w:rsidR="00333B31" w:rsidRPr="00E60608" w:rsidRDefault="00333B31" w:rsidP="000D0B9B">
            <w:pPr>
              <w:pStyle w:val="Tablecolhead"/>
              <w:rPr>
                <w:lang w:eastAsia="en-AU"/>
              </w:rPr>
            </w:pPr>
            <w:r w:rsidRPr="00E60608">
              <w:t>2019</w:t>
            </w:r>
            <w:r>
              <w:t>–2</w:t>
            </w:r>
            <w:r w:rsidRPr="00E60608">
              <w:t>0</w:t>
            </w:r>
          </w:p>
        </w:tc>
        <w:tc>
          <w:tcPr>
            <w:tcW w:w="1093" w:type="dxa"/>
          </w:tcPr>
          <w:p w14:paraId="5E0434E9" w14:textId="14954218" w:rsidR="00333B31" w:rsidRPr="00E60608" w:rsidRDefault="007B2175" w:rsidP="000D0B9B">
            <w:pPr>
              <w:pStyle w:val="Tablecolhead"/>
            </w:pPr>
            <w:r>
              <w:t>2020–21</w:t>
            </w:r>
          </w:p>
        </w:tc>
      </w:tr>
      <w:tr w:rsidR="00FE564D" w:rsidRPr="00E60608" w14:paraId="479B749B" w14:textId="657E4598" w:rsidTr="00010A54">
        <w:trPr>
          <w:trHeight w:val="300"/>
        </w:trPr>
        <w:tc>
          <w:tcPr>
            <w:tcW w:w="2735" w:type="dxa"/>
            <w:shd w:val="clear" w:color="auto" w:fill="auto"/>
            <w:hideMark/>
          </w:tcPr>
          <w:p w14:paraId="5F29A964" w14:textId="74AD71CC" w:rsidR="00FE564D" w:rsidRPr="00892ED8" w:rsidRDefault="00FE564D" w:rsidP="000D0B9B">
            <w:pPr>
              <w:pStyle w:val="Tabletext"/>
              <w:rPr>
                <w:lang w:eastAsia="en-AU"/>
              </w:rPr>
            </w:pPr>
            <w:r w:rsidRPr="3751EFBC">
              <w:rPr>
                <w:lang w:eastAsia="en-AU"/>
              </w:rPr>
              <w:t>Number of ECT treatments</w:t>
            </w:r>
          </w:p>
        </w:tc>
        <w:tc>
          <w:tcPr>
            <w:tcW w:w="1092" w:type="dxa"/>
            <w:shd w:val="clear" w:color="auto" w:fill="auto"/>
          </w:tcPr>
          <w:p w14:paraId="5C54582A" w14:textId="7A86A185" w:rsidR="00FE564D" w:rsidRPr="00E60608" w:rsidRDefault="00FE564D" w:rsidP="000D0B9B">
            <w:pPr>
              <w:pStyle w:val="Tabletext"/>
              <w:rPr>
                <w:lang w:eastAsia="en-AU"/>
              </w:rPr>
            </w:pPr>
            <w:r>
              <w:t>11,947</w:t>
            </w:r>
          </w:p>
        </w:tc>
        <w:tc>
          <w:tcPr>
            <w:tcW w:w="1092" w:type="dxa"/>
            <w:shd w:val="clear" w:color="auto" w:fill="auto"/>
          </w:tcPr>
          <w:p w14:paraId="2AC7203F" w14:textId="19EF5857" w:rsidR="00FE564D" w:rsidRPr="00E60608" w:rsidRDefault="00FE564D" w:rsidP="000D0B9B">
            <w:pPr>
              <w:pStyle w:val="Tabletext"/>
              <w:rPr>
                <w:lang w:eastAsia="en-AU"/>
              </w:rPr>
            </w:pPr>
            <w:r>
              <w:t>12,299</w:t>
            </w:r>
          </w:p>
        </w:tc>
        <w:tc>
          <w:tcPr>
            <w:tcW w:w="1092" w:type="dxa"/>
            <w:shd w:val="clear" w:color="auto" w:fill="auto"/>
          </w:tcPr>
          <w:p w14:paraId="342CD453" w14:textId="0E1CC02D" w:rsidR="00FE564D" w:rsidRPr="00E60608" w:rsidRDefault="00FE564D" w:rsidP="000D0B9B">
            <w:pPr>
              <w:pStyle w:val="Tabletext"/>
              <w:rPr>
                <w:lang w:eastAsia="en-AU"/>
              </w:rPr>
            </w:pPr>
            <w:r>
              <w:t>13,292</w:t>
            </w:r>
          </w:p>
        </w:tc>
        <w:tc>
          <w:tcPr>
            <w:tcW w:w="1092" w:type="dxa"/>
            <w:shd w:val="clear" w:color="auto" w:fill="auto"/>
          </w:tcPr>
          <w:p w14:paraId="36DA39E9" w14:textId="0005252A" w:rsidR="00FE564D" w:rsidRPr="00E60608" w:rsidRDefault="00FE564D" w:rsidP="000D0B9B">
            <w:pPr>
              <w:pStyle w:val="Tabletext"/>
              <w:rPr>
                <w:lang w:eastAsia="en-AU"/>
              </w:rPr>
            </w:pPr>
            <w:r>
              <w:t>12,977</w:t>
            </w:r>
          </w:p>
        </w:tc>
        <w:tc>
          <w:tcPr>
            <w:tcW w:w="1092" w:type="dxa"/>
            <w:shd w:val="clear" w:color="auto" w:fill="auto"/>
          </w:tcPr>
          <w:p w14:paraId="6CEC7D9A" w14:textId="606F732E" w:rsidR="00FE564D" w:rsidRPr="00E60608" w:rsidRDefault="00FE564D" w:rsidP="000D0B9B">
            <w:pPr>
              <w:pStyle w:val="Tabletext"/>
              <w:rPr>
                <w:lang w:eastAsia="en-AU"/>
              </w:rPr>
            </w:pPr>
            <w:r>
              <w:t>12,094</w:t>
            </w:r>
          </w:p>
        </w:tc>
        <w:tc>
          <w:tcPr>
            <w:tcW w:w="1093" w:type="dxa"/>
          </w:tcPr>
          <w:p w14:paraId="3840BF3F" w14:textId="2EA28B06" w:rsidR="00FE564D" w:rsidRDefault="00FE564D" w:rsidP="000D0B9B">
            <w:pPr>
              <w:pStyle w:val="Tabletext"/>
            </w:pPr>
            <w:r>
              <w:t>11,965</w:t>
            </w:r>
          </w:p>
        </w:tc>
      </w:tr>
      <w:tr w:rsidR="00FE564D" w:rsidRPr="00E60608" w14:paraId="570CAB7A" w14:textId="35609195" w:rsidTr="00010A54">
        <w:trPr>
          <w:trHeight w:val="300"/>
        </w:trPr>
        <w:tc>
          <w:tcPr>
            <w:tcW w:w="2735" w:type="dxa"/>
            <w:shd w:val="clear" w:color="auto" w:fill="auto"/>
            <w:hideMark/>
          </w:tcPr>
          <w:p w14:paraId="5721C538" w14:textId="58D98D6D" w:rsidR="00FE564D" w:rsidRPr="00892ED8" w:rsidRDefault="00FE564D" w:rsidP="000D0B9B">
            <w:pPr>
              <w:pStyle w:val="Tabletext"/>
              <w:rPr>
                <w:lang w:eastAsia="en-AU"/>
              </w:rPr>
            </w:pPr>
            <w:r w:rsidRPr="3751EFBC">
              <w:rPr>
                <w:lang w:eastAsia="en-AU"/>
              </w:rPr>
              <w:t xml:space="preserve">Number of </w:t>
            </w:r>
            <w:r w:rsidRPr="5858E4A4">
              <w:rPr>
                <w:lang w:eastAsia="en-AU"/>
              </w:rPr>
              <w:t xml:space="preserve">people </w:t>
            </w:r>
            <w:r w:rsidRPr="3751EFBC">
              <w:rPr>
                <w:lang w:eastAsia="en-AU"/>
              </w:rPr>
              <w:t xml:space="preserve">receiving ECT </w:t>
            </w:r>
          </w:p>
        </w:tc>
        <w:tc>
          <w:tcPr>
            <w:tcW w:w="1092" w:type="dxa"/>
            <w:shd w:val="clear" w:color="auto" w:fill="auto"/>
          </w:tcPr>
          <w:p w14:paraId="4597D254" w14:textId="36C9F20D" w:rsidR="00FE564D" w:rsidRPr="00E60608" w:rsidRDefault="00FE564D" w:rsidP="000D0B9B">
            <w:pPr>
              <w:pStyle w:val="Tabletext"/>
              <w:rPr>
                <w:lang w:eastAsia="en-AU"/>
              </w:rPr>
            </w:pPr>
            <w:r>
              <w:t>933</w:t>
            </w:r>
          </w:p>
        </w:tc>
        <w:tc>
          <w:tcPr>
            <w:tcW w:w="1092" w:type="dxa"/>
            <w:shd w:val="clear" w:color="auto" w:fill="auto"/>
          </w:tcPr>
          <w:p w14:paraId="6C6CCA50" w14:textId="7C57C000" w:rsidR="00FE564D" w:rsidRPr="00E60608" w:rsidRDefault="00FE564D" w:rsidP="000D0B9B">
            <w:pPr>
              <w:pStyle w:val="Tabletext"/>
              <w:rPr>
                <w:lang w:eastAsia="en-AU"/>
              </w:rPr>
            </w:pPr>
            <w:r>
              <w:t>1,033</w:t>
            </w:r>
          </w:p>
        </w:tc>
        <w:tc>
          <w:tcPr>
            <w:tcW w:w="1092" w:type="dxa"/>
            <w:shd w:val="clear" w:color="auto" w:fill="auto"/>
          </w:tcPr>
          <w:p w14:paraId="249A4B30" w14:textId="4D6DB3B0" w:rsidR="00FE564D" w:rsidRPr="00E60608" w:rsidRDefault="00FE564D" w:rsidP="000D0B9B">
            <w:pPr>
              <w:pStyle w:val="Tabletext"/>
              <w:rPr>
                <w:lang w:eastAsia="en-AU"/>
              </w:rPr>
            </w:pPr>
            <w:r>
              <w:t>1,031</w:t>
            </w:r>
          </w:p>
        </w:tc>
        <w:tc>
          <w:tcPr>
            <w:tcW w:w="1092" w:type="dxa"/>
            <w:shd w:val="clear" w:color="auto" w:fill="auto"/>
          </w:tcPr>
          <w:p w14:paraId="4E43281C" w14:textId="0493522A" w:rsidR="00FE564D" w:rsidRPr="00E60608" w:rsidRDefault="00FE564D" w:rsidP="000D0B9B">
            <w:pPr>
              <w:pStyle w:val="Tabletext"/>
              <w:rPr>
                <w:lang w:eastAsia="en-AU"/>
              </w:rPr>
            </w:pPr>
            <w:r>
              <w:t>974</w:t>
            </w:r>
          </w:p>
        </w:tc>
        <w:tc>
          <w:tcPr>
            <w:tcW w:w="1092" w:type="dxa"/>
            <w:shd w:val="clear" w:color="auto" w:fill="auto"/>
          </w:tcPr>
          <w:p w14:paraId="01669271" w14:textId="22C3C5F7" w:rsidR="00FE564D" w:rsidRPr="00E60608" w:rsidRDefault="00FE564D" w:rsidP="000D0B9B">
            <w:pPr>
              <w:pStyle w:val="Tabletext"/>
              <w:rPr>
                <w:lang w:eastAsia="en-AU"/>
              </w:rPr>
            </w:pPr>
            <w:r>
              <w:t>893</w:t>
            </w:r>
          </w:p>
        </w:tc>
        <w:tc>
          <w:tcPr>
            <w:tcW w:w="1093" w:type="dxa"/>
          </w:tcPr>
          <w:p w14:paraId="54BDC6E3" w14:textId="4B8E4AC1" w:rsidR="00FE564D" w:rsidRDefault="00FE564D" w:rsidP="000D0B9B">
            <w:pPr>
              <w:pStyle w:val="Tabletext"/>
            </w:pPr>
            <w:r>
              <w:t>910</w:t>
            </w:r>
          </w:p>
        </w:tc>
      </w:tr>
    </w:tbl>
    <w:p w14:paraId="4B067B9C" w14:textId="056C230D" w:rsidR="00381B2F" w:rsidRPr="00A809FE" w:rsidRDefault="00381B2F" w:rsidP="00643556">
      <w:pPr>
        <w:pStyle w:val="Bodyaftertable"/>
      </w:pPr>
      <w:r>
        <w:t xml:space="preserve">While the numbers of treatments administered vary from year to year, </w:t>
      </w:r>
      <w:r w:rsidR="005315DD">
        <w:t>some of the variation</w:t>
      </w:r>
      <w:r>
        <w:t xml:space="preserve"> </w:t>
      </w:r>
      <w:r w:rsidR="002F6358">
        <w:t>from 20</w:t>
      </w:r>
      <w:r w:rsidR="00E43980">
        <w:t>18–19 t</w:t>
      </w:r>
      <w:r w:rsidR="003A3954">
        <w:t xml:space="preserve">o </w:t>
      </w:r>
      <w:r w:rsidR="002F6358">
        <w:t>2020–21</w:t>
      </w:r>
      <w:r>
        <w:t xml:space="preserve"> m</w:t>
      </w:r>
      <w:r w:rsidR="76DF34D0">
        <w:t>ay</w:t>
      </w:r>
      <w:r>
        <w:t xml:space="preserve"> reflect changes in practice due to COVI</w:t>
      </w:r>
      <w:r w:rsidR="00892ED8">
        <w:t>D-19</w:t>
      </w:r>
      <w:r>
        <w:t xml:space="preserve">. To reduce the risk of infection, some outpatient treatments (which account for about half of the total) </w:t>
      </w:r>
      <w:r w:rsidR="4C21E09C">
        <w:t>were</w:t>
      </w:r>
      <w:r>
        <w:t xml:space="preserve"> postponed</w:t>
      </w:r>
      <w:r w:rsidR="005A0956">
        <w:t>,</w:t>
      </w:r>
      <w:r>
        <w:t xml:space="preserve"> and access to theatre was sometimes constrained. One consequence of this regrettable but necessary move to contain viral transmission might be a prolonged recovery for some mental health consumers or a greater vulnerability to relapse in others.</w:t>
      </w:r>
      <w:r w:rsidR="0057779F">
        <w:t xml:space="preserve"> </w:t>
      </w:r>
    </w:p>
    <w:p w14:paraId="52C0FC04" w14:textId="5FBC1B7B" w:rsidR="00381B2F" w:rsidRDefault="00381B2F" w:rsidP="00563C62">
      <w:pPr>
        <w:pStyle w:val="Body"/>
      </w:pPr>
      <w:r w:rsidRPr="00A809FE">
        <w:t xml:space="preserve">Mood disorders accounted for </w:t>
      </w:r>
      <w:r w:rsidR="003C3A4C">
        <w:t xml:space="preserve">61 per cent </w:t>
      </w:r>
      <w:r w:rsidRPr="00A809FE">
        <w:t>of treatments in 20</w:t>
      </w:r>
      <w:r w:rsidR="00BB18EE">
        <w:t>20</w:t>
      </w:r>
      <w:r w:rsidRPr="00A809FE">
        <w:t>–</w:t>
      </w:r>
      <w:r w:rsidR="00BB18EE">
        <w:t>21</w:t>
      </w:r>
      <w:r w:rsidRPr="00A809FE">
        <w:t xml:space="preserve">, followed by schizophrenia and other psychoses </w:t>
      </w:r>
      <w:r w:rsidRPr="004074FA">
        <w:t xml:space="preserve">(Table </w:t>
      </w:r>
      <w:r w:rsidR="00C85E9E">
        <w:t>5</w:t>
      </w:r>
      <w:r w:rsidRPr="004074FA">
        <w:t>).</w:t>
      </w:r>
    </w:p>
    <w:p w14:paraId="50911851" w14:textId="1D0AD133" w:rsidR="00381B2F" w:rsidRPr="00A809FE" w:rsidRDefault="00381B2F" w:rsidP="000D0B9B">
      <w:pPr>
        <w:pStyle w:val="Tablecaption"/>
      </w:pPr>
      <w:r w:rsidRPr="00E9A183">
        <w:rPr>
          <w:rFonts w:eastAsia="Arial"/>
        </w:rPr>
        <w:t xml:space="preserve">Table </w:t>
      </w:r>
      <w:r w:rsidR="00C85E9E">
        <w:rPr>
          <w:rFonts w:eastAsia="Arial"/>
        </w:rPr>
        <w:t>5</w:t>
      </w:r>
      <w:r w:rsidRPr="00E9A183">
        <w:rPr>
          <w:rFonts w:eastAsia="Arial"/>
          <w:iCs/>
        </w:rPr>
        <w:t>:</w:t>
      </w:r>
      <w:r w:rsidRPr="00E9A183">
        <w:rPr>
          <w:rFonts w:eastAsia="Arial"/>
        </w:rPr>
        <w:t xml:space="preserve"> Number of ECT treatments</w:t>
      </w:r>
      <w:r w:rsidR="00D437C5">
        <w:rPr>
          <w:rFonts w:eastAsia="Arial"/>
        </w:rPr>
        <w:t xml:space="preserve"> in a public hospital</w:t>
      </w:r>
      <w:r w:rsidR="005A0956">
        <w:rPr>
          <w:rFonts w:eastAsia="Arial"/>
        </w:rPr>
        <w:t>,</w:t>
      </w:r>
      <w:r w:rsidRPr="00E9A183">
        <w:rPr>
          <w:rFonts w:eastAsia="Arial"/>
        </w:rPr>
        <w:t xml:space="preserve"> by diagnosis, 2015</w:t>
      </w:r>
      <w:r w:rsidR="0012686C">
        <w:rPr>
          <w:rFonts w:eastAsia="Arial"/>
        </w:rPr>
        <w:t>–1</w:t>
      </w:r>
      <w:r w:rsidRPr="00E9A183">
        <w:rPr>
          <w:rFonts w:eastAsia="Arial"/>
        </w:rPr>
        <w:t>6 to 20</w:t>
      </w:r>
      <w:r w:rsidR="00EB58AA">
        <w:rPr>
          <w:rFonts w:eastAsia="Arial"/>
        </w:rPr>
        <w:t>20</w:t>
      </w:r>
      <w:r w:rsidR="0012686C" w:rsidRPr="00A03C87">
        <w:rPr>
          <w:rFonts w:eastAsia="Arial"/>
        </w:rPr>
        <w:t>–</w:t>
      </w:r>
      <w:r w:rsidRPr="00A03C87">
        <w:rPr>
          <w:rFonts w:eastAsia="Arial"/>
        </w:rPr>
        <w:t>2</w:t>
      </w:r>
      <w:r w:rsidR="00A03C87" w:rsidRPr="00A03C87">
        <w:rPr>
          <w:rFonts w:eastAsia="Aria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098"/>
        <w:gridCol w:w="1099"/>
        <w:gridCol w:w="1099"/>
        <w:gridCol w:w="1099"/>
        <w:gridCol w:w="1099"/>
        <w:gridCol w:w="1099"/>
      </w:tblGrid>
      <w:tr w:rsidR="00FE564D" w:rsidRPr="00476060" w14:paraId="4072CA1E" w14:textId="747459A0" w:rsidTr="008B4B58">
        <w:trPr>
          <w:trHeight w:val="440"/>
          <w:tblHeader/>
        </w:trPr>
        <w:tc>
          <w:tcPr>
            <w:tcW w:w="2695" w:type="dxa"/>
            <w:shd w:val="clear" w:color="auto" w:fill="auto"/>
            <w:hideMark/>
          </w:tcPr>
          <w:p w14:paraId="695EC6B9" w14:textId="190D21D0" w:rsidR="00FE564D" w:rsidRPr="00014318" w:rsidRDefault="00FE564D" w:rsidP="00010A54">
            <w:pPr>
              <w:pStyle w:val="Tablecolhead"/>
              <w:rPr>
                <w:lang w:eastAsia="en-AU"/>
              </w:rPr>
            </w:pPr>
            <w:r>
              <w:rPr>
                <w:lang w:eastAsia="en-AU"/>
              </w:rPr>
              <w:t>Health condition</w:t>
            </w:r>
          </w:p>
        </w:tc>
        <w:tc>
          <w:tcPr>
            <w:tcW w:w="1098" w:type="dxa"/>
            <w:shd w:val="clear" w:color="auto" w:fill="FFFFFF" w:themeFill="background1"/>
            <w:hideMark/>
          </w:tcPr>
          <w:p w14:paraId="73FA853D" w14:textId="0194B070" w:rsidR="00FE564D" w:rsidRPr="00014318" w:rsidRDefault="00FE564D" w:rsidP="000D0B9B">
            <w:pPr>
              <w:pStyle w:val="Tablecolhead"/>
              <w:rPr>
                <w:lang w:eastAsia="en-AU"/>
              </w:rPr>
            </w:pPr>
            <w:r w:rsidRPr="00476060">
              <w:t>2015</w:t>
            </w:r>
            <w:r>
              <w:t>–1</w:t>
            </w:r>
            <w:r w:rsidRPr="00476060">
              <w:t>6</w:t>
            </w:r>
          </w:p>
        </w:tc>
        <w:tc>
          <w:tcPr>
            <w:tcW w:w="1099" w:type="dxa"/>
            <w:shd w:val="clear" w:color="auto" w:fill="FFFFFF" w:themeFill="background1"/>
            <w:hideMark/>
          </w:tcPr>
          <w:p w14:paraId="6CD673C9" w14:textId="29F06CA6" w:rsidR="00FE564D" w:rsidRPr="00014318" w:rsidRDefault="00FE564D" w:rsidP="000D0B9B">
            <w:pPr>
              <w:pStyle w:val="Tablecolhead"/>
              <w:rPr>
                <w:lang w:eastAsia="en-AU"/>
              </w:rPr>
            </w:pPr>
            <w:r w:rsidRPr="00476060">
              <w:t>2016</w:t>
            </w:r>
            <w:r>
              <w:t>–1</w:t>
            </w:r>
            <w:r w:rsidRPr="00476060">
              <w:t>7</w:t>
            </w:r>
          </w:p>
        </w:tc>
        <w:tc>
          <w:tcPr>
            <w:tcW w:w="1099" w:type="dxa"/>
            <w:shd w:val="clear" w:color="auto" w:fill="FFFFFF" w:themeFill="background1"/>
            <w:hideMark/>
          </w:tcPr>
          <w:p w14:paraId="7A24E552" w14:textId="0D9CB7E6" w:rsidR="00FE564D" w:rsidRPr="00014318" w:rsidRDefault="00FE564D" w:rsidP="000D0B9B">
            <w:pPr>
              <w:pStyle w:val="Tablecolhead"/>
              <w:rPr>
                <w:lang w:eastAsia="en-AU"/>
              </w:rPr>
            </w:pPr>
            <w:r w:rsidRPr="00476060">
              <w:t>2017</w:t>
            </w:r>
            <w:r>
              <w:t>–1</w:t>
            </w:r>
            <w:r w:rsidRPr="00476060">
              <w:t>8</w:t>
            </w:r>
          </w:p>
        </w:tc>
        <w:tc>
          <w:tcPr>
            <w:tcW w:w="1099" w:type="dxa"/>
            <w:shd w:val="clear" w:color="auto" w:fill="FFFFFF" w:themeFill="background1"/>
            <w:hideMark/>
          </w:tcPr>
          <w:p w14:paraId="747E6C01" w14:textId="6A76B305" w:rsidR="00FE564D" w:rsidRPr="00014318" w:rsidRDefault="00FE564D" w:rsidP="000D0B9B">
            <w:pPr>
              <w:pStyle w:val="Tablecolhead"/>
              <w:rPr>
                <w:lang w:eastAsia="en-AU"/>
              </w:rPr>
            </w:pPr>
            <w:r w:rsidRPr="00476060">
              <w:t>2018</w:t>
            </w:r>
            <w:r>
              <w:t>–1</w:t>
            </w:r>
            <w:r w:rsidRPr="00476060">
              <w:t>9</w:t>
            </w:r>
          </w:p>
        </w:tc>
        <w:tc>
          <w:tcPr>
            <w:tcW w:w="1099" w:type="dxa"/>
            <w:shd w:val="clear" w:color="auto" w:fill="FFFFFF" w:themeFill="background1"/>
            <w:hideMark/>
          </w:tcPr>
          <w:p w14:paraId="31024DE3" w14:textId="5D969367" w:rsidR="00FE564D" w:rsidRPr="00014318" w:rsidRDefault="00FE564D" w:rsidP="000D0B9B">
            <w:pPr>
              <w:pStyle w:val="Tablecolhead"/>
              <w:rPr>
                <w:lang w:eastAsia="en-AU"/>
              </w:rPr>
            </w:pPr>
            <w:r w:rsidRPr="00476060">
              <w:t>2019</w:t>
            </w:r>
            <w:r>
              <w:t>–2</w:t>
            </w:r>
            <w:r w:rsidRPr="00476060">
              <w:t>0</w:t>
            </w:r>
          </w:p>
        </w:tc>
        <w:tc>
          <w:tcPr>
            <w:tcW w:w="1099" w:type="dxa"/>
            <w:shd w:val="clear" w:color="auto" w:fill="FFFFFF" w:themeFill="background1"/>
          </w:tcPr>
          <w:p w14:paraId="2E9F4CC8" w14:textId="75692FDE" w:rsidR="00FE564D" w:rsidRPr="00476060" w:rsidRDefault="007B2175" w:rsidP="000D0B9B">
            <w:pPr>
              <w:pStyle w:val="Tablecolhead"/>
            </w:pPr>
            <w:r>
              <w:t>2020–21</w:t>
            </w:r>
          </w:p>
        </w:tc>
      </w:tr>
      <w:tr w:rsidR="00A03C87" w:rsidRPr="00476060" w14:paraId="682E000F" w14:textId="05A32B3E" w:rsidTr="008B4B58">
        <w:trPr>
          <w:trHeight w:val="300"/>
        </w:trPr>
        <w:tc>
          <w:tcPr>
            <w:tcW w:w="2695" w:type="dxa"/>
            <w:shd w:val="clear" w:color="auto" w:fill="auto"/>
            <w:hideMark/>
          </w:tcPr>
          <w:p w14:paraId="11BD625D" w14:textId="644063AC" w:rsidR="00A03C87" w:rsidRPr="00014318" w:rsidRDefault="00A03C87" w:rsidP="000D0B9B">
            <w:pPr>
              <w:pStyle w:val="Tabletext"/>
              <w:rPr>
                <w:lang w:eastAsia="en-AU"/>
              </w:rPr>
            </w:pPr>
            <w:r w:rsidRPr="00014318">
              <w:rPr>
                <w:lang w:eastAsia="en-AU"/>
              </w:rPr>
              <w:t>Mood disorders</w:t>
            </w:r>
          </w:p>
        </w:tc>
        <w:tc>
          <w:tcPr>
            <w:tcW w:w="1098" w:type="dxa"/>
            <w:shd w:val="clear" w:color="auto" w:fill="auto"/>
            <w:hideMark/>
          </w:tcPr>
          <w:p w14:paraId="29733C70" w14:textId="79DD2126" w:rsidR="00A03C87" w:rsidRPr="00014318" w:rsidRDefault="00A03C87" w:rsidP="000D0B9B">
            <w:pPr>
              <w:pStyle w:val="Tabletext"/>
              <w:rPr>
                <w:lang w:eastAsia="en-AU"/>
              </w:rPr>
            </w:pPr>
            <w:r>
              <w:t>7,566</w:t>
            </w:r>
          </w:p>
        </w:tc>
        <w:tc>
          <w:tcPr>
            <w:tcW w:w="1099" w:type="dxa"/>
            <w:shd w:val="clear" w:color="auto" w:fill="auto"/>
            <w:hideMark/>
          </w:tcPr>
          <w:p w14:paraId="44E2666F" w14:textId="42CA594E" w:rsidR="00A03C87" w:rsidRPr="00014318" w:rsidRDefault="00A03C87" w:rsidP="000D0B9B">
            <w:pPr>
              <w:pStyle w:val="Tabletext"/>
              <w:rPr>
                <w:lang w:eastAsia="en-AU"/>
              </w:rPr>
            </w:pPr>
            <w:r>
              <w:t>8,159</w:t>
            </w:r>
          </w:p>
        </w:tc>
        <w:tc>
          <w:tcPr>
            <w:tcW w:w="1099" w:type="dxa"/>
            <w:shd w:val="clear" w:color="auto" w:fill="auto"/>
            <w:hideMark/>
          </w:tcPr>
          <w:p w14:paraId="3C8090AF" w14:textId="54872214" w:rsidR="00A03C87" w:rsidRPr="00014318" w:rsidRDefault="00A03C87" w:rsidP="000D0B9B">
            <w:pPr>
              <w:pStyle w:val="Tabletext"/>
              <w:rPr>
                <w:lang w:eastAsia="en-AU"/>
              </w:rPr>
            </w:pPr>
            <w:r>
              <w:t>8,249</w:t>
            </w:r>
          </w:p>
        </w:tc>
        <w:tc>
          <w:tcPr>
            <w:tcW w:w="1099" w:type="dxa"/>
            <w:shd w:val="clear" w:color="auto" w:fill="auto"/>
            <w:hideMark/>
          </w:tcPr>
          <w:p w14:paraId="2B3B53AE" w14:textId="49C0CA0B" w:rsidR="00A03C87" w:rsidRPr="00014318" w:rsidRDefault="00A03C87" w:rsidP="000D0B9B">
            <w:pPr>
              <w:pStyle w:val="Tabletext"/>
              <w:rPr>
                <w:lang w:eastAsia="en-AU"/>
              </w:rPr>
            </w:pPr>
            <w:r>
              <w:t>7,868</w:t>
            </w:r>
          </w:p>
        </w:tc>
        <w:tc>
          <w:tcPr>
            <w:tcW w:w="1099" w:type="dxa"/>
            <w:shd w:val="clear" w:color="auto" w:fill="auto"/>
            <w:hideMark/>
          </w:tcPr>
          <w:p w14:paraId="1E060657" w14:textId="0789DA6A" w:rsidR="00A03C87" w:rsidRPr="00014318" w:rsidRDefault="00A03C87" w:rsidP="000D0B9B">
            <w:pPr>
              <w:pStyle w:val="Tabletext"/>
              <w:rPr>
                <w:lang w:eastAsia="en-AU"/>
              </w:rPr>
            </w:pPr>
            <w:r>
              <w:t>7,442</w:t>
            </w:r>
          </w:p>
        </w:tc>
        <w:tc>
          <w:tcPr>
            <w:tcW w:w="1099" w:type="dxa"/>
          </w:tcPr>
          <w:p w14:paraId="5FBE93EE" w14:textId="4E8CB7E0" w:rsidR="00A03C87" w:rsidRDefault="00A03C87" w:rsidP="000D0B9B">
            <w:pPr>
              <w:pStyle w:val="Tabletext"/>
            </w:pPr>
            <w:r>
              <w:t>7,240</w:t>
            </w:r>
          </w:p>
        </w:tc>
      </w:tr>
      <w:tr w:rsidR="00A03C87" w:rsidRPr="00476060" w14:paraId="1C2DAC07" w14:textId="777C6410" w:rsidTr="008B4B58">
        <w:trPr>
          <w:trHeight w:val="450"/>
        </w:trPr>
        <w:tc>
          <w:tcPr>
            <w:tcW w:w="2695" w:type="dxa"/>
            <w:shd w:val="clear" w:color="auto" w:fill="auto"/>
            <w:hideMark/>
          </w:tcPr>
          <w:p w14:paraId="731F72BF" w14:textId="51077701" w:rsidR="00A03C87" w:rsidRPr="00892ED8" w:rsidRDefault="00A03C87" w:rsidP="000D0B9B">
            <w:pPr>
              <w:pStyle w:val="Tabletext"/>
              <w:rPr>
                <w:bCs/>
                <w:lang w:eastAsia="en-AU"/>
              </w:rPr>
            </w:pPr>
            <w:r w:rsidRPr="00014318">
              <w:rPr>
                <w:bCs/>
                <w:lang w:eastAsia="en-AU"/>
              </w:rPr>
              <w:t>Schizophrenia</w:t>
            </w:r>
            <w:r w:rsidRPr="3751EFBC">
              <w:rPr>
                <w:lang w:eastAsia="en-AU"/>
              </w:rPr>
              <w:t xml:space="preserve"> and other psychoses</w:t>
            </w:r>
          </w:p>
        </w:tc>
        <w:tc>
          <w:tcPr>
            <w:tcW w:w="1098" w:type="dxa"/>
            <w:shd w:val="clear" w:color="auto" w:fill="auto"/>
            <w:hideMark/>
          </w:tcPr>
          <w:p w14:paraId="1881F3CA" w14:textId="75E3AF3D" w:rsidR="00A03C87" w:rsidRPr="00014318" w:rsidRDefault="00A03C87" w:rsidP="000D0B9B">
            <w:pPr>
              <w:pStyle w:val="Tabletext"/>
              <w:rPr>
                <w:lang w:eastAsia="en-AU"/>
              </w:rPr>
            </w:pPr>
            <w:r>
              <w:t>3,927</w:t>
            </w:r>
          </w:p>
        </w:tc>
        <w:tc>
          <w:tcPr>
            <w:tcW w:w="1099" w:type="dxa"/>
            <w:shd w:val="clear" w:color="auto" w:fill="auto"/>
            <w:hideMark/>
          </w:tcPr>
          <w:p w14:paraId="4C723D29" w14:textId="7225172C" w:rsidR="00A03C87" w:rsidRPr="00014318" w:rsidRDefault="00A03C87" w:rsidP="000D0B9B">
            <w:pPr>
              <w:pStyle w:val="Tabletext"/>
              <w:rPr>
                <w:lang w:eastAsia="en-AU"/>
              </w:rPr>
            </w:pPr>
            <w:r>
              <w:t>3,705</w:t>
            </w:r>
          </w:p>
        </w:tc>
        <w:tc>
          <w:tcPr>
            <w:tcW w:w="1099" w:type="dxa"/>
            <w:shd w:val="clear" w:color="auto" w:fill="auto"/>
            <w:hideMark/>
          </w:tcPr>
          <w:p w14:paraId="55A13140" w14:textId="7FD45889" w:rsidR="00A03C87" w:rsidRPr="00014318" w:rsidRDefault="00A03C87" w:rsidP="000D0B9B">
            <w:pPr>
              <w:pStyle w:val="Tabletext"/>
              <w:rPr>
                <w:lang w:eastAsia="en-AU"/>
              </w:rPr>
            </w:pPr>
            <w:r>
              <w:t>4,468</w:t>
            </w:r>
          </w:p>
        </w:tc>
        <w:tc>
          <w:tcPr>
            <w:tcW w:w="1099" w:type="dxa"/>
            <w:shd w:val="clear" w:color="auto" w:fill="auto"/>
            <w:hideMark/>
          </w:tcPr>
          <w:p w14:paraId="23EB388C" w14:textId="388902E5" w:rsidR="00A03C87" w:rsidRPr="00014318" w:rsidRDefault="00A03C87" w:rsidP="000D0B9B">
            <w:pPr>
              <w:pStyle w:val="Tabletext"/>
              <w:rPr>
                <w:lang w:eastAsia="en-AU"/>
              </w:rPr>
            </w:pPr>
            <w:r>
              <w:t>4,424</w:t>
            </w:r>
          </w:p>
        </w:tc>
        <w:tc>
          <w:tcPr>
            <w:tcW w:w="1099" w:type="dxa"/>
            <w:shd w:val="clear" w:color="auto" w:fill="auto"/>
            <w:hideMark/>
          </w:tcPr>
          <w:p w14:paraId="11E5139A" w14:textId="035758D1" w:rsidR="00A03C87" w:rsidRPr="00014318" w:rsidRDefault="00A03C87" w:rsidP="000D0B9B">
            <w:pPr>
              <w:pStyle w:val="Tabletext"/>
              <w:rPr>
                <w:lang w:eastAsia="en-AU"/>
              </w:rPr>
            </w:pPr>
            <w:r>
              <w:t>3,806</w:t>
            </w:r>
          </w:p>
        </w:tc>
        <w:tc>
          <w:tcPr>
            <w:tcW w:w="1099" w:type="dxa"/>
          </w:tcPr>
          <w:p w14:paraId="7A17B00C" w14:textId="48F6F0F7" w:rsidR="00A03C87" w:rsidRDefault="00A03C87" w:rsidP="000D0B9B">
            <w:pPr>
              <w:pStyle w:val="Tabletext"/>
            </w:pPr>
            <w:r>
              <w:t>4,090</w:t>
            </w:r>
          </w:p>
        </w:tc>
      </w:tr>
      <w:tr w:rsidR="00A03C87" w:rsidRPr="00476060" w14:paraId="6131ECC2" w14:textId="692D066F" w:rsidTr="008B4B58">
        <w:trPr>
          <w:trHeight w:val="300"/>
        </w:trPr>
        <w:tc>
          <w:tcPr>
            <w:tcW w:w="2695" w:type="dxa"/>
            <w:shd w:val="clear" w:color="auto" w:fill="auto"/>
            <w:hideMark/>
          </w:tcPr>
          <w:p w14:paraId="253EFF2C" w14:textId="48682158" w:rsidR="00A03C87" w:rsidRPr="00892ED8" w:rsidRDefault="00A03C87" w:rsidP="000D0B9B">
            <w:pPr>
              <w:pStyle w:val="Tabletext"/>
              <w:rPr>
                <w:bCs/>
                <w:lang w:eastAsia="en-AU"/>
              </w:rPr>
            </w:pPr>
            <w:r w:rsidRPr="00014318">
              <w:rPr>
                <w:bCs/>
                <w:lang w:eastAsia="en-AU"/>
              </w:rPr>
              <w:t xml:space="preserve">Other </w:t>
            </w:r>
            <w:r w:rsidRPr="3751EFBC">
              <w:rPr>
                <w:lang w:eastAsia="en-AU"/>
              </w:rPr>
              <w:t>conditions</w:t>
            </w:r>
          </w:p>
        </w:tc>
        <w:tc>
          <w:tcPr>
            <w:tcW w:w="1098" w:type="dxa"/>
            <w:shd w:val="clear" w:color="auto" w:fill="auto"/>
            <w:hideMark/>
          </w:tcPr>
          <w:p w14:paraId="7CCFFD38" w14:textId="0A06E3E6" w:rsidR="00A03C87" w:rsidRPr="00014318" w:rsidRDefault="00A03C87" w:rsidP="000D0B9B">
            <w:pPr>
              <w:pStyle w:val="Tabletext"/>
              <w:rPr>
                <w:lang w:eastAsia="en-AU"/>
              </w:rPr>
            </w:pPr>
            <w:r>
              <w:t>277</w:t>
            </w:r>
          </w:p>
        </w:tc>
        <w:tc>
          <w:tcPr>
            <w:tcW w:w="1099" w:type="dxa"/>
            <w:shd w:val="clear" w:color="auto" w:fill="auto"/>
            <w:hideMark/>
          </w:tcPr>
          <w:p w14:paraId="52323D10" w14:textId="4E01F989" w:rsidR="00A03C87" w:rsidRPr="00014318" w:rsidRDefault="00A03C87" w:rsidP="000D0B9B">
            <w:pPr>
              <w:pStyle w:val="Tabletext"/>
              <w:rPr>
                <w:lang w:eastAsia="en-AU"/>
              </w:rPr>
            </w:pPr>
            <w:r>
              <w:t>236</w:t>
            </w:r>
          </w:p>
        </w:tc>
        <w:tc>
          <w:tcPr>
            <w:tcW w:w="1099" w:type="dxa"/>
            <w:shd w:val="clear" w:color="auto" w:fill="auto"/>
            <w:hideMark/>
          </w:tcPr>
          <w:p w14:paraId="6C5D620E" w14:textId="64E3DDAA" w:rsidR="00A03C87" w:rsidRPr="00014318" w:rsidRDefault="00A03C87" w:rsidP="000D0B9B">
            <w:pPr>
              <w:pStyle w:val="Tabletext"/>
              <w:rPr>
                <w:lang w:eastAsia="en-AU"/>
              </w:rPr>
            </w:pPr>
            <w:r>
              <w:t>308</w:t>
            </w:r>
          </w:p>
        </w:tc>
        <w:tc>
          <w:tcPr>
            <w:tcW w:w="1099" w:type="dxa"/>
            <w:shd w:val="clear" w:color="auto" w:fill="auto"/>
            <w:hideMark/>
          </w:tcPr>
          <w:p w14:paraId="5587ABB8" w14:textId="7CC107C2" w:rsidR="00A03C87" w:rsidRPr="00014318" w:rsidRDefault="00A03C87" w:rsidP="000D0B9B">
            <w:pPr>
              <w:pStyle w:val="Tabletext"/>
              <w:rPr>
                <w:lang w:eastAsia="en-AU"/>
              </w:rPr>
            </w:pPr>
            <w:r>
              <w:t>214</w:t>
            </w:r>
          </w:p>
        </w:tc>
        <w:tc>
          <w:tcPr>
            <w:tcW w:w="1099" w:type="dxa"/>
            <w:shd w:val="clear" w:color="auto" w:fill="auto"/>
            <w:hideMark/>
          </w:tcPr>
          <w:p w14:paraId="50D39CC4" w14:textId="67564810" w:rsidR="00A03C87" w:rsidRPr="00014318" w:rsidRDefault="00A03C87" w:rsidP="000D0B9B">
            <w:pPr>
              <w:pStyle w:val="Tabletext"/>
              <w:rPr>
                <w:lang w:eastAsia="en-AU"/>
              </w:rPr>
            </w:pPr>
            <w:r>
              <w:t>206</w:t>
            </w:r>
          </w:p>
        </w:tc>
        <w:tc>
          <w:tcPr>
            <w:tcW w:w="1099" w:type="dxa"/>
          </w:tcPr>
          <w:p w14:paraId="7F5CCE0D" w14:textId="74176D91" w:rsidR="00A03C87" w:rsidRDefault="00A03C87" w:rsidP="000D0B9B">
            <w:pPr>
              <w:pStyle w:val="Tabletext"/>
            </w:pPr>
            <w:r>
              <w:t>126</w:t>
            </w:r>
          </w:p>
        </w:tc>
      </w:tr>
      <w:tr w:rsidR="00A03C87" w:rsidRPr="00476060" w14:paraId="718164E3" w14:textId="1C584F6B" w:rsidTr="008B4B58">
        <w:trPr>
          <w:trHeight w:val="300"/>
        </w:trPr>
        <w:tc>
          <w:tcPr>
            <w:tcW w:w="2695" w:type="dxa"/>
            <w:shd w:val="clear" w:color="auto" w:fill="auto"/>
            <w:hideMark/>
          </w:tcPr>
          <w:p w14:paraId="74A41C3F" w14:textId="3045F2B9" w:rsidR="00A03C87" w:rsidRPr="00892ED8" w:rsidRDefault="00A03C87" w:rsidP="000D0B9B">
            <w:pPr>
              <w:pStyle w:val="Tabletext"/>
              <w:rPr>
                <w:bCs/>
                <w:lang w:eastAsia="en-AU"/>
              </w:rPr>
            </w:pPr>
            <w:r w:rsidRPr="5858E4A4">
              <w:rPr>
                <w:lang w:eastAsia="en-AU"/>
              </w:rPr>
              <w:t>Not reported</w:t>
            </w:r>
          </w:p>
        </w:tc>
        <w:tc>
          <w:tcPr>
            <w:tcW w:w="1098" w:type="dxa"/>
            <w:shd w:val="clear" w:color="auto" w:fill="auto"/>
            <w:hideMark/>
          </w:tcPr>
          <w:p w14:paraId="56DC91B3" w14:textId="640EE76E" w:rsidR="00A03C87" w:rsidRPr="00014318" w:rsidRDefault="00A03C87" w:rsidP="000D0B9B">
            <w:pPr>
              <w:pStyle w:val="Tabletext"/>
              <w:rPr>
                <w:lang w:eastAsia="en-AU"/>
              </w:rPr>
            </w:pPr>
            <w:r>
              <w:t>177</w:t>
            </w:r>
          </w:p>
        </w:tc>
        <w:tc>
          <w:tcPr>
            <w:tcW w:w="1099" w:type="dxa"/>
            <w:shd w:val="clear" w:color="auto" w:fill="auto"/>
            <w:hideMark/>
          </w:tcPr>
          <w:p w14:paraId="66CE60C2" w14:textId="3C6CFF14" w:rsidR="00A03C87" w:rsidRPr="00014318" w:rsidRDefault="00A03C87" w:rsidP="000D0B9B">
            <w:pPr>
              <w:pStyle w:val="Tabletext"/>
              <w:rPr>
                <w:lang w:eastAsia="en-AU"/>
              </w:rPr>
            </w:pPr>
            <w:r>
              <w:t>199</w:t>
            </w:r>
          </w:p>
        </w:tc>
        <w:tc>
          <w:tcPr>
            <w:tcW w:w="1099" w:type="dxa"/>
            <w:shd w:val="clear" w:color="auto" w:fill="auto"/>
            <w:hideMark/>
          </w:tcPr>
          <w:p w14:paraId="1662DF6D" w14:textId="761EFB1F" w:rsidR="00A03C87" w:rsidRPr="00014318" w:rsidRDefault="00A03C87" w:rsidP="000D0B9B">
            <w:pPr>
              <w:pStyle w:val="Tabletext"/>
              <w:rPr>
                <w:lang w:eastAsia="en-AU"/>
              </w:rPr>
            </w:pPr>
            <w:r>
              <w:t>267</w:t>
            </w:r>
          </w:p>
        </w:tc>
        <w:tc>
          <w:tcPr>
            <w:tcW w:w="1099" w:type="dxa"/>
            <w:shd w:val="clear" w:color="auto" w:fill="auto"/>
            <w:hideMark/>
          </w:tcPr>
          <w:p w14:paraId="6A22101E" w14:textId="720686A2" w:rsidR="00A03C87" w:rsidRPr="00014318" w:rsidRDefault="00A03C87" w:rsidP="000D0B9B">
            <w:pPr>
              <w:pStyle w:val="Tabletext"/>
              <w:rPr>
                <w:lang w:eastAsia="en-AU"/>
              </w:rPr>
            </w:pPr>
            <w:r>
              <w:t>485</w:t>
            </w:r>
          </w:p>
        </w:tc>
        <w:tc>
          <w:tcPr>
            <w:tcW w:w="1099" w:type="dxa"/>
            <w:shd w:val="clear" w:color="auto" w:fill="auto"/>
            <w:hideMark/>
          </w:tcPr>
          <w:p w14:paraId="37D13F97" w14:textId="4EFDB0C4" w:rsidR="00A03C87" w:rsidRPr="00014318" w:rsidRDefault="00A03C87" w:rsidP="000D0B9B">
            <w:pPr>
              <w:pStyle w:val="Tabletext"/>
              <w:rPr>
                <w:lang w:eastAsia="en-AU"/>
              </w:rPr>
            </w:pPr>
            <w:r>
              <w:t>648</w:t>
            </w:r>
          </w:p>
        </w:tc>
        <w:tc>
          <w:tcPr>
            <w:tcW w:w="1099" w:type="dxa"/>
          </w:tcPr>
          <w:p w14:paraId="02EB84A1" w14:textId="757327D7" w:rsidR="00A03C87" w:rsidRDefault="00A03C87" w:rsidP="000D0B9B">
            <w:pPr>
              <w:pStyle w:val="Tabletext"/>
            </w:pPr>
            <w:r>
              <w:t>509</w:t>
            </w:r>
          </w:p>
        </w:tc>
      </w:tr>
    </w:tbl>
    <w:p w14:paraId="6D40F348" w14:textId="29E65B3E" w:rsidR="00381B2F" w:rsidRDefault="00381B2F" w:rsidP="00643556">
      <w:pPr>
        <w:pStyle w:val="Bodyaftertable"/>
      </w:pPr>
      <w:r w:rsidRPr="004074FA">
        <w:t xml:space="preserve">Table </w:t>
      </w:r>
      <w:r w:rsidR="002D70FB">
        <w:t>6</w:t>
      </w:r>
      <w:r w:rsidRPr="00A809FE">
        <w:t xml:space="preserve"> shows that, overall, more women than men were treated with ECT across the life span.</w:t>
      </w:r>
    </w:p>
    <w:p w14:paraId="00DC224C" w14:textId="156B00E7" w:rsidR="00381B2F" w:rsidRDefault="00381B2F" w:rsidP="000D0B9B">
      <w:pPr>
        <w:pStyle w:val="Tablecaption"/>
      </w:pPr>
      <w:r w:rsidRPr="4117A3B1">
        <w:rPr>
          <w:rFonts w:eastAsia="Arial"/>
        </w:rPr>
        <w:t xml:space="preserve">Table </w:t>
      </w:r>
      <w:r w:rsidR="002D70FB">
        <w:rPr>
          <w:rFonts w:eastAsia="Arial"/>
        </w:rPr>
        <w:t>6</w:t>
      </w:r>
      <w:r w:rsidRPr="4117A3B1">
        <w:rPr>
          <w:rFonts w:eastAsia="Arial"/>
        </w:rPr>
        <w:t>: Number of ECT treatments</w:t>
      </w:r>
      <w:r w:rsidR="005A0956" w:rsidRPr="4117A3B1">
        <w:rPr>
          <w:rFonts w:eastAsia="Arial"/>
        </w:rPr>
        <w:t>,</w:t>
      </w:r>
      <w:r w:rsidRPr="4117A3B1">
        <w:rPr>
          <w:rFonts w:eastAsia="Arial"/>
        </w:rPr>
        <w:t xml:space="preserve"> by age group and gender</w:t>
      </w:r>
      <w:r w:rsidR="005A0956" w:rsidRPr="4117A3B1">
        <w:rPr>
          <w:rFonts w:eastAsia="Arial"/>
        </w:rPr>
        <w:t>,</w:t>
      </w:r>
      <w:r w:rsidRPr="4117A3B1">
        <w:rPr>
          <w:rFonts w:eastAsia="Arial"/>
        </w:rPr>
        <w:t xml:space="preserve"> </w:t>
      </w:r>
      <w:r w:rsidR="007B2175">
        <w:rPr>
          <w:rFonts w:eastAsia="Arial"/>
        </w:rPr>
        <w:t>2020–21</w:t>
      </w:r>
    </w:p>
    <w:tbl>
      <w:tblPr>
        <w:tblStyle w:val="TableGrid"/>
        <w:tblW w:w="5000" w:type="pct"/>
        <w:tblInd w:w="0" w:type="dxa"/>
        <w:tblLayout w:type="fixed"/>
        <w:tblLook w:val="04A0" w:firstRow="1" w:lastRow="0" w:firstColumn="1" w:lastColumn="0" w:noHBand="0" w:noVBand="1"/>
      </w:tblPr>
      <w:tblGrid>
        <w:gridCol w:w="1639"/>
        <w:gridCol w:w="956"/>
        <w:gridCol w:w="957"/>
        <w:gridCol w:w="957"/>
        <w:gridCol w:w="957"/>
        <w:gridCol w:w="957"/>
        <w:gridCol w:w="957"/>
        <w:gridCol w:w="957"/>
        <w:gridCol w:w="951"/>
      </w:tblGrid>
      <w:tr w:rsidR="00A01A75" w14:paraId="5BEEE49E" w14:textId="77777777" w:rsidTr="00643556">
        <w:trPr>
          <w:tblHeader/>
        </w:trPr>
        <w:tc>
          <w:tcPr>
            <w:tcW w:w="883" w:type="pct"/>
          </w:tcPr>
          <w:p w14:paraId="181C6C25" w14:textId="77777777" w:rsidR="00A01A75" w:rsidRDefault="00A01A75" w:rsidP="000D0B9B">
            <w:pPr>
              <w:pStyle w:val="Tablecolhead"/>
            </w:pPr>
            <w:r w:rsidRPr="10DC7BF4">
              <w:t>Measure</w:t>
            </w:r>
          </w:p>
        </w:tc>
        <w:tc>
          <w:tcPr>
            <w:tcW w:w="515" w:type="pct"/>
          </w:tcPr>
          <w:p w14:paraId="03ACE0EF" w14:textId="7A89CC00" w:rsidR="00A01A75" w:rsidRPr="10DC7BF4" w:rsidRDefault="00A01A75" w:rsidP="000D0B9B">
            <w:pPr>
              <w:pStyle w:val="Tablecolhead"/>
            </w:pPr>
            <w:r>
              <w:t>0</w:t>
            </w:r>
            <w:r w:rsidR="00010A54">
              <w:t>–</w:t>
            </w:r>
            <w:r>
              <w:t>18</w:t>
            </w:r>
          </w:p>
        </w:tc>
        <w:tc>
          <w:tcPr>
            <w:tcW w:w="515" w:type="pct"/>
          </w:tcPr>
          <w:p w14:paraId="156D7334" w14:textId="74DDFFD7" w:rsidR="00A01A75" w:rsidRDefault="00A01A75" w:rsidP="000D0B9B">
            <w:pPr>
              <w:pStyle w:val="Tablecolhead"/>
            </w:pPr>
            <w:r w:rsidRPr="10DC7BF4">
              <w:t>18</w:t>
            </w:r>
            <w:r>
              <w:t>–2</w:t>
            </w:r>
            <w:r w:rsidRPr="10DC7BF4">
              <w:t>9</w:t>
            </w:r>
          </w:p>
        </w:tc>
        <w:tc>
          <w:tcPr>
            <w:tcW w:w="515" w:type="pct"/>
          </w:tcPr>
          <w:p w14:paraId="22E953DE" w14:textId="2B64E6AA" w:rsidR="00A01A75" w:rsidRDefault="00A01A75" w:rsidP="000D0B9B">
            <w:pPr>
              <w:pStyle w:val="Tablecolhead"/>
            </w:pPr>
            <w:r w:rsidRPr="10DC7BF4">
              <w:t>30</w:t>
            </w:r>
            <w:r>
              <w:t>–</w:t>
            </w:r>
            <w:r w:rsidRPr="10DC7BF4">
              <w:t>39</w:t>
            </w:r>
          </w:p>
        </w:tc>
        <w:tc>
          <w:tcPr>
            <w:tcW w:w="515" w:type="pct"/>
          </w:tcPr>
          <w:p w14:paraId="6C432FCB" w14:textId="58F1C772" w:rsidR="00A01A75" w:rsidRDefault="00A01A75" w:rsidP="000D0B9B">
            <w:pPr>
              <w:pStyle w:val="Tablecolhead"/>
            </w:pPr>
            <w:r w:rsidRPr="10DC7BF4">
              <w:t>40</w:t>
            </w:r>
            <w:r>
              <w:t>–</w:t>
            </w:r>
            <w:r w:rsidRPr="10DC7BF4">
              <w:t>49</w:t>
            </w:r>
          </w:p>
        </w:tc>
        <w:tc>
          <w:tcPr>
            <w:tcW w:w="515" w:type="pct"/>
          </w:tcPr>
          <w:p w14:paraId="688D7385" w14:textId="4E7D4963" w:rsidR="00A01A75" w:rsidRDefault="00A01A75" w:rsidP="000D0B9B">
            <w:pPr>
              <w:pStyle w:val="Tablecolhead"/>
            </w:pPr>
            <w:r w:rsidRPr="10DC7BF4">
              <w:t>50</w:t>
            </w:r>
            <w:r>
              <w:t>–</w:t>
            </w:r>
            <w:r w:rsidRPr="10DC7BF4">
              <w:t>59</w:t>
            </w:r>
          </w:p>
        </w:tc>
        <w:tc>
          <w:tcPr>
            <w:tcW w:w="515" w:type="pct"/>
          </w:tcPr>
          <w:p w14:paraId="1595A5C9" w14:textId="3775472A" w:rsidR="00A01A75" w:rsidRDefault="00A01A75" w:rsidP="000D0B9B">
            <w:pPr>
              <w:pStyle w:val="Tablecolhead"/>
            </w:pPr>
            <w:r w:rsidRPr="10DC7BF4">
              <w:t>60</w:t>
            </w:r>
            <w:r>
              <w:t>–</w:t>
            </w:r>
            <w:r w:rsidRPr="10DC7BF4">
              <w:t>69</w:t>
            </w:r>
          </w:p>
        </w:tc>
        <w:tc>
          <w:tcPr>
            <w:tcW w:w="515" w:type="pct"/>
          </w:tcPr>
          <w:p w14:paraId="2905DC26" w14:textId="2937D4D3" w:rsidR="00A01A75" w:rsidRDefault="00A01A75" w:rsidP="000D0B9B">
            <w:pPr>
              <w:pStyle w:val="Tablecolhead"/>
            </w:pPr>
            <w:r w:rsidRPr="10DC7BF4">
              <w:t>70</w:t>
            </w:r>
            <w:r>
              <w:t>–</w:t>
            </w:r>
            <w:r w:rsidRPr="10DC7BF4">
              <w:t>79</w:t>
            </w:r>
          </w:p>
        </w:tc>
        <w:tc>
          <w:tcPr>
            <w:tcW w:w="515" w:type="pct"/>
          </w:tcPr>
          <w:p w14:paraId="60DB6642" w14:textId="77777777" w:rsidR="00A01A75" w:rsidRDefault="00A01A75" w:rsidP="000D0B9B">
            <w:pPr>
              <w:pStyle w:val="Tablecolhead"/>
            </w:pPr>
            <w:r w:rsidRPr="10DC7BF4">
              <w:t>80+</w:t>
            </w:r>
          </w:p>
        </w:tc>
      </w:tr>
      <w:tr w:rsidR="00A01A75" w14:paraId="5FA85316" w14:textId="77777777" w:rsidTr="00643556">
        <w:tc>
          <w:tcPr>
            <w:tcW w:w="883" w:type="pct"/>
          </w:tcPr>
          <w:p w14:paraId="76C557CA" w14:textId="136419CF" w:rsidR="00A01A75" w:rsidRDefault="0080048F" w:rsidP="000D0B9B">
            <w:pPr>
              <w:pStyle w:val="Tabletext"/>
            </w:pPr>
            <w:r>
              <w:t>Male</w:t>
            </w:r>
          </w:p>
        </w:tc>
        <w:tc>
          <w:tcPr>
            <w:tcW w:w="515" w:type="pct"/>
          </w:tcPr>
          <w:p w14:paraId="0EFFBA53" w14:textId="43B19867" w:rsidR="00A01A75" w:rsidRDefault="00A01A75" w:rsidP="000D0B9B">
            <w:pPr>
              <w:pStyle w:val="Tabletext"/>
            </w:pPr>
            <w:r>
              <w:t>35</w:t>
            </w:r>
          </w:p>
        </w:tc>
        <w:tc>
          <w:tcPr>
            <w:tcW w:w="515" w:type="pct"/>
          </w:tcPr>
          <w:p w14:paraId="0BC5CAC9" w14:textId="2CB4F514" w:rsidR="00A01A75" w:rsidRDefault="00A01A75" w:rsidP="000D0B9B">
            <w:pPr>
              <w:pStyle w:val="Tabletext"/>
            </w:pPr>
            <w:r>
              <w:t>536</w:t>
            </w:r>
          </w:p>
        </w:tc>
        <w:tc>
          <w:tcPr>
            <w:tcW w:w="515" w:type="pct"/>
          </w:tcPr>
          <w:p w14:paraId="3E0131CC" w14:textId="4BCE37A4" w:rsidR="00A01A75" w:rsidRDefault="00A01A75" w:rsidP="000D0B9B">
            <w:pPr>
              <w:pStyle w:val="Tabletext"/>
            </w:pPr>
            <w:r>
              <w:t>991</w:t>
            </w:r>
          </w:p>
        </w:tc>
        <w:tc>
          <w:tcPr>
            <w:tcW w:w="515" w:type="pct"/>
          </w:tcPr>
          <w:p w14:paraId="4EE04277" w14:textId="5125E904" w:rsidR="00A01A75" w:rsidRDefault="00A01A75" w:rsidP="000D0B9B">
            <w:pPr>
              <w:pStyle w:val="Tabletext"/>
            </w:pPr>
            <w:r>
              <w:t>1</w:t>
            </w:r>
            <w:r w:rsidR="001B5035">
              <w:t>,</w:t>
            </w:r>
            <w:r>
              <w:t>153</w:t>
            </w:r>
          </w:p>
        </w:tc>
        <w:tc>
          <w:tcPr>
            <w:tcW w:w="515" w:type="pct"/>
          </w:tcPr>
          <w:p w14:paraId="0C62A387" w14:textId="5EDD981D" w:rsidR="00A01A75" w:rsidRDefault="00A01A75" w:rsidP="000D0B9B">
            <w:pPr>
              <w:pStyle w:val="Tabletext"/>
            </w:pPr>
            <w:r>
              <w:t>868</w:t>
            </w:r>
          </w:p>
        </w:tc>
        <w:tc>
          <w:tcPr>
            <w:tcW w:w="515" w:type="pct"/>
          </w:tcPr>
          <w:p w14:paraId="3F2832C8" w14:textId="7C985F8A" w:rsidR="00A01A75" w:rsidRDefault="00A01A75" w:rsidP="000D0B9B">
            <w:pPr>
              <w:pStyle w:val="Tabletext"/>
            </w:pPr>
            <w:r>
              <w:t>990</w:t>
            </w:r>
          </w:p>
        </w:tc>
        <w:tc>
          <w:tcPr>
            <w:tcW w:w="515" w:type="pct"/>
          </w:tcPr>
          <w:p w14:paraId="0430FA1A" w14:textId="7D5BBE98" w:rsidR="00A01A75" w:rsidRDefault="00A01A75" w:rsidP="000D0B9B">
            <w:pPr>
              <w:pStyle w:val="Tabletext"/>
            </w:pPr>
            <w:r>
              <w:t>766</w:t>
            </w:r>
          </w:p>
        </w:tc>
        <w:tc>
          <w:tcPr>
            <w:tcW w:w="515" w:type="pct"/>
          </w:tcPr>
          <w:p w14:paraId="65F769F2" w14:textId="08FE9974" w:rsidR="00A01A75" w:rsidRDefault="00A01A75" w:rsidP="000D0B9B">
            <w:pPr>
              <w:pStyle w:val="Tabletext"/>
            </w:pPr>
            <w:r>
              <w:t>222</w:t>
            </w:r>
          </w:p>
        </w:tc>
      </w:tr>
      <w:tr w:rsidR="00A01A75" w14:paraId="3C20A48E" w14:textId="77777777" w:rsidTr="00643556">
        <w:trPr>
          <w:trHeight w:val="458"/>
        </w:trPr>
        <w:tc>
          <w:tcPr>
            <w:tcW w:w="883" w:type="pct"/>
          </w:tcPr>
          <w:p w14:paraId="57885B97" w14:textId="023ECCC8" w:rsidR="00A01A75" w:rsidRDefault="0080048F" w:rsidP="000D0B9B">
            <w:pPr>
              <w:pStyle w:val="Tabletext"/>
            </w:pPr>
            <w:r>
              <w:t>Female</w:t>
            </w:r>
          </w:p>
        </w:tc>
        <w:tc>
          <w:tcPr>
            <w:tcW w:w="515" w:type="pct"/>
          </w:tcPr>
          <w:p w14:paraId="5855B842" w14:textId="1F5DE914" w:rsidR="00A01A75" w:rsidRDefault="001B5035" w:rsidP="000D0B9B">
            <w:pPr>
              <w:pStyle w:val="Tabletext"/>
            </w:pPr>
            <w:r>
              <w:t>29</w:t>
            </w:r>
          </w:p>
        </w:tc>
        <w:tc>
          <w:tcPr>
            <w:tcW w:w="515" w:type="pct"/>
          </w:tcPr>
          <w:p w14:paraId="252E9F93" w14:textId="43605FCF" w:rsidR="00A01A75" w:rsidRDefault="001B5035" w:rsidP="000D0B9B">
            <w:pPr>
              <w:pStyle w:val="Tabletext"/>
            </w:pPr>
            <w:r>
              <w:t>760</w:t>
            </w:r>
          </w:p>
        </w:tc>
        <w:tc>
          <w:tcPr>
            <w:tcW w:w="515" w:type="pct"/>
          </w:tcPr>
          <w:p w14:paraId="08AC9D94" w14:textId="40F8FEDD" w:rsidR="00A01A75" w:rsidRDefault="001B5035" w:rsidP="000D0B9B">
            <w:pPr>
              <w:pStyle w:val="Tabletext"/>
            </w:pPr>
            <w:r>
              <w:t>737</w:t>
            </w:r>
          </w:p>
        </w:tc>
        <w:tc>
          <w:tcPr>
            <w:tcW w:w="515" w:type="pct"/>
          </w:tcPr>
          <w:p w14:paraId="6125DBB4" w14:textId="37D30DA6" w:rsidR="00A01A75" w:rsidRDefault="001B5035" w:rsidP="000D0B9B">
            <w:pPr>
              <w:pStyle w:val="Tabletext"/>
            </w:pPr>
            <w:r>
              <w:t>932</w:t>
            </w:r>
          </w:p>
        </w:tc>
        <w:tc>
          <w:tcPr>
            <w:tcW w:w="515" w:type="pct"/>
          </w:tcPr>
          <w:p w14:paraId="046A774A" w14:textId="2C7B3928" w:rsidR="00A01A75" w:rsidRDefault="001B5035" w:rsidP="000D0B9B">
            <w:pPr>
              <w:pStyle w:val="Tabletext"/>
            </w:pPr>
            <w:r>
              <w:t>869</w:t>
            </w:r>
          </w:p>
        </w:tc>
        <w:tc>
          <w:tcPr>
            <w:tcW w:w="515" w:type="pct"/>
          </w:tcPr>
          <w:p w14:paraId="036EFEC5" w14:textId="6D0D0B16" w:rsidR="00A01A75" w:rsidRDefault="001B5035" w:rsidP="000D0B9B">
            <w:pPr>
              <w:pStyle w:val="Tabletext"/>
            </w:pPr>
            <w:r>
              <w:t>1,024</w:t>
            </w:r>
          </w:p>
        </w:tc>
        <w:tc>
          <w:tcPr>
            <w:tcW w:w="515" w:type="pct"/>
          </w:tcPr>
          <w:p w14:paraId="54307779" w14:textId="286F4E91" w:rsidR="00A01A75" w:rsidRDefault="001B5035" w:rsidP="000D0B9B">
            <w:pPr>
              <w:pStyle w:val="Tabletext"/>
            </w:pPr>
            <w:r>
              <w:t>1,364</w:t>
            </w:r>
          </w:p>
        </w:tc>
        <w:tc>
          <w:tcPr>
            <w:tcW w:w="515" w:type="pct"/>
          </w:tcPr>
          <w:p w14:paraId="626447BA" w14:textId="3D34FFC2" w:rsidR="00A01A75" w:rsidRDefault="00A01A75" w:rsidP="000D0B9B">
            <w:pPr>
              <w:pStyle w:val="Tabletext"/>
            </w:pPr>
            <w:r>
              <w:t>681</w:t>
            </w:r>
          </w:p>
        </w:tc>
      </w:tr>
    </w:tbl>
    <w:p w14:paraId="203C447F" w14:textId="7E97F38F" w:rsidR="00381B2F" w:rsidRDefault="00381B2F" w:rsidP="00381B2F">
      <w:pPr>
        <w:pStyle w:val="Heading2"/>
        <w:rPr>
          <w:rFonts w:eastAsia="Arial"/>
          <w:i/>
        </w:rPr>
      </w:pPr>
      <w:bookmarkStart w:id="35" w:name="_Toc52886243"/>
      <w:bookmarkStart w:id="36" w:name="_Toc86347182"/>
      <w:r w:rsidRPr="56B42FB6">
        <w:rPr>
          <w:rFonts w:eastAsia="Arial"/>
        </w:rPr>
        <w:t>Deaths of people receiving mental health treatment</w:t>
      </w:r>
      <w:bookmarkEnd w:id="35"/>
      <w:bookmarkEnd w:id="36"/>
    </w:p>
    <w:p w14:paraId="431C85F1" w14:textId="1135A650" w:rsidR="00381B2F" w:rsidRPr="005269A4" w:rsidRDefault="00381B2F" w:rsidP="00563C62">
      <w:pPr>
        <w:pStyle w:val="Body"/>
      </w:pPr>
      <w:r w:rsidRPr="005269A4">
        <w:t>The death of a person receiving treatment or support for a mental illness is a tragic event. The Chief Psychiatrist collects data from mental health services to learn from each incident</w:t>
      </w:r>
      <w:r w:rsidR="00EB58AA">
        <w:t>,</w:t>
      </w:r>
      <w:r w:rsidRPr="005269A4">
        <w:t xml:space="preserve"> with a view to improving the quality and safety of clinical practices and reducing the number of preventable deaths.</w:t>
      </w:r>
    </w:p>
    <w:p w14:paraId="384B452B" w14:textId="1B7E7F47" w:rsidR="00381B2F" w:rsidRPr="005269A4" w:rsidRDefault="00701695" w:rsidP="00563C62">
      <w:pPr>
        <w:pStyle w:val="Body"/>
      </w:pPr>
      <w:r>
        <w:t>T</w:t>
      </w:r>
      <w:r w:rsidR="00381B2F" w:rsidRPr="005269A4">
        <w:t>he Chief Psychiatrist must be notified of the deaths of all mental health inpatients where an inpatient is defined as any person</w:t>
      </w:r>
      <w:r w:rsidR="0060110C">
        <w:t>,</w:t>
      </w:r>
      <w:r w:rsidR="00381B2F" w:rsidRPr="005269A4">
        <w:t xml:space="preserve"> regardless of legal status</w:t>
      </w:r>
      <w:r w:rsidR="0060110C">
        <w:t>,</w:t>
      </w:r>
      <w:r w:rsidR="00381B2F" w:rsidRPr="005269A4">
        <w:rPr>
          <w:i/>
          <w:iCs/>
        </w:rPr>
        <w:t xml:space="preserve"> </w:t>
      </w:r>
      <w:r w:rsidR="00381B2F" w:rsidRPr="005269A4">
        <w:t>who</w:t>
      </w:r>
      <w:r w:rsidR="00381B2F" w:rsidRPr="005269A4">
        <w:rPr>
          <w:i/>
          <w:iCs/>
        </w:rPr>
        <w:t>:</w:t>
      </w:r>
    </w:p>
    <w:p w14:paraId="3AA95B90" w14:textId="77777777" w:rsidR="00381B2F" w:rsidRPr="005269A4" w:rsidRDefault="00381B2F" w:rsidP="00563C62">
      <w:pPr>
        <w:pStyle w:val="Bullet1"/>
        <w:rPr>
          <w:rFonts w:eastAsiaTheme="minorEastAsia"/>
        </w:rPr>
      </w:pPr>
      <w:r w:rsidRPr="005269A4">
        <w:t>had been admitted to a mental health inpatient unit</w:t>
      </w:r>
    </w:p>
    <w:p w14:paraId="0E2A6E18" w14:textId="77777777" w:rsidR="00381B2F" w:rsidRPr="005269A4" w:rsidRDefault="00381B2F" w:rsidP="00563C62">
      <w:pPr>
        <w:pStyle w:val="Bullet1"/>
        <w:rPr>
          <w:rFonts w:eastAsiaTheme="minorEastAsia"/>
        </w:rPr>
      </w:pPr>
      <w:r w:rsidRPr="005269A4">
        <w:t>was on approved leave from an inpatient unit</w:t>
      </w:r>
    </w:p>
    <w:p w14:paraId="0CCE4CD6" w14:textId="77777777" w:rsidR="00381B2F" w:rsidRPr="005269A4" w:rsidRDefault="00381B2F" w:rsidP="00563C62">
      <w:pPr>
        <w:pStyle w:val="Bullet1"/>
        <w:rPr>
          <w:rFonts w:eastAsiaTheme="minorEastAsia"/>
        </w:rPr>
      </w:pPr>
      <w:r w:rsidRPr="005269A4">
        <w:t>had absconded from an inpatient unit</w:t>
      </w:r>
    </w:p>
    <w:p w14:paraId="61667778" w14:textId="77777777" w:rsidR="00381B2F" w:rsidRPr="005269A4" w:rsidRDefault="00381B2F" w:rsidP="00563C62">
      <w:pPr>
        <w:pStyle w:val="Bullet1"/>
        <w:rPr>
          <w:rFonts w:eastAsiaTheme="minorEastAsia"/>
        </w:rPr>
      </w:pPr>
      <w:r w:rsidRPr="005269A4">
        <w:t>had been transferred to a non-psychiatric ward during a mental health admission</w:t>
      </w:r>
    </w:p>
    <w:p w14:paraId="33022C9B" w14:textId="77777777" w:rsidR="00381B2F" w:rsidRPr="005269A4" w:rsidRDefault="00381B2F" w:rsidP="00563C62">
      <w:pPr>
        <w:pStyle w:val="Bullet1"/>
        <w:rPr>
          <w:rFonts w:eastAsiaTheme="minorEastAsia"/>
        </w:rPr>
      </w:pPr>
      <w:r w:rsidRPr="005269A4">
        <w:lastRenderedPageBreak/>
        <w:t>had been discharged from a mental health inpatient unit within the previous 24 hours</w:t>
      </w:r>
    </w:p>
    <w:p w14:paraId="7576135E" w14:textId="77777777" w:rsidR="00381B2F" w:rsidRPr="005269A4" w:rsidRDefault="00381B2F" w:rsidP="00563C62">
      <w:pPr>
        <w:pStyle w:val="Bullet1"/>
        <w:rPr>
          <w:rFonts w:eastAsiaTheme="minorEastAsia"/>
        </w:rPr>
      </w:pPr>
      <w:r w:rsidRPr="005269A4">
        <w:t>had been waiting in an emergency department for a mental health bed to become available.</w:t>
      </w:r>
    </w:p>
    <w:p w14:paraId="4DD1EDEA" w14:textId="77777777" w:rsidR="00381B2F" w:rsidRPr="005269A4" w:rsidRDefault="00381B2F" w:rsidP="00643556">
      <w:pPr>
        <w:pStyle w:val="Bodyafterbullets"/>
      </w:pPr>
      <w:r w:rsidRPr="005269A4">
        <w:t>In the case of deaths in the community, the Chief Psychiatrist must be notified of:</w:t>
      </w:r>
    </w:p>
    <w:p w14:paraId="09A11216" w14:textId="77777777" w:rsidR="00381B2F" w:rsidRPr="00EC49D8" w:rsidRDefault="00381B2F" w:rsidP="00563C62">
      <w:pPr>
        <w:pStyle w:val="Bullet1"/>
      </w:pPr>
      <w:r w:rsidRPr="005269A4">
        <w:t>all unexpected, unnatural or violent deaths (including suspected suicides) of people who had been registered as a mental health consumer within the previous three months or who had sought care from a mental health provider within that period and had not received treatment</w:t>
      </w:r>
    </w:p>
    <w:p w14:paraId="033F94F0" w14:textId="77777777" w:rsidR="00381B2F" w:rsidRPr="00EC49D8" w:rsidRDefault="00381B2F" w:rsidP="00563C62">
      <w:pPr>
        <w:pStyle w:val="Bullet1"/>
      </w:pPr>
      <w:r w:rsidRPr="005269A4">
        <w:t>all deaths of patients under community treatment orders or non-custodial supervision orders.</w:t>
      </w:r>
    </w:p>
    <w:p w14:paraId="39415E7B" w14:textId="77777777" w:rsidR="00381B2F" w:rsidRPr="005269A4" w:rsidRDefault="00381B2F" w:rsidP="00D55654">
      <w:pPr>
        <w:pStyle w:val="Bodyafterbullets"/>
      </w:pPr>
      <w:r w:rsidRPr="005269A4">
        <w:t>People are considered to be mental health consumers until their case is closed and they have been told of this change in status (or the service has made reasonable efforts to do so).</w:t>
      </w:r>
    </w:p>
    <w:p w14:paraId="1BD25D5E" w14:textId="77777777" w:rsidR="00381B2F" w:rsidRPr="005269A4" w:rsidRDefault="00381B2F" w:rsidP="00B5548B">
      <w:pPr>
        <w:pStyle w:val="Bodyafterbullets"/>
      </w:pPr>
      <w:r w:rsidRPr="005269A4">
        <w:t>The Chief Psychiatrist is accountable for the following functions with respect to consumers’ deaths:</w:t>
      </w:r>
    </w:p>
    <w:p w14:paraId="7054B0F8" w14:textId="77777777" w:rsidR="00381B2F" w:rsidRPr="00EC49D8" w:rsidRDefault="00381B2F" w:rsidP="00563C62">
      <w:pPr>
        <w:pStyle w:val="Bullet1"/>
      </w:pPr>
      <w:r w:rsidRPr="005269A4">
        <w:t>to maintain a database of reportable deaths</w:t>
      </w:r>
    </w:p>
    <w:p w14:paraId="7C16016B" w14:textId="430846F4" w:rsidR="00381B2F" w:rsidRPr="00EC49D8" w:rsidRDefault="00381B2F" w:rsidP="00563C62">
      <w:pPr>
        <w:pStyle w:val="Bullet1"/>
      </w:pPr>
      <w:r w:rsidRPr="005269A4">
        <w:t xml:space="preserve">to contribute to coronial </w:t>
      </w:r>
      <w:r w:rsidR="00EB58AA">
        <w:t>i</w:t>
      </w:r>
      <w:r w:rsidRPr="005269A4">
        <w:t>nquiries and recommendations when requested by the coroner</w:t>
      </w:r>
    </w:p>
    <w:p w14:paraId="7341524A" w14:textId="77777777" w:rsidR="00381B2F" w:rsidRPr="00EC49D8" w:rsidRDefault="00381B2F" w:rsidP="00563C62">
      <w:pPr>
        <w:pStyle w:val="Bullet1"/>
      </w:pPr>
      <w:r w:rsidRPr="005269A4">
        <w:t>to review clinical reports provided by services to identify systemic issues that may have contributed to a person’s death</w:t>
      </w:r>
    </w:p>
    <w:p w14:paraId="2BFEDACB" w14:textId="67EE9416" w:rsidR="00381B2F" w:rsidRPr="00EC49D8" w:rsidRDefault="00381B2F" w:rsidP="00563C62">
      <w:pPr>
        <w:pStyle w:val="Bullet1"/>
      </w:pPr>
      <w:r w:rsidRPr="005269A4">
        <w:t xml:space="preserve">to identify </w:t>
      </w:r>
      <w:r w:rsidR="5C8313BD">
        <w:t>statewide</w:t>
      </w:r>
      <w:r w:rsidRPr="005269A4">
        <w:t xml:space="preserve"> issues and provide guidance to mental health services to help reduce and prevent deaths and </w:t>
      </w:r>
      <w:r w:rsidR="0060110C">
        <w:t xml:space="preserve">to </w:t>
      </w:r>
      <w:r w:rsidRPr="005269A4">
        <w:t>provide safe and effective care.</w:t>
      </w:r>
    </w:p>
    <w:p w14:paraId="6B1C659A" w14:textId="75ADC413" w:rsidR="00381B2F" w:rsidRDefault="00381B2F" w:rsidP="00381B2F">
      <w:pPr>
        <w:pStyle w:val="Heading3"/>
        <w:rPr>
          <w:rFonts w:ascii="Calibri" w:eastAsia="Calibri" w:hAnsi="Calibri"/>
          <w:b/>
          <w:sz w:val="22"/>
          <w:szCs w:val="22"/>
          <w:highlight w:val="magenta"/>
        </w:rPr>
      </w:pPr>
      <w:bookmarkStart w:id="37" w:name="_Toc52886244"/>
      <w:r w:rsidRPr="33B77389">
        <w:t xml:space="preserve">Reportable deaths in </w:t>
      </w:r>
      <w:r w:rsidR="571CD37D">
        <w:t>20</w:t>
      </w:r>
      <w:r w:rsidR="21D49812">
        <w:t>20</w:t>
      </w:r>
      <w:r w:rsidR="571CD37D">
        <w:t>–2</w:t>
      </w:r>
      <w:r w:rsidR="02733629">
        <w:t>1</w:t>
      </w:r>
      <w:bookmarkEnd w:id="37"/>
    </w:p>
    <w:p w14:paraId="3B72A634" w14:textId="2D49D8D3" w:rsidR="00381B2F" w:rsidRPr="002F20AE" w:rsidRDefault="00381B2F" w:rsidP="00563C62">
      <w:pPr>
        <w:pStyle w:val="Body"/>
        <w:rPr>
          <w:color w:val="FF0000"/>
        </w:rPr>
      </w:pPr>
      <w:r w:rsidRPr="005269A4">
        <w:t xml:space="preserve">In </w:t>
      </w:r>
      <w:r w:rsidR="571CD37D">
        <w:t>20</w:t>
      </w:r>
      <w:r w:rsidR="7C0666A0">
        <w:t>20</w:t>
      </w:r>
      <w:r w:rsidR="571CD37D">
        <w:t>–2</w:t>
      </w:r>
      <w:r w:rsidR="4A0D4948">
        <w:t>1</w:t>
      </w:r>
      <w:r w:rsidRPr="005269A4">
        <w:t xml:space="preserve"> mental health services reported </w:t>
      </w:r>
      <w:r w:rsidR="32B1110D">
        <w:t>320</w:t>
      </w:r>
      <w:r w:rsidRPr="005269A4">
        <w:t xml:space="preserve"> deaths</w:t>
      </w:r>
      <w:r w:rsidR="00F60B53">
        <w:t>,</w:t>
      </w:r>
      <w:r w:rsidRPr="005269A4">
        <w:t xml:space="preserve"> of which </w:t>
      </w:r>
      <w:r w:rsidR="004C2A03" w:rsidRPr="00E631B5">
        <w:t>17</w:t>
      </w:r>
      <w:r w:rsidRPr="005269A4">
        <w:t xml:space="preserve"> were defined as ‘inpatient deaths’ </w:t>
      </w:r>
      <w:r w:rsidR="00A12442">
        <w:t xml:space="preserve">(Table </w:t>
      </w:r>
      <w:r w:rsidR="00E317E6">
        <w:t>8</w:t>
      </w:r>
      <w:r w:rsidR="00A12442">
        <w:t>). This encompasses</w:t>
      </w:r>
      <w:r w:rsidRPr="005269A4">
        <w:t xml:space="preserve"> the deaths of people while on leave, shortly after </w:t>
      </w:r>
      <w:r w:rsidR="000D1445">
        <w:t xml:space="preserve">their </w:t>
      </w:r>
      <w:r w:rsidRPr="005269A4">
        <w:t>discharge or following</w:t>
      </w:r>
      <w:r w:rsidR="000D1445">
        <w:t xml:space="preserve"> their</w:t>
      </w:r>
      <w:r w:rsidRPr="005269A4">
        <w:t xml:space="preserve"> transfer to other types of wards. When adjusted for population, rates of community deaths were close to the norm</w:t>
      </w:r>
      <w:r w:rsidR="0068021D">
        <w:t>,</w:t>
      </w:r>
      <w:r w:rsidRPr="005269A4">
        <w:t xml:space="preserve"> while those of inpatient deaths </w:t>
      </w:r>
      <w:r w:rsidR="00CB0976">
        <w:t>have decreased</w:t>
      </w:r>
      <w:r w:rsidRPr="005269A4">
        <w:t xml:space="preserve"> </w:t>
      </w:r>
      <w:r w:rsidRPr="004074FA">
        <w:t>(</w:t>
      </w:r>
      <w:r w:rsidR="00D8536C">
        <w:t>Figure 2</w:t>
      </w:r>
      <w:r w:rsidRPr="004074FA">
        <w:t>).</w:t>
      </w:r>
      <w:r w:rsidRPr="005269A4">
        <w:t xml:space="preserve"> None of these deaths were known at the time of writing to </w:t>
      </w:r>
      <w:r w:rsidR="199C95CD">
        <w:t xml:space="preserve">have been the </w:t>
      </w:r>
      <w:r w:rsidRPr="005269A4">
        <w:t xml:space="preserve">result </w:t>
      </w:r>
      <w:r w:rsidR="0ECCF1A5">
        <w:t>of</w:t>
      </w:r>
      <w:r w:rsidRPr="005269A4">
        <w:t xml:space="preserve"> COVI</w:t>
      </w:r>
      <w:r w:rsidR="00892ED8">
        <w:t>D-19</w:t>
      </w:r>
      <w:r w:rsidRPr="005269A4">
        <w:t>.</w:t>
      </w:r>
      <w:r w:rsidR="00AE5510">
        <w:t xml:space="preserve"> </w:t>
      </w:r>
    </w:p>
    <w:p w14:paraId="2C45509C" w14:textId="462A38D1" w:rsidR="00381B2F" w:rsidRPr="00310DA3" w:rsidRDefault="00315BD4" w:rsidP="000D0B9B">
      <w:pPr>
        <w:pStyle w:val="Tablecaption"/>
        <w:rPr>
          <w:highlight w:val="yellow"/>
        </w:rPr>
      </w:pPr>
      <w:r>
        <w:t>Figure</w:t>
      </w:r>
      <w:r w:rsidR="00381B2F">
        <w:t xml:space="preserve"> </w:t>
      </w:r>
      <w:r>
        <w:t>2</w:t>
      </w:r>
      <w:r w:rsidR="00381B2F">
        <w:t>: Reportable deaths</w:t>
      </w:r>
      <w:r w:rsidR="00F37D79">
        <w:t xml:space="preserve"> </w:t>
      </w:r>
      <w:r w:rsidR="00381B2F">
        <w:t xml:space="preserve">per 100,000 Victorian </w:t>
      </w:r>
      <w:r w:rsidR="66FE9466">
        <w:t>population</w:t>
      </w:r>
      <w:r w:rsidR="00381B2F">
        <w:t xml:space="preserve">, 2015–16 to </w:t>
      </w:r>
      <w:r w:rsidR="007B2175">
        <w:t>2020–21</w:t>
      </w:r>
    </w:p>
    <w:p w14:paraId="7E2EF909" w14:textId="774E43D5" w:rsidR="54AD76BA" w:rsidRDefault="00993C80" w:rsidP="00993C80">
      <w:pPr>
        <w:pStyle w:val="Body"/>
      </w:pPr>
      <w:r w:rsidRPr="00993C80">
        <w:rPr>
          <w:noProof/>
        </w:rPr>
        <w:drawing>
          <wp:inline distT="0" distB="0" distL="0" distR="0" wp14:anchorId="7DAE0ED9" wp14:editId="69B9254D">
            <wp:extent cx="5904230" cy="2209165"/>
            <wp:effectExtent l="0" t="0" r="1270" b="635"/>
            <wp:docPr id="2" name="Picture 2" descr="Refer to Table 7 for a breakdown of the numbers shown in this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fer to Table 7 for a breakdown of the numbers shown in this grap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4230" cy="2209165"/>
                    </a:xfrm>
                    <a:prstGeom prst="rect">
                      <a:avLst/>
                    </a:prstGeom>
                    <a:noFill/>
                    <a:ln>
                      <a:noFill/>
                    </a:ln>
                  </pic:spPr>
                </pic:pic>
              </a:graphicData>
            </a:graphic>
          </wp:inline>
        </w:drawing>
      </w:r>
    </w:p>
    <w:p w14:paraId="34214786" w14:textId="5CD281E4" w:rsidR="00EB58AA" w:rsidRPr="00F22070" w:rsidRDefault="00E8354D" w:rsidP="00F22070">
      <w:pPr>
        <w:pStyle w:val="Tablefigurenote"/>
      </w:pPr>
      <w:r>
        <w:t>Note:</w:t>
      </w:r>
      <w:r w:rsidR="008B4B58">
        <w:t xml:space="preserve"> </w:t>
      </w:r>
      <w:r w:rsidR="009F4C23">
        <w:t>R</w:t>
      </w:r>
      <w:r w:rsidR="009F4C23" w:rsidRPr="00BB7DF1">
        <w:t xml:space="preserve">eportable deaths </w:t>
      </w:r>
      <w:r w:rsidR="009F4C23">
        <w:t>data is</w:t>
      </w:r>
      <w:r w:rsidR="009F4C23" w:rsidRPr="00BB7DF1">
        <w:t xml:space="preserve"> continuously revised following confirmation of cause of death by coroner. As such, </w:t>
      </w:r>
      <w:r w:rsidR="009F4C23">
        <w:t>figures</w:t>
      </w:r>
      <w:r w:rsidR="009F4C23" w:rsidRPr="00BB7DF1">
        <w:t xml:space="preserve"> may </w:t>
      </w:r>
      <w:r w:rsidR="009F4C23">
        <w:t>vary</w:t>
      </w:r>
      <w:r w:rsidR="009F4C23" w:rsidRPr="00BB7DF1">
        <w:t xml:space="preserve"> slightly </w:t>
      </w:r>
      <w:r w:rsidR="009F4C23">
        <w:t xml:space="preserve">between annual </w:t>
      </w:r>
      <w:r w:rsidR="009F4C23" w:rsidRPr="00BB7DF1">
        <w:t>reports</w:t>
      </w:r>
      <w:r w:rsidR="009F4C23">
        <w:t xml:space="preserve"> from previous years</w:t>
      </w:r>
      <w:r w:rsidR="009F4C23" w:rsidRPr="00BB7DF1">
        <w:t>.</w:t>
      </w:r>
    </w:p>
    <w:p w14:paraId="378221C7" w14:textId="77777777" w:rsidR="006B3F7E" w:rsidRDefault="006B3F7E">
      <w:pPr>
        <w:rPr>
          <w:rFonts w:ascii="Arial" w:hAnsi="Arial"/>
          <w:b/>
          <w:sz w:val="21"/>
          <w:szCs w:val="21"/>
        </w:rPr>
      </w:pPr>
      <w:r>
        <w:br w:type="page"/>
      </w:r>
    </w:p>
    <w:p w14:paraId="66F563AE" w14:textId="00C15E81" w:rsidR="000C64A4" w:rsidRPr="000C64A4" w:rsidRDefault="000C64A4" w:rsidP="00993C80">
      <w:pPr>
        <w:pStyle w:val="Tablecaption"/>
        <w:rPr>
          <w:highlight w:val="yellow"/>
        </w:rPr>
      </w:pPr>
      <w:r>
        <w:lastRenderedPageBreak/>
        <w:t xml:space="preserve">Table </w:t>
      </w:r>
      <w:r w:rsidR="00E317E6">
        <w:t>7</w:t>
      </w:r>
      <w:r>
        <w:t>: Reportable deaths per 100,000 Victorian population, 2015–16 to 2020</w:t>
      </w:r>
      <w:r w:rsidR="008B4B58">
        <w:t>–</w:t>
      </w:r>
      <w:r>
        <w:t>21</w:t>
      </w:r>
      <w:r w:rsidRPr="002F4A3E">
        <w:rPr>
          <w:rFonts w:ascii="Calibri" w:eastAsia="Calibri" w:hAnsi="Calibri"/>
          <w:sz w:val="22"/>
          <w:szCs w:val="22"/>
          <w:highlight w:val="green"/>
        </w:rPr>
        <w:t xml:space="preserve"> </w:t>
      </w:r>
    </w:p>
    <w:tbl>
      <w:tblPr>
        <w:tblStyle w:val="TableGrid"/>
        <w:tblW w:w="5000" w:type="pct"/>
        <w:tblInd w:w="0" w:type="dxa"/>
        <w:shd w:val="clear" w:color="auto" w:fill="92CDDC" w:themeFill="accent5" w:themeFillTint="99"/>
        <w:tblLook w:val="04A0" w:firstRow="1" w:lastRow="0" w:firstColumn="1" w:lastColumn="0" w:noHBand="0" w:noVBand="1"/>
      </w:tblPr>
      <w:tblGrid>
        <w:gridCol w:w="2208"/>
        <w:gridCol w:w="1011"/>
        <w:gridCol w:w="1011"/>
        <w:gridCol w:w="1012"/>
        <w:gridCol w:w="1011"/>
        <w:gridCol w:w="1012"/>
        <w:gridCol w:w="1011"/>
        <w:gridCol w:w="1012"/>
      </w:tblGrid>
      <w:tr w:rsidR="00495900" w:rsidRPr="00310DA3" w14:paraId="567F40EC" w14:textId="77777777" w:rsidTr="00DD3562">
        <w:trPr>
          <w:tblHeader/>
        </w:trPr>
        <w:tc>
          <w:tcPr>
            <w:tcW w:w="1189" w:type="pct"/>
            <w:shd w:val="clear" w:color="auto" w:fill="FFFFFF" w:themeFill="background1"/>
          </w:tcPr>
          <w:p w14:paraId="2EA7425B" w14:textId="77777777" w:rsidR="00495900" w:rsidRPr="006B3F7E" w:rsidRDefault="00495900" w:rsidP="006B3F7E">
            <w:pPr>
              <w:pStyle w:val="Tablecolhead"/>
              <w:rPr>
                <w:sz w:val="20"/>
                <w:szCs w:val="20"/>
              </w:rPr>
            </w:pPr>
            <w:r w:rsidRPr="006B3F7E">
              <w:rPr>
                <w:sz w:val="20"/>
                <w:szCs w:val="20"/>
              </w:rPr>
              <w:t>Measure</w:t>
            </w:r>
          </w:p>
        </w:tc>
        <w:tc>
          <w:tcPr>
            <w:tcW w:w="544" w:type="pct"/>
            <w:shd w:val="clear" w:color="auto" w:fill="FFFFFF" w:themeFill="background1"/>
          </w:tcPr>
          <w:p w14:paraId="61A95CD2" w14:textId="77777777" w:rsidR="00495900" w:rsidRPr="006B3F7E" w:rsidRDefault="00495900" w:rsidP="006B3F7E">
            <w:pPr>
              <w:pStyle w:val="Tablecolhead"/>
              <w:rPr>
                <w:sz w:val="20"/>
                <w:szCs w:val="20"/>
              </w:rPr>
            </w:pPr>
            <w:r w:rsidRPr="006B3F7E">
              <w:rPr>
                <w:sz w:val="20"/>
                <w:szCs w:val="20"/>
              </w:rPr>
              <w:t>2015–16</w:t>
            </w:r>
          </w:p>
        </w:tc>
        <w:tc>
          <w:tcPr>
            <w:tcW w:w="544" w:type="pct"/>
            <w:shd w:val="clear" w:color="auto" w:fill="FFFFFF" w:themeFill="background1"/>
          </w:tcPr>
          <w:p w14:paraId="395AD43C" w14:textId="77777777" w:rsidR="00495900" w:rsidRPr="006B3F7E" w:rsidRDefault="00495900" w:rsidP="006B3F7E">
            <w:pPr>
              <w:pStyle w:val="Tablecolhead"/>
              <w:rPr>
                <w:sz w:val="20"/>
                <w:szCs w:val="20"/>
              </w:rPr>
            </w:pPr>
            <w:r w:rsidRPr="006B3F7E">
              <w:rPr>
                <w:sz w:val="20"/>
                <w:szCs w:val="20"/>
              </w:rPr>
              <w:t>2016–17</w:t>
            </w:r>
          </w:p>
        </w:tc>
        <w:tc>
          <w:tcPr>
            <w:tcW w:w="545" w:type="pct"/>
            <w:shd w:val="clear" w:color="auto" w:fill="FFFFFF" w:themeFill="background1"/>
          </w:tcPr>
          <w:p w14:paraId="6C8CC382" w14:textId="77777777" w:rsidR="00495900" w:rsidRPr="006B3F7E" w:rsidRDefault="00495900" w:rsidP="006B3F7E">
            <w:pPr>
              <w:pStyle w:val="Tablecolhead"/>
              <w:rPr>
                <w:sz w:val="20"/>
                <w:szCs w:val="20"/>
              </w:rPr>
            </w:pPr>
            <w:r w:rsidRPr="006B3F7E">
              <w:rPr>
                <w:sz w:val="20"/>
                <w:szCs w:val="20"/>
              </w:rPr>
              <w:t>2017–18</w:t>
            </w:r>
          </w:p>
        </w:tc>
        <w:tc>
          <w:tcPr>
            <w:tcW w:w="544" w:type="pct"/>
            <w:shd w:val="clear" w:color="auto" w:fill="FFFFFF" w:themeFill="background1"/>
          </w:tcPr>
          <w:p w14:paraId="6F353787" w14:textId="77777777" w:rsidR="00495900" w:rsidRPr="006B3F7E" w:rsidRDefault="00495900" w:rsidP="006B3F7E">
            <w:pPr>
              <w:pStyle w:val="Tablecolhead"/>
              <w:rPr>
                <w:sz w:val="20"/>
                <w:szCs w:val="20"/>
              </w:rPr>
            </w:pPr>
            <w:r w:rsidRPr="006B3F7E">
              <w:rPr>
                <w:sz w:val="20"/>
                <w:szCs w:val="20"/>
              </w:rPr>
              <w:t>2018–19</w:t>
            </w:r>
          </w:p>
        </w:tc>
        <w:tc>
          <w:tcPr>
            <w:tcW w:w="545" w:type="pct"/>
            <w:shd w:val="clear" w:color="auto" w:fill="auto"/>
          </w:tcPr>
          <w:p w14:paraId="67A0260F" w14:textId="77777777" w:rsidR="00495900" w:rsidRPr="006B3F7E" w:rsidRDefault="00495900" w:rsidP="006B3F7E">
            <w:pPr>
              <w:pStyle w:val="Tablecolhead"/>
              <w:rPr>
                <w:sz w:val="20"/>
                <w:szCs w:val="20"/>
              </w:rPr>
            </w:pPr>
            <w:r w:rsidRPr="006B3F7E">
              <w:rPr>
                <w:sz w:val="20"/>
                <w:szCs w:val="20"/>
              </w:rPr>
              <w:t>2019–20</w:t>
            </w:r>
          </w:p>
        </w:tc>
        <w:tc>
          <w:tcPr>
            <w:tcW w:w="544" w:type="pct"/>
          </w:tcPr>
          <w:p w14:paraId="05E0FC92" w14:textId="1553195D" w:rsidR="00495900" w:rsidRPr="006B3F7E" w:rsidRDefault="00495900" w:rsidP="006B3F7E">
            <w:pPr>
              <w:pStyle w:val="Tablecolhead"/>
              <w:rPr>
                <w:sz w:val="20"/>
                <w:szCs w:val="20"/>
              </w:rPr>
            </w:pPr>
            <w:r w:rsidRPr="006B3F7E">
              <w:rPr>
                <w:sz w:val="20"/>
                <w:szCs w:val="20"/>
              </w:rPr>
              <w:t>2020</w:t>
            </w:r>
            <w:r w:rsidR="008B4B58" w:rsidRPr="006B3F7E">
              <w:rPr>
                <w:sz w:val="20"/>
                <w:szCs w:val="20"/>
              </w:rPr>
              <w:t>–</w:t>
            </w:r>
            <w:r w:rsidRPr="006B3F7E">
              <w:rPr>
                <w:sz w:val="20"/>
                <w:szCs w:val="20"/>
              </w:rPr>
              <w:t>21</w:t>
            </w:r>
          </w:p>
        </w:tc>
        <w:tc>
          <w:tcPr>
            <w:tcW w:w="545" w:type="pct"/>
          </w:tcPr>
          <w:p w14:paraId="23462ED4" w14:textId="77777777" w:rsidR="00495900" w:rsidRPr="006B3F7E" w:rsidRDefault="00495900" w:rsidP="006B3F7E">
            <w:pPr>
              <w:pStyle w:val="Tablecolhead"/>
              <w:rPr>
                <w:sz w:val="20"/>
                <w:szCs w:val="20"/>
              </w:rPr>
            </w:pPr>
            <w:r w:rsidRPr="006B3F7E">
              <w:rPr>
                <w:sz w:val="20"/>
                <w:szCs w:val="20"/>
              </w:rPr>
              <w:t>Average</w:t>
            </w:r>
          </w:p>
        </w:tc>
      </w:tr>
      <w:tr w:rsidR="00495900" w:rsidRPr="00310DA3" w14:paraId="4A08154E" w14:textId="77777777" w:rsidTr="00DD3562">
        <w:tc>
          <w:tcPr>
            <w:tcW w:w="1189" w:type="pct"/>
            <w:shd w:val="clear" w:color="auto" w:fill="FFFFFF" w:themeFill="background1"/>
          </w:tcPr>
          <w:p w14:paraId="6AEA89A1" w14:textId="77777777" w:rsidR="00495900" w:rsidRPr="00310DA3" w:rsidRDefault="00495900" w:rsidP="008B4B58">
            <w:pPr>
              <w:pStyle w:val="Tabletext"/>
            </w:pPr>
            <w:r w:rsidRPr="408B5DD1">
              <w:t>Community deaths</w:t>
            </w:r>
          </w:p>
        </w:tc>
        <w:tc>
          <w:tcPr>
            <w:tcW w:w="544" w:type="pct"/>
            <w:shd w:val="clear" w:color="auto" w:fill="FFFFFF" w:themeFill="background1"/>
          </w:tcPr>
          <w:p w14:paraId="42AED4E8" w14:textId="77777777" w:rsidR="00495900" w:rsidRPr="00310DA3" w:rsidRDefault="00495900" w:rsidP="008B4B58">
            <w:pPr>
              <w:pStyle w:val="Tabletext"/>
            </w:pPr>
            <w:r w:rsidRPr="408B5DD1">
              <w:t>5.</w:t>
            </w:r>
            <w:r>
              <w:t>86</w:t>
            </w:r>
          </w:p>
        </w:tc>
        <w:tc>
          <w:tcPr>
            <w:tcW w:w="544" w:type="pct"/>
            <w:shd w:val="clear" w:color="auto" w:fill="FFFFFF" w:themeFill="background1"/>
          </w:tcPr>
          <w:p w14:paraId="482AA604" w14:textId="77777777" w:rsidR="00495900" w:rsidRPr="00310DA3" w:rsidRDefault="00495900" w:rsidP="008B4B58">
            <w:pPr>
              <w:pStyle w:val="Tabletext"/>
            </w:pPr>
            <w:r w:rsidRPr="408B5DD1">
              <w:t>5.</w:t>
            </w:r>
            <w:r>
              <w:t>55</w:t>
            </w:r>
          </w:p>
        </w:tc>
        <w:tc>
          <w:tcPr>
            <w:tcW w:w="545" w:type="pct"/>
            <w:shd w:val="clear" w:color="auto" w:fill="FFFFFF" w:themeFill="background1"/>
          </w:tcPr>
          <w:p w14:paraId="272FCA36" w14:textId="77777777" w:rsidR="00495900" w:rsidRPr="00310DA3" w:rsidRDefault="00495900" w:rsidP="008B4B58">
            <w:pPr>
              <w:pStyle w:val="Tabletext"/>
            </w:pPr>
            <w:r w:rsidRPr="408B5DD1">
              <w:t>5.</w:t>
            </w:r>
            <w:r>
              <w:t>80</w:t>
            </w:r>
          </w:p>
        </w:tc>
        <w:tc>
          <w:tcPr>
            <w:tcW w:w="544" w:type="pct"/>
            <w:shd w:val="clear" w:color="auto" w:fill="FFFFFF" w:themeFill="background1"/>
          </w:tcPr>
          <w:p w14:paraId="6F6D3C87" w14:textId="77777777" w:rsidR="00495900" w:rsidRPr="00310DA3" w:rsidRDefault="00495900" w:rsidP="008B4B58">
            <w:pPr>
              <w:pStyle w:val="Tabletext"/>
            </w:pPr>
            <w:r>
              <w:t>5.47</w:t>
            </w:r>
          </w:p>
        </w:tc>
        <w:tc>
          <w:tcPr>
            <w:tcW w:w="545" w:type="pct"/>
            <w:shd w:val="clear" w:color="auto" w:fill="auto"/>
          </w:tcPr>
          <w:p w14:paraId="4CB7E8C0" w14:textId="77777777" w:rsidR="00495900" w:rsidRPr="00310DA3" w:rsidRDefault="00495900" w:rsidP="008B4B58">
            <w:pPr>
              <w:pStyle w:val="Tabletext"/>
            </w:pPr>
            <w:r>
              <w:t>4.58</w:t>
            </w:r>
          </w:p>
        </w:tc>
        <w:tc>
          <w:tcPr>
            <w:tcW w:w="544" w:type="pct"/>
          </w:tcPr>
          <w:p w14:paraId="4668E232" w14:textId="34D5B319" w:rsidR="00495900" w:rsidRPr="00310DA3" w:rsidRDefault="00745BCF" w:rsidP="008B4B58">
            <w:pPr>
              <w:pStyle w:val="Tabletext"/>
            </w:pPr>
            <w:r>
              <w:t>4.41</w:t>
            </w:r>
          </w:p>
        </w:tc>
        <w:tc>
          <w:tcPr>
            <w:tcW w:w="545" w:type="pct"/>
          </w:tcPr>
          <w:p w14:paraId="40BA66D7" w14:textId="05448F2E" w:rsidR="00495900" w:rsidRPr="00310DA3" w:rsidRDefault="00495900" w:rsidP="008B4B58">
            <w:pPr>
              <w:pStyle w:val="Tabletext"/>
            </w:pPr>
            <w:r>
              <w:t>5.</w:t>
            </w:r>
            <w:r w:rsidR="004C2A03">
              <w:t>27</w:t>
            </w:r>
          </w:p>
        </w:tc>
      </w:tr>
      <w:tr w:rsidR="00495900" w:rsidRPr="00310DA3" w14:paraId="00A909DB" w14:textId="77777777" w:rsidTr="00DD3562">
        <w:tc>
          <w:tcPr>
            <w:tcW w:w="1189" w:type="pct"/>
            <w:shd w:val="clear" w:color="auto" w:fill="FFFFFF" w:themeFill="background1"/>
          </w:tcPr>
          <w:p w14:paraId="33262AF4" w14:textId="77777777" w:rsidR="00495900" w:rsidRPr="00310DA3" w:rsidRDefault="00495900" w:rsidP="008B4B58">
            <w:pPr>
              <w:pStyle w:val="Tabletext"/>
            </w:pPr>
            <w:r w:rsidRPr="408B5DD1">
              <w:t>Inpatient deaths</w:t>
            </w:r>
          </w:p>
        </w:tc>
        <w:tc>
          <w:tcPr>
            <w:tcW w:w="544" w:type="pct"/>
            <w:shd w:val="clear" w:color="auto" w:fill="FFFFFF" w:themeFill="background1"/>
          </w:tcPr>
          <w:p w14:paraId="5A4A8F68" w14:textId="77777777" w:rsidR="00495900" w:rsidRPr="00310DA3" w:rsidRDefault="00495900" w:rsidP="008B4B58">
            <w:pPr>
              <w:pStyle w:val="Tabletext"/>
            </w:pPr>
            <w:r w:rsidRPr="408B5DD1">
              <w:t>0.</w:t>
            </w:r>
            <w:r>
              <w:t>60</w:t>
            </w:r>
          </w:p>
        </w:tc>
        <w:tc>
          <w:tcPr>
            <w:tcW w:w="544" w:type="pct"/>
            <w:shd w:val="clear" w:color="auto" w:fill="FFFFFF" w:themeFill="background1"/>
          </w:tcPr>
          <w:p w14:paraId="796C6E88" w14:textId="77777777" w:rsidR="00495900" w:rsidRPr="00310DA3" w:rsidRDefault="00495900" w:rsidP="008B4B58">
            <w:pPr>
              <w:pStyle w:val="Tabletext"/>
            </w:pPr>
            <w:r w:rsidRPr="408B5DD1">
              <w:t>0.</w:t>
            </w:r>
            <w:r>
              <w:t>68</w:t>
            </w:r>
          </w:p>
        </w:tc>
        <w:tc>
          <w:tcPr>
            <w:tcW w:w="545" w:type="pct"/>
            <w:shd w:val="clear" w:color="auto" w:fill="FFFFFF" w:themeFill="background1"/>
          </w:tcPr>
          <w:p w14:paraId="4FD94ADF" w14:textId="77777777" w:rsidR="00495900" w:rsidRPr="00310DA3" w:rsidRDefault="00495900" w:rsidP="008B4B58">
            <w:pPr>
              <w:pStyle w:val="Tabletext"/>
            </w:pPr>
            <w:r w:rsidRPr="408B5DD1">
              <w:t>0.</w:t>
            </w:r>
            <w:r>
              <w:t>60</w:t>
            </w:r>
          </w:p>
        </w:tc>
        <w:tc>
          <w:tcPr>
            <w:tcW w:w="544" w:type="pct"/>
            <w:shd w:val="clear" w:color="auto" w:fill="FFFFFF" w:themeFill="background1"/>
          </w:tcPr>
          <w:p w14:paraId="5E1A2367" w14:textId="77777777" w:rsidR="00495900" w:rsidRPr="00310DA3" w:rsidRDefault="00495900" w:rsidP="008B4B58">
            <w:pPr>
              <w:pStyle w:val="Tabletext"/>
            </w:pPr>
            <w:r>
              <w:t>0.96</w:t>
            </w:r>
          </w:p>
        </w:tc>
        <w:tc>
          <w:tcPr>
            <w:tcW w:w="545" w:type="pct"/>
            <w:shd w:val="clear" w:color="auto" w:fill="auto"/>
          </w:tcPr>
          <w:p w14:paraId="2BCD10D1" w14:textId="77777777" w:rsidR="00495900" w:rsidRPr="00310DA3" w:rsidRDefault="00495900" w:rsidP="008B4B58">
            <w:pPr>
              <w:pStyle w:val="Tabletext"/>
            </w:pPr>
            <w:r>
              <w:t>1.46</w:t>
            </w:r>
          </w:p>
        </w:tc>
        <w:tc>
          <w:tcPr>
            <w:tcW w:w="544" w:type="pct"/>
          </w:tcPr>
          <w:p w14:paraId="750AF911" w14:textId="32357F50" w:rsidR="00495900" w:rsidRPr="00310DA3" w:rsidRDefault="00495900" w:rsidP="008B4B58">
            <w:pPr>
              <w:pStyle w:val="Tabletext"/>
            </w:pPr>
            <w:r>
              <w:t>0.</w:t>
            </w:r>
            <w:r w:rsidR="00745BCF">
              <w:t>24</w:t>
            </w:r>
          </w:p>
        </w:tc>
        <w:tc>
          <w:tcPr>
            <w:tcW w:w="545" w:type="pct"/>
          </w:tcPr>
          <w:p w14:paraId="4101E488" w14:textId="4961E69B" w:rsidR="00495900" w:rsidRPr="00310DA3" w:rsidRDefault="00495900" w:rsidP="008B4B58">
            <w:pPr>
              <w:pStyle w:val="Tabletext"/>
            </w:pPr>
            <w:r>
              <w:t>0.</w:t>
            </w:r>
            <w:r w:rsidR="004C2A03">
              <w:t>75</w:t>
            </w:r>
          </w:p>
        </w:tc>
      </w:tr>
      <w:tr w:rsidR="00495900" w:rsidRPr="00310DA3" w14:paraId="6F6C0425" w14:textId="77777777" w:rsidTr="00DD3562">
        <w:tc>
          <w:tcPr>
            <w:tcW w:w="1189" w:type="pct"/>
            <w:shd w:val="clear" w:color="auto" w:fill="FFFFFF" w:themeFill="background1"/>
          </w:tcPr>
          <w:p w14:paraId="6FEBBEDE" w14:textId="77777777" w:rsidR="00495900" w:rsidRPr="00310DA3" w:rsidRDefault="00495900" w:rsidP="008B4B58">
            <w:pPr>
              <w:pStyle w:val="Tabletext"/>
            </w:pPr>
            <w:r w:rsidRPr="408B5DD1">
              <w:t>All deaths</w:t>
            </w:r>
          </w:p>
        </w:tc>
        <w:tc>
          <w:tcPr>
            <w:tcW w:w="544" w:type="pct"/>
            <w:shd w:val="clear" w:color="auto" w:fill="FFFFFF" w:themeFill="background1"/>
          </w:tcPr>
          <w:p w14:paraId="42064036" w14:textId="77777777" w:rsidR="00495900" w:rsidRPr="00310DA3" w:rsidRDefault="00495900" w:rsidP="008B4B58">
            <w:pPr>
              <w:pStyle w:val="Tabletext"/>
            </w:pPr>
            <w:r w:rsidRPr="408B5DD1">
              <w:t>6.</w:t>
            </w:r>
            <w:r>
              <w:t>51</w:t>
            </w:r>
          </w:p>
        </w:tc>
        <w:tc>
          <w:tcPr>
            <w:tcW w:w="544" w:type="pct"/>
            <w:shd w:val="clear" w:color="auto" w:fill="FFFFFF" w:themeFill="background1"/>
          </w:tcPr>
          <w:p w14:paraId="04DA3CD9" w14:textId="77777777" w:rsidR="00495900" w:rsidRPr="00310DA3" w:rsidRDefault="00495900" w:rsidP="008B4B58">
            <w:pPr>
              <w:pStyle w:val="Tabletext"/>
            </w:pPr>
            <w:r w:rsidRPr="408B5DD1">
              <w:t>6.3</w:t>
            </w:r>
            <w:r>
              <w:t>0</w:t>
            </w:r>
          </w:p>
        </w:tc>
        <w:tc>
          <w:tcPr>
            <w:tcW w:w="545" w:type="pct"/>
            <w:shd w:val="clear" w:color="auto" w:fill="FFFFFF" w:themeFill="background1"/>
          </w:tcPr>
          <w:p w14:paraId="435D1385" w14:textId="77777777" w:rsidR="00495900" w:rsidRPr="00310DA3" w:rsidRDefault="00495900" w:rsidP="008B4B58">
            <w:pPr>
              <w:pStyle w:val="Tabletext"/>
            </w:pPr>
            <w:r>
              <w:t>6.97</w:t>
            </w:r>
          </w:p>
        </w:tc>
        <w:tc>
          <w:tcPr>
            <w:tcW w:w="544" w:type="pct"/>
            <w:shd w:val="clear" w:color="auto" w:fill="FFFFFF" w:themeFill="background1"/>
          </w:tcPr>
          <w:p w14:paraId="64C2A21E" w14:textId="77777777" w:rsidR="00495900" w:rsidRPr="00310DA3" w:rsidRDefault="00495900" w:rsidP="008B4B58">
            <w:pPr>
              <w:pStyle w:val="Tabletext"/>
            </w:pPr>
            <w:r>
              <w:t>6.87</w:t>
            </w:r>
          </w:p>
        </w:tc>
        <w:tc>
          <w:tcPr>
            <w:tcW w:w="545" w:type="pct"/>
            <w:shd w:val="clear" w:color="auto" w:fill="auto"/>
          </w:tcPr>
          <w:p w14:paraId="19D239B5" w14:textId="77777777" w:rsidR="00495900" w:rsidRPr="00310DA3" w:rsidRDefault="00495900" w:rsidP="008B4B58">
            <w:pPr>
              <w:pStyle w:val="Tabletext"/>
            </w:pPr>
            <w:r w:rsidRPr="408B5DD1">
              <w:t>6.</w:t>
            </w:r>
            <w:r>
              <w:t>05</w:t>
            </w:r>
          </w:p>
        </w:tc>
        <w:tc>
          <w:tcPr>
            <w:tcW w:w="544" w:type="pct"/>
          </w:tcPr>
          <w:p w14:paraId="30FCA24E" w14:textId="77777777" w:rsidR="00495900" w:rsidRPr="00310DA3" w:rsidRDefault="00495900" w:rsidP="008B4B58">
            <w:pPr>
              <w:pStyle w:val="Tabletext"/>
            </w:pPr>
            <w:r>
              <w:t>4.66</w:t>
            </w:r>
          </w:p>
        </w:tc>
        <w:tc>
          <w:tcPr>
            <w:tcW w:w="545" w:type="pct"/>
          </w:tcPr>
          <w:p w14:paraId="66EB6419" w14:textId="4BD8B5E4" w:rsidR="00495900" w:rsidRPr="00310DA3" w:rsidRDefault="00495900" w:rsidP="008B4B58">
            <w:pPr>
              <w:pStyle w:val="Tabletext"/>
            </w:pPr>
            <w:r>
              <w:t>6.</w:t>
            </w:r>
            <w:r w:rsidR="004C2A03">
              <w:t>02</w:t>
            </w:r>
          </w:p>
        </w:tc>
      </w:tr>
    </w:tbl>
    <w:p w14:paraId="7F5AF2F7" w14:textId="263F644D" w:rsidR="00C7551A" w:rsidRPr="00BB7DF1" w:rsidRDefault="0099684E" w:rsidP="0099684E">
      <w:pPr>
        <w:pStyle w:val="Tablefigurenote"/>
      </w:pPr>
      <w:bookmarkStart w:id="38" w:name="_Hlk83213603"/>
      <w:r>
        <w:t>Note:</w:t>
      </w:r>
      <w:bookmarkStart w:id="39" w:name="_Hlk83213080"/>
      <w:bookmarkEnd w:id="38"/>
      <w:r w:rsidR="008B4B58">
        <w:t xml:space="preserve"> </w:t>
      </w:r>
      <w:r w:rsidR="00BB7DF1">
        <w:t>T</w:t>
      </w:r>
      <w:r w:rsidR="00C7551A" w:rsidRPr="00BB7DF1">
        <w:t xml:space="preserve">his table </w:t>
      </w:r>
      <w:r w:rsidR="00B13E4B">
        <w:t>corresponds with</w:t>
      </w:r>
      <w:r w:rsidR="00C7551A" w:rsidRPr="00BB7DF1">
        <w:t xml:space="preserve"> the graph </w:t>
      </w:r>
      <w:r w:rsidR="00EB58AA">
        <w:t>in Figure 2</w:t>
      </w:r>
      <w:r w:rsidR="00C7551A" w:rsidRPr="00BB7DF1">
        <w:t>. It is included for purposes of accessibility.</w:t>
      </w:r>
      <w:bookmarkEnd w:id="39"/>
    </w:p>
    <w:p w14:paraId="714AAEA6" w14:textId="68F79EAC" w:rsidR="005509E0" w:rsidRDefault="0050235F" w:rsidP="00643556">
      <w:pPr>
        <w:pStyle w:val="Bodyaftertable"/>
      </w:pPr>
      <w:r w:rsidRPr="00E9A183">
        <w:t xml:space="preserve">Of the </w:t>
      </w:r>
      <w:r w:rsidR="7005ECAB">
        <w:t>320</w:t>
      </w:r>
      <w:r w:rsidRPr="00E9A183">
        <w:t xml:space="preserve"> notified deaths in </w:t>
      </w:r>
      <w:r w:rsidR="37A84D1D">
        <w:t>20</w:t>
      </w:r>
      <w:r w:rsidR="3A3A94BA">
        <w:t>20</w:t>
      </w:r>
      <w:r w:rsidR="37A84D1D">
        <w:t>–2</w:t>
      </w:r>
      <w:r w:rsidR="4F7DF452">
        <w:t>1</w:t>
      </w:r>
      <w:r w:rsidR="0072413B">
        <w:t xml:space="preserve"> (Table </w:t>
      </w:r>
      <w:r w:rsidR="00E317E6">
        <w:t>8</w:t>
      </w:r>
      <w:r w:rsidR="009F46C1">
        <w:t>)</w:t>
      </w:r>
      <w:r w:rsidR="37A84D1D">
        <w:t xml:space="preserve">, </w:t>
      </w:r>
      <w:r w:rsidR="6728C706">
        <w:t xml:space="preserve">the cause of death has yet to be </w:t>
      </w:r>
      <w:r w:rsidR="00BD519D">
        <w:t xml:space="preserve">determined </w:t>
      </w:r>
      <w:r w:rsidR="6728C706">
        <w:t xml:space="preserve">in </w:t>
      </w:r>
      <w:r w:rsidR="3A6FA5C3">
        <w:t>3</w:t>
      </w:r>
      <w:r w:rsidR="408DD5AF">
        <w:t>5</w:t>
      </w:r>
      <w:r w:rsidR="70C84BF9">
        <w:t xml:space="preserve"> per</w:t>
      </w:r>
      <w:r w:rsidR="00EB58AA">
        <w:t xml:space="preserve"> </w:t>
      </w:r>
      <w:r w:rsidR="70C84BF9">
        <w:t>cent</w:t>
      </w:r>
      <w:r w:rsidR="6728C706">
        <w:t xml:space="preserve"> of instances. Of the remainder, suicide and medical causes accounted for nearly equ</w:t>
      </w:r>
      <w:r w:rsidR="2083A1F4">
        <w:t>al proportions (</w:t>
      </w:r>
      <w:r w:rsidR="45FF2314">
        <w:t>3</w:t>
      </w:r>
      <w:r w:rsidR="6F280D13">
        <w:t>1</w:t>
      </w:r>
      <w:r w:rsidR="70C84BF9">
        <w:t xml:space="preserve"> per</w:t>
      </w:r>
      <w:r w:rsidR="00EB58AA">
        <w:t xml:space="preserve"> </w:t>
      </w:r>
      <w:r w:rsidR="70C84BF9">
        <w:t>cent</w:t>
      </w:r>
      <w:r w:rsidR="45FF2314">
        <w:t xml:space="preserve"> and </w:t>
      </w:r>
      <w:r w:rsidR="73BEFA46">
        <w:t>27</w:t>
      </w:r>
      <w:r w:rsidR="70C84BF9">
        <w:t xml:space="preserve"> per</w:t>
      </w:r>
      <w:r w:rsidR="00EB58AA">
        <w:t xml:space="preserve"> </w:t>
      </w:r>
      <w:r w:rsidR="70C84BF9">
        <w:t>cent</w:t>
      </w:r>
      <w:r w:rsidR="2083A1F4">
        <w:t xml:space="preserve"> respectively</w:t>
      </w:r>
      <w:r w:rsidR="497604DB">
        <w:t>)</w:t>
      </w:r>
      <w:r w:rsidR="2083A1F4">
        <w:t xml:space="preserve">. </w:t>
      </w:r>
      <w:r w:rsidR="00766429">
        <w:t xml:space="preserve">Suicide data </w:t>
      </w:r>
      <w:r w:rsidR="004045B3">
        <w:t>is cross</w:t>
      </w:r>
      <w:r w:rsidR="00EB58AA">
        <w:t>-</w:t>
      </w:r>
      <w:r w:rsidR="004045B3">
        <w:t xml:space="preserve">validated </w:t>
      </w:r>
      <w:r w:rsidR="00655ABE">
        <w:t>with data received from the coroner’s court.</w:t>
      </w:r>
      <w:r w:rsidR="00BB3267">
        <w:t xml:space="preserve"> </w:t>
      </w:r>
      <w:r w:rsidR="003750F6">
        <w:t>T</w:t>
      </w:r>
      <w:r w:rsidR="003750F6" w:rsidRPr="003750F6">
        <w:t xml:space="preserve">he </w:t>
      </w:r>
      <w:r w:rsidR="003750F6">
        <w:t>OCP</w:t>
      </w:r>
      <w:r w:rsidR="003750F6" w:rsidRPr="003750F6">
        <w:t xml:space="preserve"> maintains an active interest in ongoing coronial investigations</w:t>
      </w:r>
      <w:r w:rsidR="00BB3267">
        <w:t xml:space="preserve"> relating to reportable deaths</w:t>
      </w:r>
      <w:r w:rsidR="00AF5F17">
        <w:t xml:space="preserve">. It </w:t>
      </w:r>
      <w:r w:rsidR="003750F6" w:rsidRPr="003750F6">
        <w:t xml:space="preserve">receives and reviews the outcome of these as they arise, which may be several years after </w:t>
      </w:r>
      <w:r w:rsidR="00AF5F17">
        <w:t xml:space="preserve">a </w:t>
      </w:r>
      <w:r w:rsidR="003750F6" w:rsidRPr="003750F6">
        <w:t>death</w:t>
      </w:r>
      <w:r w:rsidR="00A72BA1">
        <w:t>.</w:t>
      </w:r>
      <w:r w:rsidR="00D37737">
        <w:t xml:space="preserve"> </w:t>
      </w:r>
    </w:p>
    <w:p w14:paraId="65655B5D" w14:textId="2091FBDA" w:rsidR="00381B2F" w:rsidRDefault="068C1BAB" w:rsidP="000D0B9B">
      <w:pPr>
        <w:pStyle w:val="Tablecaption"/>
      </w:pPr>
      <w:r>
        <w:t>Table</w:t>
      </w:r>
      <w:r w:rsidR="74DD142C">
        <w:t xml:space="preserve"> </w:t>
      </w:r>
      <w:r w:rsidR="00E317E6">
        <w:t>8</w:t>
      </w:r>
      <w:r w:rsidR="00381B2F">
        <w:t xml:space="preserve">: Reportable deaths by category, </w:t>
      </w:r>
      <w:r w:rsidR="007B2175">
        <w:t>2020–21</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465"/>
        <w:gridCol w:w="1465"/>
        <w:gridCol w:w="1465"/>
        <w:gridCol w:w="1465"/>
      </w:tblGrid>
      <w:tr w:rsidR="002F45A7" w:rsidRPr="00934BBD" w14:paraId="6C3A0FBF" w14:textId="77777777" w:rsidTr="006B3F7E">
        <w:trPr>
          <w:trHeight w:val="510"/>
        </w:trPr>
        <w:tc>
          <w:tcPr>
            <w:tcW w:w="2595" w:type="dxa"/>
            <w:shd w:val="clear" w:color="auto" w:fill="auto"/>
            <w:vAlign w:val="center"/>
            <w:hideMark/>
          </w:tcPr>
          <w:p w14:paraId="512CC337" w14:textId="77777777" w:rsidR="00934BBD" w:rsidRPr="00B43935" w:rsidRDefault="00934BBD" w:rsidP="006B3F7E">
            <w:pPr>
              <w:pStyle w:val="Tablecolhead"/>
              <w:rPr>
                <w:lang w:eastAsia="en-AU"/>
              </w:rPr>
            </w:pPr>
            <w:r w:rsidRPr="00B43935">
              <w:rPr>
                <w:lang w:eastAsia="en-AU"/>
              </w:rPr>
              <w:t>Category</w:t>
            </w:r>
          </w:p>
        </w:tc>
        <w:tc>
          <w:tcPr>
            <w:tcW w:w="1465" w:type="dxa"/>
            <w:shd w:val="clear" w:color="auto" w:fill="auto"/>
            <w:vAlign w:val="center"/>
            <w:hideMark/>
          </w:tcPr>
          <w:p w14:paraId="3D49F63D" w14:textId="77777777" w:rsidR="00934BBD" w:rsidRPr="00B43935" w:rsidRDefault="00934BBD" w:rsidP="006B3F7E">
            <w:pPr>
              <w:pStyle w:val="Tablecolhead"/>
              <w:rPr>
                <w:lang w:eastAsia="en-AU"/>
              </w:rPr>
            </w:pPr>
            <w:r w:rsidRPr="00B43935">
              <w:rPr>
                <w:lang w:eastAsia="en-AU"/>
              </w:rPr>
              <w:t>Inpatient</w:t>
            </w:r>
          </w:p>
        </w:tc>
        <w:tc>
          <w:tcPr>
            <w:tcW w:w="1465" w:type="dxa"/>
            <w:shd w:val="clear" w:color="auto" w:fill="auto"/>
            <w:vAlign w:val="center"/>
            <w:hideMark/>
          </w:tcPr>
          <w:p w14:paraId="59785328" w14:textId="77777777" w:rsidR="00934BBD" w:rsidRPr="00B43935" w:rsidRDefault="00934BBD" w:rsidP="006B3F7E">
            <w:pPr>
              <w:pStyle w:val="Tablecolhead"/>
              <w:rPr>
                <w:lang w:eastAsia="en-AU"/>
              </w:rPr>
            </w:pPr>
            <w:r w:rsidRPr="00B43935">
              <w:rPr>
                <w:lang w:eastAsia="en-AU"/>
              </w:rPr>
              <w:t>Community</w:t>
            </w:r>
          </w:p>
        </w:tc>
        <w:tc>
          <w:tcPr>
            <w:tcW w:w="1465" w:type="dxa"/>
            <w:shd w:val="clear" w:color="auto" w:fill="auto"/>
            <w:vAlign w:val="center"/>
            <w:hideMark/>
          </w:tcPr>
          <w:p w14:paraId="781B0CEE" w14:textId="77777777" w:rsidR="00934BBD" w:rsidRPr="00B43935" w:rsidRDefault="00934BBD" w:rsidP="006B3F7E">
            <w:pPr>
              <w:pStyle w:val="Tablecolhead"/>
              <w:rPr>
                <w:lang w:eastAsia="en-AU"/>
              </w:rPr>
            </w:pPr>
            <w:r w:rsidRPr="00B43935">
              <w:rPr>
                <w:lang w:eastAsia="en-AU"/>
              </w:rPr>
              <w:t>Total</w:t>
            </w:r>
          </w:p>
        </w:tc>
        <w:tc>
          <w:tcPr>
            <w:tcW w:w="1465" w:type="dxa"/>
            <w:shd w:val="clear" w:color="auto" w:fill="auto"/>
            <w:vAlign w:val="center"/>
            <w:hideMark/>
          </w:tcPr>
          <w:p w14:paraId="40CBF9C7" w14:textId="51F0A8E8" w:rsidR="00934BBD" w:rsidRPr="00B43935" w:rsidRDefault="002171FB" w:rsidP="00D55654">
            <w:pPr>
              <w:pStyle w:val="Tablecolhead"/>
              <w:rPr>
                <w:lang w:eastAsia="en-AU"/>
              </w:rPr>
            </w:pPr>
            <w:r>
              <w:rPr>
                <w:lang w:eastAsia="en-AU"/>
              </w:rPr>
              <w:t>Proportion</w:t>
            </w:r>
          </w:p>
        </w:tc>
      </w:tr>
      <w:tr w:rsidR="002F45A7" w:rsidRPr="00934BBD" w14:paraId="49896F78" w14:textId="77777777" w:rsidTr="006B3F7E">
        <w:trPr>
          <w:trHeight w:val="300"/>
        </w:trPr>
        <w:tc>
          <w:tcPr>
            <w:tcW w:w="2595" w:type="dxa"/>
            <w:shd w:val="clear" w:color="auto" w:fill="auto"/>
            <w:vAlign w:val="center"/>
            <w:hideMark/>
          </w:tcPr>
          <w:p w14:paraId="0A7B0508" w14:textId="77777777" w:rsidR="00934BBD" w:rsidRPr="00B43935" w:rsidRDefault="00934BBD" w:rsidP="008B4B58">
            <w:pPr>
              <w:pStyle w:val="Tabletext"/>
              <w:rPr>
                <w:lang w:eastAsia="en-AU"/>
              </w:rPr>
            </w:pPr>
            <w:r w:rsidRPr="00B43935">
              <w:rPr>
                <w:lang w:eastAsia="en-AU"/>
              </w:rPr>
              <w:t>Suicide</w:t>
            </w:r>
          </w:p>
        </w:tc>
        <w:tc>
          <w:tcPr>
            <w:tcW w:w="1465" w:type="dxa"/>
            <w:shd w:val="clear" w:color="auto" w:fill="auto"/>
            <w:vAlign w:val="center"/>
            <w:hideMark/>
          </w:tcPr>
          <w:p w14:paraId="2C7CB416" w14:textId="77777777" w:rsidR="00934BBD" w:rsidRPr="00B43935" w:rsidRDefault="00934BBD" w:rsidP="008B4B58">
            <w:pPr>
              <w:pStyle w:val="Tabletext"/>
              <w:rPr>
                <w:lang w:eastAsia="en-AU"/>
              </w:rPr>
            </w:pPr>
            <w:r w:rsidRPr="00B43935">
              <w:rPr>
                <w:lang w:eastAsia="en-AU"/>
              </w:rPr>
              <w:t>4</w:t>
            </w:r>
          </w:p>
        </w:tc>
        <w:tc>
          <w:tcPr>
            <w:tcW w:w="1465" w:type="dxa"/>
            <w:shd w:val="clear" w:color="auto" w:fill="auto"/>
            <w:vAlign w:val="center"/>
            <w:hideMark/>
          </w:tcPr>
          <w:p w14:paraId="471581F7" w14:textId="77777777" w:rsidR="00934BBD" w:rsidRPr="00B43935" w:rsidRDefault="00934BBD" w:rsidP="008B4B58">
            <w:pPr>
              <w:pStyle w:val="Tabletext"/>
              <w:rPr>
                <w:lang w:eastAsia="en-AU"/>
              </w:rPr>
            </w:pPr>
            <w:r w:rsidRPr="00B43935">
              <w:rPr>
                <w:lang w:eastAsia="en-AU"/>
              </w:rPr>
              <w:t>95</w:t>
            </w:r>
          </w:p>
        </w:tc>
        <w:tc>
          <w:tcPr>
            <w:tcW w:w="1465" w:type="dxa"/>
            <w:shd w:val="clear" w:color="auto" w:fill="auto"/>
            <w:noWrap/>
            <w:vAlign w:val="center"/>
            <w:hideMark/>
          </w:tcPr>
          <w:p w14:paraId="1F27AFA2" w14:textId="77777777" w:rsidR="00934BBD" w:rsidRPr="00B43935" w:rsidRDefault="00934BBD" w:rsidP="008B4B58">
            <w:pPr>
              <w:pStyle w:val="Tabletext"/>
              <w:rPr>
                <w:lang w:eastAsia="en-AU"/>
              </w:rPr>
            </w:pPr>
            <w:r w:rsidRPr="00B43935">
              <w:rPr>
                <w:lang w:eastAsia="en-AU"/>
              </w:rPr>
              <w:t>99</w:t>
            </w:r>
          </w:p>
        </w:tc>
        <w:tc>
          <w:tcPr>
            <w:tcW w:w="1465" w:type="dxa"/>
            <w:shd w:val="clear" w:color="auto" w:fill="auto"/>
            <w:vAlign w:val="center"/>
            <w:hideMark/>
          </w:tcPr>
          <w:p w14:paraId="50899797" w14:textId="4916A392" w:rsidR="00934BBD" w:rsidRPr="00B43935" w:rsidRDefault="00934BBD" w:rsidP="008B4B58">
            <w:pPr>
              <w:pStyle w:val="Tabletext"/>
              <w:rPr>
                <w:lang w:eastAsia="en-AU"/>
              </w:rPr>
            </w:pPr>
            <w:r w:rsidRPr="00B43935">
              <w:rPr>
                <w:lang w:eastAsia="en-AU"/>
              </w:rPr>
              <w:t>31</w:t>
            </w:r>
            <w:r w:rsidR="00667BCD">
              <w:rPr>
                <w:lang w:eastAsia="en-AU"/>
              </w:rPr>
              <w:t>%</w:t>
            </w:r>
          </w:p>
        </w:tc>
      </w:tr>
      <w:tr w:rsidR="002F45A7" w:rsidRPr="00934BBD" w14:paraId="313C1BA2" w14:textId="77777777" w:rsidTr="006B3F7E">
        <w:trPr>
          <w:trHeight w:val="300"/>
        </w:trPr>
        <w:tc>
          <w:tcPr>
            <w:tcW w:w="2595" w:type="dxa"/>
            <w:shd w:val="clear" w:color="auto" w:fill="auto"/>
            <w:vAlign w:val="center"/>
            <w:hideMark/>
          </w:tcPr>
          <w:p w14:paraId="388632D9" w14:textId="188CA6B9" w:rsidR="00934BBD" w:rsidRPr="00B43935" w:rsidRDefault="00934BBD" w:rsidP="008B4B58">
            <w:pPr>
              <w:pStyle w:val="Tabletext"/>
              <w:rPr>
                <w:lang w:eastAsia="en-AU"/>
              </w:rPr>
            </w:pPr>
            <w:r w:rsidRPr="00B43935">
              <w:rPr>
                <w:lang w:eastAsia="en-AU"/>
              </w:rPr>
              <w:t>Medical condition</w:t>
            </w:r>
          </w:p>
        </w:tc>
        <w:tc>
          <w:tcPr>
            <w:tcW w:w="1465" w:type="dxa"/>
            <w:shd w:val="clear" w:color="auto" w:fill="auto"/>
            <w:vAlign w:val="center"/>
            <w:hideMark/>
          </w:tcPr>
          <w:p w14:paraId="0F598A06" w14:textId="77777777" w:rsidR="00934BBD" w:rsidRPr="00B43935" w:rsidRDefault="00934BBD" w:rsidP="008B4B58">
            <w:pPr>
              <w:pStyle w:val="Tabletext"/>
              <w:rPr>
                <w:lang w:eastAsia="en-AU"/>
              </w:rPr>
            </w:pPr>
            <w:r w:rsidRPr="00B43935">
              <w:rPr>
                <w:lang w:eastAsia="en-AU"/>
              </w:rPr>
              <w:t>7</w:t>
            </w:r>
          </w:p>
        </w:tc>
        <w:tc>
          <w:tcPr>
            <w:tcW w:w="1465" w:type="dxa"/>
            <w:shd w:val="clear" w:color="auto" w:fill="auto"/>
            <w:vAlign w:val="center"/>
            <w:hideMark/>
          </w:tcPr>
          <w:p w14:paraId="7910BDD3" w14:textId="77777777" w:rsidR="00934BBD" w:rsidRPr="00B43935" w:rsidRDefault="00934BBD" w:rsidP="008B4B58">
            <w:pPr>
              <w:pStyle w:val="Tabletext"/>
              <w:rPr>
                <w:lang w:eastAsia="en-AU"/>
              </w:rPr>
            </w:pPr>
            <w:r w:rsidRPr="00B43935">
              <w:rPr>
                <w:lang w:eastAsia="en-AU"/>
              </w:rPr>
              <w:t>78</w:t>
            </w:r>
          </w:p>
        </w:tc>
        <w:tc>
          <w:tcPr>
            <w:tcW w:w="1465" w:type="dxa"/>
            <w:shd w:val="clear" w:color="auto" w:fill="auto"/>
            <w:noWrap/>
            <w:vAlign w:val="center"/>
            <w:hideMark/>
          </w:tcPr>
          <w:p w14:paraId="124F49F5" w14:textId="77777777" w:rsidR="00934BBD" w:rsidRPr="00B43935" w:rsidRDefault="00934BBD" w:rsidP="008B4B58">
            <w:pPr>
              <w:pStyle w:val="Tabletext"/>
              <w:rPr>
                <w:lang w:eastAsia="en-AU"/>
              </w:rPr>
            </w:pPr>
            <w:r w:rsidRPr="00B43935">
              <w:rPr>
                <w:lang w:eastAsia="en-AU"/>
              </w:rPr>
              <w:t>85</w:t>
            </w:r>
          </w:p>
        </w:tc>
        <w:tc>
          <w:tcPr>
            <w:tcW w:w="1465" w:type="dxa"/>
            <w:shd w:val="clear" w:color="auto" w:fill="auto"/>
            <w:vAlign w:val="center"/>
            <w:hideMark/>
          </w:tcPr>
          <w:p w14:paraId="06D4EAB0" w14:textId="048E0178" w:rsidR="00934BBD" w:rsidRPr="00B43935" w:rsidRDefault="00934BBD" w:rsidP="008B4B58">
            <w:pPr>
              <w:pStyle w:val="Tabletext"/>
              <w:rPr>
                <w:lang w:eastAsia="en-AU"/>
              </w:rPr>
            </w:pPr>
            <w:r w:rsidRPr="00B43935">
              <w:rPr>
                <w:lang w:eastAsia="en-AU"/>
              </w:rPr>
              <w:t>27</w:t>
            </w:r>
            <w:r w:rsidR="00667BCD">
              <w:rPr>
                <w:lang w:eastAsia="en-AU"/>
              </w:rPr>
              <w:t>%</w:t>
            </w:r>
          </w:p>
        </w:tc>
      </w:tr>
      <w:tr w:rsidR="002F45A7" w:rsidRPr="00934BBD" w14:paraId="4BE94C3C" w14:textId="77777777" w:rsidTr="006B3F7E">
        <w:trPr>
          <w:trHeight w:val="300"/>
        </w:trPr>
        <w:tc>
          <w:tcPr>
            <w:tcW w:w="2595" w:type="dxa"/>
            <w:shd w:val="clear" w:color="auto" w:fill="auto"/>
            <w:vAlign w:val="center"/>
            <w:hideMark/>
          </w:tcPr>
          <w:p w14:paraId="69FCEA72" w14:textId="77777777" w:rsidR="00934BBD" w:rsidRPr="00B43935" w:rsidRDefault="00934BBD" w:rsidP="008B4B58">
            <w:pPr>
              <w:pStyle w:val="Tabletext"/>
              <w:rPr>
                <w:lang w:eastAsia="en-AU"/>
              </w:rPr>
            </w:pPr>
            <w:r w:rsidRPr="00B43935">
              <w:rPr>
                <w:lang w:eastAsia="en-AU"/>
              </w:rPr>
              <w:t>Accident/misadventure</w:t>
            </w:r>
          </w:p>
        </w:tc>
        <w:tc>
          <w:tcPr>
            <w:tcW w:w="1465" w:type="dxa"/>
            <w:shd w:val="clear" w:color="auto" w:fill="auto"/>
            <w:vAlign w:val="center"/>
            <w:hideMark/>
          </w:tcPr>
          <w:p w14:paraId="26BAF407" w14:textId="77777777" w:rsidR="00934BBD" w:rsidRPr="00B43935" w:rsidRDefault="00934BBD" w:rsidP="008B4B58">
            <w:pPr>
              <w:pStyle w:val="Tabletext"/>
              <w:rPr>
                <w:lang w:eastAsia="en-AU"/>
              </w:rPr>
            </w:pPr>
            <w:r w:rsidRPr="00B43935">
              <w:rPr>
                <w:lang w:eastAsia="en-AU"/>
              </w:rPr>
              <w:t>1</w:t>
            </w:r>
          </w:p>
        </w:tc>
        <w:tc>
          <w:tcPr>
            <w:tcW w:w="1465" w:type="dxa"/>
            <w:shd w:val="clear" w:color="auto" w:fill="auto"/>
            <w:vAlign w:val="center"/>
            <w:hideMark/>
          </w:tcPr>
          <w:p w14:paraId="6D30777F" w14:textId="77777777" w:rsidR="00934BBD" w:rsidRPr="00B43935" w:rsidRDefault="00934BBD" w:rsidP="008B4B58">
            <w:pPr>
              <w:pStyle w:val="Tabletext"/>
              <w:rPr>
                <w:lang w:eastAsia="en-AU"/>
              </w:rPr>
            </w:pPr>
            <w:r w:rsidRPr="00B43935">
              <w:rPr>
                <w:lang w:eastAsia="en-AU"/>
              </w:rPr>
              <w:t>22</w:t>
            </w:r>
          </w:p>
        </w:tc>
        <w:tc>
          <w:tcPr>
            <w:tcW w:w="1465" w:type="dxa"/>
            <w:shd w:val="clear" w:color="auto" w:fill="auto"/>
            <w:noWrap/>
            <w:vAlign w:val="center"/>
            <w:hideMark/>
          </w:tcPr>
          <w:p w14:paraId="776543DC" w14:textId="77777777" w:rsidR="00934BBD" w:rsidRPr="00B43935" w:rsidRDefault="00934BBD" w:rsidP="008B4B58">
            <w:pPr>
              <w:pStyle w:val="Tabletext"/>
              <w:rPr>
                <w:lang w:eastAsia="en-AU"/>
              </w:rPr>
            </w:pPr>
            <w:r w:rsidRPr="00B43935">
              <w:rPr>
                <w:lang w:eastAsia="en-AU"/>
              </w:rPr>
              <w:t>23</w:t>
            </w:r>
          </w:p>
        </w:tc>
        <w:tc>
          <w:tcPr>
            <w:tcW w:w="1465" w:type="dxa"/>
            <w:shd w:val="clear" w:color="auto" w:fill="auto"/>
            <w:vAlign w:val="center"/>
            <w:hideMark/>
          </w:tcPr>
          <w:p w14:paraId="02E95187" w14:textId="56DAFB82" w:rsidR="00934BBD" w:rsidRPr="00B43935" w:rsidRDefault="00934BBD" w:rsidP="008B4B58">
            <w:pPr>
              <w:pStyle w:val="Tabletext"/>
              <w:rPr>
                <w:lang w:eastAsia="en-AU"/>
              </w:rPr>
            </w:pPr>
            <w:r w:rsidRPr="00B43935">
              <w:rPr>
                <w:lang w:eastAsia="en-AU"/>
              </w:rPr>
              <w:t>7</w:t>
            </w:r>
            <w:r w:rsidR="00667BCD">
              <w:rPr>
                <w:lang w:eastAsia="en-AU"/>
              </w:rPr>
              <w:t>%</w:t>
            </w:r>
          </w:p>
        </w:tc>
      </w:tr>
      <w:tr w:rsidR="002F45A7" w:rsidRPr="00934BBD" w14:paraId="166B2F02" w14:textId="77777777" w:rsidTr="006B3F7E">
        <w:trPr>
          <w:trHeight w:val="300"/>
        </w:trPr>
        <w:tc>
          <w:tcPr>
            <w:tcW w:w="2595" w:type="dxa"/>
            <w:shd w:val="clear" w:color="auto" w:fill="auto"/>
            <w:vAlign w:val="center"/>
            <w:hideMark/>
          </w:tcPr>
          <w:p w14:paraId="501E695F" w14:textId="77777777" w:rsidR="00934BBD" w:rsidRPr="00B43935" w:rsidRDefault="00934BBD" w:rsidP="008B4B58">
            <w:pPr>
              <w:pStyle w:val="Tabletext"/>
              <w:rPr>
                <w:lang w:eastAsia="en-AU"/>
              </w:rPr>
            </w:pPr>
            <w:r w:rsidRPr="00B43935">
              <w:rPr>
                <w:lang w:eastAsia="en-AU"/>
              </w:rPr>
              <w:t>Homicide</w:t>
            </w:r>
          </w:p>
        </w:tc>
        <w:tc>
          <w:tcPr>
            <w:tcW w:w="1465" w:type="dxa"/>
            <w:shd w:val="clear" w:color="auto" w:fill="auto"/>
            <w:vAlign w:val="center"/>
            <w:hideMark/>
          </w:tcPr>
          <w:p w14:paraId="39BD4E9C" w14:textId="44065493" w:rsidR="00934BBD" w:rsidRPr="00B43935" w:rsidRDefault="00934BBD" w:rsidP="008B4B58">
            <w:pPr>
              <w:pStyle w:val="Tabletext"/>
              <w:rPr>
                <w:lang w:eastAsia="en-AU"/>
              </w:rPr>
            </w:pPr>
            <w:r w:rsidRPr="00B43935">
              <w:rPr>
                <w:lang w:eastAsia="en-AU"/>
              </w:rPr>
              <w:t> </w:t>
            </w:r>
            <w:r w:rsidR="00E94E01">
              <w:rPr>
                <w:lang w:eastAsia="en-AU"/>
              </w:rPr>
              <w:t>0</w:t>
            </w:r>
          </w:p>
        </w:tc>
        <w:tc>
          <w:tcPr>
            <w:tcW w:w="1465" w:type="dxa"/>
            <w:shd w:val="clear" w:color="auto" w:fill="auto"/>
            <w:vAlign w:val="center"/>
            <w:hideMark/>
          </w:tcPr>
          <w:p w14:paraId="2E7D7C22" w14:textId="77777777" w:rsidR="00934BBD" w:rsidRPr="00B43935" w:rsidRDefault="00934BBD" w:rsidP="008B4B58">
            <w:pPr>
              <w:pStyle w:val="Tabletext"/>
              <w:rPr>
                <w:lang w:eastAsia="en-AU"/>
              </w:rPr>
            </w:pPr>
            <w:r w:rsidRPr="00B43935">
              <w:rPr>
                <w:lang w:eastAsia="en-AU"/>
              </w:rPr>
              <w:t>1</w:t>
            </w:r>
          </w:p>
        </w:tc>
        <w:tc>
          <w:tcPr>
            <w:tcW w:w="1465" w:type="dxa"/>
            <w:shd w:val="clear" w:color="auto" w:fill="auto"/>
            <w:noWrap/>
            <w:vAlign w:val="center"/>
            <w:hideMark/>
          </w:tcPr>
          <w:p w14:paraId="1F0FE671" w14:textId="77777777" w:rsidR="00934BBD" w:rsidRPr="00B43935" w:rsidRDefault="00934BBD" w:rsidP="008B4B58">
            <w:pPr>
              <w:pStyle w:val="Tabletext"/>
              <w:rPr>
                <w:lang w:eastAsia="en-AU"/>
              </w:rPr>
            </w:pPr>
            <w:r w:rsidRPr="00B43935">
              <w:rPr>
                <w:lang w:eastAsia="en-AU"/>
              </w:rPr>
              <w:t>1</w:t>
            </w:r>
          </w:p>
        </w:tc>
        <w:tc>
          <w:tcPr>
            <w:tcW w:w="1465" w:type="dxa"/>
            <w:shd w:val="clear" w:color="auto" w:fill="auto"/>
            <w:vAlign w:val="center"/>
            <w:hideMark/>
          </w:tcPr>
          <w:p w14:paraId="40083878" w14:textId="29EF9CCB" w:rsidR="00934BBD" w:rsidRPr="00B43935" w:rsidRDefault="00934BBD" w:rsidP="008B4B58">
            <w:pPr>
              <w:pStyle w:val="Tabletext"/>
              <w:rPr>
                <w:lang w:eastAsia="en-AU"/>
              </w:rPr>
            </w:pPr>
            <w:r w:rsidRPr="00B43935">
              <w:rPr>
                <w:lang w:eastAsia="en-AU"/>
              </w:rPr>
              <w:t>0</w:t>
            </w:r>
            <w:r w:rsidR="00667BCD">
              <w:rPr>
                <w:lang w:eastAsia="en-AU"/>
              </w:rPr>
              <w:t>%</w:t>
            </w:r>
          </w:p>
        </w:tc>
      </w:tr>
      <w:tr w:rsidR="002F45A7" w:rsidRPr="00934BBD" w14:paraId="18936B55" w14:textId="77777777" w:rsidTr="006B3F7E">
        <w:trPr>
          <w:trHeight w:val="300"/>
        </w:trPr>
        <w:tc>
          <w:tcPr>
            <w:tcW w:w="2595" w:type="dxa"/>
            <w:shd w:val="clear" w:color="auto" w:fill="auto"/>
            <w:vAlign w:val="center"/>
            <w:hideMark/>
          </w:tcPr>
          <w:p w14:paraId="28F72A48" w14:textId="66E4C3E6" w:rsidR="00934BBD" w:rsidRPr="00B43935" w:rsidRDefault="00934BBD" w:rsidP="008B4B58">
            <w:pPr>
              <w:pStyle w:val="Tabletext"/>
              <w:rPr>
                <w:lang w:eastAsia="en-AU"/>
              </w:rPr>
            </w:pPr>
            <w:r w:rsidRPr="00B43935">
              <w:rPr>
                <w:lang w:eastAsia="en-AU"/>
              </w:rPr>
              <w:t>Not yet known</w:t>
            </w:r>
          </w:p>
        </w:tc>
        <w:tc>
          <w:tcPr>
            <w:tcW w:w="1465" w:type="dxa"/>
            <w:shd w:val="clear" w:color="auto" w:fill="auto"/>
            <w:vAlign w:val="center"/>
            <w:hideMark/>
          </w:tcPr>
          <w:p w14:paraId="2D1DDBBB" w14:textId="77777777" w:rsidR="00934BBD" w:rsidRPr="00B43935" w:rsidRDefault="00934BBD" w:rsidP="008B4B58">
            <w:pPr>
              <w:pStyle w:val="Tabletext"/>
              <w:rPr>
                <w:lang w:eastAsia="en-AU"/>
              </w:rPr>
            </w:pPr>
            <w:r w:rsidRPr="00B43935">
              <w:rPr>
                <w:lang w:eastAsia="en-AU"/>
              </w:rPr>
              <w:t>5</w:t>
            </w:r>
          </w:p>
        </w:tc>
        <w:tc>
          <w:tcPr>
            <w:tcW w:w="1465" w:type="dxa"/>
            <w:shd w:val="clear" w:color="auto" w:fill="auto"/>
            <w:vAlign w:val="center"/>
            <w:hideMark/>
          </w:tcPr>
          <w:p w14:paraId="6D836B06" w14:textId="77777777" w:rsidR="00934BBD" w:rsidRPr="00B43935" w:rsidRDefault="00934BBD" w:rsidP="008B4B58">
            <w:pPr>
              <w:pStyle w:val="Tabletext"/>
              <w:rPr>
                <w:lang w:eastAsia="en-AU"/>
              </w:rPr>
            </w:pPr>
            <w:r w:rsidRPr="00B43935">
              <w:rPr>
                <w:lang w:eastAsia="en-AU"/>
              </w:rPr>
              <w:t>107</w:t>
            </w:r>
          </w:p>
        </w:tc>
        <w:tc>
          <w:tcPr>
            <w:tcW w:w="1465" w:type="dxa"/>
            <w:shd w:val="clear" w:color="auto" w:fill="auto"/>
            <w:noWrap/>
            <w:vAlign w:val="center"/>
            <w:hideMark/>
          </w:tcPr>
          <w:p w14:paraId="65ADBA11" w14:textId="77777777" w:rsidR="00934BBD" w:rsidRPr="00B43935" w:rsidRDefault="00934BBD" w:rsidP="008B4B58">
            <w:pPr>
              <w:pStyle w:val="Tabletext"/>
              <w:rPr>
                <w:lang w:eastAsia="en-AU"/>
              </w:rPr>
            </w:pPr>
            <w:r w:rsidRPr="00B43935">
              <w:rPr>
                <w:lang w:eastAsia="en-AU"/>
              </w:rPr>
              <w:t>112</w:t>
            </w:r>
          </w:p>
        </w:tc>
        <w:tc>
          <w:tcPr>
            <w:tcW w:w="1465" w:type="dxa"/>
            <w:shd w:val="clear" w:color="auto" w:fill="auto"/>
            <w:vAlign w:val="center"/>
            <w:hideMark/>
          </w:tcPr>
          <w:p w14:paraId="54C805CD" w14:textId="685EE72B" w:rsidR="00934BBD" w:rsidRPr="00B43935" w:rsidRDefault="00934BBD" w:rsidP="008B4B58">
            <w:pPr>
              <w:pStyle w:val="Tabletext"/>
              <w:rPr>
                <w:lang w:eastAsia="en-AU"/>
              </w:rPr>
            </w:pPr>
            <w:r w:rsidRPr="00B43935">
              <w:rPr>
                <w:lang w:eastAsia="en-AU"/>
              </w:rPr>
              <w:t>35</w:t>
            </w:r>
            <w:r w:rsidR="00667BCD">
              <w:rPr>
                <w:lang w:eastAsia="en-AU"/>
              </w:rPr>
              <w:t>%</w:t>
            </w:r>
          </w:p>
        </w:tc>
      </w:tr>
      <w:tr w:rsidR="002F45A7" w:rsidRPr="00934BBD" w14:paraId="1D2ACB54" w14:textId="77777777" w:rsidTr="006B3F7E">
        <w:trPr>
          <w:trHeight w:val="315"/>
        </w:trPr>
        <w:tc>
          <w:tcPr>
            <w:tcW w:w="2595" w:type="dxa"/>
            <w:shd w:val="clear" w:color="auto" w:fill="auto"/>
            <w:vAlign w:val="center"/>
            <w:hideMark/>
          </w:tcPr>
          <w:p w14:paraId="6A8957E5" w14:textId="713C2D56" w:rsidR="00934BBD" w:rsidRPr="00B43935" w:rsidRDefault="00934BBD" w:rsidP="008B4B58">
            <w:pPr>
              <w:pStyle w:val="Tabletext"/>
              <w:rPr>
                <w:b/>
                <w:bCs/>
                <w:lang w:eastAsia="en-AU"/>
              </w:rPr>
            </w:pPr>
            <w:r w:rsidRPr="00B43935">
              <w:rPr>
                <w:b/>
                <w:bCs/>
                <w:lang w:eastAsia="en-AU"/>
              </w:rPr>
              <w:t>T</w:t>
            </w:r>
            <w:r w:rsidR="008B4B58">
              <w:rPr>
                <w:b/>
                <w:bCs/>
                <w:lang w:eastAsia="en-AU"/>
              </w:rPr>
              <w:t>otal</w:t>
            </w:r>
          </w:p>
        </w:tc>
        <w:tc>
          <w:tcPr>
            <w:tcW w:w="1465" w:type="dxa"/>
            <w:shd w:val="clear" w:color="auto" w:fill="auto"/>
            <w:noWrap/>
            <w:vAlign w:val="center"/>
            <w:hideMark/>
          </w:tcPr>
          <w:p w14:paraId="31FDD8FD" w14:textId="77777777" w:rsidR="00934BBD" w:rsidRPr="00B43935" w:rsidRDefault="00934BBD" w:rsidP="008B4B58">
            <w:pPr>
              <w:pStyle w:val="Tabletext"/>
              <w:rPr>
                <w:b/>
                <w:bCs/>
                <w:lang w:eastAsia="en-AU"/>
              </w:rPr>
            </w:pPr>
            <w:r w:rsidRPr="00B43935">
              <w:rPr>
                <w:b/>
                <w:bCs/>
                <w:lang w:eastAsia="en-AU"/>
              </w:rPr>
              <w:t>17</w:t>
            </w:r>
          </w:p>
        </w:tc>
        <w:tc>
          <w:tcPr>
            <w:tcW w:w="1465" w:type="dxa"/>
            <w:shd w:val="clear" w:color="auto" w:fill="auto"/>
            <w:noWrap/>
            <w:vAlign w:val="center"/>
            <w:hideMark/>
          </w:tcPr>
          <w:p w14:paraId="727A31DB" w14:textId="77777777" w:rsidR="00934BBD" w:rsidRPr="00B43935" w:rsidRDefault="00934BBD" w:rsidP="008B4B58">
            <w:pPr>
              <w:pStyle w:val="Tabletext"/>
              <w:rPr>
                <w:b/>
                <w:bCs/>
                <w:lang w:eastAsia="en-AU"/>
              </w:rPr>
            </w:pPr>
            <w:r w:rsidRPr="00B43935">
              <w:rPr>
                <w:b/>
                <w:bCs/>
                <w:lang w:eastAsia="en-AU"/>
              </w:rPr>
              <w:t>303</w:t>
            </w:r>
          </w:p>
        </w:tc>
        <w:tc>
          <w:tcPr>
            <w:tcW w:w="1465" w:type="dxa"/>
            <w:shd w:val="clear" w:color="auto" w:fill="auto"/>
            <w:noWrap/>
            <w:vAlign w:val="center"/>
            <w:hideMark/>
          </w:tcPr>
          <w:p w14:paraId="54D7977E" w14:textId="2CA433D4" w:rsidR="00934BBD" w:rsidRPr="00B43935" w:rsidRDefault="00934BBD" w:rsidP="008B4B58">
            <w:pPr>
              <w:pStyle w:val="Tabletext"/>
              <w:rPr>
                <w:b/>
                <w:bCs/>
                <w:lang w:eastAsia="en-AU"/>
              </w:rPr>
            </w:pPr>
            <w:r w:rsidRPr="00B43935">
              <w:rPr>
                <w:b/>
                <w:bCs/>
                <w:lang w:eastAsia="en-AU"/>
              </w:rPr>
              <w:t>320</w:t>
            </w:r>
          </w:p>
        </w:tc>
        <w:tc>
          <w:tcPr>
            <w:tcW w:w="1465" w:type="dxa"/>
            <w:shd w:val="clear" w:color="auto" w:fill="auto"/>
            <w:vAlign w:val="center"/>
            <w:hideMark/>
          </w:tcPr>
          <w:p w14:paraId="6DDB9D34" w14:textId="1BD74B25" w:rsidR="00934BBD" w:rsidRPr="00890EF4" w:rsidRDefault="00934BBD" w:rsidP="008B4B58">
            <w:pPr>
              <w:pStyle w:val="Tabletext"/>
              <w:rPr>
                <w:b/>
                <w:bCs/>
                <w:lang w:eastAsia="en-AU"/>
              </w:rPr>
            </w:pPr>
            <w:r w:rsidRPr="00890EF4">
              <w:rPr>
                <w:b/>
                <w:bCs/>
                <w:lang w:eastAsia="en-AU"/>
              </w:rPr>
              <w:t>100</w:t>
            </w:r>
            <w:r w:rsidR="00667BCD">
              <w:rPr>
                <w:b/>
                <w:bCs/>
                <w:lang w:eastAsia="en-AU"/>
              </w:rPr>
              <w:t>%</w:t>
            </w:r>
          </w:p>
        </w:tc>
      </w:tr>
    </w:tbl>
    <w:p w14:paraId="1BB0FCF8" w14:textId="77777777" w:rsidR="00E8354D" w:rsidRDefault="00E8354D" w:rsidP="00643556">
      <w:pPr>
        <w:pStyle w:val="Tablefigurenote"/>
      </w:pPr>
      <w:r>
        <w:t>Notes:</w:t>
      </w:r>
    </w:p>
    <w:p w14:paraId="3B928FEB" w14:textId="2BAFB74A" w:rsidR="002022A1" w:rsidRDefault="004D4154" w:rsidP="00643556">
      <w:pPr>
        <w:pStyle w:val="Tablefigurenote"/>
      </w:pPr>
      <w:r>
        <w:t>‘</w:t>
      </w:r>
      <w:r w:rsidR="39073E04" w:rsidRPr="00643556">
        <w:t>Not yet known</w:t>
      </w:r>
      <w:r>
        <w:t>’</w:t>
      </w:r>
      <w:r w:rsidR="39073E04" w:rsidRPr="00643556">
        <w:t xml:space="preserve"> figures relate to deaths </w:t>
      </w:r>
      <w:r w:rsidR="00EB58AA">
        <w:t>that</w:t>
      </w:r>
      <w:r w:rsidR="00EB58AA" w:rsidRPr="00643556">
        <w:t xml:space="preserve"> </w:t>
      </w:r>
      <w:r w:rsidR="39073E04" w:rsidRPr="00643556">
        <w:t>are under investigation by the Coroner and not yet determined. Some of these investigations may result in a finding of undetermined.</w:t>
      </w:r>
    </w:p>
    <w:p w14:paraId="6521B5EF" w14:textId="23BAC669" w:rsidR="00A36039" w:rsidRPr="00643556" w:rsidRDefault="00A36039" w:rsidP="00643556">
      <w:pPr>
        <w:pStyle w:val="Tablefigurenote"/>
      </w:pPr>
      <w:r>
        <w:t>Out of 320</w:t>
      </w:r>
      <w:r w:rsidR="00127CAF">
        <w:t xml:space="preserve"> notified </w:t>
      </w:r>
      <w:r w:rsidR="00444EF4">
        <w:t>deaths</w:t>
      </w:r>
      <w:r w:rsidR="004D3E5B">
        <w:t xml:space="preserve">, 12 are out of scope </w:t>
      </w:r>
      <w:r w:rsidR="004D3E5B" w:rsidRPr="0E63DE80">
        <w:rPr>
          <w:rFonts w:cs="Arial"/>
          <w:color w:val="000000" w:themeColor="text1"/>
          <w:szCs w:val="18"/>
        </w:rPr>
        <w:t xml:space="preserve">(not reportable to </w:t>
      </w:r>
      <w:r w:rsidR="00EB58AA">
        <w:rPr>
          <w:rFonts w:cs="Arial"/>
          <w:color w:val="000000" w:themeColor="text1"/>
          <w:szCs w:val="18"/>
        </w:rPr>
        <w:t xml:space="preserve">the </w:t>
      </w:r>
      <w:r w:rsidR="004D3E5B" w:rsidRPr="0E63DE80">
        <w:rPr>
          <w:rFonts w:cs="Arial"/>
          <w:color w:val="000000" w:themeColor="text1"/>
          <w:szCs w:val="18"/>
        </w:rPr>
        <w:t>OCP)</w:t>
      </w:r>
      <w:r w:rsidR="7436F16D">
        <w:t>.</w:t>
      </w:r>
      <w:r w:rsidR="004D3E5B">
        <w:t xml:space="preserve"> </w:t>
      </w:r>
      <w:r w:rsidR="62C6CC51">
        <w:t>The</w:t>
      </w:r>
      <w:r w:rsidR="00735992">
        <w:t>se</w:t>
      </w:r>
      <w:r w:rsidR="62C6CC51">
        <w:t xml:space="preserve"> are reviewed by other relevant authorities.</w:t>
      </w:r>
    </w:p>
    <w:p w14:paraId="1527A0AE" w14:textId="7B42F0A5" w:rsidR="003F8BE4" w:rsidRPr="00643556" w:rsidRDefault="00E8354D" w:rsidP="00643556">
      <w:pPr>
        <w:pStyle w:val="Tablefigurenote"/>
      </w:pPr>
      <w:r>
        <w:t>The ‘</w:t>
      </w:r>
      <w:r w:rsidR="00264390">
        <w:t>m</w:t>
      </w:r>
      <w:r>
        <w:t xml:space="preserve">edical condition’ figures </w:t>
      </w:r>
      <w:r w:rsidR="49C582D4" w:rsidRPr="00643556">
        <w:t xml:space="preserve">include </w:t>
      </w:r>
      <w:r w:rsidR="003F8BE4" w:rsidRPr="00643556">
        <w:t xml:space="preserve">a number of </w:t>
      </w:r>
      <w:r w:rsidR="00316B56" w:rsidRPr="00643556">
        <w:t>i</w:t>
      </w:r>
      <w:r w:rsidR="003F8BE4" w:rsidRPr="00643556">
        <w:t>npatient death</w:t>
      </w:r>
      <w:r w:rsidR="00316B56" w:rsidRPr="00643556">
        <w:t>s</w:t>
      </w:r>
      <w:r w:rsidR="003F8BE4" w:rsidRPr="00643556">
        <w:t xml:space="preserve"> due to medical events unrelated to acute </w:t>
      </w:r>
      <w:r w:rsidR="0E7DD4B3" w:rsidRPr="00643556">
        <w:t xml:space="preserve">mental health </w:t>
      </w:r>
      <w:r w:rsidR="003F8BE4" w:rsidRPr="00643556">
        <w:t>care</w:t>
      </w:r>
      <w:r w:rsidR="7AAD7E10" w:rsidRPr="00643556">
        <w:t xml:space="preserve"> and a small number of death</w:t>
      </w:r>
      <w:r w:rsidR="00243AA9" w:rsidRPr="00643556">
        <w:t>s</w:t>
      </w:r>
      <w:r w:rsidR="7AAD7E10" w:rsidRPr="00643556">
        <w:t xml:space="preserve"> </w:t>
      </w:r>
      <w:r w:rsidR="00264390">
        <w:t>that</w:t>
      </w:r>
      <w:r w:rsidR="00264390" w:rsidRPr="00643556">
        <w:t xml:space="preserve"> </w:t>
      </w:r>
      <w:r w:rsidR="7AAD7E10" w:rsidRPr="00643556">
        <w:t>took place as part of</w:t>
      </w:r>
      <w:r w:rsidR="00264390">
        <w:t xml:space="preserve"> an</w:t>
      </w:r>
      <w:r w:rsidR="7AAD7E10" w:rsidRPr="00643556">
        <w:t xml:space="preserve"> </w:t>
      </w:r>
      <w:r w:rsidR="6CCFDBB1" w:rsidRPr="00643556">
        <w:t>end-of-life</w:t>
      </w:r>
      <w:r w:rsidR="7AAD7E10" w:rsidRPr="00643556">
        <w:t xml:space="preserve"> pathway</w:t>
      </w:r>
      <w:r w:rsidR="633FA4B5" w:rsidRPr="00643556">
        <w:t xml:space="preserve"> for terminal illness.</w:t>
      </w:r>
    </w:p>
    <w:p w14:paraId="4FC3CFED" w14:textId="5216EFFD" w:rsidR="002022A1" w:rsidRPr="00643556" w:rsidRDefault="005509E0" w:rsidP="00643556">
      <w:pPr>
        <w:pStyle w:val="Tablefigurenote"/>
      </w:pPr>
      <w:r w:rsidRPr="00643556">
        <w:t xml:space="preserve">The </w:t>
      </w:r>
      <w:r w:rsidR="002022A1" w:rsidRPr="00643556">
        <w:t xml:space="preserve">percentages may </w:t>
      </w:r>
      <w:r w:rsidRPr="00643556">
        <w:t xml:space="preserve">not add </w:t>
      </w:r>
      <w:r w:rsidR="002022A1" w:rsidRPr="00643556">
        <w:t>to exactly 100</w:t>
      </w:r>
      <w:r w:rsidR="008F74B0" w:rsidRPr="00643556">
        <w:t xml:space="preserve"> per cent</w:t>
      </w:r>
      <w:r w:rsidR="002022A1" w:rsidRPr="00643556">
        <w:t xml:space="preserve"> because of rounding</w:t>
      </w:r>
      <w:r w:rsidRPr="00643556">
        <w:t>.</w:t>
      </w:r>
      <w:r w:rsidR="002022A1" w:rsidRPr="00643556">
        <w:rPr>
          <w:bCs/>
        </w:rPr>
        <w:t xml:space="preserve"> </w:t>
      </w:r>
    </w:p>
    <w:p w14:paraId="6124F702" w14:textId="34AC48E4" w:rsidR="00D275D3" w:rsidRDefault="00D275D3" w:rsidP="00643556">
      <w:pPr>
        <w:pStyle w:val="Bodyaftertable"/>
        <w:rPr>
          <w:lang w:val="en-US"/>
        </w:rPr>
      </w:pPr>
      <w:r w:rsidRPr="00D275D3">
        <w:rPr>
          <w:lang w:val="en-US"/>
        </w:rPr>
        <w:t xml:space="preserve">Tables 7 and 8 include 12 notified deaths </w:t>
      </w:r>
      <w:r w:rsidR="00264390">
        <w:rPr>
          <w:lang w:val="en-US"/>
        </w:rPr>
        <w:t>that</w:t>
      </w:r>
      <w:r w:rsidR="00264390" w:rsidRPr="00D275D3">
        <w:rPr>
          <w:lang w:val="en-US"/>
        </w:rPr>
        <w:t xml:space="preserve"> </w:t>
      </w:r>
      <w:r w:rsidRPr="00D275D3">
        <w:rPr>
          <w:lang w:val="en-US"/>
        </w:rPr>
        <w:t>were out of scope for the OCP reportable deaths criteria. These include deaths occurring in private hospitals, deaths due to natural causes</w:t>
      </w:r>
      <w:r w:rsidR="00091F0E">
        <w:rPr>
          <w:lang w:val="en-US"/>
        </w:rPr>
        <w:t xml:space="preserve"> </w:t>
      </w:r>
      <w:r w:rsidRPr="00D275D3">
        <w:rPr>
          <w:lang w:val="en-US"/>
        </w:rPr>
        <w:t>not receiving mental health treatment or</w:t>
      </w:r>
      <w:r w:rsidR="00C97CB0">
        <w:rPr>
          <w:lang w:val="en-US"/>
        </w:rPr>
        <w:t xml:space="preserve"> deaths of </w:t>
      </w:r>
      <w:r w:rsidRPr="00D275D3">
        <w:rPr>
          <w:lang w:val="en-US"/>
        </w:rPr>
        <w:t xml:space="preserve">discharged </w:t>
      </w:r>
      <w:r w:rsidR="00264390">
        <w:rPr>
          <w:lang w:val="en-US"/>
        </w:rPr>
        <w:t xml:space="preserve">patients </w:t>
      </w:r>
      <w:r w:rsidR="00C2721F">
        <w:rPr>
          <w:lang w:val="en-US"/>
        </w:rPr>
        <w:t xml:space="preserve">who had </w:t>
      </w:r>
      <w:r w:rsidRPr="00D275D3">
        <w:rPr>
          <w:lang w:val="en-US"/>
        </w:rPr>
        <w:t xml:space="preserve">little to no contact with mental health services </w:t>
      </w:r>
      <w:r w:rsidR="00264390">
        <w:rPr>
          <w:lang w:val="en-US"/>
        </w:rPr>
        <w:t>before their death</w:t>
      </w:r>
      <w:r w:rsidR="001364DE">
        <w:rPr>
          <w:lang w:val="en-US"/>
        </w:rPr>
        <w:t>.</w:t>
      </w:r>
    </w:p>
    <w:p w14:paraId="111F73CA" w14:textId="24068397" w:rsidR="00FA03B6" w:rsidRDefault="00381B2F" w:rsidP="006B3F7E">
      <w:pPr>
        <w:pStyle w:val="Body"/>
        <w:rPr>
          <w:lang w:val="en-US"/>
        </w:rPr>
      </w:pPr>
      <w:r w:rsidRPr="10DC7BF4">
        <w:rPr>
          <w:lang w:val="en-US"/>
        </w:rPr>
        <w:t xml:space="preserve">The OCP views every suicide in care as potentially preventable. Each number represents a person who has suffered and left behind family and loved ones. All inpatient suicides are classified as sentinel events by Safer Care Victoria and are the subject of detailed reports by health services. These reports are reviewed within the </w:t>
      </w:r>
      <w:r w:rsidR="001F7590">
        <w:rPr>
          <w:lang w:val="en-US"/>
        </w:rPr>
        <w:t>OCP</w:t>
      </w:r>
      <w:r w:rsidRPr="75EB3A12">
        <w:rPr>
          <w:lang w:val="en-US"/>
        </w:rPr>
        <w:t xml:space="preserve"> </w:t>
      </w:r>
      <w:r w:rsidRPr="10DC7BF4">
        <w:rPr>
          <w:lang w:val="en-US"/>
        </w:rPr>
        <w:t>by a panel of senior clinicians and consumer and carer representatives. The panel makes recommendations to services where indicated about actions to reduce the possibility of a recurrence.</w:t>
      </w:r>
      <w:r w:rsidR="08C663C8" w:rsidRPr="75EB3A12">
        <w:rPr>
          <w:lang w:val="en-US"/>
        </w:rPr>
        <w:t xml:space="preserve"> The panel may also make recommendations to </w:t>
      </w:r>
      <w:r w:rsidR="00FE0C28">
        <w:rPr>
          <w:lang w:val="en-US"/>
        </w:rPr>
        <w:t xml:space="preserve">enhance </w:t>
      </w:r>
      <w:r w:rsidR="08C663C8" w:rsidRPr="75EB3A12">
        <w:rPr>
          <w:lang w:val="en-US"/>
        </w:rPr>
        <w:t>the rigo</w:t>
      </w:r>
      <w:r w:rsidR="00264390">
        <w:rPr>
          <w:lang w:val="en-US"/>
        </w:rPr>
        <w:t>u</w:t>
      </w:r>
      <w:r w:rsidR="08C663C8" w:rsidRPr="75EB3A12">
        <w:rPr>
          <w:lang w:val="en-US"/>
        </w:rPr>
        <w:t>r of review processes.</w:t>
      </w:r>
      <w:r w:rsidR="00B5548B">
        <w:rPr>
          <w:lang w:val="en-US"/>
        </w:rPr>
        <w:t xml:space="preserve"> </w:t>
      </w:r>
      <w:r w:rsidRPr="10DC7BF4">
        <w:rPr>
          <w:lang w:val="en-US"/>
        </w:rPr>
        <w:t>Important learnings are</w:t>
      </w:r>
      <w:r w:rsidR="00B5548B">
        <w:rPr>
          <w:lang w:val="en-US"/>
        </w:rPr>
        <w:t xml:space="preserve"> </w:t>
      </w:r>
      <w:r w:rsidRPr="10DC7BF4">
        <w:rPr>
          <w:lang w:val="en-US"/>
        </w:rPr>
        <w:t xml:space="preserve">communicated to services through the Chief Psychiatrist’s </w:t>
      </w:r>
      <w:r w:rsidRPr="005221E6">
        <w:rPr>
          <w:i/>
          <w:iCs/>
          <w:lang w:val="en-US"/>
        </w:rPr>
        <w:t xml:space="preserve">Quality and </w:t>
      </w:r>
      <w:r w:rsidR="00264390">
        <w:rPr>
          <w:i/>
          <w:iCs/>
          <w:lang w:val="en-US"/>
        </w:rPr>
        <w:t>s</w:t>
      </w:r>
      <w:r w:rsidRPr="005221E6">
        <w:rPr>
          <w:i/>
          <w:iCs/>
          <w:lang w:val="en-US"/>
        </w:rPr>
        <w:t xml:space="preserve">afety </w:t>
      </w:r>
      <w:r w:rsidR="00264390">
        <w:rPr>
          <w:i/>
          <w:iCs/>
          <w:lang w:val="en-US"/>
        </w:rPr>
        <w:t>b</w:t>
      </w:r>
      <w:r w:rsidRPr="005221E6">
        <w:rPr>
          <w:i/>
          <w:iCs/>
          <w:lang w:val="en-US"/>
        </w:rPr>
        <w:t>ulletin</w:t>
      </w:r>
      <w:r w:rsidR="18F6A04C" w:rsidRPr="6413A842">
        <w:rPr>
          <w:i/>
          <w:iCs/>
          <w:lang w:val="en-US"/>
        </w:rPr>
        <w:t>.</w:t>
      </w:r>
      <w:r w:rsidR="0057779F" w:rsidRPr="6413A842">
        <w:rPr>
          <w:lang w:val="en-US"/>
        </w:rPr>
        <w:t xml:space="preserve"> </w:t>
      </w:r>
    </w:p>
    <w:tbl>
      <w:tblPr>
        <w:tblStyle w:val="TableGrid"/>
        <w:tblW w:w="0" w:type="auto"/>
        <w:tblLook w:val="04A0" w:firstRow="1" w:lastRow="0" w:firstColumn="1" w:lastColumn="0" w:noHBand="0" w:noVBand="1"/>
      </w:tblPr>
      <w:tblGrid>
        <w:gridCol w:w="9180"/>
      </w:tblGrid>
      <w:tr w:rsidR="007C4E40" w14:paraId="0A6B4F49" w14:textId="77777777" w:rsidTr="007C4E40">
        <w:tc>
          <w:tcPr>
            <w:tcW w:w="9288" w:type="dxa"/>
            <w:shd w:val="clear" w:color="auto" w:fill="DBE5F1" w:themeFill="accent1" w:themeFillTint="33"/>
          </w:tcPr>
          <w:p w14:paraId="21136543" w14:textId="0D74173F" w:rsidR="007C4E40" w:rsidRPr="007C4E40" w:rsidRDefault="007C4E40" w:rsidP="00683DB5">
            <w:pPr>
              <w:pStyle w:val="Boxtitle"/>
            </w:pPr>
            <w:bookmarkStart w:id="40" w:name="_Hlk82430821"/>
            <w:r w:rsidRPr="007C4E40">
              <w:lastRenderedPageBreak/>
              <w:t>J</w:t>
            </w:r>
            <w:r w:rsidR="008E5973">
              <w:t>.B.</w:t>
            </w:r>
            <w:r w:rsidRPr="007C4E40">
              <w:t>, Deputy Chief Psychiatrist, Office of the Chief Psychiatrist (February 2020</w:t>
            </w:r>
            <w:r w:rsidR="000C1AD7">
              <w:t xml:space="preserve"> </w:t>
            </w:r>
            <w:r w:rsidRPr="007C4E40">
              <w:t>– February 2021)</w:t>
            </w:r>
          </w:p>
          <w:p w14:paraId="0020726B" w14:textId="5942825C" w:rsidR="007C4E40" w:rsidRPr="007C4E40" w:rsidRDefault="007C4E40" w:rsidP="00563C62">
            <w:pPr>
              <w:pStyle w:val="Body"/>
            </w:pPr>
            <w:r w:rsidRPr="007C4E40">
              <w:t>My background is in public mental health. I have work</w:t>
            </w:r>
            <w:r w:rsidR="003846A6">
              <w:t>ed</w:t>
            </w:r>
            <w:r w:rsidRPr="007C4E40">
              <w:t xml:space="preserve"> in th</w:t>
            </w:r>
            <w:r w:rsidR="003846A6">
              <w:t>is</w:t>
            </w:r>
            <w:r w:rsidRPr="007C4E40">
              <w:t xml:space="preserve"> area for the past 20 years, taking up roles in both inpatient and community adult services. </w:t>
            </w:r>
          </w:p>
          <w:p w14:paraId="77D21363" w14:textId="3A0EB9F8" w:rsidR="007C4E40" w:rsidRPr="007C4E40" w:rsidRDefault="007C4E40" w:rsidP="00563C62">
            <w:pPr>
              <w:pStyle w:val="Body"/>
            </w:pPr>
            <w:r w:rsidRPr="007C4E40">
              <w:t xml:space="preserve">I worked at the OCP on a 12-month secondment from a major public health service in Melbourne. During my time in the OCP, I was involved in clinical leadership and monitored the provision of mental health care through case conferences of consumers with complex needs. I was also involved in reviewing the clinical governance of an area mental health service, analysing quality and safety data, and promoting cooperation and coordination between mental health, justice, disability and community services. An important aim of this work was to assist mental health service providers to comply with the </w:t>
            </w:r>
            <w:r w:rsidRPr="00D55654">
              <w:t>Mental Health Act</w:t>
            </w:r>
            <w:r w:rsidRPr="007C4E40">
              <w:t xml:space="preserve"> and to provide advocacy for persons receiving care in public mental health services to ensure their rights were being respected.</w:t>
            </w:r>
          </w:p>
          <w:p w14:paraId="513EB6B9" w14:textId="77777777" w:rsidR="007C4E40" w:rsidRPr="007C4E40" w:rsidRDefault="007C4E40" w:rsidP="00563C62">
            <w:pPr>
              <w:pStyle w:val="Body"/>
            </w:pPr>
            <w:r w:rsidRPr="007C4E40">
              <w:t>I was also a member of the COVID Response Team in the Mental Health and Drugs Branch. My role there was to support public mental health services to improve the safety of staff and consumers through leadership and guidance.</w:t>
            </w:r>
          </w:p>
          <w:p w14:paraId="6DF4C5E0" w14:textId="77777777" w:rsidR="007C4E40" w:rsidRPr="007C4E40" w:rsidRDefault="007C4E40" w:rsidP="00563C62">
            <w:pPr>
              <w:pStyle w:val="Body"/>
            </w:pPr>
            <w:r w:rsidRPr="007C4E40">
              <w:t xml:space="preserve">I value the time I spent at the OCP. I had the opportunity to build enduring relationships with colleagues in the office and benefited from their professionalism. I also gained an insight into how the Department of Health functions. I will be able to draw on this knowledge to work effectively with the Department of Health from the outside. </w:t>
            </w:r>
          </w:p>
          <w:p w14:paraId="3B60C4D1" w14:textId="14561B23" w:rsidR="007C4E40" w:rsidRPr="007C4E40" w:rsidRDefault="007C4E40" w:rsidP="00563C62">
            <w:pPr>
              <w:pStyle w:val="Body"/>
            </w:pPr>
            <w:r w:rsidRPr="007C4E40">
              <w:t>Despite completing my secondment and returning to my substantive role in a public health service, my connection with the OCP remains. I am a member of its Sexual Safety Committee, and through this committee, promote gender safe and sensitive practices in mental health services. I look forward to continuing to collaborate with the OCP and playing a part in implementing the recommendations of the Royal Commission into Victoria’s Mental Health System, which will see major improvements in the delivery of services.</w:t>
            </w:r>
            <w:bookmarkEnd w:id="40"/>
          </w:p>
        </w:tc>
      </w:tr>
    </w:tbl>
    <w:p w14:paraId="463A00EA" w14:textId="11124BE4" w:rsidR="00381B2F" w:rsidRPr="00D5401E" w:rsidRDefault="00381B2F" w:rsidP="00381B2F">
      <w:pPr>
        <w:pStyle w:val="Heading2"/>
      </w:pPr>
      <w:bookmarkStart w:id="41" w:name="_Toc86347183"/>
      <w:r w:rsidRPr="00D5401E">
        <w:t>Restrictive interventions</w:t>
      </w:r>
      <w:bookmarkEnd w:id="41"/>
    </w:p>
    <w:p w14:paraId="3A41F5A3" w14:textId="5F973EBF" w:rsidR="00381B2F" w:rsidRDefault="004D4154" w:rsidP="00563C62">
      <w:pPr>
        <w:pStyle w:val="Body"/>
      </w:pPr>
      <w:r w:rsidRPr="004D4154">
        <w:t xml:space="preserve">The Chief Psychiatrist and Chief Mental Health Nurse share a commitment to reducing and eventually eliminating restrictive interventions in accordance with the recommendations of the Royal Commission into Victoria’s Mental Health System and the </w:t>
      </w:r>
      <w:r w:rsidRPr="004D4154">
        <w:rPr>
          <w:i/>
          <w:iCs/>
        </w:rPr>
        <w:t>Seclusion and restraint declaration</w:t>
      </w:r>
      <w:r w:rsidRPr="004D4154">
        <w:t xml:space="preserve"> launched by the National Mental Health Commission</w:t>
      </w:r>
      <w:r>
        <w:t>.</w:t>
      </w:r>
      <w:r w:rsidR="00381B2F" w:rsidRPr="005221E6">
        <w:rPr>
          <w:i/>
          <w:iCs/>
        </w:rPr>
        <w:t xml:space="preserve"> </w:t>
      </w:r>
      <w:r w:rsidR="00381B2F">
        <w:t>Several local initiatives</w:t>
      </w:r>
      <w:r w:rsidR="00D94F96">
        <w:t xml:space="preserve"> </w:t>
      </w:r>
      <w:r w:rsidR="00D556FB">
        <w:t>led by</w:t>
      </w:r>
      <w:r w:rsidR="006C518A">
        <w:t xml:space="preserve"> </w:t>
      </w:r>
      <w:r w:rsidR="00767104">
        <w:t xml:space="preserve">the </w:t>
      </w:r>
      <w:r w:rsidR="006C518A">
        <w:t>OCP</w:t>
      </w:r>
      <w:r w:rsidR="00D556FB">
        <w:t xml:space="preserve"> and OCMHN</w:t>
      </w:r>
      <w:r w:rsidR="00381B2F">
        <w:t xml:space="preserve">, such as Safewards, </w:t>
      </w:r>
      <w:r w:rsidR="00791A77">
        <w:t xml:space="preserve">have </w:t>
      </w:r>
      <w:r w:rsidR="00381B2F">
        <w:t>aim</w:t>
      </w:r>
      <w:r w:rsidR="00791A77">
        <w:t>ed</w:t>
      </w:r>
      <w:r w:rsidR="00381B2F">
        <w:t xml:space="preserve"> to encourage alternative clinical practices</w:t>
      </w:r>
      <w:r w:rsidR="009B6154">
        <w:t xml:space="preserve"> that</w:t>
      </w:r>
      <w:r w:rsidR="00DD7BD3">
        <w:t xml:space="preserve"> avoid</w:t>
      </w:r>
      <w:r w:rsidR="009B6154">
        <w:t xml:space="preserve"> rel</w:t>
      </w:r>
      <w:r w:rsidR="00767104">
        <w:t>ying</w:t>
      </w:r>
      <w:r w:rsidR="009B6154">
        <w:t xml:space="preserve"> o</w:t>
      </w:r>
      <w:r w:rsidR="00534434">
        <w:t>n</w:t>
      </w:r>
      <w:r w:rsidR="009B6154">
        <w:t xml:space="preserve"> restrictive interventions (see below)</w:t>
      </w:r>
      <w:r w:rsidR="00381B2F">
        <w:t>.</w:t>
      </w:r>
    </w:p>
    <w:p w14:paraId="0F7945E2" w14:textId="36C500E8" w:rsidR="00381B2F" w:rsidRPr="009672D1" w:rsidRDefault="00381B2F" w:rsidP="00563C62">
      <w:pPr>
        <w:pStyle w:val="Body"/>
      </w:pPr>
      <w:r w:rsidRPr="009672D1">
        <w:t xml:space="preserve">Restrictive interventions are defined in the </w:t>
      </w:r>
      <w:r w:rsidRPr="006D2770">
        <w:rPr>
          <w:iCs/>
        </w:rPr>
        <w:t>Mental Health Act</w:t>
      </w:r>
      <w:r w:rsidRPr="00595763">
        <w:rPr>
          <w:i/>
        </w:rPr>
        <w:t xml:space="preserve"> </w:t>
      </w:r>
      <w:r w:rsidRPr="009672D1">
        <w:t>as the use of seclusion or bodily restraint. Seclusion is ‘the sole confinement of a person to a room or any other enclosed space from which it is not within the control of the person confined to leave’</w:t>
      </w:r>
      <w:r w:rsidR="00D23AF5">
        <w:t xml:space="preserve"> (s. 3)</w:t>
      </w:r>
      <w:r w:rsidRPr="009672D1">
        <w:t>. Bodily restraint is ‘a form of physical or mechanical restraint that prevents a person having free movement of his or her limbs’</w:t>
      </w:r>
      <w:r w:rsidR="00D23AF5">
        <w:t xml:space="preserve"> (s. 3)</w:t>
      </w:r>
      <w:r w:rsidRPr="009672D1">
        <w:t>.</w:t>
      </w:r>
    </w:p>
    <w:p w14:paraId="3A7AB682" w14:textId="77777777" w:rsidR="00381B2F" w:rsidRPr="009672D1" w:rsidRDefault="00381B2F" w:rsidP="00563C62">
      <w:pPr>
        <w:pStyle w:val="Body"/>
      </w:pPr>
      <w:r w:rsidRPr="009672D1">
        <w:t xml:space="preserve">The Act provides that a person may only be placed in seclusion or restraint to prevent imminent and serious harm to the person or another person or, in the case of restraint, to administer treatment. The principles outlined in the Act specify that people receiving mental health services should be treated in the least restrictive way possible, meaning that seclusion and restraints can be applied </w:t>
      </w:r>
      <w:r w:rsidRPr="009672D1">
        <w:lastRenderedPageBreak/>
        <w:t xml:space="preserve">only after all reasonable and less restrictive options have been tried or considered and found unsuitable. </w:t>
      </w:r>
    </w:p>
    <w:p w14:paraId="10B8770A" w14:textId="49736D45" w:rsidR="00381B2F" w:rsidRPr="00F761BC" w:rsidRDefault="00381B2F" w:rsidP="00563C62">
      <w:pPr>
        <w:pStyle w:val="Body"/>
        <w:rPr>
          <w:color w:val="FF0000"/>
        </w:rPr>
      </w:pPr>
      <w:r w:rsidRPr="009D7BE1">
        <w:t>Data on the use of restrictive interventions are shown separately for inpatient and secure extended care units (SECU). As a result, the numbers of events listed below cannot be compared directly with those listed in reports prior to 2016–17. This change in practice standardises Victorian reporting modalities across a number of national data platforms.</w:t>
      </w:r>
    </w:p>
    <w:p w14:paraId="0FBB7DFF" w14:textId="6553BCE4" w:rsidR="00381B2F" w:rsidRPr="00C64972" w:rsidRDefault="00381B2F" w:rsidP="00563C62">
      <w:pPr>
        <w:pStyle w:val="Body"/>
        <w:rPr>
          <w:color w:val="FF0000"/>
        </w:rPr>
      </w:pPr>
      <w:r>
        <w:t>S</w:t>
      </w:r>
      <w:r w:rsidRPr="00D5401E">
        <w:t xml:space="preserve">taff from the </w:t>
      </w:r>
      <w:r w:rsidR="00D664E5">
        <w:t>OCP and</w:t>
      </w:r>
      <w:r w:rsidRPr="00D5401E">
        <w:t xml:space="preserve"> the OCMHN</w:t>
      </w:r>
      <w:r w:rsidR="0027397A">
        <w:t xml:space="preserve"> </w:t>
      </w:r>
      <w:r w:rsidR="007B36C7">
        <w:t xml:space="preserve">have </w:t>
      </w:r>
      <w:r w:rsidRPr="00D5401E">
        <w:t>led the statutory committee and internal governance of the Chief Psychiatrist statutory portfolio on eliminati</w:t>
      </w:r>
      <w:r w:rsidR="0027397A">
        <w:t>ng</w:t>
      </w:r>
      <w:r w:rsidRPr="00D5401E">
        <w:t xml:space="preserve"> restrictive </w:t>
      </w:r>
      <w:r w:rsidRPr="00880AB1">
        <w:t xml:space="preserve">interventions. </w:t>
      </w:r>
      <w:r w:rsidRPr="000B43EC">
        <w:t>In October 2019 the Statewide Chief Psychiatrist</w:t>
      </w:r>
      <w:r w:rsidR="008B3F27" w:rsidRPr="000B43EC">
        <w:t>’s R</w:t>
      </w:r>
      <w:r w:rsidR="0019255A" w:rsidRPr="000B43EC">
        <w:t>estrictive Intervention C</w:t>
      </w:r>
      <w:r w:rsidRPr="000B43EC">
        <w:t xml:space="preserve">ommittee </w:t>
      </w:r>
      <w:r w:rsidR="0027397A" w:rsidRPr="000B43EC">
        <w:t xml:space="preserve">agreed </w:t>
      </w:r>
      <w:r w:rsidRPr="000B43EC">
        <w:t xml:space="preserve">to a program of work to support the elimination of restrictive interventions. This is aligned with national directions from the Safety and Quality Partnerships Subcommittee and </w:t>
      </w:r>
      <w:r w:rsidR="0027397A" w:rsidRPr="000B43EC">
        <w:t xml:space="preserve">is </w:t>
      </w:r>
      <w:r w:rsidRPr="000B43EC">
        <w:t>supported by the Council of Australian Governments.</w:t>
      </w:r>
    </w:p>
    <w:p w14:paraId="5058D1C9" w14:textId="7E31406C" w:rsidR="00381B2F" w:rsidRDefault="00381B2F" w:rsidP="00563C62">
      <w:pPr>
        <w:pStyle w:val="Body"/>
      </w:pPr>
      <w:r w:rsidRPr="00D5401E">
        <w:t xml:space="preserve">The impact of </w:t>
      </w:r>
      <w:r w:rsidR="00A424DB">
        <w:t>COVID-19</w:t>
      </w:r>
      <w:r w:rsidRPr="00D5401E">
        <w:t xml:space="preserve"> on restrictive interventions has been closely monitored and a</w:t>
      </w:r>
      <w:r w:rsidR="001F5458">
        <w:t>n</w:t>
      </w:r>
      <w:r w:rsidRPr="00D5401E">
        <w:t xml:space="preserve"> inpatient pathway developed</w:t>
      </w:r>
      <w:r>
        <w:t xml:space="preserve">, </w:t>
      </w:r>
      <w:r w:rsidRPr="00D5401E">
        <w:t>support</w:t>
      </w:r>
      <w:r>
        <w:t>ing</w:t>
      </w:r>
      <w:r w:rsidRPr="00D5401E">
        <w:t xml:space="preserve"> sensory responses and engagement within services during this unprecedented time for people, their families an</w:t>
      </w:r>
      <w:r w:rsidRPr="0005701B">
        <w:t xml:space="preserve">d </w:t>
      </w:r>
      <w:r w:rsidR="001F5458" w:rsidRPr="0005701B">
        <w:t xml:space="preserve">the </w:t>
      </w:r>
      <w:r w:rsidRPr="0005701B">
        <w:t>workforce. The OCP is currently</w:t>
      </w:r>
      <w:r w:rsidR="001F5458" w:rsidRPr="0005701B">
        <w:t xml:space="preserve"> developing</w:t>
      </w:r>
      <w:r w:rsidRPr="0005701B">
        <w:t xml:space="preserve"> </w:t>
      </w:r>
      <w:r w:rsidR="00C5692E" w:rsidRPr="0005701B">
        <w:t xml:space="preserve">a </w:t>
      </w:r>
      <w:r w:rsidR="147807EA" w:rsidRPr="0005701B">
        <w:t xml:space="preserve">secure </w:t>
      </w:r>
      <w:r w:rsidR="00C5692E" w:rsidRPr="0005701B">
        <w:t xml:space="preserve">web </w:t>
      </w:r>
      <w:r w:rsidRPr="0005701B">
        <w:t>portal to support incoming data from health services</w:t>
      </w:r>
      <w:r w:rsidR="000A3890" w:rsidRPr="0005701B">
        <w:t xml:space="preserve"> and </w:t>
      </w:r>
      <w:r w:rsidR="7704E241" w:rsidRPr="0005701B">
        <w:t>reduce reliance on</w:t>
      </w:r>
      <w:r w:rsidR="000A3890" w:rsidRPr="0005701B">
        <w:t xml:space="preserve"> paper or fax</w:t>
      </w:r>
      <w:r w:rsidR="3EA13733" w:rsidRPr="0005701B">
        <w:t>-</w:t>
      </w:r>
      <w:r w:rsidR="000A3890" w:rsidRPr="0005701B">
        <w:t xml:space="preserve">based information </w:t>
      </w:r>
      <w:r w:rsidR="00C42861" w:rsidRPr="0005701B">
        <w:t>exchange</w:t>
      </w:r>
      <w:r w:rsidR="0005701B" w:rsidRPr="0005701B">
        <w:t>. T</w:t>
      </w:r>
      <w:r w:rsidR="008A0483" w:rsidRPr="0005701B">
        <w:t xml:space="preserve">his </w:t>
      </w:r>
      <w:r w:rsidR="001F5458" w:rsidRPr="0005701B">
        <w:t>will</w:t>
      </w:r>
      <w:r w:rsidRPr="0005701B">
        <w:t xml:space="preserve"> </w:t>
      </w:r>
      <w:r w:rsidR="001F5458" w:rsidRPr="0005701B">
        <w:t xml:space="preserve">allow </w:t>
      </w:r>
      <w:r w:rsidRPr="0005701B">
        <w:t>the OCP to respond and provide feedback</w:t>
      </w:r>
      <w:r w:rsidR="006A6B53">
        <w:t xml:space="preserve"> more </w:t>
      </w:r>
      <w:r w:rsidR="00A24AD8">
        <w:t>efficiently</w:t>
      </w:r>
      <w:r w:rsidRPr="0005701B">
        <w:t xml:space="preserve"> </w:t>
      </w:r>
      <w:r w:rsidR="00A24AD8">
        <w:t>in response to</w:t>
      </w:r>
      <w:r w:rsidRPr="0005701B">
        <w:t xml:space="preserve"> significant variances in practice.</w:t>
      </w:r>
    </w:p>
    <w:p w14:paraId="20BD903C" w14:textId="5128D961" w:rsidR="00381B2F" w:rsidRDefault="00381B2F" w:rsidP="00381B2F">
      <w:pPr>
        <w:pStyle w:val="Heading2"/>
        <w:rPr>
          <w:highlight w:val="yellow"/>
        </w:rPr>
      </w:pPr>
      <w:bookmarkStart w:id="42" w:name="_Toc86347184"/>
      <w:r>
        <w:t>A</w:t>
      </w:r>
      <w:r w:rsidR="00FD7427">
        <w:t>cute</w:t>
      </w:r>
      <w:r>
        <w:t xml:space="preserve"> inpatient units</w:t>
      </w:r>
      <w:bookmarkEnd w:id="42"/>
    </w:p>
    <w:p w14:paraId="2352FEBA" w14:textId="4C72B327" w:rsidR="00381B2F" w:rsidRDefault="00381B2F" w:rsidP="00381B2F">
      <w:pPr>
        <w:pStyle w:val="Heading3"/>
      </w:pPr>
      <w:r>
        <w:t>Seclusion</w:t>
      </w:r>
      <w:r w:rsidR="0099684E">
        <w:t xml:space="preserve"> – acute inpatient units</w:t>
      </w:r>
    </w:p>
    <w:p w14:paraId="6F0C2D0C" w14:textId="1CD8C537" w:rsidR="675D2E0E" w:rsidRPr="00EC49D8" w:rsidRDefault="675D2E0E" w:rsidP="00563C62">
      <w:pPr>
        <w:pStyle w:val="Body"/>
      </w:pPr>
      <w:r w:rsidRPr="00EC49D8">
        <w:t xml:space="preserve">Table </w:t>
      </w:r>
      <w:r w:rsidR="00792533">
        <w:t>9</w:t>
      </w:r>
      <w:r w:rsidRPr="00EC49D8">
        <w:t xml:space="preserve"> shows the number of episodes of bodily restraint and seclusion in acute inpatient units over the </w:t>
      </w:r>
      <w:r w:rsidR="0048002F">
        <w:t>p</w:t>
      </w:r>
      <w:r w:rsidRPr="00EC49D8">
        <w:t xml:space="preserve">ast </w:t>
      </w:r>
      <w:r w:rsidR="0048002F">
        <w:t xml:space="preserve">six </w:t>
      </w:r>
      <w:r w:rsidRPr="00EC49D8">
        <w:t>years. The use of bodily restraint has increased</w:t>
      </w:r>
      <w:r w:rsidR="0048002F">
        <w:t>,</w:t>
      </w:r>
      <w:r w:rsidRPr="00EC49D8">
        <w:t xml:space="preserve"> while seclusion has fallen.</w:t>
      </w:r>
    </w:p>
    <w:p w14:paraId="5DC75155" w14:textId="43128BF9" w:rsidR="702ED0C5" w:rsidRDefault="702ED0C5" w:rsidP="000D0B9B">
      <w:pPr>
        <w:pStyle w:val="Tablecaption"/>
        <w:rPr>
          <w:rFonts w:eastAsia="Arial"/>
        </w:rPr>
      </w:pPr>
      <w:r w:rsidRPr="1E6D535A">
        <w:rPr>
          <w:rFonts w:eastAsia="Arial"/>
        </w:rPr>
        <w:t xml:space="preserve">Table </w:t>
      </w:r>
      <w:r w:rsidR="00792533">
        <w:rPr>
          <w:rFonts w:eastAsia="Arial"/>
        </w:rPr>
        <w:t>9</w:t>
      </w:r>
      <w:r w:rsidRPr="1E6D535A">
        <w:rPr>
          <w:rFonts w:eastAsia="Arial"/>
        </w:rPr>
        <w:t xml:space="preserve">: Number of episodes of bodily restraint and seclusion in acute inpatient units, </w:t>
      </w:r>
      <w:r w:rsidR="0048002F">
        <w:rPr>
          <w:rFonts w:eastAsia="Arial"/>
        </w:rPr>
        <w:br/>
      </w:r>
      <w:r w:rsidRPr="1E6D535A">
        <w:rPr>
          <w:rFonts w:eastAsia="Arial"/>
        </w:rPr>
        <w:t>2015–16 to 20</w:t>
      </w:r>
      <w:r w:rsidR="0048002F">
        <w:rPr>
          <w:rFonts w:eastAsia="Arial"/>
        </w:rPr>
        <w:t>20</w:t>
      </w:r>
      <w:r w:rsidRPr="1E6D535A">
        <w:rPr>
          <w:rFonts w:eastAsia="Arial"/>
        </w:rPr>
        <w:t>–2</w:t>
      </w:r>
      <w:r w:rsidR="00F4734E">
        <w:rPr>
          <w:rFonts w:eastAsia="Arial"/>
        </w:rPr>
        <w:t>1</w:t>
      </w:r>
    </w:p>
    <w:tbl>
      <w:tblPr>
        <w:tblStyle w:val="TableGrid"/>
        <w:tblW w:w="0" w:type="auto"/>
        <w:tblLook w:val="04A0" w:firstRow="1" w:lastRow="0" w:firstColumn="1" w:lastColumn="0" w:noHBand="0" w:noVBand="1"/>
      </w:tblPr>
      <w:tblGrid>
        <w:gridCol w:w="1724"/>
        <w:gridCol w:w="1267"/>
        <w:gridCol w:w="1269"/>
        <w:gridCol w:w="1268"/>
        <w:gridCol w:w="1269"/>
        <w:gridCol w:w="1269"/>
        <w:gridCol w:w="1114"/>
      </w:tblGrid>
      <w:tr w:rsidR="00F4734E" w14:paraId="20F8CB54" w14:textId="5947A0E0" w:rsidTr="00F4734E">
        <w:trPr>
          <w:tblHeader/>
        </w:trPr>
        <w:tc>
          <w:tcPr>
            <w:tcW w:w="1724" w:type="dxa"/>
          </w:tcPr>
          <w:p w14:paraId="57000816" w14:textId="0F1887D3" w:rsidR="00F4734E" w:rsidRDefault="00F4734E" w:rsidP="000D0B9B">
            <w:pPr>
              <w:pStyle w:val="Tablecolhead"/>
            </w:pPr>
            <w:r>
              <w:t>Intervention</w:t>
            </w:r>
          </w:p>
        </w:tc>
        <w:tc>
          <w:tcPr>
            <w:tcW w:w="1267" w:type="dxa"/>
          </w:tcPr>
          <w:p w14:paraId="374328F5" w14:textId="6AF08213" w:rsidR="00F4734E" w:rsidRDefault="00F4734E" w:rsidP="000D0B9B">
            <w:pPr>
              <w:pStyle w:val="Tablecolhead"/>
            </w:pPr>
            <w:r>
              <w:t>2015–16</w:t>
            </w:r>
          </w:p>
        </w:tc>
        <w:tc>
          <w:tcPr>
            <w:tcW w:w="1269" w:type="dxa"/>
          </w:tcPr>
          <w:p w14:paraId="2687073D" w14:textId="426C367B" w:rsidR="00F4734E" w:rsidRDefault="00F4734E" w:rsidP="000D0B9B">
            <w:pPr>
              <w:pStyle w:val="Tablecolhead"/>
            </w:pPr>
            <w:r w:rsidRPr="004F6583">
              <w:t>201</w:t>
            </w:r>
            <w:r>
              <w:t>6</w:t>
            </w:r>
            <w:r w:rsidRPr="004F6583">
              <w:t>–1</w:t>
            </w:r>
            <w:r>
              <w:t>7</w:t>
            </w:r>
          </w:p>
        </w:tc>
        <w:tc>
          <w:tcPr>
            <w:tcW w:w="1268" w:type="dxa"/>
          </w:tcPr>
          <w:p w14:paraId="252D6689" w14:textId="4DA18A3F" w:rsidR="00F4734E" w:rsidRDefault="00F4734E" w:rsidP="000D0B9B">
            <w:pPr>
              <w:pStyle w:val="Tablecolhead"/>
            </w:pPr>
            <w:r w:rsidRPr="004F6583">
              <w:t>201</w:t>
            </w:r>
            <w:r>
              <w:t>7</w:t>
            </w:r>
            <w:r w:rsidRPr="004F6583">
              <w:t>–1</w:t>
            </w:r>
            <w:r>
              <w:t>8</w:t>
            </w:r>
          </w:p>
        </w:tc>
        <w:tc>
          <w:tcPr>
            <w:tcW w:w="1269" w:type="dxa"/>
          </w:tcPr>
          <w:p w14:paraId="59C35229" w14:textId="5C66C5F1" w:rsidR="00F4734E" w:rsidRDefault="00F4734E" w:rsidP="000D0B9B">
            <w:pPr>
              <w:pStyle w:val="Tablecolhead"/>
            </w:pPr>
            <w:r w:rsidRPr="004F6583">
              <w:t>201</w:t>
            </w:r>
            <w:r>
              <w:t>8</w:t>
            </w:r>
            <w:r w:rsidRPr="004F6583">
              <w:t>–1</w:t>
            </w:r>
            <w:r>
              <w:t>9</w:t>
            </w:r>
          </w:p>
        </w:tc>
        <w:tc>
          <w:tcPr>
            <w:tcW w:w="1269" w:type="dxa"/>
          </w:tcPr>
          <w:p w14:paraId="3533D82B" w14:textId="3B424DC8" w:rsidR="00F4734E" w:rsidRDefault="00F4734E" w:rsidP="000D0B9B">
            <w:pPr>
              <w:pStyle w:val="Tablecolhead"/>
            </w:pPr>
            <w:r w:rsidRPr="004F6583">
              <w:t>201</w:t>
            </w:r>
            <w:r>
              <w:t>9</w:t>
            </w:r>
            <w:r w:rsidRPr="004F6583">
              <w:t>–</w:t>
            </w:r>
            <w:r>
              <w:t>20</w:t>
            </w:r>
          </w:p>
        </w:tc>
        <w:tc>
          <w:tcPr>
            <w:tcW w:w="1114" w:type="dxa"/>
          </w:tcPr>
          <w:p w14:paraId="2BF38DC3" w14:textId="7BB9A513" w:rsidR="00F4734E" w:rsidRPr="004F6583" w:rsidRDefault="007B2175" w:rsidP="000D0B9B">
            <w:pPr>
              <w:pStyle w:val="Tablecolhead"/>
            </w:pPr>
            <w:r>
              <w:t>2020–21</w:t>
            </w:r>
          </w:p>
        </w:tc>
      </w:tr>
      <w:tr w:rsidR="00084238" w14:paraId="3D178D03" w14:textId="39299292" w:rsidTr="00F4734E">
        <w:tc>
          <w:tcPr>
            <w:tcW w:w="1724" w:type="dxa"/>
          </w:tcPr>
          <w:p w14:paraId="039D29F7" w14:textId="32A90EE1" w:rsidR="00084238" w:rsidRDefault="00084238" w:rsidP="000D0B9B">
            <w:pPr>
              <w:pStyle w:val="Tabletext"/>
            </w:pPr>
            <w:r>
              <w:t>Bodily restraint</w:t>
            </w:r>
          </w:p>
        </w:tc>
        <w:tc>
          <w:tcPr>
            <w:tcW w:w="1267" w:type="dxa"/>
          </w:tcPr>
          <w:p w14:paraId="3F5F910B" w14:textId="00B68C2E" w:rsidR="00084238" w:rsidRDefault="00084238" w:rsidP="000D0B9B">
            <w:pPr>
              <w:pStyle w:val="Tabletext"/>
            </w:pPr>
            <w:r>
              <w:t>1,233</w:t>
            </w:r>
          </w:p>
        </w:tc>
        <w:tc>
          <w:tcPr>
            <w:tcW w:w="1269" w:type="dxa"/>
          </w:tcPr>
          <w:p w14:paraId="504C2232" w14:textId="22D9A275" w:rsidR="00084238" w:rsidRDefault="00084238" w:rsidP="000D0B9B">
            <w:pPr>
              <w:pStyle w:val="Tabletext"/>
            </w:pPr>
            <w:r>
              <w:t>1,230</w:t>
            </w:r>
          </w:p>
        </w:tc>
        <w:tc>
          <w:tcPr>
            <w:tcW w:w="1268" w:type="dxa"/>
          </w:tcPr>
          <w:p w14:paraId="13C8B1C8" w14:textId="5BD6F3EB" w:rsidR="00084238" w:rsidRDefault="00084238" w:rsidP="000D0B9B">
            <w:pPr>
              <w:pStyle w:val="Tabletext"/>
            </w:pPr>
            <w:r>
              <w:t>1,312</w:t>
            </w:r>
          </w:p>
        </w:tc>
        <w:tc>
          <w:tcPr>
            <w:tcW w:w="1269" w:type="dxa"/>
          </w:tcPr>
          <w:p w14:paraId="1559026D" w14:textId="3CC06D4D" w:rsidR="00084238" w:rsidRDefault="00084238" w:rsidP="000D0B9B">
            <w:pPr>
              <w:pStyle w:val="Tabletext"/>
            </w:pPr>
            <w:r>
              <w:t>1,475</w:t>
            </w:r>
          </w:p>
        </w:tc>
        <w:tc>
          <w:tcPr>
            <w:tcW w:w="1269" w:type="dxa"/>
          </w:tcPr>
          <w:p w14:paraId="12BECEFD" w14:textId="2729162B" w:rsidR="00084238" w:rsidRDefault="00084238" w:rsidP="000D0B9B">
            <w:pPr>
              <w:pStyle w:val="Tabletext"/>
            </w:pPr>
            <w:r>
              <w:t>1,557</w:t>
            </w:r>
          </w:p>
        </w:tc>
        <w:tc>
          <w:tcPr>
            <w:tcW w:w="1114" w:type="dxa"/>
          </w:tcPr>
          <w:p w14:paraId="0AE8B226" w14:textId="6E443F1E" w:rsidR="00084238" w:rsidRDefault="00084238" w:rsidP="000D0B9B">
            <w:pPr>
              <w:pStyle w:val="Tabletext"/>
            </w:pPr>
            <w:r>
              <w:t>1,630</w:t>
            </w:r>
          </w:p>
        </w:tc>
      </w:tr>
      <w:tr w:rsidR="00D53A12" w14:paraId="75A9BCE0" w14:textId="7F75894D" w:rsidTr="00F4734E">
        <w:tc>
          <w:tcPr>
            <w:tcW w:w="1724" w:type="dxa"/>
          </w:tcPr>
          <w:p w14:paraId="4B898268" w14:textId="79E5C101" w:rsidR="00D53A12" w:rsidRDefault="00D53A12" w:rsidP="000D0B9B">
            <w:pPr>
              <w:pStyle w:val="Tabletext"/>
            </w:pPr>
            <w:r>
              <w:t>Seclusion</w:t>
            </w:r>
          </w:p>
        </w:tc>
        <w:tc>
          <w:tcPr>
            <w:tcW w:w="1267" w:type="dxa"/>
          </w:tcPr>
          <w:p w14:paraId="755CB335" w14:textId="584488DE" w:rsidR="00D53A12" w:rsidRDefault="00D53A12" w:rsidP="000D0B9B">
            <w:pPr>
              <w:pStyle w:val="Tabletext"/>
            </w:pPr>
            <w:r>
              <w:t>1,265</w:t>
            </w:r>
          </w:p>
        </w:tc>
        <w:tc>
          <w:tcPr>
            <w:tcW w:w="1269" w:type="dxa"/>
          </w:tcPr>
          <w:p w14:paraId="0053F9E2" w14:textId="31885B36" w:rsidR="00D53A12" w:rsidRDefault="00D53A12" w:rsidP="000D0B9B">
            <w:pPr>
              <w:pStyle w:val="Tabletext"/>
            </w:pPr>
            <w:r>
              <w:t>1,280</w:t>
            </w:r>
          </w:p>
        </w:tc>
        <w:tc>
          <w:tcPr>
            <w:tcW w:w="1268" w:type="dxa"/>
          </w:tcPr>
          <w:p w14:paraId="30A60FDF" w14:textId="024B33D8" w:rsidR="00D53A12" w:rsidRDefault="00D53A12" w:rsidP="000D0B9B">
            <w:pPr>
              <w:pStyle w:val="Tabletext"/>
            </w:pPr>
            <w:r>
              <w:t>1,206</w:t>
            </w:r>
          </w:p>
        </w:tc>
        <w:tc>
          <w:tcPr>
            <w:tcW w:w="1269" w:type="dxa"/>
          </w:tcPr>
          <w:p w14:paraId="6DBB9D66" w14:textId="0832FFD4" w:rsidR="00D53A12" w:rsidRDefault="00D53A12" w:rsidP="000D0B9B">
            <w:pPr>
              <w:pStyle w:val="Tabletext"/>
            </w:pPr>
            <w:r>
              <w:t>1,169</w:t>
            </w:r>
          </w:p>
        </w:tc>
        <w:tc>
          <w:tcPr>
            <w:tcW w:w="1269" w:type="dxa"/>
          </w:tcPr>
          <w:p w14:paraId="519253E8" w14:textId="69DD9408" w:rsidR="00D53A12" w:rsidRDefault="00D53A12" w:rsidP="000D0B9B">
            <w:pPr>
              <w:pStyle w:val="Tabletext"/>
            </w:pPr>
            <w:r>
              <w:t>1,113</w:t>
            </w:r>
          </w:p>
        </w:tc>
        <w:tc>
          <w:tcPr>
            <w:tcW w:w="1114" w:type="dxa"/>
          </w:tcPr>
          <w:p w14:paraId="5B213F24" w14:textId="7484E7AC" w:rsidR="00D53A12" w:rsidRDefault="00D53A12" w:rsidP="000D0B9B">
            <w:pPr>
              <w:pStyle w:val="Tabletext"/>
            </w:pPr>
            <w:r>
              <w:t>1,106</w:t>
            </w:r>
          </w:p>
        </w:tc>
      </w:tr>
    </w:tbl>
    <w:p w14:paraId="2876AAC8" w14:textId="3990A3C1" w:rsidR="004F58D3" w:rsidRDefault="004F58D3" w:rsidP="00643556">
      <w:pPr>
        <w:pStyle w:val="Bodyaftertable"/>
      </w:pPr>
      <w:r>
        <w:t>In 20</w:t>
      </w:r>
      <w:r w:rsidR="00FC2373">
        <w:t>20</w:t>
      </w:r>
      <w:r>
        <w:t>–2</w:t>
      </w:r>
      <w:r w:rsidR="00FC2373">
        <w:t>1</w:t>
      </w:r>
      <w:r>
        <w:t xml:space="preserve"> most </w:t>
      </w:r>
      <w:r w:rsidR="00FC2373">
        <w:t>episodes</w:t>
      </w:r>
      <w:r>
        <w:t xml:space="preserve"> of seclusion in admitted settings were among 18 to 49</w:t>
      </w:r>
      <w:r w:rsidR="000031DC">
        <w:t>-</w:t>
      </w:r>
      <w:r>
        <w:t>year</w:t>
      </w:r>
      <w:r w:rsidR="000031DC">
        <w:t>-</w:t>
      </w:r>
      <w:r>
        <w:t>olds (</w:t>
      </w:r>
      <w:r w:rsidR="6236A531">
        <w:t>Table 1</w:t>
      </w:r>
      <w:r w:rsidR="0086212F">
        <w:t>0</w:t>
      </w:r>
      <w:r>
        <w:t>).</w:t>
      </w:r>
    </w:p>
    <w:p w14:paraId="3E663F81" w14:textId="4D3531E9" w:rsidR="2FF7EF75" w:rsidRDefault="2FF7EF75" w:rsidP="000D0B9B">
      <w:pPr>
        <w:pStyle w:val="Tablecaption"/>
        <w:rPr>
          <w:rFonts w:eastAsia="Arial"/>
        </w:rPr>
      </w:pPr>
      <w:r w:rsidRPr="6413A842">
        <w:rPr>
          <w:rFonts w:eastAsia="Arial"/>
        </w:rPr>
        <w:t>Table 1</w:t>
      </w:r>
      <w:r w:rsidR="0086212F">
        <w:rPr>
          <w:rFonts w:eastAsia="Arial"/>
        </w:rPr>
        <w:t>0</w:t>
      </w:r>
      <w:r w:rsidRPr="6413A842">
        <w:rPr>
          <w:rFonts w:eastAsia="Arial"/>
        </w:rPr>
        <w:t>: Number of seclusion episodes in acute inpatient units</w:t>
      </w:r>
      <w:r w:rsidR="0048002F">
        <w:rPr>
          <w:rFonts w:eastAsia="Arial"/>
        </w:rPr>
        <w:t>,</w:t>
      </w:r>
      <w:r w:rsidRPr="6413A842">
        <w:rPr>
          <w:rFonts w:eastAsia="Arial"/>
        </w:rPr>
        <w:t xml:space="preserve"> by age and gender, 20</w:t>
      </w:r>
      <w:r w:rsidR="00304F73">
        <w:rPr>
          <w:rFonts w:eastAsia="Arial"/>
        </w:rPr>
        <w:t>20</w:t>
      </w:r>
      <w:r w:rsidRPr="6413A842">
        <w:rPr>
          <w:rFonts w:eastAsia="Arial"/>
        </w:rPr>
        <w:t>–2</w:t>
      </w:r>
      <w:r w:rsidR="00304F73">
        <w:rPr>
          <w:rFonts w:eastAsia="Arial"/>
        </w:rPr>
        <w:t>1</w:t>
      </w:r>
    </w:p>
    <w:tbl>
      <w:tblPr>
        <w:tblStyle w:val="TableGrid"/>
        <w:tblW w:w="5000" w:type="pct"/>
        <w:tblInd w:w="0" w:type="dxa"/>
        <w:tblLook w:val="04A0" w:firstRow="1" w:lastRow="0" w:firstColumn="1" w:lastColumn="0" w:noHBand="0" w:noVBand="1"/>
      </w:tblPr>
      <w:tblGrid>
        <w:gridCol w:w="957"/>
        <w:gridCol w:w="1042"/>
        <w:gridCol w:w="1042"/>
        <w:gridCol w:w="1042"/>
        <w:gridCol w:w="1042"/>
        <w:gridCol w:w="1042"/>
        <w:gridCol w:w="1042"/>
        <w:gridCol w:w="1042"/>
        <w:gridCol w:w="1037"/>
      </w:tblGrid>
      <w:tr w:rsidR="00431D47" w14:paraId="194A723F" w14:textId="73D320F9" w:rsidTr="00F867CF">
        <w:trPr>
          <w:trHeight w:val="619"/>
          <w:tblHeader/>
        </w:trPr>
        <w:tc>
          <w:tcPr>
            <w:tcW w:w="515" w:type="pct"/>
          </w:tcPr>
          <w:p w14:paraId="17A8969E" w14:textId="2C4EB9F2" w:rsidR="00431D47" w:rsidRDefault="00431D47" w:rsidP="000D0B9B">
            <w:pPr>
              <w:pStyle w:val="Tablecolhead"/>
            </w:pPr>
            <w:r>
              <w:t>Gender</w:t>
            </w:r>
          </w:p>
        </w:tc>
        <w:tc>
          <w:tcPr>
            <w:tcW w:w="561" w:type="pct"/>
          </w:tcPr>
          <w:p w14:paraId="39A6F401" w14:textId="50D02D8E" w:rsidR="00431D47" w:rsidRPr="00AA2789" w:rsidRDefault="00431D47" w:rsidP="000D0B9B">
            <w:pPr>
              <w:pStyle w:val="Tablecolhead"/>
            </w:pPr>
            <w:r w:rsidRPr="00AA2789">
              <w:t>0–17 years</w:t>
            </w:r>
          </w:p>
        </w:tc>
        <w:tc>
          <w:tcPr>
            <w:tcW w:w="561" w:type="pct"/>
          </w:tcPr>
          <w:p w14:paraId="54EBA493" w14:textId="40600A66" w:rsidR="00431D47" w:rsidRDefault="00431D47" w:rsidP="000D0B9B">
            <w:pPr>
              <w:pStyle w:val="Tablecolhead"/>
            </w:pPr>
            <w:r>
              <w:t>18–29 years</w:t>
            </w:r>
          </w:p>
        </w:tc>
        <w:tc>
          <w:tcPr>
            <w:tcW w:w="561" w:type="pct"/>
          </w:tcPr>
          <w:p w14:paraId="6F158FEA" w14:textId="0823CF0D" w:rsidR="00431D47" w:rsidRDefault="00431D47" w:rsidP="000D0B9B">
            <w:pPr>
              <w:pStyle w:val="Tablecolhead"/>
            </w:pPr>
            <w:r>
              <w:t>30–39 years</w:t>
            </w:r>
          </w:p>
        </w:tc>
        <w:tc>
          <w:tcPr>
            <w:tcW w:w="561" w:type="pct"/>
          </w:tcPr>
          <w:p w14:paraId="293EEF28" w14:textId="616B6627" w:rsidR="00431D47" w:rsidRDefault="00431D47" w:rsidP="000D0B9B">
            <w:pPr>
              <w:pStyle w:val="Tablecolhead"/>
            </w:pPr>
            <w:r>
              <w:t>40–49 years</w:t>
            </w:r>
          </w:p>
        </w:tc>
        <w:tc>
          <w:tcPr>
            <w:tcW w:w="561" w:type="pct"/>
          </w:tcPr>
          <w:p w14:paraId="6E69A1C7" w14:textId="1D7C8982" w:rsidR="00431D47" w:rsidRDefault="00431D47" w:rsidP="000D0B9B">
            <w:pPr>
              <w:pStyle w:val="Tablecolhead"/>
            </w:pPr>
            <w:r>
              <w:t>50–59 years</w:t>
            </w:r>
          </w:p>
        </w:tc>
        <w:tc>
          <w:tcPr>
            <w:tcW w:w="561" w:type="pct"/>
          </w:tcPr>
          <w:p w14:paraId="65703DBC" w14:textId="0BE98E72" w:rsidR="00431D47" w:rsidRDefault="00431D47" w:rsidP="000D0B9B">
            <w:pPr>
              <w:pStyle w:val="Tablecolhead"/>
            </w:pPr>
            <w:r>
              <w:t>60–69 years</w:t>
            </w:r>
          </w:p>
        </w:tc>
        <w:tc>
          <w:tcPr>
            <w:tcW w:w="561" w:type="pct"/>
          </w:tcPr>
          <w:p w14:paraId="1DFD4B9C" w14:textId="1ACA63CC" w:rsidR="00431D47" w:rsidRDefault="00431D47" w:rsidP="000D0B9B">
            <w:pPr>
              <w:pStyle w:val="Tablecolhead"/>
            </w:pPr>
            <w:r>
              <w:t>70–79 years</w:t>
            </w:r>
          </w:p>
        </w:tc>
        <w:tc>
          <w:tcPr>
            <w:tcW w:w="559" w:type="pct"/>
          </w:tcPr>
          <w:p w14:paraId="05A4EF9D" w14:textId="12029746" w:rsidR="00431D47" w:rsidRDefault="00431D47" w:rsidP="000D0B9B">
            <w:pPr>
              <w:pStyle w:val="Tablecolhead"/>
            </w:pPr>
            <w:r>
              <w:t>80+ years</w:t>
            </w:r>
          </w:p>
        </w:tc>
      </w:tr>
      <w:tr w:rsidR="00F867CF" w14:paraId="328647BB" w14:textId="55CEFDF4" w:rsidTr="00F867CF">
        <w:trPr>
          <w:trHeight w:val="371"/>
        </w:trPr>
        <w:tc>
          <w:tcPr>
            <w:tcW w:w="515" w:type="pct"/>
          </w:tcPr>
          <w:p w14:paraId="580D94CE" w14:textId="094EAF6D" w:rsidR="00F867CF" w:rsidRDefault="00F867CF" w:rsidP="000D0B9B">
            <w:pPr>
              <w:pStyle w:val="Tabletext"/>
            </w:pPr>
            <w:r>
              <w:t>Female</w:t>
            </w:r>
          </w:p>
        </w:tc>
        <w:tc>
          <w:tcPr>
            <w:tcW w:w="561" w:type="pct"/>
          </w:tcPr>
          <w:p w14:paraId="1C128C56" w14:textId="32E4AFC8" w:rsidR="00F867CF" w:rsidRPr="00AA2789" w:rsidRDefault="00F867CF" w:rsidP="000D0B9B">
            <w:pPr>
              <w:pStyle w:val="Tabletext"/>
            </w:pPr>
            <w:r w:rsidRPr="00AA2789">
              <w:t>175</w:t>
            </w:r>
          </w:p>
        </w:tc>
        <w:tc>
          <w:tcPr>
            <w:tcW w:w="561" w:type="pct"/>
          </w:tcPr>
          <w:p w14:paraId="0E9E8F7E" w14:textId="2D954D99" w:rsidR="00F867CF" w:rsidRDefault="00F867CF" w:rsidP="000D0B9B">
            <w:pPr>
              <w:pStyle w:val="Tabletext"/>
            </w:pPr>
            <w:r>
              <w:t>292</w:t>
            </w:r>
          </w:p>
        </w:tc>
        <w:tc>
          <w:tcPr>
            <w:tcW w:w="561" w:type="pct"/>
          </w:tcPr>
          <w:p w14:paraId="73F39CDA" w14:textId="3D0F2889" w:rsidR="00F867CF" w:rsidRDefault="00F867CF" w:rsidP="000D0B9B">
            <w:pPr>
              <w:pStyle w:val="Tabletext"/>
            </w:pPr>
            <w:r>
              <w:t>459</w:t>
            </w:r>
          </w:p>
        </w:tc>
        <w:tc>
          <w:tcPr>
            <w:tcW w:w="561" w:type="pct"/>
          </w:tcPr>
          <w:p w14:paraId="63D54D5B" w14:textId="65F8E1BF" w:rsidR="00F867CF" w:rsidRDefault="00F867CF" w:rsidP="000D0B9B">
            <w:pPr>
              <w:pStyle w:val="Tabletext"/>
            </w:pPr>
            <w:r>
              <w:t>219</w:t>
            </w:r>
          </w:p>
        </w:tc>
        <w:tc>
          <w:tcPr>
            <w:tcW w:w="561" w:type="pct"/>
          </w:tcPr>
          <w:p w14:paraId="09058723" w14:textId="4EE9FD82" w:rsidR="00F867CF" w:rsidRDefault="00F867CF" w:rsidP="000D0B9B">
            <w:pPr>
              <w:pStyle w:val="Tabletext"/>
            </w:pPr>
            <w:r>
              <w:t>83</w:t>
            </w:r>
          </w:p>
        </w:tc>
        <w:tc>
          <w:tcPr>
            <w:tcW w:w="561" w:type="pct"/>
          </w:tcPr>
          <w:p w14:paraId="341DEC7C" w14:textId="01AF49AF" w:rsidR="00F867CF" w:rsidRDefault="00F867CF" w:rsidP="000D0B9B">
            <w:pPr>
              <w:pStyle w:val="Tabletext"/>
            </w:pPr>
            <w:r>
              <w:t>29</w:t>
            </w:r>
          </w:p>
        </w:tc>
        <w:tc>
          <w:tcPr>
            <w:tcW w:w="561" w:type="pct"/>
          </w:tcPr>
          <w:p w14:paraId="7B060F4F" w14:textId="3CAA6FCD" w:rsidR="00F867CF" w:rsidRDefault="00F867CF" w:rsidP="000D0B9B">
            <w:pPr>
              <w:pStyle w:val="Tabletext"/>
            </w:pPr>
            <w:r>
              <w:t>8</w:t>
            </w:r>
          </w:p>
        </w:tc>
        <w:tc>
          <w:tcPr>
            <w:tcW w:w="559" w:type="pct"/>
          </w:tcPr>
          <w:p w14:paraId="00F150B6" w14:textId="718FF246" w:rsidR="00F867CF" w:rsidRDefault="00F867CF" w:rsidP="000D0B9B">
            <w:pPr>
              <w:pStyle w:val="Tabletext"/>
            </w:pPr>
            <w:r>
              <w:t>2</w:t>
            </w:r>
          </w:p>
        </w:tc>
      </w:tr>
      <w:tr w:rsidR="00F867CF" w14:paraId="1C1F0810" w14:textId="7C7568F6" w:rsidTr="00F867CF">
        <w:trPr>
          <w:trHeight w:val="371"/>
        </w:trPr>
        <w:tc>
          <w:tcPr>
            <w:tcW w:w="515" w:type="pct"/>
          </w:tcPr>
          <w:p w14:paraId="647A987D" w14:textId="378F335D" w:rsidR="00F867CF" w:rsidRDefault="00F867CF" w:rsidP="000D0B9B">
            <w:pPr>
              <w:pStyle w:val="Tabletext"/>
            </w:pPr>
            <w:r>
              <w:t>Male</w:t>
            </w:r>
          </w:p>
        </w:tc>
        <w:tc>
          <w:tcPr>
            <w:tcW w:w="561" w:type="pct"/>
          </w:tcPr>
          <w:p w14:paraId="4E38DF28" w14:textId="6BD3B037" w:rsidR="00F867CF" w:rsidRPr="00AA2789" w:rsidRDefault="00F867CF" w:rsidP="000D0B9B">
            <w:pPr>
              <w:pStyle w:val="Tabletext"/>
            </w:pPr>
            <w:r w:rsidRPr="00AA2789">
              <w:t>50</w:t>
            </w:r>
          </w:p>
        </w:tc>
        <w:tc>
          <w:tcPr>
            <w:tcW w:w="561" w:type="pct"/>
          </w:tcPr>
          <w:p w14:paraId="76D5E303" w14:textId="59D44207" w:rsidR="00F867CF" w:rsidRDefault="00F867CF" w:rsidP="000D0B9B">
            <w:pPr>
              <w:pStyle w:val="Tabletext"/>
            </w:pPr>
            <w:r>
              <w:t>771</w:t>
            </w:r>
          </w:p>
        </w:tc>
        <w:tc>
          <w:tcPr>
            <w:tcW w:w="561" w:type="pct"/>
          </w:tcPr>
          <w:p w14:paraId="0672CFFF" w14:textId="79380693" w:rsidR="00F867CF" w:rsidRDefault="00F867CF" w:rsidP="000D0B9B">
            <w:pPr>
              <w:pStyle w:val="Tabletext"/>
            </w:pPr>
            <w:r>
              <w:t>705</w:t>
            </w:r>
          </w:p>
        </w:tc>
        <w:tc>
          <w:tcPr>
            <w:tcW w:w="561" w:type="pct"/>
          </w:tcPr>
          <w:p w14:paraId="7DA21E4F" w14:textId="29D45534" w:rsidR="00F867CF" w:rsidRDefault="00F867CF" w:rsidP="000D0B9B">
            <w:pPr>
              <w:pStyle w:val="Tabletext"/>
            </w:pPr>
            <w:r>
              <w:t>331</w:t>
            </w:r>
          </w:p>
        </w:tc>
        <w:tc>
          <w:tcPr>
            <w:tcW w:w="561" w:type="pct"/>
          </w:tcPr>
          <w:p w14:paraId="4F71B123" w14:textId="0402D071" w:rsidR="00F867CF" w:rsidRDefault="00F867CF" w:rsidP="000D0B9B">
            <w:pPr>
              <w:pStyle w:val="Tabletext"/>
            </w:pPr>
            <w:r>
              <w:t>483</w:t>
            </w:r>
          </w:p>
        </w:tc>
        <w:tc>
          <w:tcPr>
            <w:tcW w:w="561" w:type="pct"/>
          </w:tcPr>
          <w:p w14:paraId="57A5700B" w14:textId="452371CD" w:rsidR="00F867CF" w:rsidRDefault="00F867CF" w:rsidP="000D0B9B">
            <w:pPr>
              <w:pStyle w:val="Tabletext"/>
            </w:pPr>
            <w:r>
              <w:t>35</w:t>
            </w:r>
          </w:p>
        </w:tc>
        <w:tc>
          <w:tcPr>
            <w:tcW w:w="561" w:type="pct"/>
          </w:tcPr>
          <w:p w14:paraId="00C83828" w14:textId="334F97F1" w:rsidR="00F867CF" w:rsidRDefault="00F867CF" w:rsidP="000D0B9B">
            <w:pPr>
              <w:pStyle w:val="Tabletext"/>
            </w:pPr>
            <w:r>
              <w:t>13</w:t>
            </w:r>
          </w:p>
        </w:tc>
        <w:tc>
          <w:tcPr>
            <w:tcW w:w="559" w:type="pct"/>
          </w:tcPr>
          <w:p w14:paraId="3F489EAD" w14:textId="0F84D816" w:rsidR="00F867CF" w:rsidRDefault="00F867CF" w:rsidP="000D0B9B">
            <w:pPr>
              <w:pStyle w:val="Tabletext"/>
            </w:pPr>
            <w:r>
              <w:t>5</w:t>
            </w:r>
          </w:p>
        </w:tc>
      </w:tr>
    </w:tbl>
    <w:p w14:paraId="0C22A7FE" w14:textId="58CFC42B" w:rsidR="00381B2F" w:rsidRPr="006837F3" w:rsidRDefault="00381B2F" w:rsidP="00643556">
      <w:pPr>
        <w:pStyle w:val="Tablefigurenote"/>
      </w:pPr>
      <w:r w:rsidRPr="006837F3">
        <w:t>Note: Some age groups have been further aggregated to protect the confidentiality of individuals</w:t>
      </w:r>
      <w:r w:rsidR="004F58D3">
        <w:t>.</w:t>
      </w:r>
    </w:p>
    <w:p w14:paraId="28905485" w14:textId="66900A33" w:rsidR="004F58D3" w:rsidRDefault="004F58D3" w:rsidP="00643556">
      <w:pPr>
        <w:pStyle w:val="Bodyaftertable"/>
      </w:pPr>
      <w:r>
        <w:t xml:space="preserve">For bodily restraint, most </w:t>
      </w:r>
      <w:r w:rsidR="00E40750">
        <w:t xml:space="preserve">episodes were </w:t>
      </w:r>
      <w:r>
        <w:t>among the 30 to 39-year-old age group (</w:t>
      </w:r>
      <w:r w:rsidR="5E3D19CA">
        <w:t>Table 1</w:t>
      </w:r>
      <w:r w:rsidR="00CC7406">
        <w:t>1</w:t>
      </w:r>
      <w:r>
        <w:t>).</w:t>
      </w:r>
    </w:p>
    <w:p w14:paraId="321985EB" w14:textId="718041CD" w:rsidR="001179A7" w:rsidRPr="00230A4F" w:rsidRDefault="000C330C" w:rsidP="001179A7">
      <w:pPr>
        <w:pStyle w:val="Body"/>
        <w:rPr>
          <w:highlight w:val="yellow"/>
        </w:rPr>
      </w:pPr>
      <w:r w:rsidRPr="00D05AB4">
        <w:t>T</w:t>
      </w:r>
      <w:r w:rsidR="00A136B2" w:rsidRPr="00D05AB4">
        <w:t xml:space="preserve">here is </w:t>
      </w:r>
      <w:r w:rsidR="00D05AB4">
        <w:t>a</w:t>
      </w:r>
      <w:r w:rsidR="00A136B2" w:rsidRPr="00D05AB4">
        <w:t xml:space="preserve"> difference </w:t>
      </w:r>
      <w:r w:rsidR="00D05AB4">
        <w:t xml:space="preserve">in </w:t>
      </w:r>
      <w:r w:rsidR="00A136B2" w:rsidRPr="00D05AB4">
        <w:t xml:space="preserve">seclusion and bodily restraint </w:t>
      </w:r>
      <w:r w:rsidR="00B859AF">
        <w:t>episodes</w:t>
      </w:r>
      <w:r w:rsidR="00A136B2" w:rsidRPr="00D05AB4">
        <w:t xml:space="preserve"> </w:t>
      </w:r>
      <w:r w:rsidR="0093553B">
        <w:t xml:space="preserve">between </w:t>
      </w:r>
      <w:r w:rsidR="00585EA2">
        <w:t>genders</w:t>
      </w:r>
      <w:r w:rsidR="00A136B2" w:rsidRPr="00D05AB4">
        <w:t xml:space="preserve">. </w:t>
      </w:r>
      <w:r w:rsidR="00F2250B" w:rsidRPr="00D05AB4">
        <w:t>This relates to</w:t>
      </w:r>
      <w:r w:rsidR="00076847">
        <w:t xml:space="preserve"> </w:t>
      </w:r>
      <w:r w:rsidR="00F16593" w:rsidRPr="00D05AB4">
        <w:t xml:space="preserve">underlying clinical conditions and </w:t>
      </w:r>
      <w:r w:rsidR="00662B3E" w:rsidRPr="00D05AB4">
        <w:t xml:space="preserve">skewing </w:t>
      </w:r>
      <w:r w:rsidR="00854135" w:rsidRPr="00D05AB4">
        <w:t>in various age brackets.</w:t>
      </w:r>
    </w:p>
    <w:p w14:paraId="5B6F6712" w14:textId="0CC8A172" w:rsidR="7991450A" w:rsidRDefault="7991450A" w:rsidP="000D0B9B">
      <w:pPr>
        <w:pStyle w:val="Tablecaption"/>
        <w:rPr>
          <w:rFonts w:eastAsia="Arial"/>
        </w:rPr>
      </w:pPr>
      <w:r w:rsidRPr="6413A842">
        <w:rPr>
          <w:rFonts w:eastAsia="Arial"/>
        </w:rPr>
        <w:lastRenderedPageBreak/>
        <w:t>Table 1</w:t>
      </w:r>
      <w:r w:rsidR="00CC7406">
        <w:rPr>
          <w:rFonts w:eastAsia="Arial"/>
        </w:rPr>
        <w:t>1</w:t>
      </w:r>
      <w:r w:rsidRPr="6413A842">
        <w:rPr>
          <w:rFonts w:eastAsia="Arial"/>
        </w:rPr>
        <w:t>: Number of bodily restraints in acute inpatient units</w:t>
      </w:r>
      <w:r w:rsidR="0048002F">
        <w:rPr>
          <w:rFonts w:eastAsia="Arial"/>
        </w:rPr>
        <w:t>,</w:t>
      </w:r>
      <w:r w:rsidRPr="6413A842">
        <w:rPr>
          <w:rFonts w:eastAsia="Arial"/>
        </w:rPr>
        <w:t xml:space="preserve"> by age and gender, </w:t>
      </w:r>
      <w:r w:rsidR="007B2175">
        <w:rPr>
          <w:rFonts w:eastAsia="Arial"/>
        </w:rPr>
        <w:t>2020–21</w:t>
      </w:r>
    </w:p>
    <w:tbl>
      <w:tblPr>
        <w:tblStyle w:val="TableGrid"/>
        <w:tblW w:w="9540" w:type="dxa"/>
        <w:tblInd w:w="-5" w:type="dxa"/>
        <w:tblLook w:val="04A0" w:firstRow="1" w:lastRow="0" w:firstColumn="1" w:lastColumn="0" w:noHBand="0" w:noVBand="1"/>
      </w:tblPr>
      <w:tblGrid>
        <w:gridCol w:w="1154"/>
        <w:gridCol w:w="931"/>
        <w:gridCol w:w="932"/>
        <w:gridCol w:w="932"/>
        <w:gridCol w:w="932"/>
        <w:gridCol w:w="931"/>
        <w:gridCol w:w="932"/>
        <w:gridCol w:w="932"/>
        <w:gridCol w:w="932"/>
        <w:gridCol w:w="932"/>
      </w:tblGrid>
      <w:tr w:rsidR="004A6E8E" w14:paraId="1A6D021F" w14:textId="10ABA104" w:rsidTr="00BC0DB9">
        <w:trPr>
          <w:tblHeader/>
        </w:trPr>
        <w:tc>
          <w:tcPr>
            <w:tcW w:w="1154" w:type="dxa"/>
          </w:tcPr>
          <w:p w14:paraId="009B8984" w14:textId="77777777" w:rsidR="008549DA" w:rsidRDefault="008549DA" w:rsidP="000D0B9B">
            <w:pPr>
              <w:pStyle w:val="Tablecolhead"/>
            </w:pPr>
            <w:r>
              <w:t>Gender</w:t>
            </w:r>
          </w:p>
        </w:tc>
        <w:tc>
          <w:tcPr>
            <w:tcW w:w="931" w:type="dxa"/>
          </w:tcPr>
          <w:p w14:paraId="69F74E23" w14:textId="11E36EF9" w:rsidR="008549DA" w:rsidRDefault="008549DA" w:rsidP="000D0B9B">
            <w:pPr>
              <w:pStyle w:val="Tablecolhead"/>
            </w:pPr>
            <w:r>
              <w:t xml:space="preserve">0–12 </w:t>
            </w:r>
          </w:p>
        </w:tc>
        <w:tc>
          <w:tcPr>
            <w:tcW w:w="932" w:type="dxa"/>
          </w:tcPr>
          <w:p w14:paraId="4F7D95F7" w14:textId="0D06F753" w:rsidR="008549DA" w:rsidRDefault="008549DA" w:rsidP="000D0B9B">
            <w:pPr>
              <w:pStyle w:val="Tablecolhead"/>
            </w:pPr>
            <w:r>
              <w:t>13–17</w:t>
            </w:r>
          </w:p>
        </w:tc>
        <w:tc>
          <w:tcPr>
            <w:tcW w:w="932" w:type="dxa"/>
          </w:tcPr>
          <w:p w14:paraId="1FEF16B3" w14:textId="79E6458A" w:rsidR="008549DA" w:rsidRDefault="008549DA" w:rsidP="000D0B9B">
            <w:pPr>
              <w:pStyle w:val="Tablecolhead"/>
            </w:pPr>
            <w:r>
              <w:t xml:space="preserve">18–29 </w:t>
            </w:r>
          </w:p>
        </w:tc>
        <w:tc>
          <w:tcPr>
            <w:tcW w:w="932" w:type="dxa"/>
          </w:tcPr>
          <w:p w14:paraId="32468F12" w14:textId="1206B7D8" w:rsidR="008549DA" w:rsidRDefault="008549DA" w:rsidP="000D0B9B">
            <w:pPr>
              <w:pStyle w:val="Tablecolhead"/>
            </w:pPr>
            <w:r>
              <w:t xml:space="preserve">30–39 </w:t>
            </w:r>
          </w:p>
        </w:tc>
        <w:tc>
          <w:tcPr>
            <w:tcW w:w="931" w:type="dxa"/>
          </w:tcPr>
          <w:p w14:paraId="57EB684D" w14:textId="26C7A4EC" w:rsidR="008549DA" w:rsidRDefault="008549DA" w:rsidP="000D0B9B">
            <w:pPr>
              <w:pStyle w:val="Tablecolhead"/>
            </w:pPr>
            <w:r>
              <w:t xml:space="preserve">40–49 </w:t>
            </w:r>
          </w:p>
        </w:tc>
        <w:tc>
          <w:tcPr>
            <w:tcW w:w="932" w:type="dxa"/>
          </w:tcPr>
          <w:p w14:paraId="7D0D25BD" w14:textId="540EC833" w:rsidR="008549DA" w:rsidRDefault="008549DA" w:rsidP="000D0B9B">
            <w:pPr>
              <w:pStyle w:val="Tablecolhead"/>
            </w:pPr>
            <w:r>
              <w:t xml:space="preserve">50–59 </w:t>
            </w:r>
          </w:p>
        </w:tc>
        <w:tc>
          <w:tcPr>
            <w:tcW w:w="932" w:type="dxa"/>
          </w:tcPr>
          <w:p w14:paraId="7C6DC6B5" w14:textId="56233DE5" w:rsidR="008549DA" w:rsidRDefault="008549DA" w:rsidP="000D0B9B">
            <w:pPr>
              <w:pStyle w:val="Tablecolhead"/>
            </w:pPr>
            <w:r>
              <w:t xml:space="preserve">60–69 </w:t>
            </w:r>
          </w:p>
        </w:tc>
        <w:tc>
          <w:tcPr>
            <w:tcW w:w="932" w:type="dxa"/>
          </w:tcPr>
          <w:p w14:paraId="585B432C" w14:textId="210A4D37" w:rsidR="008549DA" w:rsidRDefault="008549DA" w:rsidP="000D0B9B">
            <w:pPr>
              <w:pStyle w:val="Tablecolhead"/>
            </w:pPr>
            <w:r>
              <w:t>70–79</w:t>
            </w:r>
          </w:p>
        </w:tc>
        <w:tc>
          <w:tcPr>
            <w:tcW w:w="932" w:type="dxa"/>
          </w:tcPr>
          <w:p w14:paraId="234CDB2A" w14:textId="7BF94379" w:rsidR="008549DA" w:rsidRDefault="008549DA" w:rsidP="000D0B9B">
            <w:pPr>
              <w:pStyle w:val="Tablecolhead"/>
            </w:pPr>
            <w:r>
              <w:t>80</w:t>
            </w:r>
            <w:r w:rsidR="00182C31">
              <w:t>+</w:t>
            </w:r>
          </w:p>
        </w:tc>
      </w:tr>
      <w:tr w:rsidR="00182C31" w14:paraId="5471D282" w14:textId="5680A363" w:rsidTr="00BC0DB9">
        <w:tc>
          <w:tcPr>
            <w:tcW w:w="1154" w:type="dxa"/>
          </w:tcPr>
          <w:p w14:paraId="62F7162F" w14:textId="77777777" w:rsidR="00182C31" w:rsidRDefault="00182C31" w:rsidP="000D0B9B">
            <w:pPr>
              <w:pStyle w:val="Tabletext"/>
            </w:pPr>
            <w:r>
              <w:t>Female</w:t>
            </w:r>
          </w:p>
        </w:tc>
        <w:tc>
          <w:tcPr>
            <w:tcW w:w="931" w:type="dxa"/>
          </w:tcPr>
          <w:p w14:paraId="3C1AE862" w14:textId="7FF248F7" w:rsidR="00182C31" w:rsidRDefault="00182C31" w:rsidP="000D0B9B">
            <w:pPr>
              <w:pStyle w:val="Tabletext"/>
            </w:pPr>
            <w:r>
              <w:t>133</w:t>
            </w:r>
          </w:p>
        </w:tc>
        <w:tc>
          <w:tcPr>
            <w:tcW w:w="932" w:type="dxa"/>
          </w:tcPr>
          <w:p w14:paraId="6F51D33C" w14:textId="7788D89C" w:rsidR="00182C31" w:rsidRDefault="00182C31" w:rsidP="000D0B9B">
            <w:pPr>
              <w:pStyle w:val="Tabletext"/>
            </w:pPr>
            <w:r>
              <w:t>804</w:t>
            </w:r>
          </w:p>
        </w:tc>
        <w:tc>
          <w:tcPr>
            <w:tcW w:w="932" w:type="dxa"/>
          </w:tcPr>
          <w:p w14:paraId="3121AA9F" w14:textId="63F424B5" w:rsidR="00182C31" w:rsidRDefault="00182C31" w:rsidP="000D0B9B">
            <w:pPr>
              <w:pStyle w:val="Tabletext"/>
            </w:pPr>
            <w:r>
              <w:t>697</w:t>
            </w:r>
          </w:p>
        </w:tc>
        <w:tc>
          <w:tcPr>
            <w:tcW w:w="932" w:type="dxa"/>
          </w:tcPr>
          <w:p w14:paraId="739B591F" w14:textId="01AEBAAC" w:rsidR="00182C31" w:rsidRDefault="00182C31" w:rsidP="000D0B9B">
            <w:pPr>
              <w:pStyle w:val="Tabletext"/>
            </w:pPr>
            <w:r>
              <w:t>698</w:t>
            </w:r>
          </w:p>
        </w:tc>
        <w:tc>
          <w:tcPr>
            <w:tcW w:w="931" w:type="dxa"/>
          </w:tcPr>
          <w:p w14:paraId="29B6DF6B" w14:textId="46530627" w:rsidR="00182C31" w:rsidRDefault="00182C31" w:rsidP="000D0B9B">
            <w:pPr>
              <w:pStyle w:val="Tabletext"/>
            </w:pPr>
            <w:r>
              <w:t>543</w:t>
            </w:r>
          </w:p>
        </w:tc>
        <w:tc>
          <w:tcPr>
            <w:tcW w:w="932" w:type="dxa"/>
          </w:tcPr>
          <w:p w14:paraId="67A5C7BD" w14:textId="34153C12" w:rsidR="00182C31" w:rsidRDefault="00182C31" w:rsidP="000D0B9B">
            <w:pPr>
              <w:pStyle w:val="Tabletext"/>
            </w:pPr>
            <w:r>
              <w:t>249</w:t>
            </w:r>
          </w:p>
        </w:tc>
        <w:tc>
          <w:tcPr>
            <w:tcW w:w="932" w:type="dxa"/>
          </w:tcPr>
          <w:p w14:paraId="5DEC7C85" w14:textId="14D1CF4B" w:rsidR="00182C31" w:rsidRDefault="00182C31" w:rsidP="000D0B9B">
            <w:pPr>
              <w:pStyle w:val="Tabletext"/>
            </w:pPr>
            <w:r>
              <w:t>144</w:t>
            </w:r>
          </w:p>
        </w:tc>
        <w:tc>
          <w:tcPr>
            <w:tcW w:w="932" w:type="dxa"/>
          </w:tcPr>
          <w:p w14:paraId="14CD0E0A" w14:textId="2FEC832C" w:rsidR="00182C31" w:rsidRDefault="00182C31" w:rsidP="000D0B9B">
            <w:pPr>
              <w:pStyle w:val="Tabletext"/>
            </w:pPr>
            <w:r>
              <w:t>95</w:t>
            </w:r>
          </w:p>
        </w:tc>
        <w:tc>
          <w:tcPr>
            <w:tcW w:w="932" w:type="dxa"/>
          </w:tcPr>
          <w:p w14:paraId="2008F199" w14:textId="4EC8542F" w:rsidR="00182C31" w:rsidRDefault="00182C31" w:rsidP="000D0B9B">
            <w:pPr>
              <w:pStyle w:val="Tabletext"/>
            </w:pPr>
            <w:r>
              <w:t>55</w:t>
            </w:r>
          </w:p>
        </w:tc>
      </w:tr>
      <w:tr w:rsidR="00182C31" w14:paraId="0E84D991" w14:textId="12292BE3" w:rsidTr="00BC0DB9">
        <w:tc>
          <w:tcPr>
            <w:tcW w:w="1154" w:type="dxa"/>
          </w:tcPr>
          <w:p w14:paraId="2DA5970D" w14:textId="77777777" w:rsidR="00182C31" w:rsidRDefault="00182C31" w:rsidP="000D0B9B">
            <w:pPr>
              <w:pStyle w:val="Tabletext"/>
            </w:pPr>
            <w:r>
              <w:t>Male</w:t>
            </w:r>
          </w:p>
        </w:tc>
        <w:tc>
          <w:tcPr>
            <w:tcW w:w="931" w:type="dxa"/>
          </w:tcPr>
          <w:p w14:paraId="44A08EAF" w14:textId="55BA4635" w:rsidR="00182C31" w:rsidRDefault="00182C31" w:rsidP="000D0B9B">
            <w:pPr>
              <w:pStyle w:val="Tabletext"/>
            </w:pPr>
            <w:r>
              <w:t>45</w:t>
            </w:r>
          </w:p>
        </w:tc>
        <w:tc>
          <w:tcPr>
            <w:tcW w:w="932" w:type="dxa"/>
          </w:tcPr>
          <w:p w14:paraId="5E8EBBEB" w14:textId="1AAE715A" w:rsidR="00182C31" w:rsidRDefault="00182C31" w:rsidP="000D0B9B">
            <w:pPr>
              <w:pStyle w:val="Tabletext"/>
            </w:pPr>
            <w:r>
              <w:t>194</w:t>
            </w:r>
          </w:p>
        </w:tc>
        <w:tc>
          <w:tcPr>
            <w:tcW w:w="932" w:type="dxa"/>
          </w:tcPr>
          <w:p w14:paraId="24CC193D" w14:textId="6664A140" w:rsidR="00182C31" w:rsidRDefault="00182C31" w:rsidP="000D0B9B">
            <w:pPr>
              <w:pStyle w:val="Tabletext"/>
            </w:pPr>
            <w:r>
              <w:t>1,385</w:t>
            </w:r>
          </w:p>
        </w:tc>
        <w:tc>
          <w:tcPr>
            <w:tcW w:w="932" w:type="dxa"/>
          </w:tcPr>
          <w:p w14:paraId="44F0FE18" w14:textId="1B577AEB" w:rsidR="00182C31" w:rsidRDefault="00182C31" w:rsidP="000D0B9B">
            <w:pPr>
              <w:pStyle w:val="Tabletext"/>
            </w:pPr>
            <w:r>
              <w:t>1,671</w:t>
            </w:r>
          </w:p>
        </w:tc>
        <w:tc>
          <w:tcPr>
            <w:tcW w:w="931" w:type="dxa"/>
          </w:tcPr>
          <w:p w14:paraId="6C50BCC0" w14:textId="2E53BD00" w:rsidR="00182C31" w:rsidRDefault="00182C31" w:rsidP="000D0B9B">
            <w:pPr>
              <w:pStyle w:val="Tabletext"/>
            </w:pPr>
            <w:r>
              <w:t>437</w:t>
            </w:r>
          </w:p>
        </w:tc>
        <w:tc>
          <w:tcPr>
            <w:tcW w:w="932" w:type="dxa"/>
          </w:tcPr>
          <w:p w14:paraId="70661060" w14:textId="0B64CEA5" w:rsidR="00182C31" w:rsidRDefault="00182C31" w:rsidP="000D0B9B">
            <w:pPr>
              <w:pStyle w:val="Tabletext"/>
            </w:pPr>
            <w:r>
              <w:t>933</w:t>
            </w:r>
          </w:p>
        </w:tc>
        <w:tc>
          <w:tcPr>
            <w:tcW w:w="932" w:type="dxa"/>
          </w:tcPr>
          <w:p w14:paraId="168F322E" w14:textId="163070C5" w:rsidR="00182C31" w:rsidRDefault="00182C31" w:rsidP="000D0B9B">
            <w:pPr>
              <w:pStyle w:val="Tabletext"/>
            </w:pPr>
            <w:r>
              <w:t>115</w:t>
            </w:r>
          </w:p>
        </w:tc>
        <w:tc>
          <w:tcPr>
            <w:tcW w:w="932" w:type="dxa"/>
          </w:tcPr>
          <w:p w14:paraId="34557207" w14:textId="7E8D05E7" w:rsidR="00182C31" w:rsidRDefault="00182C31" w:rsidP="000D0B9B">
            <w:pPr>
              <w:pStyle w:val="Tabletext"/>
            </w:pPr>
            <w:r>
              <w:t>146</w:t>
            </w:r>
          </w:p>
        </w:tc>
        <w:tc>
          <w:tcPr>
            <w:tcW w:w="932" w:type="dxa"/>
          </w:tcPr>
          <w:p w14:paraId="50856ADF" w14:textId="41B48494" w:rsidR="00182C31" w:rsidRDefault="00182C31" w:rsidP="000D0B9B">
            <w:pPr>
              <w:pStyle w:val="Tabletext"/>
            </w:pPr>
            <w:r>
              <w:t>152</w:t>
            </w:r>
          </w:p>
        </w:tc>
      </w:tr>
    </w:tbl>
    <w:p w14:paraId="1A35FCFF" w14:textId="38930F17" w:rsidR="00381B2F" w:rsidRPr="006837F3" w:rsidRDefault="00381B2F" w:rsidP="00643556">
      <w:pPr>
        <w:pStyle w:val="Tablefigurenote"/>
      </w:pPr>
      <w:r w:rsidRPr="006837F3">
        <w:t>Note: Some age groups have been further aggregated to protect the confidentiality of individuals</w:t>
      </w:r>
      <w:r w:rsidR="002B3FE7">
        <w:t>.</w:t>
      </w:r>
    </w:p>
    <w:p w14:paraId="7EFD253B" w14:textId="7CE6E3D9" w:rsidR="00381B2F" w:rsidRDefault="00381B2F" w:rsidP="00643556">
      <w:pPr>
        <w:pStyle w:val="Bodyaftertable"/>
      </w:pPr>
      <w:bookmarkStart w:id="43" w:name="_Hlk53059398"/>
      <w:r>
        <w:t xml:space="preserve">Table </w:t>
      </w:r>
      <w:r w:rsidR="52C27A1E">
        <w:t>1</w:t>
      </w:r>
      <w:r w:rsidR="00CC7406">
        <w:t>2</w:t>
      </w:r>
      <w:r>
        <w:t xml:space="preserve"> lists the numbers of episodes of seclusion </w:t>
      </w:r>
      <w:r w:rsidR="11A93D36">
        <w:t>per</w:t>
      </w:r>
      <w:r>
        <w:t xml:space="preserve"> 1,000 occupied bed days. Rates have fallen in adult </w:t>
      </w:r>
      <w:r w:rsidR="6B350A8C">
        <w:t>wards</w:t>
      </w:r>
      <w:r>
        <w:t xml:space="preserve"> over the past </w:t>
      </w:r>
      <w:r w:rsidR="0048002F">
        <w:t xml:space="preserve">six </w:t>
      </w:r>
      <w:r>
        <w:t xml:space="preserve">years and remain low in services for older people. Rates have increased in child and </w:t>
      </w:r>
      <w:r w:rsidR="150D294A">
        <w:t>adolescent</w:t>
      </w:r>
      <w:r>
        <w:t xml:space="preserve"> </w:t>
      </w:r>
      <w:r w:rsidR="7CAC6A5E">
        <w:t>units</w:t>
      </w:r>
      <w:r>
        <w:t xml:space="preserve">, in part because of the challenges presented by a very small number of young people with complex combinations of mental illness and intellectual or developmental disability. </w:t>
      </w:r>
    </w:p>
    <w:p w14:paraId="21DEA389" w14:textId="40BFF9A3" w:rsidR="00FF77ED" w:rsidRDefault="00381B2F" w:rsidP="00563C62">
      <w:pPr>
        <w:pStyle w:val="Body"/>
      </w:pPr>
      <w:r w:rsidRPr="009672D1">
        <w:t xml:space="preserve">Notwithstanding this, seclusion rates lay below the current </w:t>
      </w:r>
      <w:r w:rsidR="6F852189">
        <w:t>statewide</w:t>
      </w:r>
      <w:r w:rsidRPr="009672D1">
        <w:t xml:space="preserve"> benchmark of 15 or fewer episodes per 1,000 occupied bed days in all program areas except for the forensic program. </w:t>
      </w:r>
      <w:r w:rsidR="6EDA1703" w:rsidRPr="006A68A6">
        <w:t>The increased rate of seclusion</w:t>
      </w:r>
      <w:r w:rsidR="7540AD67" w:rsidRPr="006A68A6">
        <w:t xml:space="preserve"> at Forensicare</w:t>
      </w:r>
      <w:r w:rsidR="6EDA1703" w:rsidRPr="006A68A6">
        <w:t xml:space="preserve"> </w:t>
      </w:r>
      <w:r w:rsidR="00367CF7" w:rsidRPr="006A68A6">
        <w:t xml:space="preserve">can be explained by </w:t>
      </w:r>
      <w:r w:rsidR="00F81F03" w:rsidRPr="006A68A6">
        <w:t>a</w:t>
      </w:r>
      <w:r w:rsidR="00367CF7" w:rsidRPr="006A68A6">
        <w:t xml:space="preserve"> </w:t>
      </w:r>
      <w:r w:rsidR="00333CA2" w:rsidRPr="006A68A6">
        <w:t>reliance on the practice to</w:t>
      </w:r>
      <w:r w:rsidR="0067313E" w:rsidRPr="006A68A6">
        <w:t xml:space="preserve"> deliver treatment and care</w:t>
      </w:r>
      <w:r w:rsidR="00F81F03" w:rsidRPr="006A68A6">
        <w:t xml:space="preserve"> </w:t>
      </w:r>
      <w:r w:rsidR="6EDA1703" w:rsidRPr="006A68A6">
        <w:t xml:space="preserve">to a small number of </w:t>
      </w:r>
      <w:r w:rsidR="33E59299" w:rsidRPr="006A68A6">
        <w:t>consumers</w:t>
      </w:r>
      <w:r w:rsidR="6EDA1703" w:rsidRPr="006A68A6">
        <w:t xml:space="preserve"> with significant complexity and comorbid conditions</w:t>
      </w:r>
      <w:r w:rsidR="3501A05E" w:rsidRPr="006A68A6">
        <w:t>.</w:t>
      </w:r>
      <w:r w:rsidR="00A81D3F" w:rsidRPr="006A68A6">
        <w:t xml:space="preserve"> </w:t>
      </w:r>
      <w:r w:rsidR="00FF77ED" w:rsidRPr="006A68A6">
        <w:t>The</w:t>
      </w:r>
      <w:r w:rsidR="00FF77ED" w:rsidRPr="009672D1">
        <w:t xml:space="preserve"> </w:t>
      </w:r>
      <w:r w:rsidR="00FF77ED">
        <w:t xml:space="preserve">OCP </w:t>
      </w:r>
      <w:r w:rsidR="00FF77ED" w:rsidRPr="009672D1">
        <w:t>continues to work closely with Forensicare to</w:t>
      </w:r>
      <w:r w:rsidR="00585990">
        <w:t xml:space="preserve"> monitor</w:t>
      </w:r>
      <w:r w:rsidR="005669E4">
        <w:t xml:space="preserve"> and</w:t>
      </w:r>
      <w:r w:rsidR="00FF77ED" w:rsidRPr="009672D1">
        <w:t xml:space="preserve"> develop strategies to reduce the use of restrictive interventions</w:t>
      </w:r>
      <w:r w:rsidR="00D00F84">
        <w:t xml:space="preserve"> on patients with complex care needs</w:t>
      </w:r>
      <w:r w:rsidR="00FF77ED" w:rsidRPr="009672D1">
        <w:t>.</w:t>
      </w:r>
      <w:r w:rsidR="00FF77ED">
        <w:t xml:space="preserve"> </w:t>
      </w:r>
    </w:p>
    <w:bookmarkEnd w:id="43"/>
    <w:p w14:paraId="614B66D4" w14:textId="4A4B1AB8" w:rsidR="00381B2F" w:rsidRPr="004C02F0" w:rsidRDefault="00381B2F" w:rsidP="000D0B9B">
      <w:pPr>
        <w:pStyle w:val="Tablecaption"/>
        <w:rPr>
          <w:rFonts w:eastAsia="Arial"/>
          <w:bCs/>
        </w:rPr>
      </w:pPr>
      <w:r w:rsidRPr="6413A842">
        <w:rPr>
          <w:rFonts w:eastAsia="Arial"/>
        </w:rPr>
        <w:t>Table</w:t>
      </w:r>
      <w:r w:rsidR="772B6F65" w:rsidRPr="6413A842">
        <w:rPr>
          <w:rFonts w:eastAsia="Arial"/>
        </w:rPr>
        <w:t xml:space="preserve"> </w:t>
      </w:r>
      <w:r w:rsidR="38E58A5D" w:rsidRPr="6413A842">
        <w:rPr>
          <w:rFonts w:eastAsia="Arial"/>
          <w:bCs/>
        </w:rPr>
        <w:t>1</w:t>
      </w:r>
      <w:r w:rsidR="00CC7406">
        <w:rPr>
          <w:rFonts w:eastAsia="Arial"/>
          <w:bCs/>
        </w:rPr>
        <w:t>2</w:t>
      </w:r>
      <w:r w:rsidRPr="6413A842">
        <w:rPr>
          <w:rFonts w:eastAsia="Arial"/>
        </w:rPr>
        <w:t>: Seclusion episodes per 1,000 occupied bed days</w:t>
      </w:r>
      <w:r w:rsidR="0048002F">
        <w:rPr>
          <w:rFonts w:eastAsia="Arial"/>
        </w:rPr>
        <w:t>,</w:t>
      </w:r>
      <w:r w:rsidRPr="6413A842">
        <w:rPr>
          <w:rFonts w:eastAsia="Arial"/>
        </w:rPr>
        <w:t xml:space="preserve"> by </w:t>
      </w:r>
      <w:r w:rsidR="38E58A5D" w:rsidRPr="6413A842">
        <w:rPr>
          <w:rFonts w:eastAsia="Arial"/>
          <w:bCs/>
        </w:rPr>
        <w:t>type of acute inpatient unit</w:t>
      </w:r>
      <w:r w:rsidRPr="6413A842">
        <w:rPr>
          <w:rFonts w:eastAsia="Arial"/>
        </w:rPr>
        <w:t xml:space="preserve">, </w:t>
      </w:r>
      <w:r w:rsidR="00397F78">
        <w:rPr>
          <w:rFonts w:eastAsia="Arial"/>
        </w:rPr>
        <w:br/>
      </w:r>
      <w:r w:rsidRPr="6413A842">
        <w:rPr>
          <w:rFonts w:eastAsia="Arial"/>
        </w:rPr>
        <w:t xml:space="preserve">2015–16 to </w:t>
      </w:r>
      <w:r w:rsidR="007B2175">
        <w:rPr>
          <w:rFonts w:eastAsia="Arial"/>
        </w:rPr>
        <w:t>2020–21</w:t>
      </w:r>
    </w:p>
    <w:tbl>
      <w:tblPr>
        <w:tblW w:w="5000" w:type="pct"/>
        <w:tblLook w:val="04A0" w:firstRow="1" w:lastRow="0" w:firstColumn="1" w:lastColumn="0" w:noHBand="0" w:noVBand="1"/>
      </w:tblPr>
      <w:tblGrid>
        <w:gridCol w:w="2178"/>
        <w:gridCol w:w="1185"/>
        <w:gridCol w:w="1185"/>
        <w:gridCol w:w="1185"/>
        <w:gridCol w:w="1185"/>
        <w:gridCol w:w="1185"/>
        <w:gridCol w:w="1185"/>
      </w:tblGrid>
      <w:tr w:rsidR="00F018F8" w:rsidRPr="00A91A55" w14:paraId="67F34AD6" w14:textId="6E01619C" w:rsidTr="003D1A4F">
        <w:trPr>
          <w:trHeight w:val="300"/>
          <w:tblHeader/>
        </w:trPr>
        <w:tc>
          <w:tcPr>
            <w:tcW w:w="11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9CB3" w14:textId="67E7BAD4" w:rsidR="00F018F8" w:rsidRPr="00A91A55" w:rsidRDefault="00F018F8" w:rsidP="000D0B9B">
            <w:pPr>
              <w:pStyle w:val="Tablecolhead"/>
              <w:rPr>
                <w:lang w:eastAsia="en-AU"/>
              </w:rPr>
            </w:pPr>
            <w:r w:rsidRPr="6413A842">
              <w:rPr>
                <w:lang w:eastAsia="en-AU"/>
              </w:rPr>
              <w:t>Type of unit</w:t>
            </w:r>
          </w:p>
        </w:tc>
        <w:tc>
          <w:tcPr>
            <w:tcW w:w="644" w:type="pct"/>
            <w:tcBorders>
              <w:top w:val="single" w:sz="4" w:space="0" w:color="auto"/>
              <w:left w:val="nil"/>
              <w:bottom w:val="single" w:sz="4" w:space="0" w:color="auto"/>
              <w:right w:val="single" w:sz="4" w:space="0" w:color="auto"/>
            </w:tcBorders>
            <w:shd w:val="clear" w:color="auto" w:fill="auto"/>
            <w:noWrap/>
            <w:vAlign w:val="bottom"/>
            <w:hideMark/>
          </w:tcPr>
          <w:p w14:paraId="4D2364A1" w14:textId="47A4BB2B" w:rsidR="00F018F8" w:rsidRPr="00A91A55" w:rsidRDefault="00F018F8" w:rsidP="000D0B9B">
            <w:pPr>
              <w:pStyle w:val="Tablecolhead"/>
              <w:rPr>
                <w:lang w:eastAsia="en-AU"/>
              </w:rPr>
            </w:pPr>
            <w:r w:rsidRPr="00A91A55">
              <w:rPr>
                <w:lang w:eastAsia="en-AU"/>
              </w:rPr>
              <w:t>2015</w:t>
            </w:r>
            <w:r>
              <w:rPr>
                <w:lang w:eastAsia="en-AU"/>
              </w:rPr>
              <w:t>–1</w:t>
            </w:r>
            <w:r w:rsidRPr="00A91A55">
              <w:rPr>
                <w:lang w:eastAsia="en-AU"/>
              </w:rPr>
              <w:t>6</w:t>
            </w:r>
          </w:p>
        </w:tc>
        <w:tc>
          <w:tcPr>
            <w:tcW w:w="644" w:type="pct"/>
            <w:tcBorders>
              <w:top w:val="single" w:sz="4" w:space="0" w:color="auto"/>
              <w:left w:val="nil"/>
              <w:bottom w:val="single" w:sz="4" w:space="0" w:color="auto"/>
              <w:right w:val="single" w:sz="4" w:space="0" w:color="auto"/>
            </w:tcBorders>
            <w:shd w:val="clear" w:color="auto" w:fill="auto"/>
            <w:noWrap/>
            <w:vAlign w:val="bottom"/>
            <w:hideMark/>
          </w:tcPr>
          <w:p w14:paraId="61D85A04" w14:textId="2FAEA94D" w:rsidR="00F018F8" w:rsidRPr="00A91A55" w:rsidRDefault="00F018F8" w:rsidP="000D0B9B">
            <w:pPr>
              <w:pStyle w:val="Tablecolhead"/>
              <w:rPr>
                <w:lang w:eastAsia="en-AU"/>
              </w:rPr>
            </w:pPr>
            <w:r w:rsidRPr="00A91A55">
              <w:rPr>
                <w:lang w:eastAsia="en-AU"/>
              </w:rPr>
              <w:t>2016</w:t>
            </w:r>
            <w:r>
              <w:rPr>
                <w:lang w:eastAsia="en-AU"/>
              </w:rPr>
              <w:t>–1</w:t>
            </w:r>
            <w:r w:rsidRPr="00A91A55">
              <w:rPr>
                <w:lang w:eastAsia="en-AU"/>
              </w:rPr>
              <w:t>7</w:t>
            </w:r>
          </w:p>
        </w:tc>
        <w:tc>
          <w:tcPr>
            <w:tcW w:w="644" w:type="pct"/>
            <w:tcBorders>
              <w:top w:val="single" w:sz="4" w:space="0" w:color="auto"/>
              <w:left w:val="nil"/>
              <w:bottom w:val="single" w:sz="4" w:space="0" w:color="auto"/>
              <w:right w:val="single" w:sz="4" w:space="0" w:color="auto"/>
            </w:tcBorders>
            <w:shd w:val="clear" w:color="auto" w:fill="auto"/>
            <w:noWrap/>
            <w:vAlign w:val="bottom"/>
            <w:hideMark/>
          </w:tcPr>
          <w:p w14:paraId="44022A03" w14:textId="0B066C39" w:rsidR="00F018F8" w:rsidRPr="00A91A55" w:rsidRDefault="00F018F8" w:rsidP="000D0B9B">
            <w:pPr>
              <w:pStyle w:val="Tablecolhead"/>
              <w:rPr>
                <w:lang w:eastAsia="en-AU"/>
              </w:rPr>
            </w:pPr>
            <w:r w:rsidRPr="00A91A55">
              <w:rPr>
                <w:lang w:eastAsia="en-AU"/>
              </w:rPr>
              <w:t>2017</w:t>
            </w:r>
            <w:r>
              <w:rPr>
                <w:lang w:eastAsia="en-AU"/>
              </w:rPr>
              <w:t>–1</w:t>
            </w:r>
            <w:r w:rsidRPr="00A91A55">
              <w:rPr>
                <w:lang w:eastAsia="en-AU"/>
              </w:rPr>
              <w:t>8</w:t>
            </w:r>
          </w:p>
        </w:tc>
        <w:tc>
          <w:tcPr>
            <w:tcW w:w="644" w:type="pct"/>
            <w:tcBorders>
              <w:top w:val="single" w:sz="4" w:space="0" w:color="auto"/>
              <w:left w:val="nil"/>
              <w:bottom w:val="single" w:sz="4" w:space="0" w:color="auto"/>
              <w:right w:val="single" w:sz="4" w:space="0" w:color="auto"/>
            </w:tcBorders>
            <w:shd w:val="clear" w:color="auto" w:fill="auto"/>
            <w:noWrap/>
            <w:vAlign w:val="bottom"/>
            <w:hideMark/>
          </w:tcPr>
          <w:p w14:paraId="221297C6" w14:textId="118FBCB7" w:rsidR="00F018F8" w:rsidRPr="00A91A55" w:rsidRDefault="00F018F8" w:rsidP="000D0B9B">
            <w:pPr>
              <w:pStyle w:val="Tablecolhead"/>
              <w:rPr>
                <w:lang w:eastAsia="en-AU"/>
              </w:rPr>
            </w:pPr>
            <w:r w:rsidRPr="00A91A55">
              <w:rPr>
                <w:lang w:eastAsia="en-AU"/>
              </w:rPr>
              <w:t>2018</w:t>
            </w:r>
            <w:r>
              <w:rPr>
                <w:lang w:eastAsia="en-AU"/>
              </w:rPr>
              <w:t>–1</w:t>
            </w:r>
            <w:r w:rsidRPr="00A91A55">
              <w:rPr>
                <w:lang w:eastAsia="en-AU"/>
              </w:rPr>
              <w:t>9</w:t>
            </w:r>
          </w:p>
        </w:tc>
        <w:tc>
          <w:tcPr>
            <w:tcW w:w="644" w:type="pct"/>
            <w:tcBorders>
              <w:top w:val="single" w:sz="4" w:space="0" w:color="auto"/>
              <w:left w:val="nil"/>
              <w:bottom w:val="single" w:sz="4" w:space="0" w:color="auto"/>
              <w:right w:val="single" w:sz="4" w:space="0" w:color="auto"/>
            </w:tcBorders>
            <w:shd w:val="clear" w:color="auto" w:fill="auto"/>
            <w:noWrap/>
            <w:vAlign w:val="bottom"/>
            <w:hideMark/>
          </w:tcPr>
          <w:p w14:paraId="3E5542DF" w14:textId="2D5E2303" w:rsidR="00F018F8" w:rsidRPr="00A91A55" w:rsidRDefault="00F018F8" w:rsidP="000D0B9B">
            <w:pPr>
              <w:pStyle w:val="Tablecolhead"/>
              <w:rPr>
                <w:lang w:eastAsia="en-AU"/>
              </w:rPr>
            </w:pPr>
            <w:r w:rsidRPr="00A91A55">
              <w:rPr>
                <w:lang w:eastAsia="en-AU"/>
              </w:rPr>
              <w:t>2019</w:t>
            </w:r>
            <w:r>
              <w:rPr>
                <w:lang w:eastAsia="en-AU"/>
              </w:rPr>
              <w:t>–2</w:t>
            </w:r>
            <w:r w:rsidRPr="00A91A55">
              <w:rPr>
                <w:lang w:eastAsia="en-AU"/>
              </w:rPr>
              <w:t>0</w:t>
            </w:r>
          </w:p>
        </w:tc>
        <w:tc>
          <w:tcPr>
            <w:tcW w:w="644" w:type="pct"/>
            <w:tcBorders>
              <w:top w:val="single" w:sz="4" w:space="0" w:color="auto"/>
              <w:left w:val="nil"/>
              <w:bottom w:val="single" w:sz="4" w:space="0" w:color="auto"/>
              <w:right w:val="single" w:sz="4" w:space="0" w:color="auto"/>
            </w:tcBorders>
          </w:tcPr>
          <w:p w14:paraId="460A8AD8" w14:textId="463FA6DE" w:rsidR="00F018F8" w:rsidRPr="00A91A55" w:rsidRDefault="007B2175" w:rsidP="000D0B9B">
            <w:pPr>
              <w:pStyle w:val="Tablecolhead"/>
              <w:rPr>
                <w:lang w:eastAsia="en-AU"/>
              </w:rPr>
            </w:pPr>
            <w:r>
              <w:rPr>
                <w:lang w:eastAsia="en-AU"/>
              </w:rPr>
              <w:t>2020–21</w:t>
            </w:r>
          </w:p>
        </w:tc>
      </w:tr>
      <w:tr w:rsidR="003D1A4F" w:rsidRPr="00A91A55" w14:paraId="38B68681" w14:textId="47E8275D" w:rsidTr="003D1A4F">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7B8AEE2C" w14:textId="77777777" w:rsidR="003D1A4F" w:rsidRPr="00A91A55" w:rsidRDefault="003D1A4F" w:rsidP="000D0B9B">
            <w:pPr>
              <w:pStyle w:val="Tabletext"/>
              <w:rPr>
                <w:lang w:eastAsia="en-AU"/>
              </w:rPr>
            </w:pPr>
            <w:r w:rsidRPr="00A91A55">
              <w:rPr>
                <w:lang w:eastAsia="en-AU"/>
              </w:rPr>
              <w:t>Adult</w:t>
            </w:r>
          </w:p>
        </w:tc>
        <w:tc>
          <w:tcPr>
            <w:tcW w:w="644" w:type="pct"/>
            <w:tcBorders>
              <w:top w:val="nil"/>
              <w:left w:val="nil"/>
              <w:bottom w:val="single" w:sz="4" w:space="0" w:color="auto"/>
              <w:right w:val="single" w:sz="4" w:space="0" w:color="auto"/>
            </w:tcBorders>
            <w:shd w:val="clear" w:color="auto" w:fill="auto"/>
            <w:noWrap/>
            <w:vAlign w:val="center"/>
            <w:hideMark/>
          </w:tcPr>
          <w:p w14:paraId="1BE0068C" w14:textId="34EC1AB2" w:rsidR="003D1A4F" w:rsidRPr="00A91A55" w:rsidRDefault="003D1A4F" w:rsidP="000D0B9B">
            <w:pPr>
              <w:pStyle w:val="Tabletext"/>
              <w:rPr>
                <w:lang w:eastAsia="en-AU"/>
              </w:rPr>
            </w:pPr>
            <w:r>
              <w:t>11.9</w:t>
            </w:r>
          </w:p>
        </w:tc>
        <w:tc>
          <w:tcPr>
            <w:tcW w:w="644" w:type="pct"/>
            <w:tcBorders>
              <w:top w:val="nil"/>
              <w:left w:val="nil"/>
              <w:bottom w:val="single" w:sz="4" w:space="0" w:color="auto"/>
              <w:right w:val="single" w:sz="4" w:space="0" w:color="auto"/>
            </w:tcBorders>
            <w:shd w:val="clear" w:color="auto" w:fill="auto"/>
            <w:noWrap/>
            <w:vAlign w:val="center"/>
            <w:hideMark/>
          </w:tcPr>
          <w:p w14:paraId="7C67E65F" w14:textId="14F8AC52" w:rsidR="003D1A4F" w:rsidRPr="00A91A55" w:rsidRDefault="003D1A4F" w:rsidP="000D0B9B">
            <w:pPr>
              <w:pStyle w:val="Tabletext"/>
              <w:rPr>
                <w:lang w:eastAsia="en-AU"/>
              </w:rPr>
            </w:pPr>
            <w:r>
              <w:t>11.3</w:t>
            </w:r>
          </w:p>
        </w:tc>
        <w:tc>
          <w:tcPr>
            <w:tcW w:w="644" w:type="pct"/>
            <w:tcBorders>
              <w:top w:val="nil"/>
              <w:left w:val="nil"/>
              <w:bottom w:val="single" w:sz="4" w:space="0" w:color="auto"/>
              <w:right w:val="single" w:sz="4" w:space="0" w:color="auto"/>
            </w:tcBorders>
            <w:shd w:val="clear" w:color="auto" w:fill="auto"/>
            <w:noWrap/>
            <w:vAlign w:val="center"/>
            <w:hideMark/>
          </w:tcPr>
          <w:p w14:paraId="38FDCF96" w14:textId="0B0AF658" w:rsidR="003D1A4F" w:rsidRPr="00A91A55" w:rsidRDefault="003D1A4F" w:rsidP="000D0B9B">
            <w:pPr>
              <w:pStyle w:val="Tabletext"/>
              <w:rPr>
                <w:lang w:eastAsia="en-AU"/>
              </w:rPr>
            </w:pPr>
            <w:r>
              <w:t>10.5</w:t>
            </w:r>
          </w:p>
        </w:tc>
        <w:tc>
          <w:tcPr>
            <w:tcW w:w="644" w:type="pct"/>
            <w:tcBorders>
              <w:top w:val="nil"/>
              <w:left w:val="nil"/>
              <w:bottom w:val="single" w:sz="4" w:space="0" w:color="auto"/>
              <w:right w:val="single" w:sz="4" w:space="0" w:color="auto"/>
            </w:tcBorders>
            <w:shd w:val="clear" w:color="auto" w:fill="auto"/>
            <w:noWrap/>
            <w:vAlign w:val="center"/>
            <w:hideMark/>
          </w:tcPr>
          <w:p w14:paraId="7C1177BE" w14:textId="192E3B8E" w:rsidR="003D1A4F" w:rsidRPr="00A91A55" w:rsidRDefault="003D1A4F" w:rsidP="000D0B9B">
            <w:pPr>
              <w:pStyle w:val="Tabletext"/>
              <w:rPr>
                <w:lang w:eastAsia="en-AU"/>
              </w:rPr>
            </w:pPr>
            <w:r>
              <w:t>9.5</w:t>
            </w:r>
          </w:p>
        </w:tc>
        <w:tc>
          <w:tcPr>
            <w:tcW w:w="644" w:type="pct"/>
            <w:tcBorders>
              <w:top w:val="nil"/>
              <w:left w:val="nil"/>
              <w:bottom w:val="single" w:sz="4" w:space="0" w:color="auto"/>
              <w:right w:val="single" w:sz="4" w:space="0" w:color="auto"/>
            </w:tcBorders>
            <w:shd w:val="clear" w:color="auto" w:fill="auto"/>
            <w:noWrap/>
            <w:vAlign w:val="center"/>
            <w:hideMark/>
          </w:tcPr>
          <w:p w14:paraId="452BB473" w14:textId="6CEF4035" w:rsidR="003D1A4F" w:rsidRPr="00A91A55" w:rsidRDefault="003D1A4F" w:rsidP="000D0B9B">
            <w:pPr>
              <w:pStyle w:val="Tabletext"/>
              <w:rPr>
                <w:lang w:eastAsia="en-AU"/>
              </w:rPr>
            </w:pPr>
            <w:r>
              <w:t>10.0</w:t>
            </w:r>
          </w:p>
        </w:tc>
        <w:tc>
          <w:tcPr>
            <w:tcW w:w="644" w:type="pct"/>
            <w:tcBorders>
              <w:top w:val="nil"/>
              <w:left w:val="nil"/>
              <w:bottom w:val="single" w:sz="4" w:space="0" w:color="auto"/>
              <w:right w:val="single" w:sz="4" w:space="0" w:color="auto"/>
            </w:tcBorders>
            <w:vAlign w:val="center"/>
          </w:tcPr>
          <w:p w14:paraId="303AF320" w14:textId="317F2120" w:rsidR="003D1A4F" w:rsidRDefault="003D1A4F" w:rsidP="000D0B9B">
            <w:pPr>
              <w:pStyle w:val="Tabletext"/>
            </w:pPr>
            <w:r>
              <w:t>9.4</w:t>
            </w:r>
          </w:p>
        </w:tc>
      </w:tr>
      <w:tr w:rsidR="003D1A4F" w:rsidRPr="00A91A55" w14:paraId="5BF81824" w14:textId="345ABEAC" w:rsidTr="003D1A4F">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4D52DDD3" w14:textId="77777777" w:rsidR="003D1A4F" w:rsidRPr="00A91A55" w:rsidRDefault="003D1A4F" w:rsidP="000D0B9B">
            <w:pPr>
              <w:pStyle w:val="Tabletext"/>
              <w:rPr>
                <w:lang w:eastAsia="en-AU"/>
              </w:rPr>
            </w:pPr>
            <w:r w:rsidRPr="00A91A55">
              <w:rPr>
                <w:lang w:eastAsia="en-AU"/>
              </w:rPr>
              <w:t>Aged</w:t>
            </w:r>
          </w:p>
        </w:tc>
        <w:tc>
          <w:tcPr>
            <w:tcW w:w="644" w:type="pct"/>
            <w:tcBorders>
              <w:top w:val="nil"/>
              <w:left w:val="nil"/>
              <w:bottom w:val="single" w:sz="4" w:space="0" w:color="auto"/>
              <w:right w:val="single" w:sz="4" w:space="0" w:color="auto"/>
            </w:tcBorders>
            <w:shd w:val="clear" w:color="auto" w:fill="auto"/>
            <w:noWrap/>
            <w:vAlign w:val="center"/>
            <w:hideMark/>
          </w:tcPr>
          <w:p w14:paraId="7F14D51E" w14:textId="618D7671" w:rsidR="003D1A4F" w:rsidRPr="00A91A55" w:rsidRDefault="003D1A4F" w:rsidP="000D0B9B">
            <w:pPr>
              <w:pStyle w:val="Tabletext"/>
              <w:rPr>
                <w:lang w:eastAsia="en-AU"/>
              </w:rPr>
            </w:pPr>
            <w:r>
              <w:t>1.0</w:t>
            </w:r>
          </w:p>
        </w:tc>
        <w:tc>
          <w:tcPr>
            <w:tcW w:w="644" w:type="pct"/>
            <w:tcBorders>
              <w:top w:val="nil"/>
              <w:left w:val="nil"/>
              <w:bottom w:val="single" w:sz="4" w:space="0" w:color="auto"/>
              <w:right w:val="single" w:sz="4" w:space="0" w:color="auto"/>
            </w:tcBorders>
            <w:shd w:val="clear" w:color="auto" w:fill="auto"/>
            <w:noWrap/>
            <w:vAlign w:val="center"/>
            <w:hideMark/>
          </w:tcPr>
          <w:p w14:paraId="5D40EE8F" w14:textId="7586ABFA" w:rsidR="003D1A4F" w:rsidRPr="00A91A55" w:rsidRDefault="003D1A4F" w:rsidP="000D0B9B">
            <w:pPr>
              <w:pStyle w:val="Tabletext"/>
              <w:rPr>
                <w:lang w:eastAsia="en-AU"/>
              </w:rPr>
            </w:pPr>
            <w:r>
              <w:t>1.8</w:t>
            </w:r>
          </w:p>
        </w:tc>
        <w:tc>
          <w:tcPr>
            <w:tcW w:w="644" w:type="pct"/>
            <w:tcBorders>
              <w:top w:val="nil"/>
              <w:left w:val="nil"/>
              <w:bottom w:val="single" w:sz="4" w:space="0" w:color="auto"/>
              <w:right w:val="single" w:sz="4" w:space="0" w:color="auto"/>
            </w:tcBorders>
            <w:shd w:val="clear" w:color="auto" w:fill="auto"/>
            <w:noWrap/>
            <w:vAlign w:val="center"/>
            <w:hideMark/>
          </w:tcPr>
          <w:p w14:paraId="1F0CDE29" w14:textId="3FF18DFB" w:rsidR="003D1A4F" w:rsidRPr="00A91A55" w:rsidRDefault="003D1A4F" w:rsidP="000D0B9B">
            <w:pPr>
              <w:pStyle w:val="Tabletext"/>
              <w:rPr>
                <w:lang w:eastAsia="en-AU"/>
              </w:rPr>
            </w:pPr>
            <w:r>
              <w:t>1.2</w:t>
            </w:r>
          </w:p>
        </w:tc>
        <w:tc>
          <w:tcPr>
            <w:tcW w:w="644" w:type="pct"/>
            <w:tcBorders>
              <w:top w:val="nil"/>
              <w:left w:val="nil"/>
              <w:bottom w:val="single" w:sz="4" w:space="0" w:color="auto"/>
              <w:right w:val="single" w:sz="4" w:space="0" w:color="auto"/>
            </w:tcBorders>
            <w:shd w:val="clear" w:color="auto" w:fill="auto"/>
            <w:noWrap/>
            <w:vAlign w:val="center"/>
            <w:hideMark/>
          </w:tcPr>
          <w:p w14:paraId="4BB3882F" w14:textId="37AAFDE5" w:rsidR="003D1A4F" w:rsidRPr="00A91A55" w:rsidRDefault="003D1A4F" w:rsidP="000D0B9B">
            <w:pPr>
              <w:pStyle w:val="Tabletext"/>
              <w:rPr>
                <w:lang w:eastAsia="en-AU"/>
              </w:rPr>
            </w:pPr>
            <w:r>
              <w:t>0.7</w:t>
            </w:r>
          </w:p>
        </w:tc>
        <w:tc>
          <w:tcPr>
            <w:tcW w:w="644" w:type="pct"/>
            <w:tcBorders>
              <w:top w:val="nil"/>
              <w:left w:val="nil"/>
              <w:bottom w:val="single" w:sz="4" w:space="0" w:color="auto"/>
              <w:right w:val="single" w:sz="4" w:space="0" w:color="auto"/>
            </w:tcBorders>
            <w:shd w:val="clear" w:color="auto" w:fill="auto"/>
            <w:noWrap/>
            <w:vAlign w:val="center"/>
            <w:hideMark/>
          </w:tcPr>
          <w:p w14:paraId="417C633E" w14:textId="2EFB7B55" w:rsidR="003D1A4F" w:rsidRPr="00A91A55" w:rsidRDefault="003D1A4F" w:rsidP="000D0B9B">
            <w:pPr>
              <w:pStyle w:val="Tabletext"/>
              <w:rPr>
                <w:lang w:eastAsia="en-AU"/>
              </w:rPr>
            </w:pPr>
            <w:r>
              <w:t>0.6</w:t>
            </w:r>
          </w:p>
        </w:tc>
        <w:tc>
          <w:tcPr>
            <w:tcW w:w="644" w:type="pct"/>
            <w:tcBorders>
              <w:top w:val="nil"/>
              <w:left w:val="nil"/>
              <w:bottom w:val="single" w:sz="4" w:space="0" w:color="auto"/>
              <w:right w:val="single" w:sz="4" w:space="0" w:color="auto"/>
            </w:tcBorders>
            <w:vAlign w:val="center"/>
          </w:tcPr>
          <w:p w14:paraId="185191F2" w14:textId="00B73503" w:rsidR="003D1A4F" w:rsidRDefault="003D1A4F" w:rsidP="000D0B9B">
            <w:pPr>
              <w:pStyle w:val="Tabletext"/>
            </w:pPr>
            <w:r>
              <w:t>0.6</w:t>
            </w:r>
          </w:p>
        </w:tc>
      </w:tr>
      <w:tr w:rsidR="003D1A4F" w:rsidRPr="00A91A55" w14:paraId="70E6638B" w14:textId="130A1C12" w:rsidTr="003D1A4F">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57C2F604" w14:textId="484A1571" w:rsidR="003D1A4F" w:rsidRPr="00A91A55" w:rsidRDefault="003D1A4F" w:rsidP="000D0B9B">
            <w:pPr>
              <w:pStyle w:val="Tabletext"/>
              <w:rPr>
                <w:lang w:eastAsia="en-AU"/>
              </w:rPr>
            </w:pPr>
            <w:r w:rsidRPr="61E607F7">
              <w:rPr>
                <w:lang w:eastAsia="en-AU"/>
              </w:rPr>
              <w:t xml:space="preserve">Child and </w:t>
            </w:r>
            <w:r w:rsidR="0048002F">
              <w:rPr>
                <w:lang w:eastAsia="en-AU"/>
              </w:rPr>
              <w:t>a</w:t>
            </w:r>
            <w:r w:rsidRPr="7A6B7701">
              <w:rPr>
                <w:lang w:eastAsia="en-AU"/>
              </w:rPr>
              <w:t>dolescent</w:t>
            </w:r>
          </w:p>
        </w:tc>
        <w:tc>
          <w:tcPr>
            <w:tcW w:w="644" w:type="pct"/>
            <w:tcBorders>
              <w:top w:val="nil"/>
              <w:left w:val="nil"/>
              <w:bottom w:val="single" w:sz="4" w:space="0" w:color="auto"/>
              <w:right w:val="single" w:sz="4" w:space="0" w:color="auto"/>
            </w:tcBorders>
            <w:shd w:val="clear" w:color="auto" w:fill="auto"/>
            <w:noWrap/>
            <w:vAlign w:val="center"/>
            <w:hideMark/>
          </w:tcPr>
          <w:p w14:paraId="6D64E898" w14:textId="4124E4BA" w:rsidR="003D1A4F" w:rsidRPr="00A91A55" w:rsidRDefault="003D1A4F" w:rsidP="000D0B9B">
            <w:pPr>
              <w:pStyle w:val="Tabletext"/>
              <w:rPr>
                <w:lang w:eastAsia="en-AU"/>
              </w:rPr>
            </w:pPr>
            <w:r>
              <w:t>5.5</w:t>
            </w:r>
          </w:p>
        </w:tc>
        <w:tc>
          <w:tcPr>
            <w:tcW w:w="644" w:type="pct"/>
            <w:tcBorders>
              <w:top w:val="nil"/>
              <w:left w:val="nil"/>
              <w:bottom w:val="single" w:sz="4" w:space="0" w:color="auto"/>
              <w:right w:val="single" w:sz="4" w:space="0" w:color="auto"/>
            </w:tcBorders>
            <w:shd w:val="clear" w:color="auto" w:fill="auto"/>
            <w:noWrap/>
            <w:vAlign w:val="center"/>
            <w:hideMark/>
          </w:tcPr>
          <w:p w14:paraId="533BF3B2" w14:textId="019EE2D2" w:rsidR="003D1A4F" w:rsidRPr="00A91A55" w:rsidRDefault="003D1A4F" w:rsidP="000D0B9B">
            <w:pPr>
              <w:pStyle w:val="Tabletext"/>
              <w:rPr>
                <w:lang w:eastAsia="en-AU"/>
              </w:rPr>
            </w:pPr>
            <w:r>
              <w:t>5.4</w:t>
            </w:r>
          </w:p>
        </w:tc>
        <w:tc>
          <w:tcPr>
            <w:tcW w:w="644" w:type="pct"/>
            <w:tcBorders>
              <w:top w:val="nil"/>
              <w:left w:val="nil"/>
              <w:bottom w:val="single" w:sz="4" w:space="0" w:color="auto"/>
              <w:right w:val="single" w:sz="4" w:space="0" w:color="auto"/>
            </w:tcBorders>
            <w:shd w:val="clear" w:color="auto" w:fill="auto"/>
            <w:noWrap/>
            <w:vAlign w:val="center"/>
            <w:hideMark/>
          </w:tcPr>
          <w:p w14:paraId="3E00E3D5" w14:textId="394840D8" w:rsidR="003D1A4F" w:rsidRPr="00A91A55" w:rsidRDefault="003D1A4F" w:rsidP="000D0B9B">
            <w:pPr>
              <w:pStyle w:val="Tabletext"/>
              <w:rPr>
                <w:lang w:eastAsia="en-AU"/>
              </w:rPr>
            </w:pPr>
            <w:r>
              <w:t>8.8</w:t>
            </w:r>
          </w:p>
        </w:tc>
        <w:tc>
          <w:tcPr>
            <w:tcW w:w="644" w:type="pct"/>
            <w:tcBorders>
              <w:top w:val="nil"/>
              <w:left w:val="nil"/>
              <w:bottom w:val="single" w:sz="4" w:space="0" w:color="auto"/>
              <w:right w:val="single" w:sz="4" w:space="0" w:color="auto"/>
            </w:tcBorders>
            <w:shd w:val="clear" w:color="auto" w:fill="auto"/>
            <w:noWrap/>
            <w:vAlign w:val="center"/>
            <w:hideMark/>
          </w:tcPr>
          <w:p w14:paraId="433138FF" w14:textId="3E860644" w:rsidR="003D1A4F" w:rsidRPr="00A91A55" w:rsidRDefault="003D1A4F" w:rsidP="000D0B9B">
            <w:pPr>
              <w:pStyle w:val="Tabletext"/>
              <w:rPr>
                <w:lang w:eastAsia="en-AU"/>
              </w:rPr>
            </w:pPr>
            <w:r>
              <w:t>12.0</w:t>
            </w:r>
          </w:p>
        </w:tc>
        <w:tc>
          <w:tcPr>
            <w:tcW w:w="644" w:type="pct"/>
            <w:tcBorders>
              <w:top w:val="nil"/>
              <w:left w:val="nil"/>
              <w:bottom w:val="single" w:sz="4" w:space="0" w:color="auto"/>
              <w:right w:val="single" w:sz="4" w:space="0" w:color="auto"/>
            </w:tcBorders>
            <w:shd w:val="clear" w:color="auto" w:fill="auto"/>
            <w:noWrap/>
            <w:vAlign w:val="center"/>
            <w:hideMark/>
          </w:tcPr>
          <w:p w14:paraId="52646793" w14:textId="5E8E81BB" w:rsidR="003D1A4F" w:rsidRPr="00A91A55" w:rsidRDefault="003D1A4F" w:rsidP="000D0B9B">
            <w:pPr>
              <w:pStyle w:val="Tabletext"/>
              <w:rPr>
                <w:lang w:eastAsia="en-AU"/>
              </w:rPr>
            </w:pPr>
            <w:r>
              <w:t>14.4</w:t>
            </w:r>
          </w:p>
        </w:tc>
        <w:tc>
          <w:tcPr>
            <w:tcW w:w="644" w:type="pct"/>
            <w:tcBorders>
              <w:top w:val="nil"/>
              <w:left w:val="nil"/>
              <w:bottom w:val="single" w:sz="4" w:space="0" w:color="auto"/>
              <w:right w:val="single" w:sz="4" w:space="0" w:color="auto"/>
            </w:tcBorders>
            <w:vAlign w:val="center"/>
          </w:tcPr>
          <w:p w14:paraId="05E3A919" w14:textId="1C13D115" w:rsidR="003D1A4F" w:rsidRDefault="003D1A4F" w:rsidP="000D0B9B">
            <w:pPr>
              <w:pStyle w:val="Tabletext"/>
            </w:pPr>
            <w:r>
              <w:t>10.1</w:t>
            </w:r>
          </w:p>
        </w:tc>
      </w:tr>
      <w:tr w:rsidR="003D1A4F" w:rsidRPr="00A91A55" w14:paraId="33CCE67C" w14:textId="3ECEB421" w:rsidTr="003D1A4F">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5185AFF9" w14:textId="77777777" w:rsidR="003D1A4F" w:rsidRPr="00A91A55" w:rsidRDefault="003D1A4F" w:rsidP="000D0B9B">
            <w:pPr>
              <w:pStyle w:val="Tabletext"/>
              <w:rPr>
                <w:lang w:eastAsia="en-AU"/>
              </w:rPr>
            </w:pPr>
            <w:r w:rsidRPr="00A91A55">
              <w:rPr>
                <w:lang w:eastAsia="en-AU"/>
              </w:rPr>
              <w:t>Forensic</w:t>
            </w:r>
          </w:p>
        </w:tc>
        <w:tc>
          <w:tcPr>
            <w:tcW w:w="644" w:type="pct"/>
            <w:tcBorders>
              <w:top w:val="nil"/>
              <w:left w:val="nil"/>
              <w:bottom w:val="single" w:sz="4" w:space="0" w:color="auto"/>
              <w:right w:val="single" w:sz="4" w:space="0" w:color="auto"/>
            </w:tcBorders>
            <w:shd w:val="clear" w:color="auto" w:fill="auto"/>
            <w:noWrap/>
            <w:vAlign w:val="center"/>
            <w:hideMark/>
          </w:tcPr>
          <w:p w14:paraId="10BCD3A1" w14:textId="65F60AB4" w:rsidR="003D1A4F" w:rsidRPr="00A91A55" w:rsidRDefault="003D1A4F" w:rsidP="000D0B9B">
            <w:pPr>
              <w:pStyle w:val="Tabletext"/>
              <w:rPr>
                <w:lang w:eastAsia="en-AU"/>
              </w:rPr>
            </w:pPr>
            <w:r>
              <w:t>13.1</w:t>
            </w:r>
          </w:p>
        </w:tc>
        <w:tc>
          <w:tcPr>
            <w:tcW w:w="644" w:type="pct"/>
            <w:tcBorders>
              <w:top w:val="nil"/>
              <w:left w:val="nil"/>
              <w:bottom w:val="single" w:sz="4" w:space="0" w:color="auto"/>
              <w:right w:val="single" w:sz="4" w:space="0" w:color="auto"/>
            </w:tcBorders>
            <w:shd w:val="clear" w:color="auto" w:fill="auto"/>
            <w:noWrap/>
            <w:vAlign w:val="center"/>
            <w:hideMark/>
          </w:tcPr>
          <w:p w14:paraId="370F77BE" w14:textId="0D691359" w:rsidR="003D1A4F" w:rsidRPr="00A91A55" w:rsidRDefault="003D1A4F" w:rsidP="000D0B9B">
            <w:pPr>
              <w:pStyle w:val="Tabletext"/>
              <w:rPr>
                <w:lang w:eastAsia="en-AU"/>
              </w:rPr>
            </w:pPr>
            <w:r>
              <w:t>28.7</w:t>
            </w:r>
          </w:p>
        </w:tc>
        <w:tc>
          <w:tcPr>
            <w:tcW w:w="644" w:type="pct"/>
            <w:tcBorders>
              <w:top w:val="nil"/>
              <w:left w:val="nil"/>
              <w:bottom w:val="single" w:sz="4" w:space="0" w:color="auto"/>
              <w:right w:val="single" w:sz="4" w:space="0" w:color="auto"/>
            </w:tcBorders>
            <w:shd w:val="clear" w:color="auto" w:fill="auto"/>
            <w:noWrap/>
            <w:vAlign w:val="center"/>
            <w:hideMark/>
          </w:tcPr>
          <w:p w14:paraId="67718CF6" w14:textId="18F6C171" w:rsidR="003D1A4F" w:rsidRPr="00A91A55" w:rsidRDefault="003D1A4F" w:rsidP="000D0B9B">
            <w:pPr>
              <w:pStyle w:val="Tabletext"/>
              <w:rPr>
                <w:lang w:eastAsia="en-AU"/>
              </w:rPr>
            </w:pPr>
            <w:r>
              <w:t>34.3</w:t>
            </w:r>
          </w:p>
        </w:tc>
        <w:tc>
          <w:tcPr>
            <w:tcW w:w="644" w:type="pct"/>
            <w:tcBorders>
              <w:top w:val="nil"/>
              <w:left w:val="nil"/>
              <w:bottom w:val="single" w:sz="4" w:space="0" w:color="auto"/>
              <w:right w:val="single" w:sz="4" w:space="0" w:color="auto"/>
            </w:tcBorders>
            <w:shd w:val="clear" w:color="auto" w:fill="auto"/>
            <w:noWrap/>
            <w:vAlign w:val="center"/>
            <w:hideMark/>
          </w:tcPr>
          <w:p w14:paraId="0A39AA83" w14:textId="22E8D029" w:rsidR="003D1A4F" w:rsidRPr="00A91A55" w:rsidRDefault="003D1A4F" w:rsidP="000D0B9B">
            <w:pPr>
              <w:pStyle w:val="Tabletext"/>
              <w:rPr>
                <w:lang w:eastAsia="en-AU"/>
              </w:rPr>
            </w:pPr>
            <w:r>
              <w:t>26.8</w:t>
            </w:r>
          </w:p>
        </w:tc>
        <w:tc>
          <w:tcPr>
            <w:tcW w:w="644" w:type="pct"/>
            <w:tcBorders>
              <w:top w:val="nil"/>
              <w:left w:val="nil"/>
              <w:bottom w:val="single" w:sz="4" w:space="0" w:color="auto"/>
              <w:right w:val="single" w:sz="4" w:space="0" w:color="auto"/>
            </w:tcBorders>
            <w:shd w:val="clear" w:color="auto" w:fill="auto"/>
            <w:noWrap/>
            <w:vAlign w:val="center"/>
            <w:hideMark/>
          </w:tcPr>
          <w:p w14:paraId="614F21B4" w14:textId="3BD6E2B6" w:rsidR="003D1A4F" w:rsidRPr="00A91A55" w:rsidRDefault="003D1A4F" w:rsidP="000D0B9B">
            <w:pPr>
              <w:pStyle w:val="Tabletext"/>
              <w:rPr>
                <w:lang w:eastAsia="en-AU"/>
              </w:rPr>
            </w:pPr>
            <w:r>
              <w:t>33.0</w:t>
            </w:r>
          </w:p>
        </w:tc>
        <w:tc>
          <w:tcPr>
            <w:tcW w:w="644" w:type="pct"/>
            <w:tcBorders>
              <w:top w:val="nil"/>
              <w:left w:val="nil"/>
              <w:bottom w:val="single" w:sz="4" w:space="0" w:color="auto"/>
              <w:right w:val="single" w:sz="4" w:space="0" w:color="auto"/>
            </w:tcBorders>
            <w:vAlign w:val="center"/>
          </w:tcPr>
          <w:p w14:paraId="1AE13D9E" w14:textId="3DC442F3" w:rsidR="003D1A4F" w:rsidRDefault="003D1A4F" w:rsidP="000D0B9B">
            <w:pPr>
              <w:pStyle w:val="Tabletext"/>
            </w:pPr>
            <w:r>
              <w:t>41.1</w:t>
            </w:r>
          </w:p>
        </w:tc>
      </w:tr>
      <w:tr w:rsidR="003D1A4F" w:rsidRPr="00A91A55" w14:paraId="73AF1568" w14:textId="0486700E" w:rsidTr="003D1A4F">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56B2F2B2" w14:textId="77777777" w:rsidR="003D1A4F" w:rsidRPr="00A91A55" w:rsidRDefault="003D1A4F" w:rsidP="000D0B9B">
            <w:pPr>
              <w:pStyle w:val="Tabletext"/>
              <w:rPr>
                <w:lang w:eastAsia="en-AU"/>
              </w:rPr>
            </w:pPr>
            <w:r w:rsidRPr="00A91A55">
              <w:rPr>
                <w:lang w:eastAsia="en-AU"/>
              </w:rPr>
              <w:t>Specialist</w:t>
            </w:r>
          </w:p>
        </w:tc>
        <w:tc>
          <w:tcPr>
            <w:tcW w:w="644" w:type="pct"/>
            <w:tcBorders>
              <w:top w:val="nil"/>
              <w:left w:val="nil"/>
              <w:bottom w:val="single" w:sz="4" w:space="0" w:color="auto"/>
              <w:right w:val="single" w:sz="4" w:space="0" w:color="auto"/>
            </w:tcBorders>
            <w:shd w:val="clear" w:color="auto" w:fill="auto"/>
            <w:noWrap/>
            <w:vAlign w:val="center"/>
            <w:hideMark/>
          </w:tcPr>
          <w:p w14:paraId="2A1573BA" w14:textId="6B7C921D" w:rsidR="003D1A4F" w:rsidRPr="00A91A55" w:rsidRDefault="003D1A4F" w:rsidP="000D0B9B">
            <w:pPr>
              <w:pStyle w:val="Tabletext"/>
              <w:rPr>
                <w:lang w:eastAsia="en-AU"/>
              </w:rPr>
            </w:pPr>
            <w:r>
              <w:t>0.5</w:t>
            </w:r>
          </w:p>
        </w:tc>
        <w:tc>
          <w:tcPr>
            <w:tcW w:w="644" w:type="pct"/>
            <w:tcBorders>
              <w:top w:val="nil"/>
              <w:left w:val="nil"/>
              <w:bottom w:val="single" w:sz="4" w:space="0" w:color="auto"/>
              <w:right w:val="single" w:sz="4" w:space="0" w:color="auto"/>
            </w:tcBorders>
            <w:shd w:val="clear" w:color="auto" w:fill="auto"/>
            <w:noWrap/>
            <w:vAlign w:val="center"/>
            <w:hideMark/>
          </w:tcPr>
          <w:p w14:paraId="140570FA" w14:textId="4D5E26FF" w:rsidR="003D1A4F" w:rsidRPr="00A91A55" w:rsidRDefault="003D1A4F" w:rsidP="000D0B9B">
            <w:pPr>
              <w:pStyle w:val="Tabletext"/>
              <w:rPr>
                <w:lang w:eastAsia="en-AU"/>
              </w:rPr>
            </w:pPr>
            <w:r>
              <w:t>3.1</w:t>
            </w:r>
          </w:p>
        </w:tc>
        <w:tc>
          <w:tcPr>
            <w:tcW w:w="644" w:type="pct"/>
            <w:tcBorders>
              <w:top w:val="nil"/>
              <w:left w:val="nil"/>
              <w:bottom w:val="single" w:sz="4" w:space="0" w:color="auto"/>
              <w:right w:val="single" w:sz="4" w:space="0" w:color="auto"/>
            </w:tcBorders>
            <w:shd w:val="clear" w:color="auto" w:fill="auto"/>
            <w:noWrap/>
            <w:vAlign w:val="center"/>
            <w:hideMark/>
          </w:tcPr>
          <w:p w14:paraId="2FCBE875" w14:textId="2D16D3B5" w:rsidR="003D1A4F" w:rsidRPr="00A91A55" w:rsidRDefault="003D1A4F" w:rsidP="000D0B9B">
            <w:pPr>
              <w:pStyle w:val="Tabletext"/>
              <w:rPr>
                <w:lang w:eastAsia="en-AU"/>
              </w:rPr>
            </w:pPr>
            <w:r>
              <w:t>0.6</w:t>
            </w:r>
          </w:p>
        </w:tc>
        <w:tc>
          <w:tcPr>
            <w:tcW w:w="644" w:type="pct"/>
            <w:tcBorders>
              <w:top w:val="nil"/>
              <w:left w:val="nil"/>
              <w:bottom w:val="single" w:sz="4" w:space="0" w:color="auto"/>
              <w:right w:val="single" w:sz="4" w:space="0" w:color="auto"/>
            </w:tcBorders>
            <w:shd w:val="clear" w:color="auto" w:fill="auto"/>
            <w:noWrap/>
            <w:vAlign w:val="center"/>
            <w:hideMark/>
          </w:tcPr>
          <w:p w14:paraId="3CA1AED7" w14:textId="1412A740" w:rsidR="003D1A4F" w:rsidRPr="00A91A55" w:rsidRDefault="003D1A4F" w:rsidP="000D0B9B">
            <w:pPr>
              <w:pStyle w:val="Tabletext"/>
              <w:rPr>
                <w:lang w:eastAsia="en-AU"/>
              </w:rPr>
            </w:pPr>
            <w:r>
              <w:t>0.4</w:t>
            </w:r>
          </w:p>
        </w:tc>
        <w:tc>
          <w:tcPr>
            <w:tcW w:w="644" w:type="pct"/>
            <w:tcBorders>
              <w:top w:val="nil"/>
              <w:left w:val="nil"/>
              <w:bottom w:val="single" w:sz="4" w:space="0" w:color="auto"/>
              <w:right w:val="single" w:sz="4" w:space="0" w:color="auto"/>
            </w:tcBorders>
            <w:shd w:val="clear" w:color="auto" w:fill="auto"/>
            <w:noWrap/>
            <w:vAlign w:val="center"/>
            <w:hideMark/>
          </w:tcPr>
          <w:p w14:paraId="21BD3BE2" w14:textId="61AC580F" w:rsidR="003D1A4F" w:rsidRPr="00A91A55" w:rsidRDefault="003D1A4F" w:rsidP="000D0B9B">
            <w:pPr>
              <w:pStyle w:val="Tabletext"/>
              <w:rPr>
                <w:lang w:eastAsia="en-AU"/>
              </w:rPr>
            </w:pPr>
            <w:r>
              <w:t>0.5</w:t>
            </w:r>
          </w:p>
        </w:tc>
        <w:tc>
          <w:tcPr>
            <w:tcW w:w="644" w:type="pct"/>
            <w:tcBorders>
              <w:top w:val="nil"/>
              <w:left w:val="nil"/>
              <w:bottom w:val="single" w:sz="4" w:space="0" w:color="auto"/>
              <w:right w:val="single" w:sz="4" w:space="0" w:color="auto"/>
            </w:tcBorders>
            <w:vAlign w:val="center"/>
          </w:tcPr>
          <w:p w14:paraId="348572AC" w14:textId="2BBB30D6" w:rsidR="003D1A4F" w:rsidRDefault="003D1A4F" w:rsidP="000D0B9B">
            <w:pPr>
              <w:pStyle w:val="Tabletext"/>
            </w:pPr>
            <w:r>
              <w:t>2.9</w:t>
            </w:r>
          </w:p>
        </w:tc>
      </w:tr>
      <w:tr w:rsidR="003D1A4F" w:rsidRPr="00A91A55" w14:paraId="60174E93" w14:textId="5D6FCFB9" w:rsidTr="003D1A4F">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1ED51B7D" w14:textId="77777777" w:rsidR="003D1A4F" w:rsidRPr="00A018DC" w:rsidRDefault="003D1A4F" w:rsidP="000D0B9B">
            <w:pPr>
              <w:pStyle w:val="Tabletext"/>
              <w:rPr>
                <w:lang w:eastAsia="en-AU"/>
              </w:rPr>
            </w:pPr>
            <w:r w:rsidRPr="00A018DC">
              <w:rPr>
                <w:lang w:eastAsia="en-AU"/>
              </w:rPr>
              <w:t>Total</w:t>
            </w:r>
          </w:p>
        </w:tc>
        <w:tc>
          <w:tcPr>
            <w:tcW w:w="644" w:type="pct"/>
            <w:tcBorders>
              <w:top w:val="nil"/>
              <w:left w:val="nil"/>
              <w:bottom w:val="single" w:sz="4" w:space="0" w:color="auto"/>
              <w:right w:val="single" w:sz="4" w:space="0" w:color="auto"/>
            </w:tcBorders>
            <w:shd w:val="clear" w:color="auto" w:fill="auto"/>
            <w:noWrap/>
            <w:vAlign w:val="center"/>
            <w:hideMark/>
          </w:tcPr>
          <w:p w14:paraId="708C42AE" w14:textId="797AE5F1" w:rsidR="003D1A4F" w:rsidRPr="00A018DC" w:rsidRDefault="003D1A4F" w:rsidP="000D0B9B">
            <w:pPr>
              <w:pStyle w:val="Tabletext"/>
              <w:rPr>
                <w:lang w:eastAsia="en-AU"/>
              </w:rPr>
            </w:pPr>
            <w:r w:rsidRPr="00A018DC">
              <w:t>9.2</w:t>
            </w:r>
          </w:p>
        </w:tc>
        <w:tc>
          <w:tcPr>
            <w:tcW w:w="644" w:type="pct"/>
            <w:tcBorders>
              <w:top w:val="nil"/>
              <w:left w:val="nil"/>
              <w:bottom w:val="single" w:sz="4" w:space="0" w:color="auto"/>
              <w:right w:val="single" w:sz="4" w:space="0" w:color="auto"/>
            </w:tcBorders>
            <w:shd w:val="clear" w:color="auto" w:fill="auto"/>
            <w:noWrap/>
            <w:vAlign w:val="center"/>
            <w:hideMark/>
          </w:tcPr>
          <w:p w14:paraId="4FE6F6DC" w14:textId="3CC46089" w:rsidR="003D1A4F" w:rsidRPr="00A018DC" w:rsidRDefault="003D1A4F" w:rsidP="000D0B9B">
            <w:pPr>
              <w:pStyle w:val="Tabletext"/>
              <w:rPr>
                <w:lang w:eastAsia="en-AU"/>
              </w:rPr>
            </w:pPr>
            <w:r w:rsidRPr="00A018DC">
              <w:t>10.0</w:t>
            </w:r>
          </w:p>
        </w:tc>
        <w:tc>
          <w:tcPr>
            <w:tcW w:w="644" w:type="pct"/>
            <w:tcBorders>
              <w:top w:val="nil"/>
              <w:left w:val="nil"/>
              <w:bottom w:val="single" w:sz="4" w:space="0" w:color="auto"/>
              <w:right w:val="single" w:sz="4" w:space="0" w:color="auto"/>
            </w:tcBorders>
            <w:shd w:val="clear" w:color="auto" w:fill="auto"/>
            <w:noWrap/>
            <w:vAlign w:val="center"/>
            <w:hideMark/>
          </w:tcPr>
          <w:p w14:paraId="6A993441" w14:textId="39FF2343" w:rsidR="003D1A4F" w:rsidRPr="00A018DC" w:rsidRDefault="003D1A4F" w:rsidP="000D0B9B">
            <w:pPr>
              <w:pStyle w:val="Tabletext"/>
              <w:rPr>
                <w:lang w:eastAsia="en-AU"/>
              </w:rPr>
            </w:pPr>
            <w:r w:rsidRPr="00A018DC">
              <w:t>9.7</w:t>
            </w:r>
          </w:p>
        </w:tc>
        <w:tc>
          <w:tcPr>
            <w:tcW w:w="644" w:type="pct"/>
            <w:tcBorders>
              <w:top w:val="nil"/>
              <w:left w:val="nil"/>
              <w:bottom w:val="single" w:sz="4" w:space="0" w:color="auto"/>
              <w:right w:val="single" w:sz="4" w:space="0" w:color="auto"/>
            </w:tcBorders>
            <w:shd w:val="clear" w:color="auto" w:fill="auto"/>
            <w:noWrap/>
            <w:vAlign w:val="center"/>
            <w:hideMark/>
          </w:tcPr>
          <w:p w14:paraId="127695C1" w14:textId="58B4246B" w:rsidR="003D1A4F" w:rsidRPr="00A018DC" w:rsidRDefault="003D1A4F" w:rsidP="000D0B9B">
            <w:pPr>
              <w:pStyle w:val="Tabletext"/>
              <w:rPr>
                <w:lang w:eastAsia="en-AU"/>
              </w:rPr>
            </w:pPr>
            <w:r w:rsidRPr="00A018DC">
              <w:t>8.6</w:t>
            </w:r>
          </w:p>
        </w:tc>
        <w:tc>
          <w:tcPr>
            <w:tcW w:w="644" w:type="pct"/>
            <w:tcBorders>
              <w:top w:val="nil"/>
              <w:left w:val="nil"/>
              <w:bottom w:val="single" w:sz="4" w:space="0" w:color="auto"/>
              <w:right w:val="single" w:sz="4" w:space="0" w:color="auto"/>
            </w:tcBorders>
            <w:shd w:val="clear" w:color="auto" w:fill="auto"/>
            <w:noWrap/>
            <w:vAlign w:val="center"/>
            <w:hideMark/>
          </w:tcPr>
          <w:p w14:paraId="6A5BD56B" w14:textId="42A302D6" w:rsidR="003D1A4F" w:rsidRPr="00A018DC" w:rsidRDefault="003D1A4F" w:rsidP="000D0B9B">
            <w:pPr>
              <w:pStyle w:val="Tabletext"/>
              <w:rPr>
                <w:lang w:eastAsia="en-AU"/>
              </w:rPr>
            </w:pPr>
            <w:r w:rsidRPr="00A018DC">
              <w:t>9.7</w:t>
            </w:r>
          </w:p>
        </w:tc>
        <w:tc>
          <w:tcPr>
            <w:tcW w:w="644" w:type="pct"/>
            <w:tcBorders>
              <w:top w:val="nil"/>
              <w:left w:val="nil"/>
              <w:bottom w:val="single" w:sz="4" w:space="0" w:color="auto"/>
              <w:right w:val="single" w:sz="4" w:space="0" w:color="auto"/>
            </w:tcBorders>
            <w:vAlign w:val="center"/>
          </w:tcPr>
          <w:p w14:paraId="2580C36E" w14:textId="02B098B3" w:rsidR="003D1A4F" w:rsidRPr="00A018DC" w:rsidRDefault="003D1A4F" w:rsidP="000D0B9B">
            <w:pPr>
              <w:pStyle w:val="Tabletext"/>
            </w:pPr>
            <w:r w:rsidRPr="00A018DC">
              <w:t>10.0</w:t>
            </w:r>
          </w:p>
        </w:tc>
      </w:tr>
    </w:tbl>
    <w:p w14:paraId="7DC20EEA" w14:textId="26DBF62E" w:rsidR="00381B2F" w:rsidRDefault="00381B2F" w:rsidP="00643556">
      <w:pPr>
        <w:pStyle w:val="Bodyaftertable"/>
      </w:pPr>
      <w:r>
        <w:t xml:space="preserve">Table </w:t>
      </w:r>
      <w:r w:rsidR="0C3CFD56">
        <w:t>1</w:t>
      </w:r>
      <w:r w:rsidR="00CC7406">
        <w:t>3</w:t>
      </w:r>
      <w:r>
        <w:t xml:space="preserve"> shows that, when seclusion happened, it typically occurred only once within the whole of an admission to hospital. Multiple episodes of seclusion were relatively uncommon. This pattern has remained consistent in recent years.</w:t>
      </w:r>
    </w:p>
    <w:p w14:paraId="2D4412A1" w14:textId="4C36B40C" w:rsidR="00381B2F" w:rsidRDefault="00381B2F" w:rsidP="000D0B9B">
      <w:pPr>
        <w:pStyle w:val="Tablecaption"/>
      </w:pPr>
      <w:r w:rsidRPr="64F2407C">
        <w:t xml:space="preserve">Table </w:t>
      </w:r>
      <w:r w:rsidR="18E05CAF">
        <w:t>1</w:t>
      </w:r>
      <w:r w:rsidR="00CC7406">
        <w:t>3</w:t>
      </w:r>
      <w:r w:rsidRPr="64F2407C">
        <w:t xml:space="preserve">: Frequency of seclusion episodes within a single admission, 2015–16 to </w:t>
      </w:r>
      <w:r w:rsidR="007B2175">
        <w:t>2020–21</w:t>
      </w:r>
    </w:p>
    <w:tbl>
      <w:tblPr>
        <w:tblW w:w="5000" w:type="pct"/>
        <w:tblLook w:val="04A0" w:firstRow="1" w:lastRow="0" w:firstColumn="1" w:lastColumn="0" w:noHBand="0" w:noVBand="1"/>
      </w:tblPr>
      <w:tblGrid>
        <w:gridCol w:w="1694"/>
        <w:gridCol w:w="1267"/>
        <w:gridCol w:w="1267"/>
        <w:gridCol w:w="1267"/>
        <w:gridCol w:w="1265"/>
        <w:gridCol w:w="1265"/>
        <w:gridCol w:w="1263"/>
      </w:tblGrid>
      <w:tr w:rsidR="00925590" w:rsidRPr="00A5007D" w14:paraId="3A224C4A" w14:textId="4ED24D3E" w:rsidTr="0084054F">
        <w:trPr>
          <w:trHeight w:val="196"/>
          <w:tblHeader/>
        </w:trPr>
        <w:tc>
          <w:tcPr>
            <w:tcW w:w="9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4ACF2" w14:textId="25B57CA1" w:rsidR="00925590" w:rsidRPr="00A5007D" w:rsidRDefault="00925590" w:rsidP="000D0B9B">
            <w:pPr>
              <w:pStyle w:val="Tablecolhead"/>
              <w:rPr>
                <w:lang w:eastAsia="en-AU"/>
              </w:rPr>
            </w:pPr>
            <w:r w:rsidRPr="00A5007D">
              <w:rPr>
                <w:lang w:eastAsia="en-AU"/>
              </w:rPr>
              <w:t> </w:t>
            </w:r>
            <w:r>
              <w:rPr>
                <w:lang w:eastAsia="en-AU"/>
              </w:rPr>
              <w:t>Frequency</w:t>
            </w:r>
          </w:p>
        </w:tc>
        <w:tc>
          <w:tcPr>
            <w:tcW w:w="682" w:type="pct"/>
            <w:tcBorders>
              <w:top w:val="single" w:sz="4" w:space="0" w:color="auto"/>
              <w:left w:val="nil"/>
              <w:bottom w:val="single" w:sz="4" w:space="0" w:color="auto"/>
              <w:right w:val="single" w:sz="4" w:space="0" w:color="auto"/>
            </w:tcBorders>
            <w:shd w:val="clear" w:color="auto" w:fill="auto"/>
            <w:noWrap/>
            <w:vAlign w:val="bottom"/>
            <w:hideMark/>
          </w:tcPr>
          <w:p w14:paraId="5C0B860C" w14:textId="1C69809F" w:rsidR="00925590" w:rsidRPr="00A5007D" w:rsidRDefault="00925590" w:rsidP="000D0B9B">
            <w:pPr>
              <w:pStyle w:val="Tablecolhead"/>
              <w:rPr>
                <w:lang w:eastAsia="en-AU"/>
              </w:rPr>
            </w:pPr>
            <w:r w:rsidRPr="00A5007D">
              <w:rPr>
                <w:lang w:eastAsia="en-AU"/>
              </w:rPr>
              <w:t>2015</w:t>
            </w:r>
            <w:r>
              <w:rPr>
                <w:lang w:eastAsia="en-AU"/>
              </w:rPr>
              <w:t>–1</w:t>
            </w:r>
            <w:r w:rsidRPr="00A5007D">
              <w:rPr>
                <w:lang w:eastAsia="en-AU"/>
              </w:rPr>
              <w:t>6</w:t>
            </w:r>
          </w:p>
        </w:tc>
        <w:tc>
          <w:tcPr>
            <w:tcW w:w="682" w:type="pct"/>
            <w:tcBorders>
              <w:top w:val="single" w:sz="4" w:space="0" w:color="auto"/>
              <w:left w:val="nil"/>
              <w:bottom w:val="single" w:sz="4" w:space="0" w:color="auto"/>
              <w:right w:val="single" w:sz="4" w:space="0" w:color="auto"/>
            </w:tcBorders>
            <w:shd w:val="clear" w:color="auto" w:fill="auto"/>
            <w:noWrap/>
            <w:vAlign w:val="bottom"/>
            <w:hideMark/>
          </w:tcPr>
          <w:p w14:paraId="412254CC" w14:textId="18DF5CA0" w:rsidR="00925590" w:rsidRPr="00A5007D" w:rsidRDefault="00925590" w:rsidP="000D0B9B">
            <w:pPr>
              <w:pStyle w:val="Tablecolhead"/>
              <w:rPr>
                <w:lang w:eastAsia="en-AU"/>
              </w:rPr>
            </w:pPr>
            <w:r w:rsidRPr="00A5007D">
              <w:rPr>
                <w:lang w:eastAsia="en-AU"/>
              </w:rPr>
              <w:t>2016</w:t>
            </w:r>
            <w:r>
              <w:rPr>
                <w:lang w:eastAsia="en-AU"/>
              </w:rPr>
              <w:t>–1</w:t>
            </w:r>
            <w:r w:rsidRPr="00A5007D">
              <w:rPr>
                <w:lang w:eastAsia="en-AU"/>
              </w:rPr>
              <w:t>7</w:t>
            </w:r>
          </w:p>
        </w:tc>
        <w:tc>
          <w:tcPr>
            <w:tcW w:w="682" w:type="pct"/>
            <w:tcBorders>
              <w:top w:val="single" w:sz="4" w:space="0" w:color="auto"/>
              <w:left w:val="nil"/>
              <w:bottom w:val="single" w:sz="4" w:space="0" w:color="auto"/>
              <w:right w:val="single" w:sz="4" w:space="0" w:color="auto"/>
            </w:tcBorders>
            <w:shd w:val="clear" w:color="auto" w:fill="auto"/>
            <w:noWrap/>
            <w:vAlign w:val="bottom"/>
            <w:hideMark/>
          </w:tcPr>
          <w:p w14:paraId="5D1BF92A" w14:textId="7AEBC090" w:rsidR="00925590" w:rsidRPr="00A5007D" w:rsidRDefault="00925590" w:rsidP="000D0B9B">
            <w:pPr>
              <w:pStyle w:val="Tablecolhead"/>
              <w:rPr>
                <w:lang w:eastAsia="en-AU"/>
              </w:rPr>
            </w:pPr>
            <w:r w:rsidRPr="00A5007D">
              <w:rPr>
                <w:lang w:eastAsia="en-AU"/>
              </w:rPr>
              <w:t>2017</w:t>
            </w:r>
            <w:r>
              <w:rPr>
                <w:lang w:eastAsia="en-AU"/>
              </w:rPr>
              <w:t>–1</w:t>
            </w:r>
            <w:r w:rsidRPr="00A5007D">
              <w:rPr>
                <w:lang w:eastAsia="en-AU"/>
              </w:rPr>
              <w:t>8</w:t>
            </w:r>
          </w:p>
        </w:tc>
        <w:tc>
          <w:tcPr>
            <w:tcW w:w="681" w:type="pct"/>
            <w:tcBorders>
              <w:top w:val="single" w:sz="4" w:space="0" w:color="auto"/>
              <w:left w:val="nil"/>
              <w:bottom w:val="single" w:sz="4" w:space="0" w:color="auto"/>
              <w:right w:val="single" w:sz="4" w:space="0" w:color="auto"/>
            </w:tcBorders>
            <w:shd w:val="clear" w:color="auto" w:fill="auto"/>
            <w:noWrap/>
            <w:vAlign w:val="bottom"/>
            <w:hideMark/>
          </w:tcPr>
          <w:p w14:paraId="15329F0C" w14:textId="681AA25A" w:rsidR="00925590" w:rsidRPr="00A5007D" w:rsidRDefault="00925590" w:rsidP="000D0B9B">
            <w:pPr>
              <w:pStyle w:val="Tablecolhead"/>
              <w:rPr>
                <w:lang w:eastAsia="en-AU"/>
              </w:rPr>
            </w:pPr>
            <w:r w:rsidRPr="00A5007D">
              <w:rPr>
                <w:lang w:eastAsia="en-AU"/>
              </w:rPr>
              <w:t>2018</w:t>
            </w:r>
            <w:r>
              <w:rPr>
                <w:lang w:eastAsia="en-AU"/>
              </w:rPr>
              <w:t>–1</w:t>
            </w:r>
            <w:r w:rsidRPr="00A5007D">
              <w:rPr>
                <w:lang w:eastAsia="en-AU"/>
              </w:rPr>
              <w:t>9</w:t>
            </w:r>
          </w:p>
        </w:tc>
        <w:tc>
          <w:tcPr>
            <w:tcW w:w="681" w:type="pct"/>
            <w:tcBorders>
              <w:top w:val="single" w:sz="4" w:space="0" w:color="auto"/>
              <w:left w:val="nil"/>
              <w:bottom w:val="single" w:sz="4" w:space="0" w:color="auto"/>
              <w:right w:val="single" w:sz="4" w:space="0" w:color="auto"/>
            </w:tcBorders>
            <w:shd w:val="clear" w:color="auto" w:fill="auto"/>
            <w:noWrap/>
            <w:vAlign w:val="bottom"/>
            <w:hideMark/>
          </w:tcPr>
          <w:p w14:paraId="520C3A38" w14:textId="1C99E87C" w:rsidR="00925590" w:rsidRPr="00A5007D" w:rsidRDefault="00925590" w:rsidP="000D0B9B">
            <w:pPr>
              <w:pStyle w:val="Tablecolhead"/>
              <w:rPr>
                <w:lang w:eastAsia="en-AU"/>
              </w:rPr>
            </w:pPr>
            <w:r w:rsidRPr="00A5007D">
              <w:rPr>
                <w:lang w:eastAsia="en-AU"/>
              </w:rPr>
              <w:t>2019</w:t>
            </w:r>
            <w:r>
              <w:rPr>
                <w:lang w:eastAsia="en-AU"/>
              </w:rPr>
              <w:t>–2</w:t>
            </w:r>
            <w:r w:rsidRPr="00A5007D">
              <w:rPr>
                <w:lang w:eastAsia="en-AU"/>
              </w:rPr>
              <w:t>0</w:t>
            </w:r>
          </w:p>
        </w:tc>
        <w:tc>
          <w:tcPr>
            <w:tcW w:w="681" w:type="pct"/>
            <w:tcBorders>
              <w:top w:val="single" w:sz="4" w:space="0" w:color="auto"/>
              <w:left w:val="nil"/>
              <w:bottom w:val="single" w:sz="4" w:space="0" w:color="auto"/>
              <w:right w:val="single" w:sz="4" w:space="0" w:color="auto"/>
            </w:tcBorders>
          </w:tcPr>
          <w:p w14:paraId="74EA3184" w14:textId="58226677" w:rsidR="00925590" w:rsidRPr="00A5007D" w:rsidRDefault="007B2175" w:rsidP="000D0B9B">
            <w:pPr>
              <w:pStyle w:val="Tablecolhead"/>
              <w:rPr>
                <w:lang w:eastAsia="en-AU"/>
              </w:rPr>
            </w:pPr>
            <w:r>
              <w:rPr>
                <w:lang w:eastAsia="en-AU"/>
              </w:rPr>
              <w:t>2020–21</w:t>
            </w:r>
          </w:p>
        </w:tc>
      </w:tr>
      <w:tr w:rsidR="0084054F" w:rsidRPr="00A5007D" w14:paraId="14D02243" w14:textId="0C8A9CD6" w:rsidTr="0084054F">
        <w:trPr>
          <w:trHeight w:val="300"/>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50D57378" w14:textId="77777777" w:rsidR="0084054F" w:rsidRPr="00A5007D" w:rsidRDefault="0084054F" w:rsidP="000D0B9B">
            <w:pPr>
              <w:pStyle w:val="Tabletext"/>
              <w:rPr>
                <w:lang w:eastAsia="en-AU"/>
              </w:rPr>
            </w:pPr>
            <w:r w:rsidRPr="00A5007D">
              <w:rPr>
                <w:lang w:eastAsia="en-AU"/>
              </w:rPr>
              <w:t>1</w:t>
            </w:r>
          </w:p>
        </w:tc>
        <w:tc>
          <w:tcPr>
            <w:tcW w:w="682" w:type="pct"/>
            <w:tcBorders>
              <w:top w:val="nil"/>
              <w:left w:val="nil"/>
              <w:bottom w:val="single" w:sz="4" w:space="0" w:color="auto"/>
              <w:right w:val="single" w:sz="4" w:space="0" w:color="auto"/>
            </w:tcBorders>
            <w:shd w:val="clear" w:color="auto" w:fill="auto"/>
            <w:noWrap/>
            <w:hideMark/>
          </w:tcPr>
          <w:p w14:paraId="27BBB277" w14:textId="2F871C26" w:rsidR="0084054F" w:rsidRPr="00A5007D" w:rsidRDefault="0084054F" w:rsidP="000D0B9B">
            <w:pPr>
              <w:pStyle w:val="Tabletext"/>
              <w:rPr>
                <w:lang w:eastAsia="en-AU"/>
              </w:rPr>
            </w:pPr>
            <w:r>
              <w:t>902</w:t>
            </w:r>
          </w:p>
        </w:tc>
        <w:tc>
          <w:tcPr>
            <w:tcW w:w="682" w:type="pct"/>
            <w:tcBorders>
              <w:top w:val="nil"/>
              <w:left w:val="nil"/>
              <w:bottom w:val="single" w:sz="4" w:space="0" w:color="auto"/>
              <w:right w:val="single" w:sz="4" w:space="0" w:color="auto"/>
            </w:tcBorders>
            <w:shd w:val="clear" w:color="auto" w:fill="auto"/>
            <w:noWrap/>
            <w:hideMark/>
          </w:tcPr>
          <w:p w14:paraId="66BA39F9" w14:textId="2550B19C" w:rsidR="0084054F" w:rsidRPr="00A5007D" w:rsidRDefault="0084054F" w:rsidP="000D0B9B">
            <w:pPr>
              <w:pStyle w:val="Tabletext"/>
              <w:rPr>
                <w:lang w:eastAsia="en-AU"/>
              </w:rPr>
            </w:pPr>
            <w:r>
              <w:t>950</w:t>
            </w:r>
          </w:p>
        </w:tc>
        <w:tc>
          <w:tcPr>
            <w:tcW w:w="682" w:type="pct"/>
            <w:tcBorders>
              <w:top w:val="nil"/>
              <w:left w:val="nil"/>
              <w:bottom w:val="single" w:sz="4" w:space="0" w:color="auto"/>
              <w:right w:val="single" w:sz="4" w:space="0" w:color="auto"/>
            </w:tcBorders>
            <w:shd w:val="clear" w:color="auto" w:fill="auto"/>
            <w:noWrap/>
            <w:hideMark/>
          </w:tcPr>
          <w:p w14:paraId="114EEEE2" w14:textId="40DFF875" w:rsidR="0084054F" w:rsidRPr="00A5007D" w:rsidRDefault="0084054F" w:rsidP="000D0B9B">
            <w:pPr>
              <w:pStyle w:val="Tabletext"/>
              <w:rPr>
                <w:lang w:eastAsia="en-AU"/>
              </w:rPr>
            </w:pPr>
            <w:r>
              <w:t>894</w:t>
            </w:r>
          </w:p>
        </w:tc>
        <w:tc>
          <w:tcPr>
            <w:tcW w:w="681" w:type="pct"/>
            <w:tcBorders>
              <w:top w:val="nil"/>
              <w:left w:val="nil"/>
              <w:bottom w:val="single" w:sz="4" w:space="0" w:color="auto"/>
              <w:right w:val="single" w:sz="4" w:space="0" w:color="auto"/>
            </w:tcBorders>
            <w:shd w:val="clear" w:color="auto" w:fill="auto"/>
            <w:noWrap/>
            <w:hideMark/>
          </w:tcPr>
          <w:p w14:paraId="1C2F1D62" w14:textId="4B843DEA" w:rsidR="0084054F" w:rsidRPr="00A5007D" w:rsidRDefault="0084054F" w:rsidP="000D0B9B">
            <w:pPr>
              <w:pStyle w:val="Tabletext"/>
              <w:rPr>
                <w:lang w:eastAsia="en-AU"/>
              </w:rPr>
            </w:pPr>
            <w:r>
              <w:t>868</w:t>
            </w:r>
          </w:p>
        </w:tc>
        <w:tc>
          <w:tcPr>
            <w:tcW w:w="681" w:type="pct"/>
            <w:tcBorders>
              <w:top w:val="nil"/>
              <w:left w:val="nil"/>
              <w:bottom w:val="single" w:sz="4" w:space="0" w:color="auto"/>
              <w:right w:val="single" w:sz="4" w:space="0" w:color="auto"/>
            </w:tcBorders>
            <w:shd w:val="clear" w:color="auto" w:fill="auto"/>
            <w:noWrap/>
            <w:hideMark/>
          </w:tcPr>
          <w:p w14:paraId="568704CD" w14:textId="06DDC121" w:rsidR="0084054F" w:rsidRPr="00A5007D" w:rsidRDefault="0084054F" w:rsidP="000D0B9B">
            <w:pPr>
              <w:pStyle w:val="Tabletext"/>
              <w:rPr>
                <w:lang w:eastAsia="en-AU"/>
              </w:rPr>
            </w:pPr>
            <w:r>
              <w:t>795</w:t>
            </w:r>
          </w:p>
        </w:tc>
        <w:tc>
          <w:tcPr>
            <w:tcW w:w="681" w:type="pct"/>
            <w:tcBorders>
              <w:top w:val="nil"/>
              <w:left w:val="nil"/>
              <w:bottom w:val="single" w:sz="4" w:space="0" w:color="auto"/>
              <w:right w:val="single" w:sz="4" w:space="0" w:color="auto"/>
            </w:tcBorders>
          </w:tcPr>
          <w:p w14:paraId="3CAF6AC6" w14:textId="0446C251" w:rsidR="0084054F" w:rsidRDefault="0084054F" w:rsidP="000D0B9B">
            <w:pPr>
              <w:pStyle w:val="Tabletext"/>
            </w:pPr>
            <w:r>
              <w:t>788</w:t>
            </w:r>
          </w:p>
        </w:tc>
      </w:tr>
      <w:tr w:rsidR="0084054F" w:rsidRPr="00A5007D" w14:paraId="16CD363C" w14:textId="6B934041" w:rsidTr="0084054F">
        <w:trPr>
          <w:trHeight w:val="300"/>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0FBF2C80" w14:textId="77777777" w:rsidR="0084054F" w:rsidRPr="00A5007D" w:rsidRDefault="0084054F" w:rsidP="000D0B9B">
            <w:pPr>
              <w:pStyle w:val="Tabletext"/>
              <w:rPr>
                <w:lang w:eastAsia="en-AU"/>
              </w:rPr>
            </w:pPr>
            <w:r w:rsidRPr="00A5007D">
              <w:rPr>
                <w:lang w:eastAsia="en-AU"/>
              </w:rPr>
              <w:t>2</w:t>
            </w:r>
          </w:p>
        </w:tc>
        <w:tc>
          <w:tcPr>
            <w:tcW w:w="682" w:type="pct"/>
            <w:tcBorders>
              <w:top w:val="nil"/>
              <w:left w:val="nil"/>
              <w:bottom w:val="single" w:sz="4" w:space="0" w:color="auto"/>
              <w:right w:val="single" w:sz="4" w:space="0" w:color="auto"/>
            </w:tcBorders>
            <w:shd w:val="clear" w:color="auto" w:fill="auto"/>
            <w:noWrap/>
            <w:hideMark/>
          </w:tcPr>
          <w:p w14:paraId="341ADAE8" w14:textId="7C314386" w:rsidR="0084054F" w:rsidRPr="00A5007D" w:rsidRDefault="0084054F" w:rsidP="000D0B9B">
            <w:pPr>
              <w:pStyle w:val="Tabletext"/>
              <w:rPr>
                <w:lang w:eastAsia="en-AU"/>
              </w:rPr>
            </w:pPr>
            <w:r>
              <w:t>260</w:t>
            </w:r>
          </w:p>
        </w:tc>
        <w:tc>
          <w:tcPr>
            <w:tcW w:w="682" w:type="pct"/>
            <w:tcBorders>
              <w:top w:val="nil"/>
              <w:left w:val="nil"/>
              <w:bottom w:val="single" w:sz="4" w:space="0" w:color="auto"/>
              <w:right w:val="single" w:sz="4" w:space="0" w:color="auto"/>
            </w:tcBorders>
            <w:shd w:val="clear" w:color="auto" w:fill="auto"/>
            <w:noWrap/>
            <w:hideMark/>
          </w:tcPr>
          <w:p w14:paraId="054CB6CC" w14:textId="3B754443" w:rsidR="0084054F" w:rsidRPr="00A5007D" w:rsidRDefault="0084054F" w:rsidP="000D0B9B">
            <w:pPr>
              <w:pStyle w:val="Tabletext"/>
              <w:rPr>
                <w:lang w:eastAsia="en-AU"/>
              </w:rPr>
            </w:pPr>
            <w:r>
              <w:t>258</w:t>
            </w:r>
          </w:p>
        </w:tc>
        <w:tc>
          <w:tcPr>
            <w:tcW w:w="682" w:type="pct"/>
            <w:tcBorders>
              <w:top w:val="nil"/>
              <w:left w:val="nil"/>
              <w:bottom w:val="single" w:sz="4" w:space="0" w:color="auto"/>
              <w:right w:val="single" w:sz="4" w:space="0" w:color="auto"/>
            </w:tcBorders>
            <w:shd w:val="clear" w:color="auto" w:fill="auto"/>
            <w:noWrap/>
            <w:hideMark/>
          </w:tcPr>
          <w:p w14:paraId="6B0D72A5" w14:textId="56F30957" w:rsidR="0084054F" w:rsidRPr="00A5007D" w:rsidRDefault="0084054F" w:rsidP="000D0B9B">
            <w:pPr>
              <w:pStyle w:val="Tabletext"/>
              <w:rPr>
                <w:lang w:eastAsia="en-AU"/>
              </w:rPr>
            </w:pPr>
            <w:r>
              <w:t>243</w:t>
            </w:r>
          </w:p>
        </w:tc>
        <w:tc>
          <w:tcPr>
            <w:tcW w:w="681" w:type="pct"/>
            <w:tcBorders>
              <w:top w:val="nil"/>
              <w:left w:val="nil"/>
              <w:bottom w:val="single" w:sz="4" w:space="0" w:color="auto"/>
              <w:right w:val="single" w:sz="4" w:space="0" w:color="auto"/>
            </w:tcBorders>
            <w:shd w:val="clear" w:color="auto" w:fill="auto"/>
            <w:noWrap/>
            <w:hideMark/>
          </w:tcPr>
          <w:p w14:paraId="7DF4092B" w14:textId="33865C68" w:rsidR="0084054F" w:rsidRPr="00A5007D" w:rsidRDefault="0084054F" w:rsidP="000D0B9B">
            <w:pPr>
              <w:pStyle w:val="Tabletext"/>
              <w:rPr>
                <w:lang w:eastAsia="en-AU"/>
              </w:rPr>
            </w:pPr>
            <w:r>
              <w:t>224</w:t>
            </w:r>
          </w:p>
        </w:tc>
        <w:tc>
          <w:tcPr>
            <w:tcW w:w="681" w:type="pct"/>
            <w:tcBorders>
              <w:top w:val="nil"/>
              <w:left w:val="nil"/>
              <w:bottom w:val="single" w:sz="4" w:space="0" w:color="auto"/>
              <w:right w:val="single" w:sz="4" w:space="0" w:color="auto"/>
            </w:tcBorders>
            <w:shd w:val="clear" w:color="auto" w:fill="auto"/>
            <w:noWrap/>
            <w:hideMark/>
          </w:tcPr>
          <w:p w14:paraId="16109FC0" w14:textId="77AAD0F0" w:rsidR="0084054F" w:rsidRPr="00A5007D" w:rsidRDefault="0084054F" w:rsidP="000D0B9B">
            <w:pPr>
              <w:pStyle w:val="Tabletext"/>
              <w:rPr>
                <w:lang w:eastAsia="en-AU"/>
              </w:rPr>
            </w:pPr>
            <w:r>
              <w:t>212</w:t>
            </w:r>
          </w:p>
        </w:tc>
        <w:tc>
          <w:tcPr>
            <w:tcW w:w="681" w:type="pct"/>
            <w:tcBorders>
              <w:top w:val="nil"/>
              <w:left w:val="nil"/>
              <w:bottom w:val="single" w:sz="4" w:space="0" w:color="auto"/>
              <w:right w:val="single" w:sz="4" w:space="0" w:color="auto"/>
            </w:tcBorders>
          </w:tcPr>
          <w:p w14:paraId="0B14EBB0" w14:textId="6F1E8AC2" w:rsidR="0084054F" w:rsidRDefault="0084054F" w:rsidP="000D0B9B">
            <w:pPr>
              <w:pStyle w:val="Tabletext"/>
            </w:pPr>
            <w:r>
              <w:t>205</w:t>
            </w:r>
          </w:p>
        </w:tc>
      </w:tr>
      <w:tr w:rsidR="0084054F" w:rsidRPr="00A5007D" w14:paraId="6EBC6434" w14:textId="43471181" w:rsidTr="0084054F">
        <w:trPr>
          <w:trHeight w:val="300"/>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59A65916" w14:textId="77777777" w:rsidR="0084054F" w:rsidRPr="00A5007D" w:rsidRDefault="0084054F" w:rsidP="000D0B9B">
            <w:pPr>
              <w:pStyle w:val="Tabletext"/>
              <w:rPr>
                <w:lang w:eastAsia="en-AU"/>
              </w:rPr>
            </w:pPr>
            <w:r w:rsidRPr="00A5007D">
              <w:rPr>
                <w:lang w:eastAsia="en-AU"/>
              </w:rPr>
              <w:t>3</w:t>
            </w:r>
          </w:p>
        </w:tc>
        <w:tc>
          <w:tcPr>
            <w:tcW w:w="682" w:type="pct"/>
            <w:tcBorders>
              <w:top w:val="nil"/>
              <w:left w:val="nil"/>
              <w:bottom w:val="single" w:sz="4" w:space="0" w:color="auto"/>
              <w:right w:val="single" w:sz="4" w:space="0" w:color="auto"/>
            </w:tcBorders>
            <w:shd w:val="clear" w:color="auto" w:fill="auto"/>
            <w:noWrap/>
            <w:hideMark/>
          </w:tcPr>
          <w:p w14:paraId="5DB49129" w14:textId="78BE4B8B" w:rsidR="0084054F" w:rsidRPr="00A5007D" w:rsidRDefault="0084054F" w:rsidP="000D0B9B">
            <w:pPr>
              <w:pStyle w:val="Tabletext"/>
              <w:rPr>
                <w:lang w:eastAsia="en-AU"/>
              </w:rPr>
            </w:pPr>
            <w:r>
              <w:t>118</w:t>
            </w:r>
          </w:p>
        </w:tc>
        <w:tc>
          <w:tcPr>
            <w:tcW w:w="682" w:type="pct"/>
            <w:tcBorders>
              <w:top w:val="nil"/>
              <w:left w:val="nil"/>
              <w:bottom w:val="single" w:sz="4" w:space="0" w:color="auto"/>
              <w:right w:val="single" w:sz="4" w:space="0" w:color="auto"/>
            </w:tcBorders>
            <w:shd w:val="clear" w:color="auto" w:fill="auto"/>
            <w:noWrap/>
            <w:hideMark/>
          </w:tcPr>
          <w:p w14:paraId="7331A882" w14:textId="37C66FEA" w:rsidR="0084054F" w:rsidRPr="00A5007D" w:rsidRDefault="0084054F" w:rsidP="000D0B9B">
            <w:pPr>
              <w:pStyle w:val="Tabletext"/>
              <w:rPr>
                <w:lang w:eastAsia="en-AU"/>
              </w:rPr>
            </w:pPr>
            <w:r>
              <w:t>96</w:t>
            </w:r>
          </w:p>
        </w:tc>
        <w:tc>
          <w:tcPr>
            <w:tcW w:w="682" w:type="pct"/>
            <w:tcBorders>
              <w:top w:val="nil"/>
              <w:left w:val="nil"/>
              <w:bottom w:val="single" w:sz="4" w:space="0" w:color="auto"/>
              <w:right w:val="single" w:sz="4" w:space="0" w:color="auto"/>
            </w:tcBorders>
            <w:shd w:val="clear" w:color="auto" w:fill="auto"/>
            <w:noWrap/>
            <w:hideMark/>
          </w:tcPr>
          <w:p w14:paraId="531A8287" w14:textId="30C185A8" w:rsidR="0084054F" w:rsidRPr="00A5007D" w:rsidRDefault="0084054F" w:rsidP="000D0B9B">
            <w:pPr>
              <w:pStyle w:val="Tabletext"/>
              <w:rPr>
                <w:lang w:eastAsia="en-AU"/>
              </w:rPr>
            </w:pPr>
            <w:r>
              <w:t>119</w:t>
            </w:r>
          </w:p>
        </w:tc>
        <w:tc>
          <w:tcPr>
            <w:tcW w:w="681" w:type="pct"/>
            <w:tcBorders>
              <w:top w:val="nil"/>
              <w:left w:val="nil"/>
              <w:bottom w:val="single" w:sz="4" w:space="0" w:color="auto"/>
              <w:right w:val="single" w:sz="4" w:space="0" w:color="auto"/>
            </w:tcBorders>
            <w:shd w:val="clear" w:color="auto" w:fill="auto"/>
            <w:noWrap/>
            <w:hideMark/>
          </w:tcPr>
          <w:p w14:paraId="3B0E6643" w14:textId="7D2A8D05" w:rsidR="0084054F" w:rsidRPr="00A5007D" w:rsidRDefault="0084054F" w:rsidP="000D0B9B">
            <w:pPr>
              <w:pStyle w:val="Tabletext"/>
              <w:rPr>
                <w:lang w:eastAsia="en-AU"/>
              </w:rPr>
            </w:pPr>
            <w:r>
              <w:t>101</w:t>
            </w:r>
          </w:p>
        </w:tc>
        <w:tc>
          <w:tcPr>
            <w:tcW w:w="681" w:type="pct"/>
            <w:tcBorders>
              <w:top w:val="nil"/>
              <w:left w:val="nil"/>
              <w:bottom w:val="single" w:sz="4" w:space="0" w:color="auto"/>
              <w:right w:val="single" w:sz="4" w:space="0" w:color="auto"/>
            </w:tcBorders>
            <w:shd w:val="clear" w:color="auto" w:fill="auto"/>
            <w:noWrap/>
            <w:hideMark/>
          </w:tcPr>
          <w:p w14:paraId="3275DD6D" w14:textId="5B67797F" w:rsidR="0084054F" w:rsidRPr="00A5007D" w:rsidRDefault="0084054F" w:rsidP="000D0B9B">
            <w:pPr>
              <w:pStyle w:val="Tabletext"/>
              <w:rPr>
                <w:lang w:eastAsia="en-AU"/>
              </w:rPr>
            </w:pPr>
            <w:r>
              <w:t>103</w:t>
            </w:r>
          </w:p>
        </w:tc>
        <w:tc>
          <w:tcPr>
            <w:tcW w:w="681" w:type="pct"/>
            <w:tcBorders>
              <w:top w:val="nil"/>
              <w:left w:val="nil"/>
              <w:bottom w:val="single" w:sz="4" w:space="0" w:color="auto"/>
              <w:right w:val="single" w:sz="4" w:space="0" w:color="auto"/>
            </w:tcBorders>
          </w:tcPr>
          <w:p w14:paraId="1877563C" w14:textId="2BACF4E0" w:rsidR="0084054F" w:rsidRDefault="0084054F" w:rsidP="000D0B9B">
            <w:pPr>
              <w:pStyle w:val="Tabletext"/>
            </w:pPr>
            <w:r>
              <w:t>100</w:t>
            </w:r>
          </w:p>
        </w:tc>
      </w:tr>
      <w:tr w:rsidR="0084054F" w:rsidRPr="00A5007D" w14:paraId="16083D5C" w14:textId="2E4CFE2D" w:rsidTr="0084054F">
        <w:trPr>
          <w:trHeight w:val="300"/>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4C5D1547" w14:textId="77777777" w:rsidR="0084054F" w:rsidRPr="00A5007D" w:rsidRDefault="0084054F" w:rsidP="000D0B9B">
            <w:pPr>
              <w:pStyle w:val="Tabletext"/>
              <w:rPr>
                <w:lang w:eastAsia="en-AU"/>
              </w:rPr>
            </w:pPr>
            <w:r w:rsidRPr="00A5007D">
              <w:rPr>
                <w:lang w:eastAsia="en-AU"/>
              </w:rPr>
              <w:t>4</w:t>
            </w:r>
          </w:p>
        </w:tc>
        <w:tc>
          <w:tcPr>
            <w:tcW w:w="682" w:type="pct"/>
            <w:tcBorders>
              <w:top w:val="nil"/>
              <w:left w:val="nil"/>
              <w:bottom w:val="single" w:sz="4" w:space="0" w:color="auto"/>
              <w:right w:val="single" w:sz="4" w:space="0" w:color="auto"/>
            </w:tcBorders>
            <w:shd w:val="clear" w:color="auto" w:fill="auto"/>
            <w:noWrap/>
            <w:hideMark/>
          </w:tcPr>
          <w:p w14:paraId="2A061E55" w14:textId="6184F389" w:rsidR="0084054F" w:rsidRPr="00A5007D" w:rsidRDefault="0084054F" w:rsidP="000D0B9B">
            <w:pPr>
              <w:pStyle w:val="Tabletext"/>
              <w:rPr>
                <w:lang w:eastAsia="en-AU"/>
              </w:rPr>
            </w:pPr>
            <w:r>
              <w:t>61</w:t>
            </w:r>
          </w:p>
        </w:tc>
        <w:tc>
          <w:tcPr>
            <w:tcW w:w="682" w:type="pct"/>
            <w:tcBorders>
              <w:top w:val="nil"/>
              <w:left w:val="nil"/>
              <w:bottom w:val="single" w:sz="4" w:space="0" w:color="auto"/>
              <w:right w:val="single" w:sz="4" w:space="0" w:color="auto"/>
            </w:tcBorders>
            <w:shd w:val="clear" w:color="auto" w:fill="auto"/>
            <w:noWrap/>
            <w:hideMark/>
          </w:tcPr>
          <w:p w14:paraId="47C67F0A" w14:textId="73DE1307" w:rsidR="0084054F" w:rsidRPr="00A5007D" w:rsidRDefault="0084054F" w:rsidP="000D0B9B">
            <w:pPr>
              <w:pStyle w:val="Tabletext"/>
              <w:rPr>
                <w:lang w:eastAsia="en-AU"/>
              </w:rPr>
            </w:pPr>
            <w:r>
              <w:t>54</w:t>
            </w:r>
          </w:p>
        </w:tc>
        <w:tc>
          <w:tcPr>
            <w:tcW w:w="682" w:type="pct"/>
            <w:tcBorders>
              <w:top w:val="nil"/>
              <w:left w:val="nil"/>
              <w:bottom w:val="single" w:sz="4" w:space="0" w:color="auto"/>
              <w:right w:val="single" w:sz="4" w:space="0" w:color="auto"/>
            </w:tcBorders>
            <w:shd w:val="clear" w:color="auto" w:fill="auto"/>
            <w:noWrap/>
            <w:hideMark/>
          </w:tcPr>
          <w:p w14:paraId="25048C82" w14:textId="1B98A45E" w:rsidR="0084054F" w:rsidRPr="00A5007D" w:rsidRDefault="0084054F" w:rsidP="000D0B9B">
            <w:pPr>
              <w:pStyle w:val="Tabletext"/>
              <w:rPr>
                <w:lang w:eastAsia="en-AU"/>
              </w:rPr>
            </w:pPr>
            <w:r>
              <w:t>53</w:t>
            </w:r>
          </w:p>
        </w:tc>
        <w:tc>
          <w:tcPr>
            <w:tcW w:w="681" w:type="pct"/>
            <w:tcBorders>
              <w:top w:val="nil"/>
              <w:left w:val="nil"/>
              <w:bottom w:val="single" w:sz="4" w:space="0" w:color="auto"/>
              <w:right w:val="single" w:sz="4" w:space="0" w:color="auto"/>
            </w:tcBorders>
            <w:shd w:val="clear" w:color="auto" w:fill="auto"/>
            <w:noWrap/>
            <w:hideMark/>
          </w:tcPr>
          <w:p w14:paraId="3A8F23F4" w14:textId="251B7AE1" w:rsidR="0084054F" w:rsidRPr="00A5007D" w:rsidRDefault="0084054F" w:rsidP="000D0B9B">
            <w:pPr>
              <w:pStyle w:val="Tabletext"/>
              <w:rPr>
                <w:lang w:eastAsia="en-AU"/>
              </w:rPr>
            </w:pPr>
            <w:r>
              <w:t>53</w:t>
            </w:r>
          </w:p>
        </w:tc>
        <w:tc>
          <w:tcPr>
            <w:tcW w:w="681" w:type="pct"/>
            <w:tcBorders>
              <w:top w:val="nil"/>
              <w:left w:val="nil"/>
              <w:bottom w:val="single" w:sz="4" w:space="0" w:color="auto"/>
              <w:right w:val="single" w:sz="4" w:space="0" w:color="auto"/>
            </w:tcBorders>
            <w:shd w:val="clear" w:color="auto" w:fill="auto"/>
            <w:noWrap/>
            <w:hideMark/>
          </w:tcPr>
          <w:p w14:paraId="2063217B" w14:textId="50AF5632" w:rsidR="0084054F" w:rsidRPr="00A5007D" w:rsidRDefault="0084054F" w:rsidP="000D0B9B">
            <w:pPr>
              <w:pStyle w:val="Tabletext"/>
              <w:rPr>
                <w:lang w:eastAsia="en-AU"/>
              </w:rPr>
            </w:pPr>
            <w:r>
              <w:t>61</w:t>
            </w:r>
          </w:p>
        </w:tc>
        <w:tc>
          <w:tcPr>
            <w:tcW w:w="681" w:type="pct"/>
            <w:tcBorders>
              <w:top w:val="nil"/>
              <w:left w:val="nil"/>
              <w:bottom w:val="single" w:sz="4" w:space="0" w:color="auto"/>
              <w:right w:val="single" w:sz="4" w:space="0" w:color="auto"/>
            </w:tcBorders>
          </w:tcPr>
          <w:p w14:paraId="5ABFD545" w14:textId="718A93FA" w:rsidR="0084054F" w:rsidRDefault="0084054F" w:rsidP="000D0B9B">
            <w:pPr>
              <w:pStyle w:val="Tabletext"/>
            </w:pPr>
            <w:r>
              <w:t>50</w:t>
            </w:r>
          </w:p>
        </w:tc>
      </w:tr>
      <w:tr w:rsidR="0084054F" w:rsidRPr="00A5007D" w14:paraId="79659AC7" w14:textId="5A98CA68" w:rsidTr="0084054F">
        <w:trPr>
          <w:trHeight w:val="300"/>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5526A572" w14:textId="77777777" w:rsidR="0084054F" w:rsidRPr="00A5007D" w:rsidRDefault="0084054F" w:rsidP="000D0B9B">
            <w:pPr>
              <w:pStyle w:val="Tabletext"/>
              <w:rPr>
                <w:lang w:eastAsia="en-AU"/>
              </w:rPr>
            </w:pPr>
            <w:r w:rsidRPr="00A5007D">
              <w:rPr>
                <w:lang w:eastAsia="en-AU"/>
              </w:rPr>
              <w:t>5</w:t>
            </w:r>
          </w:p>
        </w:tc>
        <w:tc>
          <w:tcPr>
            <w:tcW w:w="682" w:type="pct"/>
            <w:tcBorders>
              <w:top w:val="nil"/>
              <w:left w:val="nil"/>
              <w:bottom w:val="single" w:sz="4" w:space="0" w:color="auto"/>
              <w:right w:val="single" w:sz="4" w:space="0" w:color="auto"/>
            </w:tcBorders>
            <w:shd w:val="clear" w:color="auto" w:fill="auto"/>
            <w:noWrap/>
            <w:hideMark/>
          </w:tcPr>
          <w:p w14:paraId="46A5FB01" w14:textId="1AB4E5B0" w:rsidR="0084054F" w:rsidRPr="00A5007D" w:rsidRDefault="0084054F" w:rsidP="000D0B9B">
            <w:pPr>
              <w:pStyle w:val="Tabletext"/>
              <w:rPr>
                <w:lang w:eastAsia="en-AU"/>
              </w:rPr>
            </w:pPr>
            <w:r>
              <w:t>52</w:t>
            </w:r>
          </w:p>
        </w:tc>
        <w:tc>
          <w:tcPr>
            <w:tcW w:w="682" w:type="pct"/>
            <w:tcBorders>
              <w:top w:val="nil"/>
              <w:left w:val="nil"/>
              <w:bottom w:val="single" w:sz="4" w:space="0" w:color="auto"/>
              <w:right w:val="single" w:sz="4" w:space="0" w:color="auto"/>
            </w:tcBorders>
            <w:shd w:val="clear" w:color="auto" w:fill="auto"/>
            <w:noWrap/>
            <w:hideMark/>
          </w:tcPr>
          <w:p w14:paraId="689B211D" w14:textId="28C5BF50" w:rsidR="0084054F" w:rsidRPr="00A5007D" w:rsidRDefault="0084054F" w:rsidP="000D0B9B">
            <w:pPr>
              <w:pStyle w:val="Tabletext"/>
              <w:rPr>
                <w:lang w:eastAsia="en-AU"/>
              </w:rPr>
            </w:pPr>
            <w:r>
              <w:t>35</w:t>
            </w:r>
          </w:p>
        </w:tc>
        <w:tc>
          <w:tcPr>
            <w:tcW w:w="682" w:type="pct"/>
            <w:tcBorders>
              <w:top w:val="nil"/>
              <w:left w:val="nil"/>
              <w:bottom w:val="single" w:sz="4" w:space="0" w:color="auto"/>
              <w:right w:val="single" w:sz="4" w:space="0" w:color="auto"/>
            </w:tcBorders>
            <w:shd w:val="clear" w:color="auto" w:fill="auto"/>
            <w:noWrap/>
            <w:hideMark/>
          </w:tcPr>
          <w:p w14:paraId="225247E1" w14:textId="257E61BF" w:rsidR="0084054F" w:rsidRPr="00A5007D" w:rsidRDefault="0084054F" w:rsidP="000D0B9B">
            <w:pPr>
              <w:pStyle w:val="Tabletext"/>
              <w:rPr>
                <w:lang w:eastAsia="en-AU"/>
              </w:rPr>
            </w:pPr>
            <w:r>
              <w:t>30</w:t>
            </w:r>
          </w:p>
        </w:tc>
        <w:tc>
          <w:tcPr>
            <w:tcW w:w="681" w:type="pct"/>
            <w:tcBorders>
              <w:top w:val="nil"/>
              <w:left w:val="nil"/>
              <w:bottom w:val="single" w:sz="4" w:space="0" w:color="auto"/>
              <w:right w:val="single" w:sz="4" w:space="0" w:color="auto"/>
            </w:tcBorders>
            <w:shd w:val="clear" w:color="auto" w:fill="auto"/>
            <w:noWrap/>
            <w:hideMark/>
          </w:tcPr>
          <w:p w14:paraId="499C3D42" w14:textId="3BCBB993" w:rsidR="0084054F" w:rsidRPr="00A5007D" w:rsidRDefault="0084054F" w:rsidP="000D0B9B">
            <w:pPr>
              <w:pStyle w:val="Tabletext"/>
              <w:rPr>
                <w:lang w:eastAsia="en-AU"/>
              </w:rPr>
            </w:pPr>
            <w:r>
              <w:t>29</w:t>
            </w:r>
          </w:p>
        </w:tc>
        <w:tc>
          <w:tcPr>
            <w:tcW w:w="681" w:type="pct"/>
            <w:tcBorders>
              <w:top w:val="nil"/>
              <w:left w:val="nil"/>
              <w:bottom w:val="single" w:sz="4" w:space="0" w:color="auto"/>
              <w:right w:val="single" w:sz="4" w:space="0" w:color="auto"/>
            </w:tcBorders>
            <w:shd w:val="clear" w:color="auto" w:fill="auto"/>
            <w:noWrap/>
            <w:hideMark/>
          </w:tcPr>
          <w:p w14:paraId="09E6E180" w14:textId="037DB38C" w:rsidR="0084054F" w:rsidRPr="00A5007D" w:rsidRDefault="0084054F" w:rsidP="000D0B9B">
            <w:pPr>
              <w:pStyle w:val="Tabletext"/>
              <w:rPr>
                <w:lang w:eastAsia="en-AU"/>
              </w:rPr>
            </w:pPr>
            <w:r>
              <w:t>34</w:t>
            </w:r>
          </w:p>
        </w:tc>
        <w:tc>
          <w:tcPr>
            <w:tcW w:w="681" w:type="pct"/>
            <w:tcBorders>
              <w:top w:val="nil"/>
              <w:left w:val="nil"/>
              <w:bottom w:val="single" w:sz="4" w:space="0" w:color="auto"/>
              <w:right w:val="single" w:sz="4" w:space="0" w:color="auto"/>
            </w:tcBorders>
          </w:tcPr>
          <w:p w14:paraId="3299E6FA" w14:textId="085DB6FD" w:rsidR="0084054F" w:rsidRDefault="0084054F" w:rsidP="000D0B9B">
            <w:pPr>
              <w:pStyle w:val="Tabletext"/>
            </w:pPr>
            <w:r>
              <w:t>31</w:t>
            </w:r>
          </w:p>
        </w:tc>
      </w:tr>
      <w:tr w:rsidR="0084054F" w:rsidRPr="00A5007D" w14:paraId="57B41008" w14:textId="64F4D57E" w:rsidTr="0084054F">
        <w:trPr>
          <w:trHeight w:val="300"/>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49EFB5BC" w14:textId="77777777" w:rsidR="0084054F" w:rsidRPr="00A5007D" w:rsidRDefault="0084054F" w:rsidP="000D0B9B">
            <w:pPr>
              <w:pStyle w:val="Tabletext"/>
              <w:rPr>
                <w:lang w:eastAsia="en-AU"/>
              </w:rPr>
            </w:pPr>
            <w:r w:rsidRPr="00A5007D">
              <w:rPr>
                <w:lang w:eastAsia="en-AU"/>
              </w:rPr>
              <w:t>6</w:t>
            </w:r>
          </w:p>
        </w:tc>
        <w:tc>
          <w:tcPr>
            <w:tcW w:w="682" w:type="pct"/>
            <w:tcBorders>
              <w:top w:val="nil"/>
              <w:left w:val="nil"/>
              <w:bottom w:val="single" w:sz="4" w:space="0" w:color="auto"/>
              <w:right w:val="single" w:sz="4" w:space="0" w:color="auto"/>
            </w:tcBorders>
            <w:shd w:val="clear" w:color="auto" w:fill="auto"/>
            <w:noWrap/>
            <w:hideMark/>
          </w:tcPr>
          <w:p w14:paraId="0C1BC770" w14:textId="097F84FF" w:rsidR="0084054F" w:rsidRPr="00A5007D" w:rsidRDefault="0084054F" w:rsidP="000D0B9B">
            <w:pPr>
              <w:pStyle w:val="Tabletext"/>
              <w:rPr>
                <w:lang w:eastAsia="en-AU"/>
              </w:rPr>
            </w:pPr>
            <w:r>
              <w:t>20</w:t>
            </w:r>
          </w:p>
        </w:tc>
        <w:tc>
          <w:tcPr>
            <w:tcW w:w="682" w:type="pct"/>
            <w:tcBorders>
              <w:top w:val="nil"/>
              <w:left w:val="nil"/>
              <w:bottom w:val="single" w:sz="4" w:space="0" w:color="auto"/>
              <w:right w:val="single" w:sz="4" w:space="0" w:color="auto"/>
            </w:tcBorders>
            <w:shd w:val="clear" w:color="auto" w:fill="auto"/>
            <w:noWrap/>
            <w:hideMark/>
          </w:tcPr>
          <w:p w14:paraId="20BEDADF" w14:textId="205D7607" w:rsidR="0084054F" w:rsidRPr="00A5007D" w:rsidRDefault="0084054F" w:rsidP="000D0B9B">
            <w:pPr>
              <w:pStyle w:val="Tabletext"/>
              <w:rPr>
                <w:lang w:eastAsia="en-AU"/>
              </w:rPr>
            </w:pPr>
            <w:r>
              <w:t>28</w:t>
            </w:r>
          </w:p>
        </w:tc>
        <w:tc>
          <w:tcPr>
            <w:tcW w:w="682" w:type="pct"/>
            <w:tcBorders>
              <w:top w:val="nil"/>
              <w:left w:val="nil"/>
              <w:bottom w:val="single" w:sz="4" w:space="0" w:color="auto"/>
              <w:right w:val="single" w:sz="4" w:space="0" w:color="auto"/>
            </w:tcBorders>
            <w:shd w:val="clear" w:color="auto" w:fill="auto"/>
            <w:noWrap/>
            <w:hideMark/>
          </w:tcPr>
          <w:p w14:paraId="54DF65EA" w14:textId="71C900E9" w:rsidR="0084054F" w:rsidRPr="00A5007D" w:rsidRDefault="0084054F" w:rsidP="000D0B9B">
            <w:pPr>
              <w:pStyle w:val="Tabletext"/>
              <w:rPr>
                <w:lang w:eastAsia="en-AU"/>
              </w:rPr>
            </w:pPr>
            <w:r>
              <w:t>23</w:t>
            </w:r>
          </w:p>
        </w:tc>
        <w:tc>
          <w:tcPr>
            <w:tcW w:w="681" w:type="pct"/>
            <w:tcBorders>
              <w:top w:val="nil"/>
              <w:left w:val="nil"/>
              <w:bottom w:val="single" w:sz="4" w:space="0" w:color="auto"/>
              <w:right w:val="single" w:sz="4" w:space="0" w:color="auto"/>
            </w:tcBorders>
            <w:shd w:val="clear" w:color="auto" w:fill="auto"/>
            <w:noWrap/>
            <w:hideMark/>
          </w:tcPr>
          <w:p w14:paraId="1955B819" w14:textId="52286F57" w:rsidR="0084054F" w:rsidRPr="00A5007D" w:rsidRDefault="0084054F" w:rsidP="000D0B9B">
            <w:pPr>
              <w:pStyle w:val="Tabletext"/>
              <w:rPr>
                <w:lang w:eastAsia="en-AU"/>
              </w:rPr>
            </w:pPr>
            <w:r>
              <w:t>16</w:t>
            </w:r>
          </w:p>
        </w:tc>
        <w:tc>
          <w:tcPr>
            <w:tcW w:w="681" w:type="pct"/>
            <w:tcBorders>
              <w:top w:val="nil"/>
              <w:left w:val="nil"/>
              <w:bottom w:val="single" w:sz="4" w:space="0" w:color="auto"/>
              <w:right w:val="single" w:sz="4" w:space="0" w:color="auto"/>
            </w:tcBorders>
            <w:shd w:val="clear" w:color="auto" w:fill="auto"/>
            <w:noWrap/>
            <w:hideMark/>
          </w:tcPr>
          <w:p w14:paraId="088454C0" w14:textId="7859A00A" w:rsidR="0084054F" w:rsidRPr="00A5007D" w:rsidRDefault="0084054F" w:rsidP="000D0B9B">
            <w:pPr>
              <w:pStyle w:val="Tabletext"/>
              <w:rPr>
                <w:lang w:eastAsia="en-AU"/>
              </w:rPr>
            </w:pPr>
            <w:r>
              <w:t>20</w:t>
            </w:r>
          </w:p>
        </w:tc>
        <w:tc>
          <w:tcPr>
            <w:tcW w:w="681" w:type="pct"/>
            <w:tcBorders>
              <w:top w:val="nil"/>
              <w:left w:val="nil"/>
              <w:bottom w:val="single" w:sz="4" w:space="0" w:color="auto"/>
              <w:right w:val="single" w:sz="4" w:space="0" w:color="auto"/>
            </w:tcBorders>
          </w:tcPr>
          <w:p w14:paraId="1FAF2EAC" w14:textId="215D9832" w:rsidR="0084054F" w:rsidRDefault="0084054F" w:rsidP="000D0B9B">
            <w:pPr>
              <w:pStyle w:val="Tabletext"/>
            </w:pPr>
            <w:r>
              <w:t>22</w:t>
            </w:r>
          </w:p>
        </w:tc>
      </w:tr>
      <w:tr w:rsidR="0084054F" w:rsidRPr="00A5007D" w14:paraId="163764DE" w14:textId="4F31F388" w:rsidTr="0084054F">
        <w:trPr>
          <w:trHeight w:val="300"/>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31D7EB48" w14:textId="77777777" w:rsidR="0084054F" w:rsidRPr="00A5007D" w:rsidRDefault="0084054F" w:rsidP="000D0B9B">
            <w:pPr>
              <w:pStyle w:val="Tabletext"/>
              <w:rPr>
                <w:lang w:eastAsia="en-AU"/>
              </w:rPr>
            </w:pPr>
            <w:r w:rsidRPr="00A5007D">
              <w:rPr>
                <w:lang w:eastAsia="en-AU"/>
              </w:rPr>
              <w:t>7+</w:t>
            </w:r>
          </w:p>
        </w:tc>
        <w:tc>
          <w:tcPr>
            <w:tcW w:w="682" w:type="pct"/>
            <w:tcBorders>
              <w:top w:val="nil"/>
              <w:left w:val="nil"/>
              <w:bottom w:val="single" w:sz="4" w:space="0" w:color="auto"/>
              <w:right w:val="single" w:sz="4" w:space="0" w:color="auto"/>
            </w:tcBorders>
            <w:shd w:val="clear" w:color="auto" w:fill="auto"/>
            <w:noWrap/>
            <w:hideMark/>
          </w:tcPr>
          <w:p w14:paraId="436A03F8" w14:textId="25F6B8EC" w:rsidR="0084054F" w:rsidRPr="00A5007D" w:rsidRDefault="0084054F" w:rsidP="000D0B9B">
            <w:pPr>
              <w:pStyle w:val="Tabletext"/>
              <w:rPr>
                <w:lang w:eastAsia="en-AU"/>
              </w:rPr>
            </w:pPr>
            <w:r>
              <w:t>76</w:t>
            </w:r>
          </w:p>
        </w:tc>
        <w:tc>
          <w:tcPr>
            <w:tcW w:w="682" w:type="pct"/>
            <w:tcBorders>
              <w:top w:val="nil"/>
              <w:left w:val="nil"/>
              <w:bottom w:val="single" w:sz="4" w:space="0" w:color="auto"/>
              <w:right w:val="single" w:sz="4" w:space="0" w:color="auto"/>
            </w:tcBorders>
            <w:shd w:val="clear" w:color="auto" w:fill="auto"/>
            <w:noWrap/>
            <w:hideMark/>
          </w:tcPr>
          <w:p w14:paraId="552720A0" w14:textId="5E0966F9" w:rsidR="0084054F" w:rsidRPr="00A5007D" w:rsidRDefault="0084054F" w:rsidP="000D0B9B">
            <w:pPr>
              <w:pStyle w:val="Tabletext"/>
              <w:rPr>
                <w:lang w:eastAsia="en-AU"/>
              </w:rPr>
            </w:pPr>
            <w:r>
              <w:t>77</w:t>
            </w:r>
          </w:p>
        </w:tc>
        <w:tc>
          <w:tcPr>
            <w:tcW w:w="682" w:type="pct"/>
            <w:tcBorders>
              <w:top w:val="nil"/>
              <w:left w:val="nil"/>
              <w:bottom w:val="single" w:sz="4" w:space="0" w:color="auto"/>
              <w:right w:val="single" w:sz="4" w:space="0" w:color="auto"/>
            </w:tcBorders>
            <w:shd w:val="clear" w:color="auto" w:fill="auto"/>
            <w:noWrap/>
            <w:hideMark/>
          </w:tcPr>
          <w:p w14:paraId="591B8AAB" w14:textId="5025374C" w:rsidR="0084054F" w:rsidRPr="00A5007D" w:rsidRDefault="0084054F" w:rsidP="000D0B9B">
            <w:pPr>
              <w:pStyle w:val="Tabletext"/>
              <w:rPr>
                <w:lang w:eastAsia="en-AU"/>
              </w:rPr>
            </w:pPr>
            <w:r>
              <w:t>70</w:t>
            </w:r>
          </w:p>
        </w:tc>
        <w:tc>
          <w:tcPr>
            <w:tcW w:w="681" w:type="pct"/>
            <w:tcBorders>
              <w:top w:val="nil"/>
              <w:left w:val="nil"/>
              <w:bottom w:val="single" w:sz="4" w:space="0" w:color="auto"/>
              <w:right w:val="single" w:sz="4" w:space="0" w:color="auto"/>
            </w:tcBorders>
            <w:shd w:val="clear" w:color="auto" w:fill="auto"/>
            <w:noWrap/>
            <w:hideMark/>
          </w:tcPr>
          <w:p w14:paraId="10A39538" w14:textId="7A3AF78D" w:rsidR="0084054F" w:rsidRPr="00A5007D" w:rsidRDefault="0084054F" w:rsidP="000D0B9B">
            <w:pPr>
              <w:pStyle w:val="Tabletext"/>
              <w:rPr>
                <w:lang w:eastAsia="en-AU"/>
              </w:rPr>
            </w:pPr>
            <w:r>
              <w:t>64</w:t>
            </w:r>
          </w:p>
        </w:tc>
        <w:tc>
          <w:tcPr>
            <w:tcW w:w="681" w:type="pct"/>
            <w:tcBorders>
              <w:top w:val="nil"/>
              <w:left w:val="nil"/>
              <w:bottom w:val="single" w:sz="4" w:space="0" w:color="auto"/>
              <w:right w:val="single" w:sz="4" w:space="0" w:color="auto"/>
            </w:tcBorders>
            <w:shd w:val="clear" w:color="auto" w:fill="auto"/>
            <w:noWrap/>
            <w:hideMark/>
          </w:tcPr>
          <w:p w14:paraId="6EA049AD" w14:textId="51385188" w:rsidR="0084054F" w:rsidRPr="00A5007D" w:rsidRDefault="0084054F" w:rsidP="000D0B9B">
            <w:pPr>
              <w:pStyle w:val="Tabletext"/>
              <w:rPr>
                <w:lang w:eastAsia="en-AU"/>
              </w:rPr>
            </w:pPr>
            <w:r>
              <w:t>85</w:t>
            </w:r>
          </w:p>
        </w:tc>
        <w:tc>
          <w:tcPr>
            <w:tcW w:w="681" w:type="pct"/>
            <w:tcBorders>
              <w:top w:val="nil"/>
              <w:left w:val="nil"/>
              <w:bottom w:val="single" w:sz="4" w:space="0" w:color="auto"/>
              <w:right w:val="single" w:sz="4" w:space="0" w:color="auto"/>
            </w:tcBorders>
          </w:tcPr>
          <w:p w14:paraId="4A5895CD" w14:textId="789CC1CB" w:rsidR="0084054F" w:rsidRDefault="0084054F" w:rsidP="000D0B9B">
            <w:pPr>
              <w:pStyle w:val="Tabletext"/>
            </w:pPr>
            <w:r>
              <w:t>81</w:t>
            </w:r>
          </w:p>
        </w:tc>
      </w:tr>
    </w:tbl>
    <w:p w14:paraId="5CE2E40E" w14:textId="4839BDE9" w:rsidR="00381B2F" w:rsidRDefault="00381B2F" w:rsidP="00643556">
      <w:pPr>
        <w:pStyle w:val="Bodyaftertable"/>
      </w:pPr>
      <w:r>
        <w:lastRenderedPageBreak/>
        <w:t>In 20</w:t>
      </w:r>
      <w:r w:rsidR="00114C81">
        <w:t>20</w:t>
      </w:r>
      <w:r>
        <w:t>–2</w:t>
      </w:r>
      <w:r w:rsidR="00114C81">
        <w:t xml:space="preserve">1 close to </w:t>
      </w:r>
      <w:r>
        <w:t xml:space="preserve">half of all episodes of seclusion lasted for four or fewer hours, consistent with most previous years (Table </w:t>
      </w:r>
      <w:r w:rsidR="716F1433">
        <w:t>1</w:t>
      </w:r>
      <w:r w:rsidR="00CC7406">
        <w:t>4</w:t>
      </w:r>
      <w:r>
        <w:t>).</w:t>
      </w:r>
    </w:p>
    <w:p w14:paraId="0753E593" w14:textId="22AE2F05" w:rsidR="00381B2F" w:rsidRDefault="00381B2F" w:rsidP="000D0B9B">
      <w:pPr>
        <w:pStyle w:val="Tablecaption"/>
      </w:pPr>
      <w:r w:rsidRPr="64F2407C">
        <w:t xml:space="preserve">Table </w:t>
      </w:r>
      <w:r w:rsidR="5DB90F76">
        <w:t>1</w:t>
      </w:r>
      <w:r w:rsidR="00CC7406">
        <w:t>4</w:t>
      </w:r>
      <w:r w:rsidRPr="64F2407C">
        <w:t xml:space="preserve">: Duration (hours) of acute inpatient seclusion episodes, 2015–16 to </w:t>
      </w:r>
      <w:r w:rsidR="007B2175">
        <w:t>2020–21</w:t>
      </w:r>
    </w:p>
    <w:tbl>
      <w:tblPr>
        <w:tblW w:w="5000" w:type="pct"/>
        <w:tblLook w:val="04A0" w:firstRow="1" w:lastRow="0" w:firstColumn="1" w:lastColumn="0" w:noHBand="0" w:noVBand="1"/>
      </w:tblPr>
      <w:tblGrid>
        <w:gridCol w:w="1690"/>
        <w:gridCol w:w="1267"/>
        <w:gridCol w:w="1267"/>
        <w:gridCol w:w="1267"/>
        <w:gridCol w:w="1267"/>
        <w:gridCol w:w="1267"/>
        <w:gridCol w:w="1263"/>
      </w:tblGrid>
      <w:tr w:rsidR="0084054F" w:rsidRPr="008373BE" w14:paraId="6FA964AD" w14:textId="4D0708D2" w:rsidTr="008B4B58">
        <w:trPr>
          <w:trHeight w:val="300"/>
          <w:tblHeader/>
        </w:trPr>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AE33D" w14:textId="54EFA7AB" w:rsidR="0084054F" w:rsidRPr="008373BE" w:rsidRDefault="0084054F" w:rsidP="000D0B9B">
            <w:pPr>
              <w:pStyle w:val="Tablecolhead"/>
              <w:rPr>
                <w:lang w:eastAsia="en-AU"/>
              </w:rPr>
            </w:pPr>
            <w:r w:rsidRPr="008373BE">
              <w:rPr>
                <w:lang w:eastAsia="en-AU"/>
              </w:rPr>
              <w:t> </w:t>
            </w:r>
            <w:r>
              <w:rPr>
                <w:lang w:eastAsia="en-AU"/>
              </w:rPr>
              <w:t>Period</w:t>
            </w:r>
          </w:p>
        </w:tc>
        <w:tc>
          <w:tcPr>
            <w:tcW w:w="682" w:type="pct"/>
            <w:tcBorders>
              <w:top w:val="single" w:sz="4" w:space="0" w:color="auto"/>
              <w:left w:val="nil"/>
              <w:bottom w:val="single" w:sz="4" w:space="0" w:color="auto"/>
              <w:right w:val="single" w:sz="4" w:space="0" w:color="auto"/>
            </w:tcBorders>
            <w:shd w:val="clear" w:color="auto" w:fill="auto"/>
            <w:noWrap/>
            <w:vAlign w:val="bottom"/>
            <w:hideMark/>
          </w:tcPr>
          <w:p w14:paraId="447C6929" w14:textId="02A1809F" w:rsidR="0084054F" w:rsidRPr="008373BE" w:rsidRDefault="0084054F" w:rsidP="000D0B9B">
            <w:pPr>
              <w:pStyle w:val="Tablecolhead"/>
              <w:rPr>
                <w:lang w:eastAsia="en-AU"/>
              </w:rPr>
            </w:pPr>
            <w:r w:rsidRPr="008373BE">
              <w:rPr>
                <w:lang w:eastAsia="en-AU"/>
              </w:rPr>
              <w:t>2015</w:t>
            </w:r>
            <w:r>
              <w:rPr>
                <w:lang w:eastAsia="en-AU"/>
              </w:rPr>
              <w:t>–1</w:t>
            </w:r>
            <w:r w:rsidRPr="008373BE">
              <w:rPr>
                <w:lang w:eastAsia="en-AU"/>
              </w:rPr>
              <w:t>6</w:t>
            </w:r>
          </w:p>
        </w:tc>
        <w:tc>
          <w:tcPr>
            <w:tcW w:w="682" w:type="pct"/>
            <w:tcBorders>
              <w:top w:val="single" w:sz="4" w:space="0" w:color="auto"/>
              <w:left w:val="nil"/>
              <w:bottom w:val="single" w:sz="4" w:space="0" w:color="auto"/>
              <w:right w:val="single" w:sz="4" w:space="0" w:color="auto"/>
            </w:tcBorders>
            <w:shd w:val="clear" w:color="auto" w:fill="auto"/>
            <w:noWrap/>
            <w:vAlign w:val="bottom"/>
            <w:hideMark/>
          </w:tcPr>
          <w:p w14:paraId="73DB271A" w14:textId="2EFA891D" w:rsidR="0084054F" w:rsidRPr="008373BE" w:rsidRDefault="0084054F" w:rsidP="000D0B9B">
            <w:pPr>
              <w:pStyle w:val="Tablecolhead"/>
              <w:rPr>
                <w:lang w:eastAsia="en-AU"/>
              </w:rPr>
            </w:pPr>
            <w:r w:rsidRPr="008373BE">
              <w:rPr>
                <w:lang w:eastAsia="en-AU"/>
              </w:rPr>
              <w:t>2016</w:t>
            </w:r>
            <w:r>
              <w:rPr>
                <w:lang w:eastAsia="en-AU"/>
              </w:rPr>
              <w:t>–1</w:t>
            </w:r>
            <w:r w:rsidRPr="008373BE">
              <w:rPr>
                <w:lang w:eastAsia="en-AU"/>
              </w:rPr>
              <w:t>7</w:t>
            </w:r>
          </w:p>
        </w:tc>
        <w:tc>
          <w:tcPr>
            <w:tcW w:w="682" w:type="pct"/>
            <w:tcBorders>
              <w:top w:val="single" w:sz="4" w:space="0" w:color="auto"/>
              <w:left w:val="nil"/>
              <w:bottom w:val="single" w:sz="4" w:space="0" w:color="auto"/>
              <w:right w:val="single" w:sz="4" w:space="0" w:color="auto"/>
            </w:tcBorders>
            <w:shd w:val="clear" w:color="auto" w:fill="auto"/>
            <w:noWrap/>
            <w:vAlign w:val="bottom"/>
            <w:hideMark/>
          </w:tcPr>
          <w:p w14:paraId="39780F26" w14:textId="0B8A1724" w:rsidR="0084054F" w:rsidRPr="008373BE" w:rsidRDefault="0084054F" w:rsidP="000D0B9B">
            <w:pPr>
              <w:pStyle w:val="Tablecolhead"/>
              <w:rPr>
                <w:lang w:eastAsia="en-AU"/>
              </w:rPr>
            </w:pPr>
            <w:r w:rsidRPr="008373BE">
              <w:rPr>
                <w:lang w:eastAsia="en-AU"/>
              </w:rPr>
              <w:t>2017</w:t>
            </w:r>
            <w:r>
              <w:rPr>
                <w:lang w:eastAsia="en-AU"/>
              </w:rPr>
              <w:t>–1</w:t>
            </w:r>
            <w:r w:rsidRPr="008373BE">
              <w:rPr>
                <w:lang w:eastAsia="en-AU"/>
              </w:rPr>
              <w:t>8</w:t>
            </w:r>
          </w:p>
        </w:tc>
        <w:tc>
          <w:tcPr>
            <w:tcW w:w="682" w:type="pct"/>
            <w:tcBorders>
              <w:top w:val="single" w:sz="4" w:space="0" w:color="auto"/>
              <w:left w:val="nil"/>
              <w:bottom w:val="single" w:sz="4" w:space="0" w:color="auto"/>
              <w:right w:val="single" w:sz="4" w:space="0" w:color="auto"/>
            </w:tcBorders>
            <w:shd w:val="clear" w:color="auto" w:fill="auto"/>
            <w:noWrap/>
            <w:vAlign w:val="bottom"/>
            <w:hideMark/>
          </w:tcPr>
          <w:p w14:paraId="4DEA04A3" w14:textId="4C0ABBFD" w:rsidR="0084054F" w:rsidRPr="008373BE" w:rsidRDefault="0084054F" w:rsidP="000D0B9B">
            <w:pPr>
              <w:pStyle w:val="Tablecolhead"/>
              <w:rPr>
                <w:lang w:eastAsia="en-AU"/>
              </w:rPr>
            </w:pPr>
            <w:r w:rsidRPr="008373BE">
              <w:rPr>
                <w:lang w:eastAsia="en-AU"/>
              </w:rPr>
              <w:t>2018</w:t>
            </w:r>
            <w:r>
              <w:rPr>
                <w:lang w:eastAsia="en-AU"/>
              </w:rPr>
              <w:t>–1</w:t>
            </w:r>
            <w:r w:rsidRPr="008373BE">
              <w:rPr>
                <w:lang w:eastAsia="en-AU"/>
              </w:rPr>
              <w:t>9</w:t>
            </w:r>
          </w:p>
        </w:tc>
        <w:tc>
          <w:tcPr>
            <w:tcW w:w="682" w:type="pct"/>
            <w:tcBorders>
              <w:top w:val="single" w:sz="4" w:space="0" w:color="auto"/>
              <w:left w:val="nil"/>
              <w:bottom w:val="single" w:sz="4" w:space="0" w:color="auto"/>
              <w:right w:val="single" w:sz="4" w:space="0" w:color="auto"/>
            </w:tcBorders>
            <w:shd w:val="clear" w:color="auto" w:fill="auto"/>
            <w:noWrap/>
            <w:vAlign w:val="bottom"/>
            <w:hideMark/>
          </w:tcPr>
          <w:p w14:paraId="25C0C745" w14:textId="26F024C5" w:rsidR="0084054F" w:rsidRPr="008373BE" w:rsidRDefault="0084054F" w:rsidP="000D0B9B">
            <w:pPr>
              <w:pStyle w:val="Tablecolhead"/>
              <w:rPr>
                <w:lang w:eastAsia="en-AU"/>
              </w:rPr>
            </w:pPr>
            <w:r w:rsidRPr="008373BE">
              <w:rPr>
                <w:lang w:eastAsia="en-AU"/>
              </w:rPr>
              <w:t>2019</w:t>
            </w:r>
            <w:r>
              <w:rPr>
                <w:lang w:eastAsia="en-AU"/>
              </w:rPr>
              <w:t>–2</w:t>
            </w:r>
            <w:r w:rsidRPr="008373BE">
              <w:rPr>
                <w:lang w:eastAsia="en-AU"/>
              </w:rPr>
              <w:t>0</w:t>
            </w:r>
          </w:p>
        </w:tc>
        <w:tc>
          <w:tcPr>
            <w:tcW w:w="682" w:type="pct"/>
            <w:tcBorders>
              <w:top w:val="single" w:sz="4" w:space="0" w:color="auto"/>
              <w:left w:val="nil"/>
              <w:bottom w:val="single" w:sz="4" w:space="0" w:color="auto"/>
              <w:right w:val="single" w:sz="4" w:space="0" w:color="auto"/>
            </w:tcBorders>
          </w:tcPr>
          <w:p w14:paraId="21EA3735" w14:textId="4B64C91E" w:rsidR="0084054F" w:rsidRPr="008373BE" w:rsidRDefault="007B2175" w:rsidP="000D0B9B">
            <w:pPr>
              <w:pStyle w:val="Tablecolhead"/>
              <w:rPr>
                <w:lang w:eastAsia="en-AU"/>
              </w:rPr>
            </w:pPr>
            <w:r>
              <w:rPr>
                <w:lang w:eastAsia="en-AU"/>
              </w:rPr>
              <w:t>2020–21</w:t>
            </w:r>
          </w:p>
        </w:tc>
      </w:tr>
      <w:tr w:rsidR="000B659C" w:rsidRPr="008373BE" w14:paraId="755EF32A" w14:textId="71BCEE56" w:rsidTr="008B4B58">
        <w:trPr>
          <w:trHeight w:val="30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0882D0B" w14:textId="07073F17" w:rsidR="000B659C" w:rsidRPr="008373BE" w:rsidRDefault="000B659C" w:rsidP="000D0B9B">
            <w:pPr>
              <w:pStyle w:val="Tabletext"/>
              <w:rPr>
                <w:lang w:eastAsia="en-AU"/>
              </w:rPr>
            </w:pPr>
            <w:r>
              <w:rPr>
                <w:lang w:eastAsia="en-AU"/>
              </w:rPr>
              <w:t xml:space="preserve">≤ </w:t>
            </w:r>
            <w:r w:rsidRPr="008373BE">
              <w:rPr>
                <w:lang w:eastAsia="en-AU"/>
              </w:rPr>
              <w:t>4 hours</w:t>
            </w:r>
          </w:p>
        </w:tc>
        <w:tc>
          <w:tcPr>
            <w:tcW w:w="682" w:type="pct"/>
            <w:tcBorders>
              <w:top w:val="nil"/>
              <w:left w:val="nil"/>
              <w:bottom w:val="single" w:sz="4" w:space="0" w:color="auto"/>
              <w:right w:val="single" w:sz="4" w:space="0" w:color="auto"/>
            </w:tcBorders>
            <w:shd w:val="clear" w:color="auto" w:fill="auto"/>
            <w:noWrap/>
            <w:hideMark/>
          </w:tcPr>
          <w:p w14:paraId="1334E3ED" w14:textId="6CFD37A7" w:rsidR="000B659C" w:rsidRPr="008373BE" w:rsidRDefault="000B659C" w:rsidP="000D0B9B">
            <w:pPr>
              <w:pStyle w:val="Tabletext"/>
              <w:rPr>
                <w:lang w:eastAsia="en-AU"/>
              </w:rPr>
            </w:pPr>
            <w:r>
              <w:t>1,735</w:t>
            </w:r>
          </w:p>
        </w:tc>
        <w:tc>
          <w:tcPr>
            <w:tcW w:w="682" w:type="pct"/>
            <w:tcBorders>
              <w:top w:val="nil"/>
              <w:left w:val="nil"/>
              <w:bottom w:val="single" w:sz="4" w:space="0" w:color="auto"/>
              <w:right w:val="single" w:sz="4" w:space="0" w:color="auto"/>
            </w:tcBorders>
            <w:shd w:val="clear" w:color="auto" w:fill="auto"/>
            <w:noWrap/>
            <w:hideMark/>
          </w:tcPr>
          <w:p w14:paraId="6F18C845" w14:textId="26512799" w:rsidR="000B659C" w:rsidRPr="008373BE" w:rsidRDefault="000B659C" w:rsidP="000D0B9B">
            <w:pPr>
              <w:pStyle w:val="Tabletext"/>
              <w:rPr>
                <w:lang w:eastAsia="en-AU"/>
              </w:rPr>
            </w:pPr>
            <w:r>
              <w:t>1,624</w:t>
            </w:r>
          </w:p>
        </w:tc>
        <w:tc>
          <w:tcPr>
            <w:tcW w:w="682" w:type="pct"/>
            <w:tcBorders>
              <w:top w:val="nil"/>
              <w:left w:val="nil"/>
              <w:bottom w:val="single" w:sz="4" w:space="0" w:color="auto"/>
              <w:right w:val="single" w:sz="4" w:space="0" w:color="auto"/>
            </w:tcBorders>
            <w:shd w:val="clear" w:color="auto" w:fill="auto"/>
            <w:noWrap/>
            <w:hideMark/>
          </w:tcPr>
          <w:p w14:paraId="24C802B8" w14:textId="5A1E44F9" w:rsidR="000B659C" w:rsidRPr="008373BE" w:rsidRDefault="000B659C" w:rsidP="000D0B9B">
            <w:pPr>
              <w:pStyle w:val="Tabletext"/>
              <w:rPr>
                <w:lang w:eastAsia="en-AU"/>
              </w:rPr>
            </w:pPr>
            <w:r>
              <w:t>1,504</w:t>
            </w:r>
          </w:p>
        </w:tc>
        <w:tc>
          <w:tcPr>
            <w:tcW w:w="682" w:type="pct"/>
            <w:tcBorders>
              <w:top w:val="nil"/>
              <w:left w:val="nil"/>
              <w:bottom w:val="single" w:sz="4" w:space="0" w:color="auto"/>
              <w:right w:val="single" w:sz="4" w:space="0" w:color="auto"/>
            </w:tcBorders>
            <w:shd w:val="clear" w:color="auto" w:fill="auto"/>
            <w:noWrap/>
            <w:hideMark/>
          </w:tcPr>
          <w:p w14:paraId="281D05DE" w14:textId="45C9ACAB" w:rsidR="000B659C" w:rsidRPr="008373BE" w:rsidRDefault="000B659C" w:rsidP="000D0B9B">
            <w:pPr>
              <w:pStyle w:val="Tabletext"/>
              <w:rPr>
                <w:lang w:eastAsia="en-AU"/>
              </w:rPr>
            </w:pPr>
            <w:r>
              <w:t>1,654</w:t>
            </w:r>
          </w:p>
        </w:tc>
        <w:tc>
          <w:tcPr>
            <w:tcW w:w="682" w:type="pct"/>
            <w:tcBorders>
              <w:top w:val="nil"/>
              <w:left w:val="nil"/>
              <w:bottom w:val="single" w:sz="4" w:space="0" w:color="auto"/>
              <w:right w:val="single" w:sz="4" w:space="0" w:color="auto"/>
            </w:tcBorders>
            <w:shd w:val="clear" w:color="auto" w:fill="auto"/>
            <w:noWrap/>
            <w:hideMark/>
          </w:tcPr>
          <w:p w14:paraId="7C76D1E3" w14:textId="30985A00" w:rsidR="000B659C" w:rsidRPr="008373BE" w:rsidRDefault="000B659C" w:rsidP="000D0B9B">
            <w:pPr>
              <w:pStyle w:val="Tabletext"/>
              <w:rPr>
                <w:lang w:eastAsia="en-AU"/>
              </w:rPr>
            </w:pPr>
            <w:r>
              <w:t>1,852</w:t>
            </w:r>
          </w:p>
        </w:tc>
        <w:tc>
          <w:tcPr>
            <w:tcW w:w="682" w:type="pct"/>
            <w:tcBorders>
              <w:top w:val="nil"/>
              <w:left w:val="nil"/>
              <w:bottom w:val="single" w:sz="4" w:space="0" w:color="auto"/>
              <w:right w:val="single" w:sz="4" w:space="0" w:color="auto"/>
            </w:tcBorders>
          </w:tcPr>
          <w:p w14:paraId="78103B3F" w14:textId="5FC16F71" w:rsidR="000B659C" w:rsidRDefault="000B659C" w:rsidP="000D0B9B">
            <w:pPr>
              <w:pStyle w:val="Tabletext"/>
            </w:pPr>
            <w:r>
              <w:t>1,720</w:t>
            </w:r>
          </w:p>
        </w:tc>
      </w:tr>
      <w:tr w:rsidR="000B659C" w:rsidRPr="008373BE" w14:paraId="20824AF5" w14:textId="5436A8FB" w:rsidTr="008B4B58">
        <w:trPr>
          <w:trHeight w:val="30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6A37C48" w14:textId="4C0CD814" w:rsidR="000B659C" w:rsidRPr="008373BE" w:rsidRDefault="000B659C" w:rsidP="000D0B9B">
            <w:pPr>
              <w:pStyle w:val="Tabletext"/>
              <w:rPr>
                <w:lang w:eastAsia="en-AU"/>
              </w:rPr>
            </w:pPr>
            <w:r w:rsidRPr="008373BE">
              <w:rPr>
                <w:lang w:eastAsia="en-AU"/>
              </w:rPr>
              <w:t>4</w:t>
            </w:r>
            <w:r>
              <w:rPr>
                <w:lang w:eastAsia="en-AU"/>
              </w:rPr>
              <w:t>–</w:t>
            </w:r>
            <w:r w:rsidRPr="008373BE">
              <w:rPr>
                <w:lang w:eastAsia="en-AU"/>
              </w:rPr>
              <w:t>12 hours</w:t>
            </w:r>
          </w:p>
        </w:tc>
        <w:tc>
          <w:tcPr>
            <w:tcW w:w="682" w:type="pct"/>
            <w:tcBorders>
              <w:top w:val="nil"/>
              <w:left w:val="nil"/>
              <w:bottom w:val="single" w:sz="4" w:space="0" w:color="auto"/>
              <w:right w:val="single" w:sz="4" w:space="0" w:color="auto"/>
            </w:tcBorders>
            <w:shd w:val="clear" w:color="auto" w:fill="auto"/>
            <w:noWrap/>
            <w:hideMark/>
          </w:tcPr>
          <w:p w14:paraId="58E3B0E5" w14:textId="2F334F1F" w:rsidR="000B659C" w:rsidRPr="008373BE" w:rsidRDefault="000B659C" w:rsidP="000D0B9B">
            <w:pPr>
              <w:pStyle w:val="Tabletext"/>
              <w:rPr>
                <w:lang w:eastAsia="en-AU"/>
              </w:rPr>
            </w:pPr>
            <w:r>
              <w:t>729</w:t>
            </w:r>
          </w:p>
        </w:tc>
        <w:tc>
          <w:tcPr>
            <w:tcW w:w="682" w:type="pct"/>
            <w:tcBorders>
              <w:top w:val="nil"/>
              <w:left w:val="nil"/>
              <w:bottom w:val="single" w:sz="4" w:space="0" w:color="auto"/>
              <w:right w:val="single" w:sz="4" w:space="0" w:color="auto"/>
            </w:tcBorders>
            <w:shd w:val="clear" w:color="auto" w:fill="auto"/>
            <w:noWrap/>
            <w:hideMark/>
          </w:tcPr>
          <w:p w14:paraId="320619C2" w14:textId="6ADC2160" w:rsidR="000B659C" w:rsidRPr="008373BE" w:rsidRDefault="000B659C" w:rsidP="000D0B9B">
            <w:pPr>
              <w:pStyle w:val="Tabletext"/>
              <w:rPr>
                <w:lang w:eastAsia="en-AU"/>
              </w:rPr>
            </w:pPr>
            <w:r>
              <w:t>862</w:t>
            </w:r>
          </w:p>
        </w:tc>
        <w:tc>
          <w:tcPr>
            <w:tcW w:w="682" w:type="pct"/>
            <w:tcBorders>
              <w:top w:val="nil"/>
              <w:left w:val="nil"/>
              <w:bottom w:val="single" w:sz="4" w:space="0" w:color="auto"/>
              <w:right w:val="single" w:sz="4" w:space="0" w:color="auto"/>
            </w:tcBorders>
            <w:shd w:val="clear" w:color="auto" w:fill="auto"/>
            <w:noWrap/>
            <w:hideMark/>
          </w:tcPr>
          <w:p w14:paraId="2F16F5C7" w14:textId="0A52E5C8" w:rsidR="000B659C" w:rsidRPr="008373BE" w:rsidRDefault="000B659C" w:rsidP="000D0B9B">
            <w:pPr>
              <w:pStyle w:val="Tabletext"/>
              <w:rPr>
                <w:lang w:eastAsia="en-AU"/>
              </w:rPr>
            </w:pPr>
            <w:r>
              <w:t>908</w:t>
            </w:r>
          </w:p>
        </w:tc>
        <w:tc>
          <w:tcPr>
            <w:tcW w:w="682" w:type="pct"/>
            <w:tcBorders>
              <w:top w:val="nil"/>
              <w:left w:val="nil"/>
              <w:bottom w:val="single" w:sz="4" w:space="0" w:color="auto"/>
              <w:right w:val="single" w:sz="4" w:space="0" w:color="auto"/>
            </w:tcBorders>
            <w:shd w:val="clear" w:color="auto" w:fill="auto"/>
            <w:noWrap/>
            <w:hideMark/>
          </w:tcPr>
          <w:p w14:paraId="1EDFA604" w14:textId="783E5326" w:rsidR="000B659C" w:rsidRPr="008373BE" w:rsidRDefault="000B659C" w:rsidP="000D0B9B">
            <w:pPr>
              <w:pStyle w:val="Tabletext"/>
              <w:rPr>
                <w:lang w:eastAsia="en-AU"/>
              </w:rPr>
            </w:pPr>
            <w:r>
              <w:t>715</w:t>
            </w:r>
          </w:p>
        </w:tc>
        <w:tc>
          <w:tcPr>
            <w:tcW w:w="682" w:type="pct"/>
            <w:tcBorders>
              <w:top w:val="nil"/>
              <w:left w:val="nil"/>
              <w:bottom w:val="single" w:sz="4" w:space="0" w:color="auto"/>
              <w:right w:val="single" w:sz="4" w:space="0" w:color="auto"/>
            </w:tcBorders>
            <w:shd w:val="clear" w:color="auto" w:fill="auto"/>
            <w:noWrap/>
            <w:hideMark/>
          </w:tcPr>
          <w:p w14:paraId="04F0AF50" w14:textId="1106CD11" w:rsidR="000B659C" w:rsidRPr="008373BE" w:rsidRDefault="000B659C" w:rsidP="000D0B9B">
            <w:pPr>
              <w:pStyle w:val="Tabletext"/>
              <w:rPr>
                <w:lang w:eastAsia="en-AU"/>
              </w:rPr>
            </w:pPr>
            <w:r>
              <w:t>726</w:t>
            </w:r>
          </w:p>
        </w:tc>
        <w:tc>
          <w:tcPr>
            <w:tcW w:w="682" w:type="pct"/>
            <w:tcBorders>
              <w:top w:val="nil"/>
              <w:left w:val="nil"/>
              <w:bottom w:val="single" w:sz="4" w:space="0" w:color="auto"/>
              <w:right w:val="single" w:sz="4" w:space="0" w:color="auto"/>
            </w:tcBorders>
          </w:tcPr>
          <w:p w14:paraId="4FFD92F4" w14:textId="4CF5AE16" w:rsidR="000B659C" w:rsidRDefault="000B659C" w:rsidP="000D0B9B">
            <w:pPr>
              <w:pStyle w:val="Tabletext"/>
            </w:pPr>
            <w:r>
              <w:t>770</w:t>
            </w:r>
          </w:p>
        </w:tc>
      </w:tr>
      <w:tr w:rsidR="000B659C" w:rsidRPr="008373BE" w14:paraId="1D872D1E" w14:textId="589ABCA7" w:rsidTr="008B4B58">
        <w:trPr>
          <w:trHeight w:val="30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1826A00" w14:textId="00B953AC" w:rsidR="000B659C" w:rsidRPr="008373BE" w:rsidRDefault="000B659C" w:rsidP="000D0B9B">
            <w:pPr>
              <w:pStyle w:val="Tabletext"/>
              <w:rPr>
                <w:lang w:eastAsia="en-AU"/>
              </w:rPr>
            </w:pPr>
            <w:r w:rsidRPr="008373BE">
              <w:rPr>
                <w:lang w:eastAsia="en-AU"/>
              </w:rPr>
              <w:t>&gt;</w:t>
            </w:r>
            <w:r>
              <w:rPr>
                <w:lang w:eastAsia="en-AU"/>
              </w:rPr>
              <w:t xml:space="preserve"> </w:t>
            </w:r>
            <w:r w:rsidRPr="008373BE">
              <w:rPr>
                <w:lang w:eastAsia="en-AU"/>
              </w:rPr>
              <w:t>12 h</w:t>
            </w:r>
            <w:r>
              <w:rPr>
                <w:lang w:eastAsia="en-AU"/>
              </w:rPr>
              <w:t>ou</w:t>
            </w:r>
            <w:r w:rsidRPr="008373BE">
              <w:rPr>
                <w:lang w:eastAsia="en-AU"/>
              </w:rPr>
              <w:t>rs</w:t>
            </w:r>
          </w:p>
        </w:tc>
        <w:tc>
          <w:tcPr>
            <w:tcW w:w="682" w:type="pct"/>
            <w:tcBorders>
              <w:top w:val="nil"/>
              <w:left w:val="nil"/>
              <w:bottom w:val="single" w:sz="4" w:space="0" w:color="auto"/>
              <w:right w:val="single" w:sz="4" w:space="0" w:color="auto"/>
            </w:tcBorders>
            <w:shd w:val="clear" w:color="auto" w:fill="auto"/>
            <w:noWrap/>
            <w:hideMark/>
          </w:tcPr>
          <w:p w14:paraId="43296967" w14:textId="76E68069" w:rsidR="000B659C" w:rsidRPr="008373BE" w:rsidRDefault="000B659C" w:rsidP="000D0B9B">
            <w:pPr>
              <w:pStyle w:val="Tabletext"/>
              <w:rPr>
                <w:lang w:eastAsia="en-AU"/>
              </w:rPr>
            </w:pPr>
            <w:r>
              <w:t>660</w:t>
            </w:r>
          </w:p>
        </w:tc>
        <w:tc>
          <w:tcPr>
            <w:tcW w:w="682" w:type="pct"/>
            <w:tcBorders>
              <w:top w:val="nil"/>
              <w:left w:val="nil"/>
              <w:bottom w:val="single" w:sz="4" w:space="0" w:color="auto"/>
              <w:right w:val="single" w:sz="4" w:space="0" w:color="auto"/>
            </w:tcBorders>
            <w:shd w:val="clear" w:color="auto" w:fill="auto"/>
            <w:noWrap/>
            <w:hideMark/>
          </w:tcPr>
          <w:p w14:paraId="26BD615F" w14:textId="3C04A116" w:rsidR="000B659C" w:rsidRPr="008373BE" w:rsidRDefault="000B659C" w:rsidP="000D0B9B">
            <w:pPr>
              <w:pStyle w:val="Tabletext"/>
              <w:rPr>
                <w:lang w:eastAsia="en-AU"/>
              </w:rPr>
            </w:pPr>
            <w:r>
              <w:t>995</w:t>
            </w:r>
          </w:p>
        </w:tc>
        <w:tc>
          <w:tcPr>
            <w:tcW w:w="682" w:type="pct"/>
            <w:tcBorders>
              <w:top w:val="nil"/>
              <w:left w:val="nil"/>
              <w:bottom w:val="single" w:sz="4" w:space="0" w:color="auto"/>
              <w:right w:val="single" w:sz="4" w:space="0" w:color="auto"/>
            </w:tcBorders>
            <w:shd w:val="clear" w:color="auto" w:fill="auto"/>
            <w:noWrap/>
            <w:hideMark/>
          </w:tcPr>
          <w:p w14:paraId="4A4D41E4" w14:textId="7C7554AA" w:rsidR="000B659C" w:rsidRPr="008373BE" w:rsidRDefault="000B659C" w:rsidP="000D0B9B">
            <w:pPr>
              <w:pStyle w:val="Tabletext"/>
              <w:rPr>
                <w:lang w:eastAsia="en-AU"/>
              </w:rPr>
            </w:pPr>
            <w:r>
              <w:t>1,066</w:t>
            </w:r>
          </w:p>
        </w:tc>
        <w:tc>
          <w:tcPr>
            <w:tcW w:w="682" w:type="pct"/>
            <w:tcBorders>
              <w:top w:val="nil"/>
              <w:left w:val="nil"/>
              <w:bottom w:val="single" w:sz="4" w:space="0" w:color="auto"/>
              <w:right w:val="single" w:sz="4" w:space="0" w:color="auto"/>
            </w:tcBorders>
            <w:shd w:val="clear" w:color="auto" w:fill="auto"/>
            <w:noWrap/>
            <w:hideMark/>
          </w:tcPr>
          <w:p w14:paraId="10E5B381" w14:textId="2EE61354" w:rsidR="000B659C" w:rsidRPr="008373BE" w:rsidRDefault="000B659C" w:rsidP="000D0B9B">
            <w:pPr>
              <w:pStyle w:val="Tabletext"/>
              <w:rPr>
                <w:lang w:eastAsia="en-AU"/>
              </w:rPr>
            </w:pPr>
            <w:r>
              <w:t>816</w:t>
            </w:r>
          </w:p>
        </w:tc>
        <w:tc>
          <w:tcPr>
            <w:tcW w:w="682" w:type="pct"/>
            <w:tcBorders>
              <w:top w:val="nil"/>
              <w:left w:val="nil"/>
              <w:bottom w:val="single" w:sz="4" w:space="0" w:color="auto"/>
              <w:right w:val="single" w:sz="4" w:space="0" w:color="auto"/>
            </w:tcBorders>
            <w:shd w:val="clear" w:color="auto" w:fill="auto"/>
            <w:noWrap/>
            <w:hideMark/>
          </w:tcPr>
          <w:p w14:paraId="57241003" w14:textId="13A746A0" w:rsidR="000B659C" w:rsidRPr="008373BE" w:rsidRDefault="000B659C" w:rsidP="000D0B9B">
            <w:pPr>
              <w:pStyle w:val="Tabletext"/>
              <w:rPr>
                <w:lang w:eastAsia="en-AU"/>
              </w:rPr>
            </w:pPr>
            <w:r>
              <w:t>996</w:t>
            </w:r>
          </w:p>
        </w:tc>
        <w:tc>
          <w:tcPr>
            <w:tcW w:w="682" w:type="pct"/>
            <w:tcBorders>
              <w:top w:val="nil"/>
              <w:left w:val="nil"/>
              <w:bottom w:val="single" w:sz="4" w:space="0" w:color="auto"/>
              <w:right w:val="single" w:sz="4" w:space="0" w:color="auto"/>
            </w:tcBorders>
          </w:tcPr>
          <w:p w14:paraId="434434C0" w14:textId="134D1BAE" w:rsidR="000B659C" w:rsidRDefault="000B659C" w:rsidP="000D0B9B">
            <w:pPr>
              <w:pStyle w:val="Tabletext"/>
            </w:pPr>
            <w:r>
              <w:t>1,170</w:t>
            </w:r>
          </w:p>
        </w:tc>
      </w:tr>
    </w:tbl>
    <w:p w14:paraId="0C415221" w14:textId="1BB63451" w:rsidR="00381B2F" w:rsidRDefault="00381B2F" w:rsidP="00381B2F">
      <w:pPr>
        <w:pStyle w:val="Heading3"/>
      </w:pPr>
      <w:r>
        <w:t>Restraint</w:t>
      </w:r>
      <w:r w:rsidR="0099684E">
        <w:t xml:space="preserve"> – acute inpatient units</w:t>
      </w:r>
    </w:p>
    <w:p w14:paraId="40F8680C" w14:textId="77777777" w:rsidR="00381B2F" w:rsidRPr="00A83DB5" w:rsidRDefault="00381B2F" w:rsidP="00563C62">
      <w:pPr>
        <w:pStyle w:val="Body"/>
      </w:pPr>
      <w:r w:rsidRPr="00A83DB5">
        <w:t xml:space="preserve">Bodily restraint refers to physical restraint (placing hands on a person to restrict movement) and mechanical restraint (the use of devices, such as belts, for the same purpose). Applying mechanical restraint typically involves using physical restraint for very brief periods. The Act requires that mental health services inform the Chief Psychiatrist of both types of practice. </w:t>
      </w:r>
    </w:p>
    <w:p w14:paraId="14BC66B5" w14:textId="5D255FB3" w:rsidR="00381B2F" w:rsidRDefault="00381B2F" w:rsidP="00563C62">
      <w:pPr>
        <w:pStyle w:val="Body"/>
      </w:pPr>
      <w:r w:rsidRPr="64F2407C">
        <w:t xml:space="preserve">Table </w:t>
      </w:r>
      <w:r w:rsidR="75502575">
        <w:t>1</w:t>
      </w:r>
      <w:r w:rsidR="00CC7406">
        <w:t>5</w:t>
      </w:r>
      <w:r w:rsidRPr="64F2407C">
        <w:t xml:space="preserve"> shows that bodily (physical and mechanical) restraint episodes per 1,000 occupied bed days fell from a rate of </w:t>
      </w:r>
      <w:r w:rsidR="004F4F7A">
        <w:t>26.1</w:t>
      </w:r>
      <w:r w:rsidRPr="64F2407C">
        <w:t xml:space="preserve"> in 201</w:t>
      </w:r>
      <w:r w:rsidR="004F4F7A">
        <w:t>8</w:t>
      </w:r>
      <w:r w:rsidR="0012686C">
        <w:t>–</w:t>
      </w:r>
      <w:r w:rsidR="004F4F7A">
        <w:t>19</w:t>
      </w:r>
      <w:r w:rsidRPr="64F2407C">
        <w:t xml:space="preserve"> </w:t>
      </w:r>
      <w:r w:rsidR="004F4F7A">
        <w:t>to 21.1 in 2020</w:t>
      </w:r>
      <w:r w:rsidR="0099684E">
        <w:t>–</w:t>
      </w:r>
      <w:r w:rsidR="004F4F7A">
        <w:t>21</w:t>
      </w:r>
      <w:r w:rsidRPr="64F2407C">
        <w:t xml:space="preserve">. Rates rose a little in adult </w:t>
      </w:r>
      <w:r w:rsidR="1ADDC0A3">
        <w:t xml:space="preserve">acute inpatient units </w:t>
      </w:r>
      <w:r w:rsidRPr="64F2407C">
        <w:t>but fell steeply in the forensic service. As mentioned already, the growing clinical complexity encountered in child and adolescent inpatient units is thought to have contributed to a continuing rise in rates of restraint.</w:t>
      </w:r>
    </w:p>
    <w:p w14:paraId="544BAF7D" w14:textId="1903D18E" w:rsidR="00E8719B" w:rsidRPr="00FE1B5B" w:rsidRDefault="009C26EA" w:rsidP="00563C62">
      <w:pPr>
        <w:pStyle w:val="Body"/>
      </w:pPr>
      <w:r>
        <w:t xml:space="preserve">Understanding the </w:t>
      </w:r>
      <w:r w:rsidR="00741725">
        <w:t xml:space="preserve">factors that </w:t>
      </w:r>
      <w:r w:rsidR="00296290">
        <w:t xml:space="preserve">are leading to an increase in the use of bodily restraint </w:t>
      </w:r>
      <w:r w:rsidR="00BE7F93">
        <w:t xml:space="preserve">among children and adolescents </w:t>
      </w:r>
      <w:r w:rsidR="008841A9">
        <w:t>remains</w:t>
      </w:r>
      <w:r w:rsidR="00857723">
        <w:t xml:space="preserve"> a </w:t>
      </w:r>
      <w:r w:rsidR="0066500C">
        <w:t>work</w:t>
      </w:r>
      <w:r w:rsidR="0048002F">
        <w:t xml:space="preserve"> </w:t>
      </w:r>
      <w:r w:rsidR="0066500C">
        <w:t>in</w:t>
      </w:r>
      <w:r w:rsidR="0048002F">
        <w:t xml:space="preserve"> </w:t>
      </w:r>
      <w:r w:rsidR="0066500C">
        <w:t xml:space="preserve">progress. </w:t>
      </w:r>
      <w:r w:rsidR="005460FA">
        <w:t>T</w:t>
      </w:r>
      <w:r w:rsidR="000D4075">
        <w:t xml:space="preserve">here </w:t>
      </w:r>
      <w:r w:rsidR="005460FA">
        <w:t>a</w:t>
      </w:r>
      <w:r w:rsidR="00D50DBB">
        <w:t xml:space="preserve">ppears to be </w:t>
      </w:r>
      <w:r w:rsidR="000D4075">
        <w:t>multiple factors</w:t>
      </w:r>
      <w:r w:rsidR="00FB0CD9">
        <w:t xml:space="preserve"> </w:t>
      </w:r>
      <w:r w:rsidR="005A7478">
        <w:t xml:space="preserve">contributing </w:t>
      </w:r>
      <w:r w:rsidR="003C1A33">
        <w:t>to this</w:t>
      </w:r>
      <w:r w:rsidR="00804C29">
        <w:t>, including improvements in reporting practices.</w:t>
      </w:r>
      <w:r w:rsidR="00E61B0D">
        <w:t xml:space="preserve"> </w:t>
      </w:r>
      <w:r w:rsidR="004179E0">
        <w:t>Furthermore, a</w:t>
      </w:r>
      <w:r w:rsidR="00763096">
        <w:t xml:space="preserve">ny </w:t>
      </w:r>
      <w:r w:rsidR="00A35088">
        <w:t xml:space="preserve">explanation of </w:t>
      </w:r>
      <w:r w:rsidR="008841A9">
        <w:t>the</w:t>
      </w:r>
      <w:r w:rsidR="00D726D2">
        <w:t xml:space="preserve"> increase should </w:t>
      </w:r>
      <w:r w:rsidR="00A35088">
        <w:t>take into account</w:t>
      </w:r>
      <w:r w:rsidR="001A7867">
        <w:t xml:space="preserve"> </w:t>
      </w:r>
      <w:r w:rsidR="00AE131A">
        <w:t xml:space="preserve">the </w:t>
      </w:r>
      <w:r w:rsidR="00AF614A">
        <w:t>s</w:t>
      </w:r>
      <w:r w:rsidR="00252841">
        <w:t xml:space="preserve">maller </w:t>
      </w:r>
      <w:r w:rsidR="00BC0278">
        <w:t xml:space="preserve">population </w:t>
      </w:r>
      <w:r w:rsidR="00252841">
        <w:t>size</w:t>
      </w:r>
      <w:r w:rsidR="007D4A08">
        <w:t xml:space="preserve"> of units for children and adolescents relative to </w:t>
      </w:r>
      <w:r w:rsidR="004F5D1F">
        <w:t xml:space="preserve">units for adults. </w:t>
      </w:r>
      <w:r w:rsidR="00E02087">
        <w:t>Ow</w:t>
      </w:r>
      <w:r w:rsidR="003F3D6D">
        <w:t xml:space="preserve">ing to this difference in </w:t>
      </w:r>
      <w:r w:rsidR="004A1F9F">
        <w:t xml:space="preserve">population </w:t>
      </w:r>
      <w:r w:rsidR="003F3D6D">
        <w:t xml:space="preserve">size, </w:t>
      </w:r>
      <w:r w:rsidR="007D066B">
        <w:t xml:space="preserve">variations </w:t>
      </w:r>
      <w:r w:rsidR="00D41283">
        <w:t xml:space="preserve">in the use of bodily restraint can </w:t>
      </w:r>
      <w:r w:rsidR="00163B66">
        <w:t xml:space="preserve">appear more significant among adolescents and children </w:t>
      </w:r>
      <w:r w:rsidR="007E2BF6">
        <w:t xml:space="preserve">compared </w:t>
      </w:r>
      <w:r w:rsidR="00283C5B">
        <w:t xml:space="preserve">with </w:t>
      </w:r>
      <w:r w:rsidR="007E2BF6">
        <w:t>adults.</w:t>
      </w:r>
      <w:r w:rsidR="00631C4B">
        <w:t xml:space="preserve"> </w:t>
      </w:r>
    </w:p>
    <w:p w14:paraId="00E2E7FB" w14:textId="23DFCA14" w:rsidR="00381B2F" w:rsidRPr="00EA5119" w:rsidRDefault="00381B2F" w:rsidP="000D0B9B">
      <w:pPr>
        <w:pStyle w:val="Tablecaption"/>
        <w:rPr>
          <w:rFonts w:eastAsia="Arial"/>
          <w:bCs/>
        </w:rPr>
      </w:pPr>
      <w:r w:rsidRPr="64F2407C">
        <w:t xml:space="preserve">Table </w:t>
      </w:r>
      <w:r w:rsidR="202F44FB">
        <w:t>1</w:t>
      </w:r>
      <w:r w:rsidR="00CC7406">
        <w:t>5</w:t>
      </w:r>
      <w:r>
        <w:t>:</w:t>
      </w:r>
      <w:r w:rsidR="00B5548B">
        <w:t xml:space="preserve"> </w:t>
      </w:r>
      <w:r w:rsidRPr="6413A842">
        <w:rPr>
          <w:rFonts w:eastAsia="Arial"/>
        </w:rPr>
        <w:t>Bodily restraint episodes per 1,000 occupied bed days</w:t>
      </w:r>
      <w:r w:rsidR="0048002F">
        <w:rPr>
          <w:rFonts w:eastAsia="Arial"/>
        </w:rPr>
        <w:t>,</w:t>
      </w:r>
      <w:r w:rsidR="31D9F1B4" w:rsidRPr="6413A842">
        <w:rPr>
          <w:rFonts w:eastAsia="Arial"/>
          <w:bCs/>
        </w:rPr>
        <w:t xml:space="preserve"> by type of acute </w:t>
      </w:r>
      <w:r w:rsidR="31D9F1B4" w:rsidRPr="004C02F0">
        <w:rPr>
          <w:rFonts w:eastAsia="Arial"/>
        </w:rPr>
        <w:t>inpatient</w:t>
      </w:r>
      <w:r w:rsidR="31D9F1B4" w:rsidRPr="6413A842">
        <w:rPr>
          <w:rFonts w:eastAsia="Arial"/>
          <w:bCs/>
        </w:rPr>
        <w:t xml:space="preserve"> unit</w:t>
      </w:r>
      <w:r w:rsidRPr="6413A842">
        <w:rPr>
          <w:rFonts w:eastAsia="Arial"/>
        </w:rPr>
        <w:t>, 2015</w:t>
      </w:r>
      <w:r w:rsidR="0012686C" w:rsidRPr="6413A842">
        <w:rPr>
          <w:rFonts w:eastAsia="Arial"/>
        </w:rPr>
        <w:t>–1</w:t>
      </w:r>
      <w:r w:rsidRPr="6413A842">
        <w:rPr>
          <w:rFonts w:eastAsia="Arial"/>
        </w:rPr>
        <w:t xml:space="preserve">6 to </w:t>
      </w:r>
      <w:r w:rsidR="007B2175">
        <w:rPr>
          <w:rFonts w:eastAsia="Arial"/>
        </w:rPr>
        <w:t>2020–21</w:t>
      </w:r>
    </w:p>
    <w:tbl>
      <w:tblPr>
        <w:tblW w:w="5000" w:type="pct"/>
        <w:tblLook w:val="04A0" w:firstRow="1" w:lastRow="0" w:firstColumn="1" w:lastColumn="0" w:noHBand="0" w:noVBand="1"/>
      </w:tblPr>
      <w:tblGrid>
        <w:gridCol w:w="2178"/>
        <w:gridCol w:w="1058"/>
        <w:gridCol w:w="1210"/>
        <w:gridCol w:w="1210"/>
        <w:gridCol w:w="1210"/>
        <w:gridCol w:w="1211"/>
        <w:gridCol w:w="1211"/>
      </w:tblGrid>
      <w:tr w:rsidR="00A71EAB" w:rsidRPr="00EA5119" w14:paraId="1972CD51" w14:textId="73A4565C" w:rsidTr="00A018DC">
        <w:trPr>
          <w:trHeight w:val="300"/>
          <w:tblHeader/>
        </w:trPr>
        <w:tc>
          <w:tcPr>
            <w:tcW w:w="11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CAA6F" w14:textId="50099B55" w:rsidR="00A71EAB" w:rsidRPr="00A91A55" w:rsidRDefault="00A71EAB" w:rsidP="000D0B9B">
            <w:pPr>
              <w:pStyle w:val="Tablecolhead"/>
              <w:rPr>
                <w:lang w:eastAsia="en-AU"/>
              </w:rPr>
            </w:pPr>
            <w:r w:rsidRPr="6413A842">
              <w:rPr>
                <w:lang w:eastAsia="en-AU"/>
              </w:rPr>
              <w:t>Type of unit</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02734B94" w14:textId="1103D762" w:rsidR="00A71EAB" w:rsidRPr="00A91A55" w:rsidRDefault="00A71EAB" w:rsidP="000D0B9B">
            <w:pPr>
              <w:pStyle w:val="Tablecolhead"/>
              <w:rPr>
                <w:lang w:eastAsia="en-AU"/>
              </w:rPr>
            </w:pPr>
            <w:r w:rsidRPr="00A91A55">
              <w:rPr>
                <w:lang w:eastAsia="en-AU"/>
              </w:rPr>
              <w:t>2015</w:t>
            </w:r>
            <w:r>
              <w:rPr>
                <w:lang w:eastAsia="en-AU"/>
              </w:rPr>
              <w:t>–1</w:t>
            </w:r>
            <w:r w:rsidRPr="00A91A55">
              <w:rPr>
                <w:lang w:eastAsia="en-AU"/>
              </w:rPr>
              <w:t>6</w:t>
            </w:r>
          </w:p>
        </w:tc>
        <w:tc>
          <w:tcPr>
            <w:tcW w:w="658" w:type="pct"/>
            <w:tcBorders>
              <w:top w:val="single" w:sz="4" w:space="0" w:color="auto"/>
              <w:left w:val="nil"/>
              <w:bottom w:val="single" w:sz="4" w:space="0" w:color="auto"/>
              <w:right w:val="single" w:sz="4" w:space="0" w:color="auto"/>
            </w:tcBorders>
            <w:shd w:val="clear" w:color="auto" w:fill="auto"/>
            <w:noWrap/>
            <w:vAlign w:val="bottom"/>
            <w:hideMark/>
          </w:tcPr>
          <w:p w14:paraId="1C272BEF" w14:textId="1E45C485" w:rsidR="00A71EAB" w:rsidRPr="00A91A55" w:rsidRDefault="00A71EAB" w:rsidP="000D0B9B">
            <w:pPr>
              <w:pStyle w:val="Tablecolhead"/>
              <w:rPr>
                <w:lang w:eastAsia="en-AU"/>
              </w:rPr>
            </w:pPr>
            <w:r w:rsidRPr="00A91A55">
              <w:rPr>
                <w:lang w:eastAsia="en-AU"/>
              </w:rPr>
              <w:t>2016</w:t>
            </w:r>
            <w:r>
              <w:rPr>
                <w:lang w:eastAsia="en-AU"/>
              </w:rPr>
              <w:t>–1</w:t>
            </w:r>
            <w:r w:rsidRPr="00A91A55">
              <w:rPr>
                <w:lang w:eastAsia="en-AU"/>
              </w:rPr>
              <w:t>7</w:t>
            </w:r>
          </w:p>
        </w:tc>
        <w:tc>
          <w:tcPr>
            <w:tcW w:w="658" w:type="pct"/>
            <w:tcBorders>
              <w:top w:val="single" w:sz="4" w:space="0" w:color="auto"/>
              <w:left w:val="nil"/>
              <w:bottom w:val="single" w:sz="4" w:space="0" w:color="auto"/>
              <w:right w:val="single" w:sz="4" w:space="0" w:color="auto"/>
            </w:tcBorders>
            <w:shd w:val="clear" w:color="auto" w:fill="auto"/>
            <w:noWrap/>
            <w:vAlign w:val="bottom"/>
            <w:hideMark/>
          </w:tcPr>
          <w:p w14:paraId="25CD2806" w14:textId="51F06CB3" w:rsidR="00A71EAB" w:rsidRPr="00A91A55" w:rsidRDefault="00A71EAB" w:rsidP="000D0B9B">
            <w:pPr>
              <w:pStyle w:val="Tablecolhead"/>
              <w:rPr>
                <w:lang w:eastAsia="en-AU"/>
              </w:rPr>
            </w:pPr>
            <w:r w:rsidRPr="00A91A55">
              <w:rPr>
                <w:lang w:eastAsia="en-AU"/>
              </w:rPr>
              <w:t>2017</w:t>
            </w:r>
            <w:r>
              <w:rPr>
                <w:lang w:eastAsia="en-AU"/>
              </w:rPr>
              <w:t>–1</w:t>
            </w:r>
            <w:r w:rsidRPr="00A91A55">
              <w:rPr>
                <w:lang w:eastAsia="en-AU"/>
              </w:rPr>
              <w:t>8</w:t>
            </w:r>
          </w:p>
        </w:tc>
        <w:tc>
          <w:tcPr>
            <w:tcW w:w="658" w:type="pct"/>
            <w:tcBorders>
              <w:top w:val="single" w:sz="4" w:space="0" w:color="auto"/>
              <w:left w:val="nil"/>
              <w:bottom w:val="single" w:sz="4" w:space="0" w:color="auto"/>
              <w:right w:val="single" w:sz="4" w:space="0" w:color="auto"/>
            </w:tcBorders>
            <w:shd w:val="clear" w:color="auto" w:fill="auto"/>
            <w:noWrap/>
            <w:vAlign w:val="bottom"/>
            <w:hideMark/>
          </w:tcPr>
          <w:p w14:paraId="4A854180" w14:textId="4732CC37" w:rsidR="00A71EAB" w:rsidRPr="00A91A55" w:rsidRDefault="00A71EAB" w:rsidP="000D0B9B">
            <w:pPr>
              <w:pStyle w:val="Tablecolhead"/>
              <w:rPr>
                <w:lang w:eastAsia="en-AU"/>
              </w:rPr>
            </w:pPr>
            <w:r w:rsidRPr="00A91A55">
              <w:rPr>
                <w:lang w:eastAsia="en-AU"/>
              </w:rPr>
              <w:t>2018</w:t>
            </w:r>
            <w:r>
              <w:rPr>
                <w:lang w:eastAsia="en-AU"/>
              </w:rPr>
              <w:t>–1</w:t>
            </w:r>
            <w:r w:rsidRPr="00A91A55">
              <w:rPr>
                <w:lang w:eastAsia="en-AU"/>
              </w:rPr>
              <w:t>9</w:t>
            </w:r>
          </w:p>
        </w:tc>
        <w:tc>
          <w:tcPr>
            <w:tcW w:w="658" w:type="pct"/>
            <w:tcBorders>
              <w:top w:val="single" w:sz="4" w:space="0" w:color="auto"/>
              <w:left w:val="nil"/>
              <w:bottom w:val="single" w:sz="4" w:space="0" w:color="auto"/>
              <w:right w:val="single" w:sz="4" w:space="0" w:color="auto"/>
            </w:tcBorders>
            <w:shd w:val="clear" w:color="auto" w:fill="auto"/>
            <w:noWrap/>
            <w:vAlign w:val="bottom"/>
            <w:hideMark/>
          </w:tcPr>
          <w:p w14:paraId="752EA4BD" w14:textId="0ABF474F" w:rsidR="00A71EAB" w:rsidRPr="00A91A55" w:rsidRDefault="00A71EAB" w:rsidP="000D0B9B">
            <w:pPr>
              <w:pStyle w:val="Tablecolhead"/>
              <w:rPr>
                <w:lang w:eastAsia="en-AU"/>
              </w:rPr>
            </w:pPr>
            <w:r w:rsidRPr="00A91A55">
              <w:rPr>
                <w:lang w:eastAsia="en-AU"/>
              </w:rPr>
              <w:t>2019</w:t>
            </w:r>
            <w:r>
              <w:rPr>
                <w:lang w:eastAsia="en-AU"/>
              </w:rPr>
              <w:t>–2</w:t>
            </w:r>
            <w:r w:rsidRPr="00A91A55">
              <w:rPr>
                <w:lang w:eastAsia="en-AU"/>
              </w:rPr>
              <w:t>0</w:t>
            </w:r>
          </w:p>
        </w:tc>
        <w:tc>
          <w:tcPr>
            <w:tcW w:w="658" w:type="pct"/>
            <w:tcBorders>
              <w:top w:val="single" w:sz="4" w:space="0" w:color="auto"/>
              <w:left w:val="nil"/>
              <w:bottom w:val="single" w:sz="4" w:space="0" w:color="auto"/>
              <w:right w:val="single" w:sz="4" w:space="0" w:color="auto"/>
            </w:tcBorders>
          </w:tcPr>
          <w:p w14:paraId="029209BA" w14:textId="77DF8502" w:rsidR="00A71EAB" w:rsidRPr="00A91A55" w:rsidRDefault="007B2175" w:rsidP="000D0B9B">
            <w:pPr>
              <w:pStyle w:val="Tablecolhead"/>
              <w:rPr>
                <w:lang w:eastAsia="en-AU"/>
              </w:rPr>
            </w:pPr>
            <w:r>
              <w:rPr>
                <w:lang w:eastAsia="en-AU"/>
              </w:rPr>
              <w:t>2020–21</w:t>
            </w:r>
          </w:p>
        </w:tc>
      </w:tr>
      <w:tr w:rsidR="00A018DC" w:rsidRPr="00EA5119" w14:paraId="33637A37" w14:textId="0C7BA84D" w:rsidTr="00A018DC">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643B4A35" w14:textId="77777777" w:rsidR="00A018DC" w:rsidRPr="00A91A55" w:rsidRDefault="00A018DC" w:rsidP="000D0B9B">
            <w:pPr>
              <w:pStyle w:val="Tabletext"/>
              <w:rPr>
                <w:lang w:eastAsia="en-AU"/>
              </w:rPr>
            </w:pPr>
            <w:r w:rsidRPr="00EA5119">
              <w:rPr>
                <w:lang w:eastAsia="en-AU"/>
              </w:rPr>
              <w:t>Adult</w:t>
            </w:r>
          </w:p>
        </w:tc>
        <w:tc>
          <w:tcPr>
            <w:tcW w:w="576" w:type="pct"/>
            <w:tcBorders>
              <w:top w:val="nil"/>
              <w:left w:val="nil"/>
              <w:bottom w:val="single" w:sz="4" w:space="0" w:color="auto"/>
              <w:right w:val="single" w:sz="4" w:space="0" w:color="auto"/>
            </w:tcBorders>
            <w:shd w:val="clear" w:color="auto" w:fill="auto"/>
            <w:noWrap/>
            <w:vAlign w:val="center"/>
            <w:hideMark/>
          </w:tcPr>
          <w:p w14:paraId="519AAC6B" w14:textId="466C08A4" w:rsidR="00A018DC" w:rsidRPr="00A91A55" w:rsidRDefault="00A018DC" w:rsidP="000D0B9B">
            <w:pPr>
              <w:pStyle w:val="Tabletext"/>
              <w:rPr>
                <w:rFonts w:ascii="Calibri" w:hAnsi="Calibri"/>
                <w:lang w:eastAsia="en-AU"/>
              </w:rPr>
            </w:pPr>
            <w:r>
              <w:t>9.8</w:t>
            </w:r>
          </w:p>
        </w:tc>
        <w:tc>
          <w:tcPr>
            <w:tcW w:w="658" w:type="pct"/>
            <w:tcBorders>
              <w:top w:val="nil"/>
              <w:left w:val="nil"/>
              <w:bottom w:val="single" w:sz="4" w:space="0" w:color="auto"/>
              <w:right w:val="single" w:sz="4" w:space="0" w:color="auto"/>
            </w:tcBorders>
            <w:shd w:val="clear" w:color="auto" w:fill="auto"/>
            <w:noWrap/>
            <w:vAlign w:val="center"/>
            <w:hideMark/>
          </w:tcPr>
          <w:p w14:paraId="35D5648E" w14:textId="0C022B83" w:rsidR="00A018DC" w:rsidRPr="00A91A55" w:rsidRDefault="00A018DC" w:rsidP="000D0B9B">
            <w:pPr>
              <w:pStyle w:val="Tabletext"/>
              <w:rPr>
                <w:rFonts w:ascii="Calibri" w:hAnsi="Calibri"/>
                <w:lang w:eastAsia="en-AU"/>
              </w:rPr>
            </w:pPr>
            <w:r>
              <w:t>8.4</w:t>
            </w:r>
          </w:p>
        </w:tc>
        <w:tc>
          <w:tcPr>
            <w:tcW w:w="658" w:type="pct"/>
            <w:tcBorders>
              <w:top w:val="nil"/>
              <w:left w:val="nil"/>
              <w:bottom w:val="single" w:sz="4" w:space="0" w:color="auto"/>
              <w:right w:val="single" w:sz="4" w:space="0" w:color="auto"/>
            </w:tcBorders>
            <w:shd w:val="clear" w:color="auto" w:fill="auto"/>
            <w:noWrap/>
            <w:vAlign w:val="center"/>
            <w:hideMark/>
          </w:tcPr>
          <w:p w14:paraId="567F73B3" w14:textId="5CF657D5" w:rsidR="00A018DC" w:rsidRPr="00A91A55" w:rsidRDefault="00A018DC" w:rsidP="000D0B9B">
            <w:pPr>
              <w:pStyle w:val="Tabletext"/>
              <w:rPr>
                <w:rFonts w:ascii="Calibri" w:hAnsi="Calibri"/>
                <w:lang w:eastAsia="en-AU"/>
              </w:rPr>
            </w:pPr>
            <w:r>
              <w:t>9.0</w:t>
            </w:r>
          </w:p>
        </w:tc>
        <w:tc>
          <w:tcPr>
            <w:tcW w:w="658" w:type="pct"/>
            <w:tcBorders>
              <w:top w:val="nil"/>
              <w:left w:val="nil"/>
              <w:bottom w:val="single" w:sz="4" w:space="0" w:color="auto"/>
              <w:right w:val="single" w:sz="4" w:space="0" w:color="auto"/>
            </w:tcBorders>
            <w:shd w:val="clear" w:color="auto" w:fill="auto"/>
            <w:noWrap/>
            <w:vAlign w:val="center"/>
            <w:hideMark/>
          </w:tcPr>
          <w:p w14:paraId="72868B3E" w14:textId="65AC0576" w:rsidR="00A018DC" w:rsidRPr="00A91A55" w:rsidRDefault="00A018DC" w:rsidP="000D0B9B">
            <w:pPr>
              <w:pStyle w:val="Tabletext"/>
              <w:rPr>
                <w:rFonts w:ascii="Calibri" w:hAnsi="Calibri"/>
                <w:lang w:eastAsia="en-AU"/>
              </w:rPr>
            </w:pPr>
            <w:r>
              <w:t>10.6</w:t>
            </w:r>
          </w:p>
        </w:tc>
        <w:tc>
          <w:tcPr>
            <w:tcW w:w="658" w:type="pct"/>
            <w:tcBorders>
              <w:top w:val="nil"/>
              <w:left w:val="nil"/>
              <w:bottom w:val="single" w:sz="4" w:space="0" w:color="auto"/>
              <w:right w:val="single" w:sz="4" w:space="0" w:color="auto"/>
            </w:tcBorders>
            <w:shd w:val="clear" w:color="auto" w:fill="auto"/>
            <w:noWrap/>
            <w:vAlign w:val="center"/>
            <w:hideMark/>
          </w:tcPr>
          <w:p w14:paraId="2E98B4F9" w14:textId="0D94B665" w:rsidR="00A018DC" w:rsidRPr="00A91A55" w:rsidRDefault="00A018DC" w:rsidP="000D0B9B">
            <w:pPr>
              <w:pStyle w:val="Tabletext"/>
              <w:rPr>
                <w:rFonts w:ascii="Calibri" w:hAnsi="Calibri"/>
                <w:lang w:eastAsia="en-AU"/>
              </w:rPr>
            </w:pPr>
            <w:r>
              <w:t>11.8</w:t>
            </w:r>
          </w:p>
        </w:tc>
        <w:tc>
          <w:tcPr>
            <w:tcW w:w="658" w:type="pct"/>
            <w:tcBorders>
              <w:top w:val="nil"/>
              <w:left w:val="nil"/>
              <w:bottom w:val="single" w:sz="4" w:space="0" w:color="auto"/>
              <w:right w:val="single" w:sz="4" w:space="0" w:color="auto"/>
            </w:tcBorders>
            <w:vAlign w:val="center"/>
          </w:tcPr>
          <w:p w14:paraId="7EF43F27" w14:textId="1D25E76F" w:rsidR="00A018DC" w:rsidRDefault="00A018DC" w:rsidP="000D0B9B">
            <w:pPr>
              <w:pStyle w:val="Tabletext"/>
            </w:pPr>
            <w:r>
              <w:t>13.3</w:t>
            </w:r>
          </w:p>
        </w:tc>
      </w:tr>
      <w:tr w:rsidR="00A018DC" w:rsidRPr="00EA5119" w14:paraId="0B0DBE8D" w14:textId="6302B457" w:rsidTr="00A018DC">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0A546DF2" w14:textId="77777777" w:rsidR="00A018DC" w:rsidRPr="00A91A55" w:rsidRDefault="00A018DC" w:rsidP="000D0B9B">
            <w:pPr>
              <w:pStyle w:val="Tabletext"/>
              <w:rPr>
                <w:lang w:eastAsia="en-AU"/>
              </w:rPr>
            </w:pPr>
            <w:r w:rsidRPr="00EA5119">
              <w:rPr>
                <w:lang w:eastAsia="en-AU"/>
              </w:rPr>
              <w:t>Aged</w:t>
            </w:r>
          </w:p>
        </w:tc>
        <w:tc>
          <w:tcPr>
            <w:tcW w:w="576" w:type="pct"/>
            <w:tcBorders>
              <w:top w:val="nil"/>
              <w:left w:val="nil"/>
              <w:bottom w:val="single" w:sz="4" w:space="0" w:color="auto"/>
              <w:right w:val="single" w:sz="4" w:space="0" w:color="auto"/>
            </w:tcBorders>
            <w:shd w:val="clear" w:color="auto" w:fill="auto"/>
            <w:noWrap/>
            <w:vAlign w:val="center"/>
            <w:hideMark/>
          </w:tcPr>
          <w:p w14:paraId="640A87D9" w14:textId="0637B03A" w:rsidR="00A018DC" w:rsidRPr="00A91A55" w:rsidRDefault="00A018DC" w:rsidP="000D0B9B">
            <w:pPr>
              <w:pStyle w:val="Tabletext"/>
              <w:rPr>
                <w:rFonts w:ascii="Calibri" w:hAnsi="Calibri"/>
                <w:lang w:eastAsia="en-AU"/>
              </w:rPr>
            </w:pPr>
            <w:r>
              <w:t>5.0</w:t>
            </w:r>
          </w:p>
        </w:tc>
        <w:tc>
          <w:tcPr>
            <w:tcW w:w="658" w:type="pct"/>
            <w:tcBorders>
              <w:top w:val="nil"/>
              <w:left w:val="nil"/>
              <w:bottom w:val="single" w:sz="4" w:space="0" w:color="auto"/>
              <w:right w:val="single" w:sz="4" w:space="0" w:color="auto"/>
            </w:tcBorders>
            <w:shd w:val="clear" w:color="auto" w:fill="auto"/>
            <w:noWrap/>
            <w:vAlign w:val="center"/>
            <w:hideMark/>
          </w:tcPr>
          <w:p w14:paraId="030A6CBF" w14:textId="6D9EEE12" w:rsidR="00A018DC" w:rsidRPr="00A91A55" w:rsidRDefault="00A018DC" w:rsidP="000D0B9B">
            <w:pPr>
              <w:pStyle w:val="Tabletext"/>
              <w:rPr>
                <w:rFonts w:ascii="Calibri" w:hAnsi="Calibri"/>
                <w:lang w:eastAsia="en-AU"/>
              </w:rPr>
            </w:pPr>
            <w:r>
              <w:t>7.3</w:t>
            </w:r>
          </w:p>
        </w:tc>
        <w:tc>
          <w:tcPr>
            <w:tcW w:w="658" w:type="pct"/>
            <w:tcBorders>
              <w:top w:val="nil"/>
              <w:left w:val="nil"/>
              <w:bottom w:val="single" w:sz="4" w:space="0" w:color="auto"/>
              <w:right w:val="single" w:sz="4" w:space="0" w:color="auto"/>
            </w:tcBorders>
            <w:shd w:val="clear" w:color="auto" w:fill="auto"/>
            <w:noWrap/>
            <w:vAlign w:val="center"/>
            <w:hideMark/>
          </w:tcPr>
          <w:p w14:paraId="41FA97DB" w14:textId="3D7A3630" w:rsidR="00A018DC" w:rsidRPr="00A91A55" w:rsidRDefault="00A018DC" w:rsidP="000D0B9B">
            <w:pPr>
              <w:pStyle w:val="Tabletext"/>
              <w:rPr>
                <w:rFonts w:ascii="Calibri" w:hAnsi="Calibri"/>
                <w:lang w:eastAsia="en-AU"/>
              </w:rPr>
            </w:pPr>
            <w:r>
              <w:t>6.4</w:t>
            </w:r>
          </w:p>
        </w:tc>
        <w:tc>
          <w:tcPr>
            <w:tcW w:w="658" w:type="pct"/>
            <w:tcBorders>
              <w:top w:val="nil"/>
              <w:left w:val="nil"/>
              <w:bottom w:val="single" w:sz="4" w:space="0" w:color="auto"/>
              <w:right w:val="single" w:sz="4" w:space="0" w:color="auto"/>
            </w:tcBorders>
            <w:shd w:val="clear" w:color="auto" w:fill="auto"/>
            <w:noWrap/>
            <w:vAlign w:val="center"/>
            <w:hideMark/>
          </w:tcPr>
          <w:p w14:paraId="45A07671" w14:textId="333001D6" w:rsidR="00A018DC" w:rsidRPr="00A91A55" w:rsidRDefault="00A018DC" w:rsidP="000D0B9B">
            <w:pPr>
              <w:pStyle w:val="Tabletext"/>
              <w:rPr>
                <w:rFonts w:ascii="Calibri" w:hAnsi="Calibri"/>
                <w:lang w:eastAsia="en-AU"/>
              </w:rPr>
            </w:pPr>
            <w:r>
              <w:t>6.0</w:t>
            </w:r>
          </w:p>
        </w:tc>
        <w:tc>
          <w:tcPr>
            <w:tcW w:w="658" w:type="pct"/>
            <w:tcBorders>
              <w:top w:val="nil"/>
              <w:left w:val="nil"/>
              <w:bottom w:val="single" w:sz="4" w:space="0" w:color="auto"/>
              <w:right w:val="single" w:sz="4" w:space="0" w:color="auto"/>
            </w:tcBorders>
            <w:shd w:val="clear" w:color="auto" w:fill="auto"/>
            <w:noWrap/>
            <w:vAlign w:val="center"/>
            <w:hideMark/>
          </w:tcPr>
          <w:p w14:paraId="37EC9B47" w14:textId="0668266F" w:rsidR="00A018DC" w:rsidRPr="00A91A55" w:rsidRDefault="00A018DC" w:rsidP="000D0B9B">
            <w:pPr>
              <w:pStyle w:val="Tabletext"/>
              <w:rPr>
                <w:rFonts w:ascii="Calibri" w:hAnsi="Calibri"/>
                <w:lang w:eastAsia="en-AU"/>
              </w:rPr>
            </w:pPr>
            <w:r>
              <w:t>8.9</w:t>
            </w:r>
          </w:p>
        </w:tc>
        <w:tc>
          <w:tcPr>
            <w:tcW w:w="658" w:type="pct"/>
            <w:tcBorders>
              <w:top w:val="nil"/>
              <w:left w:val="nil"/>
              <w:bottom w:val="single" w:sz="4" w:space="0" w:color="auto"/>
              <w:right w:val="single" w:sz="4" w:space="0" w:color="auto"/>
            </w:tcBorders>
            <w:vAlign w:val="center"/>
          </w:tcPr>
          <w:p w14:paraId="79CD51C8" w14:textId="64971EA1" w:rsidR="00A018DC" w:rsidRDefault="00A018DC" w:rsidP="000D0B9B">
            <w:pPr>
              <w:pStyle w:val="Tabletext"/>
            </w:pPr>
            <w:r>
              <w:t>8.5</w:t>
            </w:r>
          </w:p>
        </w:tc>
      </w:tr>
      <w:tr w:rsidR="00A018DC" w:rsidRPr="00EA5119" w14:paraId="27BAB6E5" w14:textId="1919ECD0" w:rsidTr="00A018DC">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2953CCD7" w14:textId="428AF39A" w:rsidR="00A018DC" w:rsidRPr="00A91A55" w:rsidRDefault="00A018DC" w:rsidP="000D0B9B">
            <w:pPr>
              <w:pStyle w:val="Tabletext"/>
              <w:rPr>
                <w:lang w:eastAsia="en-AU"/>
              </w:rPr>
            </w:pPr>
            <w:r>
              <w:rPr>
                <w:lang w:eastAsia="en-AU"/>
              </w:rPr>
              <w:t xml:space="preserve">Child and </w:t>
            </w:r>
            <w:r w:rsidR="0099684E">
              <w:rPr>
                <w:lang w:eastAsia="en-AU"/>
              </w:rPr>
              <w:t>a</w:t>
            </w:r>
            <w:r w:rsidRPr="4C38E05A">
              <w:rPr>
                <w:lang w:eastAsia="en-AU"/>
              </w:rPr>
              <w:t>dolescent</w:t>
            </w:r>
          </w:p>
        </w:tc>
        <w:tc>
          <w:tcPr>
            <w:tcW w:w="576" w:type="pct"/>
            <w:tcBorders>
              <w:top w:val="nil"/>
              <w:left w:val="nil"/>
              <w:bottom w:val="single" w:sz="4" w:space="0" w:color="auto"/>
              <w:right w:val="single" w:sz="4" w:space="0" w:color="auto"/>
            </w:tcBorders>
            <w:shd w:val="clear" w:color="auto" w:fill="auto"/>
            <w:noWrap/>
            <w:vAlign w:val="center"/>
            <w:hideMark/>
          </w:tcPr>
          <w:p w14:paraId="0EE60EA1" w14:textId="63E67760" w:rsidR="00A018DC" w:rsidRPr="00A91A55" w:rsidRDefault="00A018DC" w:rsidP="000D0B9B">
            <w:pPr>
              <w:pStyle w:val="Tabletext"/>
              <w:rPr>
                <w:rFonts w:ascii="Calibri" w:hAnsi="Calibri"/>
                <w:lang w:eastAsia="en-AU"/>
              </w:rPr>
            </w:pPr>
            <w:r>
              <w:t>13.9</w:t>
            </w:r>
          </w:p>
        </w:tc>
        <w:tc>
          <w:tcPr>
            <w:tcW w:w="658" w:type="pct"/>
            <w:tcBorders>
              <w:top w:val="nil"/>
              <w:left w:val="nil"/>
              <w:bottom w:val="single" w:sz="4" w:space="0" w:color="auto"/>
              <w:right w:val="single" w:sz="4" w:space="0" w:color="auto"/>
            </w:tcBorders>
            <w:shd w:val="clear" w:color="auto" w:fill="auto"/>
            <w:noWrap/>
            <w:vAlign w:val="center"/>
            <w:hideMark/>
          </w:tcPr>
          <w:p w14:paraId="2ACBE4A5" w14:textId="5DE5F799" w:rsidR="00A018DC" w:rsidRPr="00A91A55" w:rsidRDefault="00A018DC" w:rsidP="000D0B9B">
            <w:pPr>
              <w:pStyle w:val="Tabletext"/>
              <w:rPr>
                <w:rFonts w:ascii="Calibri" w:hAnsi="Calibri"/>
                <w:lang w:eastAsia="en-AU"/>
              </w:rPr>
            </w:pPr>
            <w:r>
              <w:t>17.8</w:t>
            </w:r>
          </w:p>
        </w:tc>
        <w:tc>
          <w:tcPr>
            <w:tcW w:w="658" w:type="pct"/>
            <w:tcBorders>
              <w:top w:val="nil"/>
              <w:left w:val="nil"/>
              <w:bottom w:val="single" w:sz="4" w:space="0" w:color="auto"/>
              <w:right w:val="single" w:sz="4" w:space="0" w:color="auto"/>
            </w:tcBorders>
            <w:shd w:val="clear" w:color="auto" w:fill="auto"/>
            <w:noWrap/>
            <w:vAlign w:val="center"/>
            <w:hideMark/>
          </w:tcPr>
          <w:p w14:paraId="6B0F6395" w14:textId="14954C9C" w:rsidR="00A018DC" w:rsidRPr="00A91A55" w:rsidRDefault="00A018DC" w:rsidP="000D0B9B">
            <w:pPr>
              <w:pStyle w:val="Tabletext"/>
              <w:rPr>
                <w:rFonts w:ascii="Calibri" w:hAnsi="Calibri"/>
                <w:lang w:eastAsia="en-AU"/>
              </w:rPr>
            </w:pPr>
            <w:r>
              <w:t>33.4</w:t>
            </w:r>
          </w:p>
        </w:tc>
        <w:tc>
          <w:tcPr>
            <w:tcW w:w="658" w:type="pct"/>
            <w:tcBorders>
              <w:top w:val="nil"/>
              <w:left w:val="nil"/>
              <w:bottom w:val="single" w:sz="4" w:space="0" w:color="auto"/>
              <w:right w:val="single" w:sz="4" w:space="0" w:color="auto"/>
            </w:tcBorders>
            <w:shd w:val="clear" w:color="auto" w:fill="auto"/>
            <w:noWrap/>
            <w:vAlign w:val="center"/>
            <w:hideMark/>
          </w:tcPr>
          <w:p w14:paraId="486C3C92" w14:textId="6B88504C" w:rsidR="00A018DC" w:rsidRPr="00A91A55" w:rsidRDefault="00A018DC" w:rsidP="000D0B9B">
            <w:pPr>
              <w:pStyle w:val="Tabletext"/>
              <w:rPr>
                <w:rFonts w:ascii="Calibri" w:hAnsi="Calibri"/>
                <w:lang w:eastAsia="en-AU"/>
              </w:rPr>
            </w:pPr>
            <w:r>
              <w:t>45.0</w:t>
            </w:r>
          </w:p>
        </w:tc>
        <w:tc>
          <w:tcPr>
            <w:tcW w:w="658" w:type="pct"/>
            <w:tcBorders>
              <w:top w:val="nil"/>
              <w:left w:val="nil"/>
              <w:bottom w:val="single" w:sz="4" w:space="0" w:color="auto"/>
              <w:right w:val="single" w:sz="4" w:space="0" w:color="auto"/>
            </w:tcBorders>
            <w:shd w:val="clear" w:color="auto" w:fill="auto"/>
            <w:noWrap/>
            <w:vAlign w:val="center"/>
            <w:hideMark/>
          </w:tcPr>
          <w:p w14:paraId="7B5C872D" w14:textId="517D9392" w:rsidR="00A018DC" w:rsidRPr="00A91A55" w:rsidRDefault="00A018DC" w:rsidP="000D0B9B">
            <w:pPr>
              <w:pStyle w:val="Tabletext"/>
              <w:rPr>
                <w:rFonts w:ascii="Calibri" w:hAnsi="Calibri"/>
                <w:lang w:eastAsia="en-AU"/>
              </w:rPr>
            </w:pPr>
            <w:r>
              <w:t>49.9</w:t>
            </w:r>
          </w:p>
        </w:tc>
        <w:tc>
          <w:tcPr>
            <w:tcW w:w="658" w:type="pct"/>
            <w:tcBorders>
              <w:top w:val="nil"/>
              <w:left w:val="nil"/>
              <w:bottom w:val="single" w:sz="4" w:space="0" w:color="auto"/>
              <w:right w:val="single" w:sz="4" w:space="0" w:color="auto"/>
            </w:tcBorders>
            <w:vAlign w:val="center"/>
          </w:tcPr>
          <w:p w14:paraId="129E99D8" w14:textId="59931BF5" w:rsidR="00A018DC" w:rsidRDefault="00A018DC" w:rsidP="000D0B9B">
            <w:pPr>
              <w:pStyle w:val="Tabletext"/>
            </w:pPr>
            <w:r>
              <w:t>57.0</w:t>
            </w:r>
          </w:p>
        </w:tc>
      </w:tr>
      <w:tr w:rsidR="00A018DC" w:rsidRPr="00EA5119" w14:paraId="0FE2674D" w14:textId="28DF0F8E" w:rsidTr="00A018DC">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4107383F" w14:textId="77777777" w:rsidR="00A018DC" w:rsidRPr="00A91A55" w:rsidRDefault="00A018DC" w:rsidP="000D0B9B">
            <w:pPr>
              <w:pStyle w:val="Tabletext"/>
              <w:rPr>
                <w:lang w:eastAsia="en-AU"/>
              </w:rPr>
            </w:pPr>
            <w:r w:rsidRPr="00EA5119">
              <w:rPr>
                <w:lang w:eastAsia="en-AU"/>
              </w:rPr>
              <w:t>Forensic</w:t>
            </w:r>
          </w:p>
        </w:tc>
        <w:tc>
          <w:tcPr>
            <w:tcW w:w="576" w:type="pct"/>
            <w:tcBorders>
              <w:top w:val="nil"/>
              <w:left w:val="nil"/>
              <w:bottom w:val="single" w:sz="4" w:space="0" w:color="auto"/>
              <w:right w:val="single" w:sz="4" w:space="0" w:color="auto"/>
            </w:tcBorders>
            <w:shd w:val="clear" w:color="auto" w:fill="auto"/>
            <w:noWrap/>
            <w:vAlign w:val="center"/>
            <w:hideMark/>
          </w:tcPr>
          <w:p w14:paraId="4D05A68C" w14:textId="6E81962B" w:rsidR="00A018DC" w:rsidRPr="00A91A55" w:rsidRDefault="00A018DC" w:rsidP="000D0B9B">
            <w:pPr>
              <w:pStyle w:val="Tabletext"/>
              <w:rPr>
                <w:rFonts w:ascii="Calibri" w:hAnsi="Calibri"/>
                <w:lang w:eastAsia="en-AU"/>
              </w:rPr>
            </w:pPr>
            <w:r>
              <w:t>172.4</w:t>
            </w:r>
          </w:p>
        </w:tc>
        <w:tc>
          <w:tcPr>
            <w:tcW w:w="658" w:type="pct"/>
            <w:tcBorders>
              <w:top w:val="nil"/>
              <w:left w:val="nil"/>
              <w:bottom w:val="single" w:sz="4" w:space="0" w:color="auto"/>
              <w:right w:val="single" w:sz="4" w:space="0" w:color="auto"/>
            </w:tcBorders>
            <w:shd w:val="clear" w:color="auto" w:fill="auto"/>
            <w:noWrap/>
            <w:vAlign w:val="center"/>
            <w:hideMark/>
          </w:tcPr>
          <w:p w14:paraId="6CD324A5" w14:textId="2D17C80E" w:rsidR="00A018DC" w:rsidRPr="00A91A55" w:rsidRDefault="00A018DC" w:rsidP="000D0B9B">
            <w:pPr>
              <w:pStyle w:val="Tabletext"/>
              <w:rPr>
                <w:rFonts w:ascii="Calibri" w:hAnsi="Calibri"/>
                <w:lang w:eastAsia="en-AU"/>
              </w:rPr>
            </w:pPr>
            <w:r>
              <w:t>115.8</w:t>
            </w:r>
          </w:p>
        </w:tc>
        <w:tc>
          <w:tcPr>
            <w:tcW w:w="658" w:type="pct"/>
            <w:tcBorders>
              <w:top w:val="nil"/>
              <w:left w:val="nil"/>
              <w:bottom w:val="single" w:sz="4" w:space="0" w:color="auto"/>
              <w:right w:val="single" w:sz="4" w:space="0" w:color="auto"/>
            </w:tcBorders>
            <w:shd w:val="clear" w:color="auto" w:fill="auto"/>
            <w:noWrap/>
            <w:vAlign w:val="center"/>
            <w:hideMark/>
          </w:tcPr>
          <w:p w14:paraId="7B31BB55" w14:textId="5617C52F" w:rsidR="00A018DC" w:rsidRPr="00A91A55" w:rsidRDefault="00A018DC" w:rsidP="000D0B9B">
            <w:pPr>
              <w:pStyle w:val="Tabletext"/>
              <w:rPr>
                <w:rFonts w:ascii="Calibri" w:hAnsi="Calibri"/>
                <w:lang w:eastAsia="en-AU"/>
              </w:rPr>
            </w:pPr>
            <w:r>
              <w:t>146.6</w:t>
            </w:r>
          </w:p>
        </w:tc>
        <w:tc>
          <w:tcPr>
            <w:tcW w:w="658" w:type="pct"/>
            <w:tcBorders>
              <w:top w:val="nil"/>
              <w:left w:val="nil"/>
              <w:bottom w:val="single" w:sz="4" w:space="0" w:color="auto"/>
              <w:right w:val="single" w:sz="4" w:space="0" w:color="auto"/>
            </w:tcBorders>
            <w:shd w:val="clear" w:color="auto" w:fill="auto"/>
            <w:noWrap/>
            <w:vAlign w:val="center"/>
            <w:hideMark/>
          </w:tcPr>
          <w:p w14:paraId="3DECB393" w14:textId="0470AE4A" w:rsidR="00A018DC" w:rsidRPr="00A91A55" w:rsidRDefault="00A018DC" w:rsidP="000D0B9B">
            <w:pPr>
              <w:pStyle w:val="Tabletext"/>
              <w:rPr>
                <w:rFonts w:ascii="Calibri" w:hAnsi="Calibri"/>
                <w:lang w:eastAsia="en-AU"/>
              </w:rPr>
            </w:pPr>
            <w:r>
              <w:t>162.1</w:t>
            </w:r>
          </w:p>
        </w:tc>
        <w:tc>
          <w:tcPr>
            <w:tcW w:w="658" w:type="pct"/>
            <w:tcBorders>
              <w:top w:val="nil"/>
              <w:left w:val="nil"/>
              <w:bottom w:val="single" w:sz="4" w:space="0" w:color="auto"/>
              <w:right w:val="single" w:sz="4" w:space="0" w:color="auto"/>
            </w:tcBorders>
            <w:shd w:val="clear" w:color="auto" w:fill="auto"/>
            <w:noWrap/>
            <w:vAlign w:val="center"/>
            <w:hideMark/>
          </w:tcPr>
          <w:p w14:paraId="3CB1E672" w14:textId="787EA88A" w:rsidR="00A018DC" w:rsidRPr="00A91A55" w:rsidRDefault="00A018DC" w:rsidP="000D0B9B">
            <w:pPr>
              <w:pStyle w:val="Tabletext"/>
              <w:rPr>
                <w:rFonts w:ascii="Calibri" w:hAnsi="Calibri"/>
                <w:lang w:eastAsia="en-AU"/>
              </w:rPr>
            </w:pPr>
            <w:r>
              <w:t>90.3</w:t>
            </w:r>
          </w:p>
        </w:tc>
        <w:tc>
          <w:tcPr>
            <w:tcW w:w="658" w:type="pct"/>
            <w:tcBorders>
              <w:top w:val="nil"/>
              <w:left w:val="nil"/>
              <w:bottom w:val="single" w:sz="4" w:space="0" w:color="auto"/>
              <w:right w:val="single" w:sz="4" w:space="0" w:color="auto"/>
            </w:tcBorders>
            <w:vAlign w:val="center"/>
          </w:tcPr>
          <w:p w14:paraId="106471F6" w14:textId="2E14BCA1" w:rsidR="00A018DC" w:rsidRDefault="00A018DC" w:rsidP="000D0B9B">
            <w:pPr>
              <w:pStyle w:val="Tabletext"/>
            </w:pPr>
            <w:r>
              <w:t>76.5</w:t>
            </w:r>
          </w:p>
        </w:tc>
      </w:tr>
      <w:tr w:rsidR="00A018DC" w:rsidRPr="00EA5119" w14:paraId="2CBAAF46" w14:textId="40D02C88" w:rsidTr="00A018DC">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7BA1BE2D" w14:textId="77777777" w:rsidR="00A018DC" w:rsidRPr="00A91A55" w:rsidRDefault="00A018DC" w:rsidP="000D0B9B">
            <w:pPr>
              <w:pStyle w:val="Tabletext"/>
              <w:rPr>
                <w:lang w:eastAsia="en-AU"/>
              </w:rPr>
            </w:pPr>
            <w:r w:rsidRPr="00EA5119">
              <w:rPr>
                <w:lang w:eastAsia="en-AU"/>
              </w:rPr>
              <w:t>Specialist</w:t>
            </w:r>
          </w:p>
        </w:tc>
        <w:tc>
          <w:tcPr>
            <w:tcW w:w="576" w:type="pct"/>
            <w:tcBorders>
              <w:top w:val="nil"/>
              <w:left w:val="nil"/>
              <w:bottom w:val="single" w:sz="4" w:space="0" w:color="auto"/>
              <w:right w:val="single" w:sz="4" w:space="0" w:color="auto"/>
            </w:tcBorders>
            <w:shd w:val="clear" w:color="auto" w:fill="auto"/>
            <w:noWrap/>
            <w:vAlign w:val="center"/>
            <w:hideMark/>
          </w:tcPr>
          <w:p w14:paraId="0709AFF3" w14:textId="35FCD316" w:rsidR="00A018DC" w:rsidRPr="00A91A55" w:rsidRDefault="00A018DC" w:rsidP="000D0B9B">
            <w:pPr>
              <w:pStyle w:val="Tabletext"/>
              <w:rPr>
                <w:rFonts w:ascii="Calibri" w:hAnsi="Calibri"/>
                <w:lang w:eastAsia="en-AU"/>
              </w:rPr>
            </w:pPr>
            <w:r>
              <w:t>1.8</w:t>
            </w:r>
          </w:p>
        </w:tc>
        <w:tc>
          <w:tcPr>
            <w:tcW w:w="658" w:type="pct"/>
            <w:tcBorders>
              <w:top w:val="nil"/>
              <w:left w:val="nil"/>
              <w:bottom w:val="single" w:sz="4" w:space="0" w:color="auto"/>
              <w:right w:val="single" w:sz="4" w:space="0" w:color="auto"/>
            </w:tcBorders>
            <w:shd w:val="clear" w:color="auto" w:fill="auto"/>
            <w:noWrap/>
            <w:vAlign w:val="center"/>
            <w:hideMark/>
          </w:tcPr>
          <w:p w14:paraId="19AFAA76" w14:textId="4A727FD9" w:rsidR="00A018DC" w:rsidRPr="00A91A55" w:rsidRDefault="00A018DC" w:rsidP="000D0B9B">
            <w:pPr>
              <w:pStyle w:val="Tabletext"/>
              <w:rPr>
                <w:rFonts w:ascii="Calibri" w:hAnsi="Calibri"/>
                <w:lang w:eastAsia="en-AU"/>
              </w:rPr>
            </w:pPr>
            <w:r>
              <w:t>1.1</w:t>
            </w:r>
          </w:p>
        </w:tc>
        <w:tc>
          <w:tcPr>
            <w:tcW w:w="658" w:type="pct"/>
            <w:tcBorders>
              <w:top w:val="nil"/>
              <w:left w:val="nil"/>
              <w:bottom w:val="single" w:sz="4" w:space="0" w:color="auto"/>
              <w:right w:val="single" w:sz="4" w:space="0" w:color="auto"/>
            </w:tcBorders>
            <w:shd w:val="clear" w:color="auto" w:fill="auto"/>
            <w:noWrap/>
            <w:vAlign w:val="center"/>
            <w:hideMark/>
          </w:tcPr>
          <w:p w14:paraId="032B38A7" w14:textId="747AA6ED" w:rsidR="00A018DC" w:rsidRPr="00A91A55" w:rsidRDefault="00A018DC" w:rsidP="000D0B9B">
            <w:pPr>
              <w:pStyle w:val="Tabletext"/>
              <w:rPr>
                <w:rFonts w:ascii="Calibri" w:hAnsi="Calibri"/>
                <w:lang w:eastAsia="en-AU"/>
              </w:rPr>
            </w:pPr>
            <w:r>
              <w:t>1.1</w:t>
            </w:r>
          </w:p>
        </w:tc>
        <w:tc>
          <w:tcPr>
            <w:tcW w:w="658" w:type="pct"/>
            <w:tcBorders>
              <w:top w:val="nil"/>
              <w:left w:val="nil"/>
              <w:bottom w:val="single" w:sz="4" w:space="0" w:color="auto"/>
              <w:right w:val="single" w:sz="4" w:space="0" w:color="auto"/>
            </w:tcBorders>
            <w:shd w:val="clear" w:color="auto" w:fill="auto"/>
            <w:noWrap/>
            <w:vAlign w:val="center"/>
            <w:hideMark/>
          </w:tcPr>
          <w:p w14:paraId="2C291298" w14:textId="0B279A58" w:rsidR="00A018DC" w:rsidRPr="00A91A55" w:rsidRDefault="00A018DC" w:rsidP="000D0B9B">
            <w:pPr>
              <w:pStyle w:val="Tabletext"/>
              <w:rPr>
                <w:rFonts w:ascii="Calibri" w:hAnsi="Calibri"/>
                <w:lang w:eastAsia="en-AU"/>
              </w:rPr>
            </w:pPr>
            <w:r>
              <w:t>0.5</w:t>
            </w:r>
          </w:p>
        </w:tc>
        <w:tc>
          <w:tcPr>
            <w:tcW w:w="658" w:type="pct"/>
            <w:tcBorders>
              <w:top w:val="nil"/>
              <w:left w:val="nil"/>
              <w:bottom w:val="single" w:sz="4" w:space="0" w:color="auto"/>
              <w:right w:val="single" w:sz="4" w:space="0" w:color="auto"/>
            </w:tcBorders>
            <w:shd w:val="clear" w:color="auto" w:fill="auto"/>
            <w:noWrap/>
            <w:vAlign w:val="center"/>
            <w:hideMark/>
          </w:tcPr>
          <w:p w14:paraId="3EBB2657" w14:textId="2E607AD7" w:rsidR="00A018DC" w:rsidRPr="00A91A55" w:rsidRDefault="00A018DC" w:rsidP="000D0B9B">
            <w:pPr>
              <w:pStyle w:val="Tabletext"/>
              <w:rPr>
                <w:rFonts w:ascii="Calibri" w:hAnsi="Calibri"/>
                <w:lang w:eastAsia="en-AU"/>
              </w:rPr>
            </w:pPr>
            <w:r>
              <w:t>0.8</w:t>
            </w:r>
          </w:p>
        </w:tc>
        <w:tc>
          <w:tcPr>
            <w:tcW w:w="658" w:type="pct"/>
            <w:tcBorders>
              <w:top w:val="nil"/>
              <w:left w:val="nil"/>
              <w:bottom w:val="single" w:sz="4" w:space="0" w:color="auto"/>
              <w:right w:val="single" w:sz="4" w:space="0" w:color="auto"/>
            </w:tcBorders>
            <w:vAlign w:val="center"/>
          </w:tcPr>
          <w:p w14:paraId="0D4938D2" w14:textId="4655533C" w:rsidR="00A018DC" w:rsidRDefault="00A018DC" w:rsidP="000D0B9B">
            <w:pPr>
              <w:pStyle w:val="Tabletext"/>
            </w:pPr>
            <w:r>
              <w:t>1.0</w:t>
            </w:r>
          </w:p>
        </w:tc>
      </w:tr>
      <w:tr w:rsidR="00A018DC" w:rsidRPr="00EA5119" w14:paraId="1C3C52FD" w14:textId="0DF41C18" w:rsidTr="00A018DC">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10E2D7D7" w14:textId="77777777" w:rsidR="00A018DC" w:rsidRPr="00D55654" w:rsidRDefault="00A018DC" w:rsidP="000D0B9B">
            <w:pPr>
              <w:pStyle w:val="Tabletext"/>
              <w:rPr>
                <w:b/>
                <w:bCs/>
                <w:lang w:eastAsia="en-AU"/>
              </w:rPr>
            </w:pPr>
            <w:r w:rsidRPr="00D55654">
              <w:rPr>
                <w:b/>
                <w:bCs/>
                <w:lang w:eastAsia="en-AU"/>
              </w:rPr>
              <w:t>Total</w:t>
            </w:r>
          </w:p>
        </w:tc>
        <w:tc>
          <w:tcPr>
            <w:tcW w:w="576" w:type="pct"/>
            <w:tcBorders>
              <w:top w:val="nil"/>
              <w:left w:val="nil"/>
              <w:bottom w:val="single" w:sz="4" w:space="0" w:color="auto"/>
              <w:right w:val="single" w:sz="4" w:space="0" w:color="auto"/>
            </w:tcBorders>
            <w:shd w:val="clear" w:color="auto" w:fill="auto"/>
            <w:noWrap/>
            <w:vAlign w:val="center"/>
            <w:hideMark/>
          </w:tcPr>
          <w:p w14:paraId="697F0A8D" w14:textId="55E17243" w:rsidR="00A018DC" w:rsidRPr="00D55654" w:rsidRDefault="00A018DC" w:rsidP="000D0B9B">
            <w:pPr>
              <w:pStyle w:val="Tabletext"/>
              <w:rPr>
                <w:rFonts w:ascii="Calibri" w:hAnsi="Calibri"/>
                <w:b/>
                <w:bCs/>
                <w:lang w:eastAsia="en-AU"/>
              </w:rPr>
            </w:pPr>
            <w:r w:rsidRPr="00D55654">
              <w:rPr>
                <w:b/>
                <w:bCs/>
              </w:rPr>
              <w:t>25.7</w:t>
            </w:r>
          </w:p>
        </w:tc>
        <w:tc>
          <w:tcPr>
            <w:tcW w:w="658" w:type="pct"/>
            <w:tcBorders>
              <w:top w:val="nil"/>
              <w:left w:val="nil"/>
              <w:bottom w:val="single" w:sz="4" w:space="0" w:color="auto"/>
              <w:right w:val="single" w:sz="4" w:space="0" w:color="auto"/>
            </w:tcBorders>
            <w:shd w:val="clear" w:color="auto" w:fill="auto"/>
            <w:noWrap/>
            <w:vAlign w:val="center"/>
            <w:hideMark/>
          </w:tcPr>
          <w:p w14:paraId="49C4ACF2" w14:textId="4865A9FB" w:rsidR="00A018DC" w:rsidRPr="00D55654" w:rsidRDefault="00A018DC" w:rsidP="000D0B9B">
            <w:pPr>
              <w:pStyle w:val="Tabletext"/>
              <w:rPr>
                <w:rFonts w:ascii="Calibri" w:hAnsi="Calibri"/>
                <w:b/>
                <w:bCs/>
                <w:lang w:eastAsia="en-AU"/>
              </w:rPr>
            </w:pPr>
            <w:r w:rsidRPr="00D55654">
              <w:rPr>
                <w:b/>
                <w:bCs/>
              </w:rPr>
              <w:t>19.1</w:t>
            </w:r>
          </w:p>
        </w:tc>
        <w:tc>
          <w:tcPr>
            <w:tcW w:w="658" w:type="pct"/>
            <w:tcBorders>
              <w:top w:val="nil"/>
              <w:left w:val="nil"/>
              <w:bottom w:val="single" w:sz="4" w:space="0" w:color="auto"/>
              <w:right w:val="single" w:sz="4" w:space="0" w:color="auto"/>
            </w:tcBorders>
            <w:shd w:val="clear" w:color="auto" w:fill="auto"/>
            <w:noWrap/>
            <w:vAlign w:val="center"/>
            <w:hideMark/>
          </w:tcPr>
          <w:p w14:paraId="192BA512" w14:textId="7905086E" w:rsidR="00A018DC" w:rsidRPr="00D55654" w:rsidRDefault="00A018DC" w:rsidP="000D0B9B">
            <w:pPr>
              <w:pStyle w:val="Tabletext"/>
              <w:rPr>
                <w:rFonts w:ascii="Calibri" w:hAnsi="Calibri"/>
                <w:b/>
                <w:bCs/>
                <w:lang w:eastAsia="en-AU"/>
              </w:rPr>
            </w:pPr>
            <w:r w:rsidRPr="00D55654">
              <w:rPr>
                <w:b/>
                <w:bCs/>
              </w:rPr>
              <w:t>22.8</w:t>
            </w:r>
          </w:p>
        </w:tc>
        <w:tc>
          <w:tcPr>
            <w:tcW w:w="658" w:type="pct"/>
            <w:tcBorders>
              <w:top w:val="nil"/>
              <w:left w:val="nil"/>
              <w:bottom w:val="single" w:sz="4" w:space="0" w:color="auto"/>
              <w:right w:val="single" w:sz="4" w:space="0" w:color="auto"/>
            </w:tcBorders>
            <w:shd w:val="clear" w:color="auto" w:fill="auto"/>
            <w:noWrap/>
            <w:vAlign w:val="center"/>
            <w:hideMark/>
          </w:tcPr>
          <w:p w14:paraId="3A685F42" w14:textId="0A4E6286" w:rsidR="00A018DC" w:rsidRPr="00D55654" w:rsidRDefault="00A018DC" w:rsidP="000D0B9B">
            <w:pPr>
              <w:pStyle w:val="Tabletext"/>
              <w:rPr>
                <w:rFonts w:ascii="Calibri" w:hAnsi="Calibri"/>
                <w:b/>
                <w:bCs/>
                <w:lang w:eastAsia="en-AU"/>
              </w:rPr>
            </w:pPr>
            <w:r w:rsidRPr="00D55654">
              <w:rPr>
                <w:b/>
                <w:bCs/>
              </w:rPr>
              <w:t>26.1</w:t>
            </w:r>
          </w:p>
        </w:tc>
        <w:tc>
          <w:tcPr>
            <w:tcW w:w="658" w:type="pct"/>
            <w:tcBorders>
              <w:top w:val="nil"/>
              <w:left w:val="nil"/>
              <w:bottom w:val="single" w:sz="4" w:space="0" w:color="auto"/>
              <w:right w:val="single" w:sz="4" w:space="0" w:color="auto"/>
            </w:tcBorders>
            <w:shd w:val="clear" w:color="auto" w:fill="auto"/>
            <w:noWrap/>
            <w:vAlign w:val="center"/>
            <w:hideMark/>
          </w:tcPr>
          <w:p w14:paraId="511B37E6" w14:textId="685C8105" w:rsidR="00A018DC" w:rsidRPr="00D55654" w:rsidRDefault="00A018DC" w:rsidP="000D0B9B">
            <w:pPr>
              <w:pStyle w:val="Tabletext"/>
              <w:rPr>
                <w:rFonts w:ascii="Calibri" w:hAnsi="Calibri"/>
                <w:b/>
                <w:bCs/>
                <w:lang w:eastAsia="en-AU"/>
              </w:rPr>
            </w:pPr>
            <w:r w:rsidRPr="00D55654">
              <w:rPr>
                <w:b/>
                <w:bCs/>
              </w:rPr>
              <w:t>21.0</w:t>
            </w:r>
          </w:p>
        </w:tc>
        <w:tc>
          <w:tcPr>
            <w:tcW w:w="658" w:type="pct"/>
            <w:tcBorders>
              <w:top w:val="nil"/>
              <w:left w:val="nil"/>
              <w:bottom w:val="single" w:sz="4" w:space="0" w:color="auto"/>
              <w:right w:val="single" w:sz="4" w:space="0" w:color="auto"/>
            </w:tcBorders>
            <w:vAlign w:val="center"/>
          </w:tcPr>
          <w:p w14:paraId="68E66CE1" w14:textId="3FCE8498" w:rsidR="00A018DC" w:rsidRPr="00D55654" w:rsidRDefault="00A018DC" w:rsidP="000D0B9B">
            <w:pPr>
              <w:pStyle w:val="Tabletext"/>
              <w:rPr>
                <w:b/>
                <w:bCs/>
              </w:rPr>
            </w:pPr>
            <w:r w:rsidRPr="00D55654">
              <w:rPr>
                <w:b/>
                <w:bCs/>
              </w:rPr>
              <w:t>21.1</w:t>
            </w:r>
          </w:p>
        </w:tc>
      </w:tr>
    </w:tbl>
    <w:p w14:paraId="66227F8D" w14:textId="67B02B91" w:rsidR="00381B2F" w:rsidRPr="00A83DB5" w:rsidRDefault="00381B2F" w:rsidP="00643556">
      <w:pPr>
        <w:pStyle w:val="Bodyaftertable"/>
      </w:pPr>
      <w:r>
        <w:t xml:space="preserve">Physical restraint accounted for the vast majority of instances (Table </w:t>
      </w:r>
      <w:r w:rsidR="60058D43">
        <w:t>1</w:t>
      </w:r>
      <w:r w:rsidR="00CC7406">
        <w:t>6</w:t>
      </w:r>
      <w:r>
        <w:t xml:space="preserve">). While the number of episodes of mechanical restraint </w:t>
      </w:r>
      <w:r w:rsidR="00882CBB">
        <w:t>stabilised in 2020</w:t>
      </w:r>
      <w:r w:rsidR="0099684E">
        <w:t>–</w:t>
      </w:r>
      <w:r w:rsidR="00882CBB">
        <w:t>21</w:t>
      </w:r>
      <w:r>
        <w:t>, its use has fallen steeply since 2015</w:t>
      </w:r>
      <w:r w:rsidR="0012686C">
        <w:t>–1</w:t>
      </w:r>
      <w:r>
        <w:t>6.</w:t>
      </w:r>
    </w:p>
    <w:p w14:paraId="5484336A" w14:textId="64D44331" w:rsidR="00381B2F" w:rsidRDefault="00381B2F" w:rsidP="000D0B9B">
      <w:pPr>
        <w:pStyle w:val="Tablecaption"/>
      </w:pPr>
      <w:r>
        <w:lastRenderedPageBreak/>
        <w:t xml:space="preserve">Table </w:t>
      </w:r>
      <w:r w:rsidR="21B90331">
        <w:t>1</w:t>
      </w:r>
      <w:r w:rsidR="00CC7406">
        <w:t>6</w:t>
      </w:r>
      <w:r>
        <w:t xml:space="preserve">: Type of restraint episodes, 2015–16 to </w:t>
      </w:r>
      <w:r w:rsidR="007B2175">
        <w:t>2020–21</w:t>
      </w:r>
    </w:p>
    <w:tbl>
      <w:tblPr>
        <w:tblW w:w="5000" w:type="pct"/>
        <w:tblLook w:val="04A0" w:firstRow="1" w:lastRow="0" w:firstColumn="1" w:lastColumn="0" w:noHBand="0" w:noVBand="1"/>
      </w:tblPr>
      <w:tblGrid>
        <w:gridCol w:w="2505"/>
        <w:gridCol w:w="1130"/>
        <w:gridCol w:w="1131"/>
        <w:gridCol w:w="1131"/>
        <w:gridCol w:w="1129"/>
        <w:gridCol w:w="1131"/>
        <w:gridCol w:w="1131"/>
      </w:tblGrid>
      <w:tr w:rsidR="00D87D58" w:rsidRPr="00EC75D2" w14:paraId="108DF093" w14:textId="629E28D7" w:rsidTr="008B4B58">
        <w:trPr>
          <w:trHeight w:val="300"/>
          <w:tblHeader/>
        </w:trPr>
        <w:tc>
          <w:tcPr>
            <w:tcW w:w="1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5DA47" w14:textId="1ECC7E50" w:rsidR="00D87D58" w:rsidRPr="00EC75D2" w:rsidRDefault="00D87D58" w:rsidP="000D0B9B">
            <w:pPr>
              <w:pStyle w:val="Tablecolhead"/>
              <w:rPr>
                <w:lang w:eastAsia="en-AU"/>
              </w:rPr>
            </w:pPr>
            <w:r>
              <w:rPr>
                <w:lang w:eastAsia="en-AU"/>
              </w:rPr>
              <w:t>Restraint type</w:t>
            </w:r>
            <w:r w:rsidRPr="00EC75D2">
              <w:rPr>
                <w:lang w:eastAsia="en-AU"/>
              </w:rPr>
              <w:t> </w:t>
            </w:r>
          </w:p>
        </w:tc>
        <w:tc>
          <w:tcPr>
            <w:tcW w:w="608" w:type="pct"/>
            <w:tcBorders>
              <w:top w:val="single" w:sz="4" w:space="0" w:color="auto"/>
              <w:left w:val="nil"/>
              <w:bottom w:val="single" w:sz="4" w:space="0" w:color="auto"/>
              <w:right w:val="single" w:sz="4" w:space="0" w:color="auto"/>
            </w:tcBorders>
            <w:shd w:val="clear" w:color="auto" w:fill="auto"/>
            <w:noWrap/>
            <w:vAlign w:val="bottom"/>
            <w:hideMark/>
          </w:tcPr>
          <w:p w14:paraId="67639BD9" w14:textId="09E1574A" w:rsidR="00D87D58" w:rsidRPr="00EC75D2" w:rsidRDefault="00D87D58" w:rsidP="000D0B9B">
            <w:pPr>
              <w:pStyle w:val="Tablecolhead"/>
              <w:rPr>
                <w:lang w:eastAsia="en-AU"/>
              </w:rPr>
            </w:pPr>
            <w:r w:rsidRPr="00EC75D2">
              <w:rPr>
                <w:lang w:eastAsia="en-AU"/>
              </w:rPr>
              <w:t>2015</w:t>
            </w:r>
            <w:r>
              <w:rPr>
                <w:lang w:eastAsia="en-AU"/>
              </w:rPr>
              <w:t>–1</w:t>
            </w:r>
            <w:r w:rsidRPr="00EC75D2">
              <w:rPr>
                <w:lang w:eastAsia="en-AU"/>
              </w:rPr>
              <w:t>6</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735ECDAA" w14:textId="0261F1EB" w:rsidR="00D87D58" w:rsidRPr="00EC75D2" w:rsidRDefault="00D87D58" w:rsidP="000D0B9B">
            <w:pPr>
              <w:pStyle w:val="Tablecolhead"/>
              <w:rPr>
                <w:lang w:eastAsia="en-AU"/>
              </w:rPr>
            </w:pPr>
            <w:r w:rsidRPr="00EC75D2">
              <w:rPr>
                <w:lang w:eastAsia="en-AU"/>
              </w:rPr>
              <w:t>2016</w:t>
            </w:r>
            <w:r>
              <w:rPr>
                <w:lang w:eastAsia="en-AU"/>
              </w:rPr>
              <w:t>–1</w:t>
            </w:r>
            <w:r w:rsidRPr="00EC75D2">
              <w:rPr>
                <w:lang w:eastAsia="en-AU"/>
              </w:rPr>
              <w:t>7</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1704D9F0" w14:textId="141EFD47" w:rsidR="00D87D58" w:rsidRPr="00EC75D2" w:rsidRDefault="00D87D58" w:rsidP="000D0B9B">
            <w:pPr>
              <w:pStyle w:val="Tablecolhead"/>
              <w:rPr>
                <w:lang w:eastAsia="en-AU"/>
              </w:rPr>
            </w:pPr>
            <w:r w:rsidRPr="00EC75D2">
              <w:rPr>
                <w:lang w:eastAsia="en-AU"/>
              </w:rPr>
              <w:t>2017</w:t>
            </w:r>
            <w:r>
              <w:rPr>
                <w:lang w:eastAsia="en-AU"/>
              </w:rPr>
              <w:t>–1</w:t>
            </w:r>
            <w:r w:rsidRPr="00EC75D2">
              <w:rPr>
                <w:lang w:eastAsia="en-AU"/>
              </w:rPr>
              <w:t>8</w:t>
            </w:r>
          </w:p>
        </w:tc>
        <w:tc>
          <w:tcPr>
            <w:tcW w:w="608" w:type="pct"/>
            <w:tcBorders>
              <w:top w:val="single" w:sz="4" w:space="0" w:color="auto"/>
              <w:left w:val="nil"/>
              <w:bottom w:val="single" w:sz="4" w:space="0" w:color="auto"/>
              <w:right w:val="single" w:sz="4" w:space="0" w:color="auto"/>
            </w:tcBorders>
            <w:shd w:val="clear" w:color="auto" w:fill="auto"/>
            <w:noWrap/>
            <w:vAlign w:val="bottom"/>
            <w:hideMark/>
          </w:tcPr>
          <w:p w14:paraId="3029844F" w14:textId="5BAFE2B2" w:rsidR="00D87D58" w:rsidRPr="00EC75D2" w:rsidRDefault="00D87D58" w:rsidP="000D0B9B">
            <w:pPr>
              <w:pStyle w:val="Tablecolhead"/>
              <w:rPr>
                <w:lang w:eastAsia="en-AU"/>
              </w:rPr>
            </w:pPr>
            <w:r w:rsidRPr="00EC75D2">
              <w:rPr>
                <w:lang w:eastAsia="en-AU"/>
              </w:rPr>
              <w:t>2018</w:t>
            </w:r>
            <w:r>
              <w:rPr>
                <w:lang w:eastAsia="en-AU"/>
              </w:rPr>
              <w:t>–1</w:t>
            </w:r>
            <w:r w:rsidRPr="00EC75D2">
              <w:rPr>
                <w:lang w:eastAsia="en-AU"/>
              </w:rPr>
              <w:t>9</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43C5A669" w14:textId="3ACDF198" w:rsidR="00D87D58" w:rsidRPr="00EC75D2" w:rsidRDefault="00D87D58" w:rsidP="000D0B9B">
            <w:pPr>
              <w:pStyle w:val="Tablecolhead"/>
              <w:rPr>
                <w:lang w:eastAsia="en-AU"/>
              </w:rPr>
            </w:pPr>
            <w:r w:rsidRPr="00EC75D2">
              <w:rPr>
                <w:lang w:eastAsia="en-AU"/>
              </w:rPr>
              <w:t>2019</w:t>
            </w:r>
            <w:r>
              <w:rPr>
                <w:lang w:eastAsia="en-AU"/>
              </w:rPr>
              <w:t>–2</w:t>
            </w:r>
            <w:r w:rsidRPr="00EC75D2">
              <w:rPr>
                <w:lang w:eastAsia="en-AU"/>
              </w:rPr>
              <w:t>0</w:t>
            </w:r>
          </w:p>
        </w:tc>
        <w:tc>
          <w:tcPr>
            <w:tcW w:w="609" w:type="pct"/>
            <w:tcBorders>
              <w:top w:val="single" w:sz="4" w:space="0" w:color="auto"/>
              <w:left w:val="nil"/>
              <w:bottom w:val="single" w:sz="4" w:space="0" w:color="auto"/>
              <w:right w:val="single" w:sz="4" w:space="0" w:color="auto"/>
            </w:tcBorders>
          </w:tcPr>
          <w:p w14:paraId="68919CCA" w14:textId="28375BB2" w:rsidR="00D87D58" w:rsidRPr="00EC75D2" w:rsidRDefault="007B2175" w:rsidP="000D0B9B">
            <w:pPr>
              <w:pStyle w:val="Tablecolhead"/>
              <w:rPr>
                <w:lang w:eastAsia="en-AU"/>
              </w:rPr>
            </w:pPr>
            <w:r>
              <w:rPr>
                <w:lang w:eastAsia="en-AU"/>
              </w:rPr>
              <w:t>2020–21</w:t>
            </w:r>
          </w:p>
        </w:tc>
      </w:tr>
      <w:tr w:rsidR="001915AA" w:rsidRPr="00EC75D2" w14:paraId="1B382029" w14:textId="59143508" w:rsidTr="008B4B58">
        <w:trPr>
          <w:trHeight w:val="300"/>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3052F67E" w14:textId="6F93095B" w:rsidR="001915AA" w:rsidRPr="00EC75D2" w:rsidRDefault="001915AA" w:rsidP="000D0B9B">
            <w:pPr>
              <w:pStyle w:val="Tabletext"/>
              <w:rPr>
                <w:lang w:eastAsia="en-AU"/>
              </w:rPr>
            </w:pPr>
            <w:r w:rsidRPr="00EC75D2">
              <w:rPr>
                <w:lang w:eastAsia="en-AU"/>
              </w:rPr>
              <w:t xml:space="preserve">Mechanical </w:t>
            </w:r>
            <w:r>
              <w:rPr>
                <w:lang w:eastAsia="en-AU"/>
              </w:rPr>
              <w:t>and</w:t>
            </w:r>
            <w:r w:rsidRPr="00EC75D2">
              <w:rPr>
                <w:lang w:eastAsia="en-AU"/>
              </w:rPr>
              <w:t xml:space="preserve"> </w:t>
            </w:r>
            <w:r>
              <w:rPr>
                <w:lang w:eastAsia="en-AU"/>
              </w:rPr>
              <w:t>p</w:t>
            </w:r>
            <w:r w:rsidRPr="00EC75D2">
              <w:rPr>
                <w:lang w:eastAsia="en-AU"/>
              </w:rPr>
              <w:t>hysical</w:t>
            </w:r>
          </w:p>
        </w:tc>
        <w:tc>
          <w:tcPr>
            <w:tcW w:w="608" w:type="pct"/>
            <w:tcBorders>
              <w:top w:val="nil"/>
              <w:left w:val="nil"/>
              <w:bottom w:val="single" w:sz="4" w:space="0" w:color="auto"/>
              <w:right w:val="single" w:sz="4" w:space="0" w:color="auto"/>
            </w:tcBorders>
            <w:shd w:val="clear" w:color="auto" w:fill="auto"/>
            <w:noWrap/>
            <w:vAlign w:val="bottom"/>
            <w:hideMark/>
          </w:tcPr>
          <w:p w14:paraId="79C7175D" w14:textId="426C35E8" w:rsidR="001915AA" w:rsidRPr="00EC75D2" w:rsidRDefault="001915AA" w:rsidP="000D0B9B">
            <w:pPr>
              <w:pStyle w:val="Tabletext"/>
              <w:rPr>
                <w:lang w:eastAsia="en-AU"/>
              </w:rPr>
            </w:pPr>
            <w:r>
              <w:t>1</w:t>
            </w:r>
            <w:r w:rsidR="00671319">
              <w:t>,</w:t>
            </w:r>
            <w:r>
              <w:t>062</w:t>
            </w:r>
          </w:p>
        </w:tc>
        <w:tc>
          <w:tcPr>
            <w:tcW w:w="609" w:type="pct"/>
            <w:tcBorders>
              <w:top w:val="nil"/>
              <w:left w:val="nil"/>
              <w:bottom w:val="single" w:sz="4" w:space="0" w:color="auto"/>
              <w:right w:val="single" w:sz="4" w:space="0" w:color="auto"/>
            </w:tcBorders>
            <w:shd w:val="clear" w:color="auto" w:fill="auto"/>
            <w:noWrap/>
            <w:vAlign w:val="bottom"/>
            <w:hideMark/>
          </w:tcPr>
          <w:p w14:paraId="65D83196" w14:textId="23488E3B" w:rsidR="001915AA" w:rsidRPr="00EC75D2" w:rsidRDefault="001915AA" w:rsidP="000D0B9B">
            <w:pPr>
              <w:pStyle w:val="Tabletext"/>
              <w:rPr>
                <w:lang w:eastAsia="en-AU"/>
              </w:rPr>
            </w:pPr>
            <w:r>
              <w:t>301</w:t>
            </w:r>
          </w:p>
        </w:tc>
        <w:tc>
          <w:tcPr>
            <w:tcW w:w="609" w:type="pct"/>
            <w:tcBorders>
              <w:top w:val="nil"/>
              <w:left w:val="nil"/>
              <w:bottom w:val="single" w:sz="4" w:space="0" w:color="auto"/>
              <w:right w:val="single" w:sz="4" w:space="0" w:color="auto"/>
            </w:tcBorders>
            <w:shd w:val="clear" w:color="auto" w:fill="auto"/>
            <w:noWrap/>
            <w:vAlign w:val="bottom"/>
            <w:hideMark/>
          </w:tcPr>
          <w:p w14:paraId="31F3296D" w14:textId="5D7FC2F8" w:rsidR="001915AA" w:rsidRPr="00EC75D2" w:rsidRDefault="001915AA" w:rsidP="000D0B9B">
            <w:pPr>
              <w:pStyle w:val="Tabletext"/>
              <w:rPr>
                <w:lang w:eastAsia="en-AU"/>
              </w:rPr>
            </w:pPr>
            <w:r>
              <w:t>167</w:t>
            </w:r>
          </w:p>
        </w:tc>
        <w:tc>
          <w:tcPr>
            <w:tcW w:w="608" w:type="pct"/>
            <w:tcBorders>
              <w:top w:val="nil"/>
              <w:left w:val="nil"/>
              <w:bottom w:val="single" w:sz="4" w:space="0" w:color="auto"/>
              <w:right w:val="single" w:sz="4" w:space="0" w:color="auto"/>
            </w:tcBorders>
            <w:shd w:val="clear" w:color="auto" w:fill="auto"/>
            <w:noWrap/>
            <w:vAlign w:val="bottom"/>
            <w:hideMark/>
          </w:tcPr>
          <w:p w14:paraId="5888FD95" w14:textId="61F54FE4" w:rsidR="001915AA" w:rsidRPr="00EC75D2" w:rsidRDefault="001915AA" w:rsidP="000D0B9B">
            <w:pPr>
              <w:pStyle w:val="Tabletext"/>
              <w:rPr>
                <w:lang w:eastAsia="en-AU"/>
              </w:rPr>
            </w:pPr>
            <w:r>
              <w:t>116</w:t>
            </w:r>
          </w:p>
        </w:tc>
        <w:tc>
          <w:tcPr>
            <w:tcW w:w="609" w:type="pct"/>
            <w:tcBorders>
              <w:top w:val="nil"/>
              <w:left w:val="nil"/>
              <w:bottom w:val="single" w:sz="4" w:space="0" w:color="auto"/>
              <w:right w:val="single" w:sz="4" w:space="0" w:color="auto"/>
            </w:tcBorders>
            <w:shd w:val="clear" w:color="auto" w:fill="auto"/>
            <w:noWrap/>
            <w:vAlign w:val="bottom"/>
            <w:hideMark/>
          </w:tcPr>
          <w:p w14:paraId="1A7525CE" w14:textId="6F6FC25F" w:rsidR="001915AA" w:rsidRPr="00EC75D2" w:rsidRDefault="001915AA" w:rsidP="000D0B9B">
            <w:pPr>
              <w:pStyle w:val="Tabletext"/>
              <w:rPr>
                <w:lang w:eastAsia="en-AU"/>
              </w:rPr>
            </w:pPr>
            <w:r>
              <w:t>113</w:t>
            </w:r>
          </w:p>
        </w:tc>
        <w:tc>
          <w:tcPr>
            <w:tcW w:w="609" w:type="pct"/>
            <w:tcBorders>
              <w:top w:val="nil"/>
              <w:left w:val="nil"/>
              <w:bottom w:val="single" w:sz="4" w:space="0" w:color="auto"/>
              <w:right w:val="single" w:sz="4" w:space="0" w:color="auto"/>
            </w:tcBorders>
            <w:vAlign w:val="bottom"/>
          </w:tcPr>
          <w:p w14:paraId="77435349" w14:textId="2D80AD46" w:rsidR="001915AA" w:rsidRDefault="001915AA" w:rsidP="000D0B9B">
            <w:pPr>
              <w:pStyle w:val="Tabletext"/>
            </w:pPr>
            <w:r>
              <w:t>102</w:t>
            </w:r>
          </w:p>
        </w:tc>
      </w:tr>
      <w:tr w:rsidR="001915AA" w:rsidRPr="00EC75D2" w14:paraId="3C6D8291" w14:textId="3BB72769" w:rsidTr="008B4B58">
        <w:trPr>
          <w:trHeight w:val="300"/>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533693F1" w14:textId="76DACD49" w:rsidR="001915AA" w:rsidRPr="00EC75D2" w:rsidRDefault="001915AA" w:rsidP="000D0B9B">
            <w:pPr>
              <w:pStyle w:val="Tabletext"/>
              <w:rPr>
                <w:lang w:eastAsia="en-AU"/>
              </w:rPr>
            </w:pPr>
            <w:r w:rsidRPr="00EC75D2">
              <w:rPr>
                <w:lang w:eastAsia="en-AU"/>
              </w:rPr>
              <w:t xml:space="preserve">Mechanical </w:t>
            </w:r>
            <w:r>
              <w:rPr>
                <w:lang w:eastAsia="en-AU"/>
              </w:rPr>
              <w:t>o</w:t>
            </w:r>
            <w:r w:rsidRPr="00EC75D2">
              <w:rPr>
                <w:lang w:eastAsia="en-AU"/>
              </w:rPr>
              <w:t>nly</w:t>
            </w:r>
          </w:p>
        </w:tc>
        <w:tc>
          <w:tcPr>
            <w:tcW w:w="608" w:type="pct"/>
            <w:tcBorders>
              <w:top w:val="nil"/>
              <w:left w:val="nil"/>
              <w:bottom w:val="single" w:sz="4" w:space="0" w:color="auto"/>
              <w:right w:val="single" w:sz="4" w:space="0" w:color="auto"/>
            </w:tcBorders>
            <w:shd w:val="clear" w:color="auto" w:fill="auto"/>
            <w:noWrap/>
            <w:vAlign w:val="bottom"/>
            <w:hideMark/>
          </w:tcPr>
          <w:p w14:paraId="6FD67697" w14:textId="47452368" w:rsidR="001915AA" w:rsidRPr="00EC75D2" w:rsidRDefault="001915AA" w:rsidP="000D0B9B">
            <w:pPr>
              <w:pStyle w:val="Tabletext"/>
              <w:rPr>
                <w:lang w:eastAsia="en-AU"/>
              </w:rPr>
            </w:pPr>
            <w:r>
              <w:t>1</w:t>
            </w:r>
            <w:r w:rsidR="00671319">
              <w:t>,</w:t>
            </w:r>
            <w:r>
              <w:t>049</w:t>
            </w:r>
          </w:p>
        </w:tc>
        <w:tc>
          <w:tcPr>
            <w:tcW w:w="609" w:type="pct"/>
            <w:tcBorders>
              <w:top w:val="nil"/>
              <w:left w:val="nil"/>
              <w:bottom w:val="single" w:sz="4" w:space="0" w:color="auto"/>
              <w:right w:val="single" w:sz="4" w:space="0" w:color="auto"/>
            </w:tcBorders>
            <w:shd w:val="clear" w:color="auto" w:fill="auto"/>
            <w:noWrap/>
            <w:vAlign w:val="bottom"/>
            <w:hideMark/>
          </w:tcPr>
          <w:p w14:paraId="11906A3B" w14:textId="2A6F6AD0" w:rsidR="001915AA" w:rsidRPr="00EC75D2" w:rsidRDefault="001915AA" w:rsidP="000D0B9B">
            <w:pPr>
              <w:pStyle w:val="Tabletext"/>
              <w:rPr>
                <w:lang w:eastAsia="en-AU"/>
              </w:rPr>
            </w:pPr>
            <w:r>
              <w:t>496</w:t>
            </w:r>
          </w:p>
        </w:tc>
        <w:tc>
          <w:tcPr>
            <w:tcW w:w="609" w:type="pct"/>
            <w:tcBorders>
              <w:top w:val="nil"/>
              <w:left w:val="nil"/>
              <w:bottom w:val="single" w:sz="4" w:space="0" w:color="auto"/>
              <w:right w:val="single" w:sz="4" w:space="0" w:color="auto"/>
            </w:tcBorders>
            <w:shd w:val="clear" w:color="auto" w:fill="auto"/>
            <w:noWrap/>
            <w:vAlign w:val="bottom"/>
            <w:hideMark/>
          </w:tcPr>
          <w:p w14:paraId="6C481825" w14:textId="271C3F90" w:rsidR="001915AA" w:rsidRPr="00EC75D2" w:rsidRDefault="001915AA" w:rsidP="000D0B9B">
            <w:pPr>
              <w:pStyle w:val="Tabletext"/>
              <w:rPr>
                <w:lang w:eastAsia="en-AU"/>
              </w:rPr>
            </w:pPr>
            <w:r>
              <w:t>349</w:t>
            </w:r>
          </w:p>
        </w:tc>
        <w:tc>
          <w:tcPr>
            <w:tcW w:w="608" w:type="pct"/>
            <w:tcBorders>
              <w:top w:val="nil"/>
              <w:left w:val="nil"/>
              <w:bottom w:val="single" w:sz="4" w:space="0" w:color="auto"/>
              <w:right w:val="single" w:sz="4" w:space="0" w:color="auto"/>
            </w:tcBorders>
            <w:shd w:val="clear" w:color="auto" w:fill="auto"/>
            <w:noWrap/>
            <w:vAlign w:val="bottom"/>
            <w:hideMark/>
          </w:tcPr>
          <w:p w14:paraId="24D344EB" w14:textId="221DA7EA" w:rsidR="001915AA" w:rsidRPr="00EC75D2" w:rsidRDefault="001915AA" w:rsidP="000D0B9B">
            <w:pPr>
              <w:pStyle w:val="Tabletext"/>
              <w:rPr>
                <w:lang w:eastAsia="en-AU"/>
              </w:rPr>
            </w:pPr>
            <w:r>
              <w:t>384</w:t>
            </w:r>
          </w:p>
        </w:tc>
        <w:tc>
          <w:tcPr>
            <w:tcW w:w="609" w:type="pct"/>
            <w:tcBorders>
              <w:top w:val="nil"/>
              <w:left w:val="nil"/>
              <w:bottom w:val="single" w:sz="4" w:space="0" w:color="auto"/>
              <w:right w:val="single" w:sz="4" w:space="0" w:color="auto"/>
            </w:tcBorders>
            <w:shd w:val="clear" w:color="auto" w:fill="auto"/>
            <w:noWrap/>
            <w:vAlign w:val="bottom"/>
            <w:hideMark/>
          </w:tcPr>
          <w:p w14:paraId="5807C06A" w14:textId="5A1C0599" w:rsidR="001915AA" w:rsidRPr="00EC75D2" w:rsidRDefault="001915AA" w:rsidP="000D0B9B">
            <w:pPr>
              <w:pStyle w:val="Tabletext"/>
              <w:rPr>
                <w:lang w:eastAsia="en-AU"/>
              </w:rPr>
            </w:pPr>
            <w:r>
              <w:t>401</w:t>
            </w:r>
          </w:p>
        </w:tc>
        <w:tc>
          <w:tcPr>
            <w:tcW w:w="609" w:type="pct"/>
            <w:tcBorders>
              <w:top w:val="nil"/>
              <w:left w:val="nil"/>
              <w:bottom w:val="single" w:sz="4" w:space="0" w:color="auto"/>
              <w:right w:val="single" w:sz="4" w:space="0" w:color="auto"/>
            </w:tcBorders>
            <w:vAlign w:val="bottom"/>
          </w:tcPr>
          <w:p w14:paraId="7C6FC1CE" w14:textId="000FAC22" w:rsidR="001915AA" w:rsidRDefault="001915AA" w:rsidP="000D0B9B">
            <w:pPr>
              <w:pStyle w:val="Tabletext"/>
            </w:pPr>
            <w:r>
              <w:t>396</w:t>
            </w:r>
          </w:p>
        </w:tc>
      </w:tr>
      <w:tr w:rsidR="001915AA" w:rsidRPr="00EC75D2" w14:paraId="5BDFE853" w14:textId="171F32A0" w:rsidTr="008B4B58">
        <w:trPr>
          <w:trHeight w:val="300"/>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5036C945" w14:textId="430252A5" w:rsidR="001915AA" w:rsidRPr="00EC75D2" w:rsidRDefault="001915AA" w:rsidP="000D0B9B">
            <w:pPr>
              <w:pStyle w:val="Tabletext"/>
              <w:rPr>
                <w:lang w:eastAsia="en-AU"/>
              </w:rPr>
            </w:pPr>
            <w:r w:rsidRPr="00EC75D2">
              <w:rPr>
                <w:lang w:eastAsia="en-AU"/>
              </w:rPr>
              <w:t xml:space="preserve">Physical </w:t>
            </w:r>
            <w:r>
              <w:rPr>
                <w:lang w:eastAsia="en-AU"/>
              </w:rPr>
              <w:t>o</w:t>
            </w:r>
            <w:r w:rsidRPr="00EC75D2">
              <w:rPr>
                <w:lang w:eastAsia="en-AU"/>
              </w:rPr>
              <w:t>nly</w:t>
            </w:r>
          </w:p>
        </w:tc>
        <w:tc>
          <w:tcPr>
            <w:tcW w:w="608" w:type="pct"/>
            <w:tcBorders>
              <w:top w:val="nil"/>
              <w:left w:val="nil"/>
              <w:bottom w:val="single" w:sz="4" w:space="0" w:color="auto"/>
              <w:right w:val="single" w:sz="4" w:space="0" w:color="auto"/>
            </w:tcBorders>
            <w:shd w:val="clear" w:color="auto" w:fill="auto"/>
            <w:noWrap/>
            <w:vAlign w:val="bottom"/>
            <w:hideMark/>
          </w:tcPr>
          <w:p w14:paraId="60D438AD" w14:textId="4C5CD90D" w:rsidR="001915AA" w:rsidRPr="00EC75D2" w:rsidRDefault="001915AA" w:rsidP="000D0B9B">
            <w:pPr>
              <w:pStyle w:val="Tabletext"/>
              <w:rPr>
                <w:lang w:eastAsia="en-AU"/>
              </w:rPr>
            </w:pPr>
            <w:r>
              <w:t>7</w:t>
            </w:r>
            <w:r w:rsidR="00671319">
              <w:t>,</w:t>
            </w:r>
            <w:r>
              <w:t>380</w:t>
            </w:r>
          </w:p>
        </w:tc>
        <w:tc>
          <w:tcPr>
            <w:tcW w:w="609" w:type="pct"/>
            <w:tcBorders>
              <w:top w:val="nil"/>
              <w:left w:val="nil"/>
              <w:bottom w:val="single" w:sz="4" w:space="0" w:color="auto"/>
              <w:right w:val="single" w:sz="4" w:space="0" w:color="auto"/>
            </w:tcBorders>
            <w:shd w:val="clear" w:color="auto" w:fill="auto"/>
            <w:noWrap/>
            <w:vAlign w:val="bottom"/>
            <w:hideMark/>
          </w:tcPr>
          <w:p w14:paraId="488F322B" w14:textId="20FFA469" w:rsidR="001915AA" w:rsidRPr="00EC75D2" w:rsidRDefault="001915AA" w:rsidP="000D0B9B">
            <w:pPr>
              <w:pStyle w:val="Tabletext"/>
              <w:rPr>
                <w:lang w:eastAsia="en-AU"/>
              </w:rPr>
            </w:pPr>
            <w:r>
              <w:t>6</w:t>
            </w:r>
            <w:r w:rsidR="00671319">
              <w:t>,</w:t>
            </w:r>
            <w:r>
              <w:t>432</w:t>
            </w:r>
          </w:p>
        </w:tc>
        <w:tc>
          <w:tcPr>
            <w:tcW w:w="609" w:type="pct"/>
            <w:tcBorders>
              <w:top w:val="nil"/>
              <w:left w:val="nil"/>
              <w:bottom w:val="single" w:sz="4" w:space="0" w:color="auto"/>
              <w:right w:val="single" w:sz="4" w:space="0" w:color="auto"/>
            </w:tcBorders>
            <w:shd w:val="clear" w:color="auto" w:fill="auto"/>
            <w:noWrap/>
            <w:vAlign w:val="bottom"/>
            <w:hideMark/>
          </w:tcPr>
          <w:p w14:paraId="388475FC" w14:textId="0A531E13" w:rsidR="001915AA" w:rsidRPr="00EC75D2" w:rsidRDefault="001915AA" w:rsidP="000D0B9B">
            <w:pPr>
              <w:pStyle w:val="Tabletext"/>
              <w:rPr>
                <w:lang w:eastAsia="en-AU"/>
              </w:rPr>
            </w:pPr>
            <w:r>
              <w:t>8</w:t>
            </w:r>
            <w:r w:rsidR="00671319">
              <w:t>,</w:t>
            </w:r>
            <w:r>
              <w:t>319</w:t>
            </w:r>
          </w:p>
        </w:tc>
        <w:tc>
          <w:tcPr>
            <w:tcW w:w="608" w:type="pct"/>
            <w:tcBorders>
              <w:top w:val="nil"/>
              <w:left w:val="nil"/>
              <w:bottom w:val="single" w:sz="4" w:space="0" w:color="auto"/>
              <w:right w:val="single" w:sz="4" w:space="0" w:color="auto"/>
            </w:tcBorders>
            <w:shd w:val="clear" w:color="auto" w:fill="auto"/>
            <w:noWrap/>
            <w:vAlign w:val="bottom"/>
            <w:hideMark/>
          </w:tcPr>
          <w:p w14:paraId="4CAF20A2" w14:textId="31B56EC8" w:rsidR="001915AA" w:rsidRPr="00EC75D2" w:rsidRDefault="001915AA" w:rsidP="000D0B9B">
            <w:pPr>
              <w:pStyle w:val="Tabletext"/>
              <w:rPr>
                <w:lang w:eastAsia="en-AU"/>
              </w:rPr>
            </w:pPr>
            <w:r>
              <w:t>9</w:t>
            </w:r>
            <w:r w:rsidR="00671319">
              <w:t>,</w:t>
            </w:r>
            <w:r>
              <w:t>995</w:t>
            </w:r>
          </w:p>
        </w:tc>
        <w:tc>
          <w:tcPr>
            <w:tcW w:w="609" w:type="pct"/>
            <w:tcBorders>
              <w:top w:val="nil"/>
              <w:left w:val="nil"/>
              <w:bottom w:val="single" w:sz="4" w:space="0" w:color="auto"/>
              <w:right w:val="single" w:sz="4" w:space="0" w:color="auto"/>
            </w:tcBorders>
            <w:shd w:val="clear" w:color="auto" w:fill="auto"/>
            <w:noWrap/>
            <w:vAlign w:val="bottom"/>
            <w:hideMark/>
          </w:tcPr>
          <w:p w14:paraId="7583C9C1" w14:textId="1867CB1F" w:rsidR="001915AA" w:rsidRPr="00EC75D2" w:rsidRDefault="001915AA" w:rsidP="000D0B9B">
            <w:pPr>
              <w:pStyle w:val="Tabletext"/>
              <w:rPr>
                <w:lang w:eastAsia="en-AU"/>
              </w:rPr>
            </w:pPr>
            <w:r>
              <w:t>7</w:t>
            </w:r>
            <w:r w:rsidR="00671319">
              <w:t>,</w:t>
            </w:r>
            <w:r>
              <w:t>888</w:t>
            </w:r>
          </w:p>
        </w:tc>
        <w:tc>
          <w:tcPr>
            <w:tcW w:w="609" w:type="pct"/>
            <w:tcBorders>
              <w:top w:val="nil"/>
              <w:left w:val="nil"/>
              <w:bottom w:val="single" w:sz="4" w:space="0" w:color="auto"/>
              <w:right w:val="single" w:sz="4" w:space="0" w:color="auto"/>
            </w:tcBorders>
            <w:vAlign w:val="bottom"/>
          </w:tcPr>
          <w:p w14:paraId="22E5EB62" w14:textId="60E81D48" w:rsidR="001915AA" w:rsidRDefault="001915AA" w:rsidP="000D0B9B">
            <w:pPr>
              <w:pStyle w:val="Tabletext"/>
            </w:pPr>
            <w:r>
              <w:t>7</w:t>
            </w:r>
            <w:r w:rsidR="00671319">
              <w:t>,</w:t>
            </w:r>
            <w:r>
              <w:t>999</w:t>
            </w:r>
          </w:p>
        </w:tc>
      </w:tr>
    </w:tbl>
    <w:p w14:paraId="3D420F77" w14:textId="2A2DD4AD" w:rsidR="00381B2F" w:rsidRDefault="00381B2F" w:rsidP="00643556">
      <w:pPr>
        <w:pStyle w:val="Bodyaftertable"/>
      </w:pPr>
      <w:r>
        <w:t xml:space="preserve">When restraint was applied, it typically represented a single occurrence within the whole of an admission (Table </w:t>
      </w:r>
      <w:r w:rsidR="62E62BBE">
        <w:t>1</w:t>
      </w:r>
      <w:r w:rsidR="008E180F">
        <w:t>7</w:t>
      </w:r>
      <w:r>
        <w:t>). Multiple episodes of restraint were relatively uncommon. This pattern has remained consistent in recent years.</w:t>
      </w:r>
    </w:p>
    <w:p w14:paraId="2A580BBE" w14:textId="08B60E1D" w:rsidR="00381B2F" w:rsidRDefault="00381B2F" w:rsidP="000D0B9B">
      <w:pPr>
        <w:pStyle w:val="Tablecaption"/>
      </w:pPr>
      <w:r>
        <w:t xml:space="preserve">Table </w:t>
      </w:r>
      <w:r w:rsidR="4EA5F3F4">
        <w:t>1</w:t>
      </w:r>
      <w:r w:rsidR="008E180F">
        <w:t>7</w:t>
      </w:r>
      <w:r>
        <w:t xml:space="preserve">: Frequency of restraint episodes within the same hospital admission, 2015–16 to </w:t>
      </w:r>
      <w:r>
        <w:br/>
      </w:r>
      <w:r w:rsidR="007B2175">
        <w:t>2020–21</w:t>
      </w:r>
    </w:p>
    <w:tbl>
      <w:tblPr>
        <w:tblW w:w="5000" w:type="pct"/>
        <w:tblLook w:val="04A0" w:firstRow="1" w:lastRow="0" w:firstColumn="1" w:lastColumn="0" w:noHBand="0" w:noVBand="1"/>
      </w:tblPr>
      <w:tblGrid>
        <w:gridCol w:w="2504"/>
        <w:gridCol w:w="1129"/>
        <w:gridCol w:w="1131"/>
        <w:gridCol w:w="1132"/>
        <w:gridCol w:w="1132"/>
        <w:gridCol w:w="1132"/>
        <w:gridCol w:w="1128"/>
      </w:tblGrid>
      <w:tr w:rsidR="008F083C" w:rsidRPr="00B171F1" w14:paraId="106F3BCD" w14:textId="778101E6" w:rsidTr="00A66753">
        <w:trPr>
          <w:trHeight w:val="300"/>
          <w:tblHeader/>
        </w:trPr>
        <w:tc>
          <w:tcPr>
            <w:tcW w:w="1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744C1" w14:textId="3A7F57FD" w:rsidR="008F083C" w:rsidRPr="00B171F1" w:rsidRDefault="008F083C" w:rsidP="000D0B9B">
            <w:pPr>
              <w:pStyle w:val="Tablecolhead"/>
              <w:rPr>
                <w:lang w:eastAsia="en-AU"/>
              </w:rPr>
            </w:pPr>
            <w:r w:rsidRPr="6413A842">
              <w:rPr>
                <w:lang w:eastAsia="en-AU"/>
              </w:rPr>
              <w:t>Frequency</w:t>
            </w:r>
            <w:r>
              <w:rPr>
                <w:lang w:eastAsia="en-AU"/>
              </w:rPr>
              <w:t xml:space="preserve"> of episodes</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0DA55398" w14:textId="4CE84C40" w:rsidR="008F083C" w:rsidRPr="00B171F1" w:rsidRDefault="008F083C" w:rsidP="000D0B9B">
            <w:pPr>
              <w:pStyle w:val="Tablecolhead"/>
              <w:rPr>
                <w:lang w:eastAsia="en-AU"/>
              </w:rPr>
            </w:pPr>
            <w:r w:rsidRPr="00B171F1">
              <w:rPr>
                <w:lang w:eastAsia="en-AU"/>
              </w:rPr>
              <w:t>2015</w:t>
            </w:r>
            <w:r>
              <w:rPr>
                <w:lang w:eastAsia="en-AU"/>
              </w:rPr>
              <w:t>–1</w:t>
            </w:r>
            <w:r w:rsidRPr="00B171F1">
              <w:rPr>
                <w:lang w:eastAsia="en-AU"/>
              </w:rPr>
              <w:t>6</w:t>
            </w:r>
          </w:p>
        </w:tc>
        <w:tc>
          <w:tcPr>
            <w:tcW w:w="619" w:type="pct"/>
            <w:tcBorders>
              <w:top w:val="single" w:sz="4" w:space="0" w:color="auto"/>
              <w:left w:val="nil"/>
              <w:bottom w:val="single" w:sz="4" w:space="0" w:color="auto"/>
              <w:right w:val="single" w:sz="4" w:space="0" w:color="auto"/>
            </w:tcBorders>
            <w:shd w:val="clear" w:color="auto" w:fill="auto"/>
            <w:noWrap/>
            <w:vAlign w:val="bottom"/>
            <w:hideMark/>
          </w:tcPr>
          <w:p w14:paraId="1A849988" w14:textId="5C29CC49" w:rsidR="008F083C" w:rsidRPr="00B171F1" w:rsidRDefault="008F083C" w:rsidP="000D0B9B">
            <w:pPr>
              <w:pStyle w:val="Tablecolhead"/>
              <w:rPr>
                <w:lang w:eastAsia="en-AU"/>
              </w:rPr>
            </w:pPr>
            <w:r w:rsidRPr="00B171F1">
              <w:rPr>
                <w:lang w:eastAsia="en-AU"/>
              </w:rPr>
              <w:t>2016</w:t>
            </w:r>
            <w:r>
              <w:rPr>
                <w:lang w:eastAsia="en-AU"/>
              </w:rPr>
              <w:t>–1</w:t>
            </w:r>
            <w:r w:rsidRPr="00B171F1">
              <w:rPr>
                <w:lang w:eastAsia="en-AU"/>
              </w:rPr>
              <w:t>7</w:t>
            </w:r>
          </w:p>
        </w:tc>
        <w:tc>
          <w:tcPr>
            <w:tcW w:w="619" w:type="pct"/>
            <w:tcBorders>
              <w:top w:val="single" w:sz="4" w:space="0" w:color="auto"/>
              <w:left w:val="nil"/>
              <w:bottom w:val="single" w:sz="4" w:space="0" w:color="auto"/>
              <w:right w:val="single" w:sz="4" w:space="0" w:color="auto"/>
            </w:tcBorders>
            <w:shd w:val="clear" w:color="auto" w:fill="auto"/>
            <w:noWrap/>
            <w:vAlign w:val="bottom"/>
            <w:hideMark/>
          </w:tcPr>
          <w:p w14:paraId="6C02A96E" w14:textId="6AF97D1F" w:rsidR="008F083C" w:rsidRPr="00B171F1" w:rsidRDefault="008F083C" w:rsidP="000D0B9B">
            <w:pPr>
              <w:pStyle w:val="Tablecolhead"/>
              <w:rPr>
                <w:lang w:eastAsia="en-AU"/>
              </w:rPr>
            </w:pPr>
            <w:r w:rsidRPr="00B171F1">
              <w:rPr>
                <w:lang w:eastAsia="en-AU"/>
              </w:rPr>
              <w:t>2017</w:t>
            </w:r>
            <w:r>
              <w:rPr>
                <w:lang w:eastAsia="en-AU"/>
              </w:rPr>
              <w:t>–1</w:t>
            </w:r>
            <w:r w:rsidRPr="00B171F1">
              <w:rPr>
                <w:lang w:eastAsia="en-AU"/>
              </w:rPr>
              <w:t>8</w:t>
            </w:r>
          </w:p>
        </w:tc>
        <w:tc>
          <w:tcPr>
            <w:tcW w:w="619" w:type="pct"/>
            <w:tcBorders>
              <w:top w:val="single" w:sz="4" w:space="0" w:color="auto"/>
              <w:left w:val="nil"/>
              <w:bottom w:val="single" w:sz="4" w:space="0" w:color="auto"/>
              <w:right w:val="single" w:sz="4" w:space="0" w:color="auto"/>
            </w:tcBorders>
            <w:shd w:val="clear" w:color="auto" w:fill="auto"/>
            <w:noWrap/>
            <w:vAlign w:val="bottom"/>
            <w:hideMark/>
          </w:tcPr>
          <w:p w14:paraId="3D2AD58D" w14:textId="7E1E2069" w:rsidR="008F083C" w:rsidRPr="00B171F1" w:rsidRDefault="008F083C" w:rsidP="000D0B9B">
            <w:pPr>
              <w:pStyle w:val="Tablecolhead"/>
              <w:rPr>
                <w:lang w:eastAsia="en-AU"/>
              </w:rPr>
            </w:pPr>
            <w:r w:rsidRPr="00B171F1">
              <w:rPr>
                <w:lang w:eastAsia="en-AU"/>
              </w:rPr>
              <w:t>2018</w:t>
            </w:r>
            <w:r>
              <w:rPr>
                <w:lang w:eastAsia="en-AU"/>
              </w:rPr>
              <w:t>–1</w:t>
            </w:r>
            <w:r w:rsidRPr="00B171F1">
              <w:rPr>
                <w:lang w:eastAsia="en-AU"/>
              </w:rPr>
              <w:t>9</w:t>
            </w:r>
          </w:p>
        </w:tc>
        <w:tc>
          <w:tcPr>
            <w:tcW w:w="619" w:type="pct"/>
            <w:tcBorders>
              <w:top w:val="single" w:sz="4" w:space="0" w:color="auto"/>
              <w:left w:val="nil"/>
              <w:bottom w:val="single" w:sz="4" w:space="0" w:color="auto"/>
              <w:right w:val="single" w:sz="4" w:space="0" w:color="auto"/>
            </w:tcBorders>
            <w:shd w:val="clear" w:color="auto" w:fill="auto"/>
            <w:noWrap/>
            <w:vAlign w:val="bottom"/>
            <w:hideMark/>
          </w:tcPr>
          <w:p w14:paraId="2F4F4DFA" w14:textId="62925DEE" w:rsidR="008F083C" w:rsidRPr="00B171F1" w:rsidRDefault="008F083C" w:rsidP="000D0B9B">
            <w:pPr>
              <w:pStyle w:val="Tablecolhead"/>
              <w:rPr>
                <w:lang w:eastAsia="en-AU"/>
              </w:rPr>
            </w:pPr>
            <w:r w:rsidRPr="00B171F1">
              <w:rPr>
                <w:lang w:eastAsia="en-AU"/>
              </w:rPr>
              <w:t>2019</w:t>
            </w:r>
            <w:r>
              <w:rPr>
                <w:lang w:eastAsia="en-AU"/>
              </w:rPr>
              <w:t>–2</w:t>
            </w:r>
            <w:r w:rsidRPr="00B171F1">
              <w:rPr>
                <w:lang w:eastAsia="en-AU"/>
              </w:rPr>
              <w:t>0</w:t>
            </w:r>
          </w:p>
        </w:tc>
        <w:tc>
          <w:tcPr>
            <w:tcW w:w="619" w:type="pct"/>
            <w:tcBorders>
              <w:top w:val="single" w:sz="4" w:space="0" w:color="auto"/>
              <w:left w:val="nil"/>
              <w:bottom w:val="single" w:sz="4" w:space="0" w:color="auto"/>
              <w:right w:val="single" w:sz="4" w:space="0" w:color="auto"/>
            </w:tcBorders>
            <w:vAlign w:val="bottom"/>
          </w:tcPr>
          <w:p w14:paraId="2B32D4C2" w14:textId="595323F2" w:rsidR="008F083C" w:rsidRPr="00B171F1" w:rsidRDefault="007B2175" w:rsidP="000D0B9B">
            <w:pPr>
              <w:pStyle w:val="Tablecolhead"/>
              <w:rPr>
                <w:lang w:eastAsia="en-AU"/>
              </w:rPr>
            </w:pPr>
            <w:r>
              <w:rPr>
                <w:lang w:eastAsia="en-AU"/>
              </w:rPr>
              <w:t>2020–21</w:t>
            </w:r>
          </w:p>
        </w:tc>
      </w:tr>
      <w:tr w:rsidR="00A66753" w:rsidRPr="00B171F1" w14:paraId="3544B8C6" w14:textId="468F5D48" w:rsidTr="00A66753">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1655E1FF" w14:textId="77777777" w:rsidR="00A66753" w:rsidRPr="00B171F1" w:rsidRDefault="00A66753" w:rsidP="000D0B9B">
            <w:pPr>
              <w:pStyle w:val="Tabletext"/>
              <w:rPr>
                <w:lang w:eastAsia="en-AU"/>
              </w:rPr>
            </w:pPr>
            <w:r w:rsidRPr="00B171F1">
              <w:rPr>
                <w:lang w:eastAsia="en-AU"/>
              </w:rPr>
              <w:t>1</w:t>
            </w:r>
          </w:p>
        </w:tc>
        <w:tc>
          <w:tcPr>
            <w:tcW w:w="618" w:type="pct"/>
            <w:tcBorders>
              <w:top w:val="nil"/>
              <w:left w:val="nil"/>
              <w:bottom w:val="single" w:sz="4" w:space="0" w:color="auto"/>
              <w:right w:val="single" w:sz="4" w:space="0" w:color="auto"/>
            </w:tcBorders>
            <w:shd w:val="clear" w:color="auto" w:fill="auto"/>
            <w:noWrap/>
            <w:hideMark/>
          </w:tcPr>
          <w:p w14:paraId="77CBA1CA" w14:textId="607AF377" w:rsidR="00A66753" w:rsidRPr="00B171F1" w:rsidRDefault="00A66753" w:rsidP="000D0B9B">
            <w:pPr>
              <w:pStyle w:val="Tabletext"/>
              <w:rPr>
                <w:lang w:eastAsia="en-AU"/>
              </w:rPr>
            </w:pPr>
            <w:r>
              <w:t>809</w:t>
            </w:r>
          </w:p>
        </w:tc>
        <w:tc>
          <w:tcPr>
            <w:tcW w:w="619" w:type="pct"/>
            <w:tcBorders>
              <w:top w:val="nil"/>
              <w:left w:val="nil"/>
              <w:bottom w:val="single" w:sz="4" w:space="0" w:color="auto"/>
              <w:right w:val="single" w:sz="4" w:space="0" w:color="auto"/>
            </w:tcBorders>
            <w:shd w:val="clear" w:color="auto" w:fill="auto"/>
            <w:noWrap/>
            <w:hideMark/>
          </w:tcPr>
          <w:p w14:paraId="5A0ABE63" w14:textId="59424E1A" w:rsidR="00A66753" w:rsidRPr="00B171F1" w:rsidRDefault="00A66753" w:rsidP="000D0B9B">
            <w:pPr>
              <w:pStyle w:val="Tabletext"/>
              <w:rPr>
                <w:lang w:eastAsia="en-AU"/>
              </w:rPr>
            </w:pPr>
            <w:r>
              <w:t>843</w:t>
            </w:r>
          </w:p>
        </w:tc>
        <w:tc>
          <w:tcPr>
            <w:tcW w:w="619" w:type="pct"/>
            <w:tcBorders>
              <w:top w:val="nil"/>
              <w:left w:val="nil"/>
              <w:bottom w:val="single" w:sz="4" w:space="0" w:color="auto"/>
              <w:right w:val="single" w:sz="4" w:space="0" w:color="auto"/>
            </w:tcBorders>
            <w:shd w:val="clear" w:color="auto" w:fill="auto"/>
            <w:noWrap/>
            <w:hideMark/>
          </w:tcPr>
          <w:p w14:paraId="6936CD7B" w14:textId="277CDF92" w:rsidR="00A66753" w:rsidRPr="00B171F1" w:rsidRDefault="00A66753" w:rsidP="000D0B9B">
            <w:pPr>
              <w:pStyle w:val="Tabletext"/>
              <w:rPr>
                <w:lang w:eastAsia="en-AU"/>
              </w:rPr>
            </w:pPr>
            <w:r>
              <w:t>862</w:t>
            </w:r>
          </w:p>
        </w:tc>
        <w:tc>
          <w:tcPr>
            <w:tcW w:w="619" w:type="pct"/>
            <w:tcBorders>
              <w:top w:val="nil"/>
              <w:left w:val="nil"/>
              <w:bottom w:val="single" w:sz="4" w:space="0" w:color="auto"/>
              <w:right w:val="single" w:sz="4" w:space="0" w:color="auto"/>
            </w:tcBorders>
            <w:shd w:val="clear" w:color="auto" w:fill="auto"/>
            <w:noWrap/>
            <w:hideMark/>
          </w:tcPr>
          <w:p w14:paraId="7675C8A3" w14:textId="30F973B4" w:rsidR="00A66753" w:rsidRPr="00B171F1" w:rsidRDefault="00A66753" w:rsidP="000D0B9B">
            <w:pPr>
              <w:pStyle w:val="Tabletext"/>
              <w:rPr>
                <w:lang w:eastAsia="en-AU"/>
              </w:rPr>
            </w:pPr>
            <w:r>
              <w:t>960</w:t>
            </w:r>
          </w:p>
        </w:tc>
        <w:tc>
          <w:tcPr>
            <w:tcW w:w="619" w:type="pct"/>
            <w:tcBorders>
              <w:top w:val="nil"/>
              <w:left w:val="nil"/>
              <w:bottom w:val="single" w:sz="4" w:space="0" w:color="auto"/>
              <w:right w:val="single" w:sz="4" w:space="0" w:color="auto"/>
            </w:tcBorders>
            <w:shd w:val="clear" w:color="auto" w:fill="auto"/>
            <w:noWrap/>
            <w:hideMark/>
          </w:tcPr>
          <w:p w14:paraId="1F9F1711" w14:textId="4CFD96F7" w:rsidR="00A66753" w:rsidRPr="00B171F1" w:rsidRDefault="00A66753" w:rsidP="000D0B9B">
            <w:pPr>
              <w:pStyle w:val="Tabletext"/>
              <w:rPr>
                <w:lang w:eastAsia="en-AU"/>
              </w:rPr>
            </w:pPr>
            <w:r>
              <w:t>1,009</w:t>
            </w:r>
          </w:p>
        </w:tc>
        <w:tc>
          <w:tcPr>
            <w:tcW w:w="619" w:type="pct"/>
            <w:tcBorders>
              <w:top w:val="nil"/>
              <w:left w:val="nil"/>
              <w:bottom w:val="single" w:sz="4" w:space="0" w:color="auto"/>
              <w:right w:val="single" w:sz="4" w:space="0" w:color="auto"/>
            </w:tcBorders>
          </w:tcPr>
          <w:p w14:paraId="04FA5F4A" w14:textId="379570DA" w:rsidR="00A66753" w:rsidRDefault="00A66753" w:rsidP="000D0B9B">
            <w:pPr>
              <w:pStyle w:val="Tabletext"/>
            </w:pPr>
            <w:r>
              <w:t>1,050</w:t>
            </w:r>
          </w:p>
        </w:tc>
      </w:tr>
      <w:tr w:rsidR="00A66753" w:rsidRPr="00B171F1" w14:paraId="43B13AF4" w14:textId="02D83F7A" w:rsidTr="00A66753">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871565A" w14:textId="77777777" w:rsidR="00A66753" w:rsidRPr="00B171F1" w:rsidRDefault="00A66753" w:rsidP="000D0B9B">
            <w:pPr>
              <w:pStyle w:val="Tabletext"/>
              <w:rPr>
                <w:lang w:eastAsia="en-AU"/>
              </w:rPr>
            </w:pPr>
            <w:r w:rsidRPr="00B171F1">
              <w:rPr>
                <w:lang w:eastAsia="en-AU"/>
              </w:rPr>
              <w:t>2</w:t>
            </w:r>
          </w:p>
        </w:tc>
        <w:tc>
          <w:tcPr>
            <w:tcW w:w="618" w:type="pct"/>
            <w:tcBorders>
              <w:top w:val="nil"/>
              <w:left w:val="nil"/>
              <w:bottom w:val="single" w:sz="4" w:space="0" w:color="auto"/>
              <w:right w:val="single" w:sz="4" w:space="0" w:color="auto"/>
            </w:tcBorders>
            <w:shd w:val="clear" w:color="auto" w:fill="auto"/>
            <w:noWrap/>
            <w:hideMark/>
          </w:tcPr>
          <w:p w14:paraId="1F0A8D0B" w14:textId="40BFB575" w:rsidR="00A66753" w:rsidRPr="00B171F1" w:rsidRDefault="00A66753" w:rsidP="000D0B9B">
            <w:pPr>
              <w:pStyle w:val="Tabletext"/>
              <w:rPr>
                <w:lang w:eastAsia="en-AU"/>
              </w:rPr>
            </w:pPr>
            <w:r>
              <w:t>274</w:t>
            </w:r>
          </w:p>
        </w:tc>
        <w:tc>
          <w:tcPr>
            <w:tcW w:w="619" w:type="pct"/>
            <w:tcBorders>
              <w:top w:val="nil"/>
              <w:left w:val="nil"/>
              <w:bottom w:val="single" w:sz="4" w:space="0" w:color="auto"/>
              <w:right w:val="single" w:sz="4" w:space="0" w:color="auto"/>
            </w:tcBorders>
            <w:shd w:val="clear" w:color="auto" w:fill="auto"/>
            <w:noWrap/>
            <w:hideMark/>
          </w:tcPr>
          <w:p w14:paraId="72D1AA5F" w14:textId="5ECD9B8F" w:rsidR="00A66753" w:rsidRPr="00B171F1" w:rsidRDefault="00A66753" w:rsidP="000D0B9B">
            <w:pPr>
              <w:pStyle w:val="Tabletext"/>
              <w:rPr>
                <w:lang w:eastAsia="en-AU"/>
              </w:rPr>
            </w:pPr>
            <w:r>
              <w:t>210</w:t>
            </w:r>
          </w:p>
        </w:tc>
        <w:tc>
          <w:tcPr>
            <w:tcW w:w="619" w:type="pct"/>
            <w:tcBorders>
              <w:top w:val="nil"/>
              <w:left w:val="nil"/>
              <w:bottom w:val="single" w:sz="4" w:space="0" w:color="auto"/>
              <w:right w:val="single" w:sz="4" w:space="0" w:color="auto"/>
            </w:tcBorders>
            <w:shd w:val="clear" w:color="auto" w:fill="auto"/>
            <w:noWrap/>
            <w:hideMark/>
          </w:tcPr>
          <w:p w14:paraId="7081F45F" w14:textId="6CFB1592" w:rsidR="00A66753" w:rsidRPr="00B171F1" w:rsidRDefault="00A66753" w:rsidP="000D0B9B">
            <w:pPr>
              <w:pStyle w:val="Tabletext"/>
              <w:rPr>
                <w:lang w:eastAsia="en-AU"/>
              </w:rPr>
            </w:pPr>
            <w:r>
              <w:t>279</w:t>
            </w:r>
          </w:p>
        </w:tc>
        <w:tc>
          <w:tcPr>
            <w:tcW w:w="619" w:type="pct"/>
            <w:tcBorders>
              <w:top w:val="nil"/>
              <w:left w:val="nil"/>
              <w:bottom w:val="single" w:sz="4" w:space="0" w:color="auto"/>
              <w:right w:val="single" w:sz="4" w:space="0" w:color="auto"/>
            </w:tcBorders>
            <w:shd w:val="clear" w:color="auto" w:fill="auto"/>
            <w:noWrap/>
            <w:hideMark/>
          </w:tcPr>
          <w:p w14:paraId="4488D613" w14:textId="3B73BCCF" w:rsidR="00A66753" w:rsidRPr="00B171F1" w:rsidRDefault="00A66753" w:rsidP="000D0B9B">
            <w:pPr>
              <w:pStyle w:val="Tabletext"/>
              <w:rPr>
                <w:lang w:eastAsia="en-AU"/>
              </w:rPr>
            </w:pPr>
            <w:r>
              <w:t>276</w:t>
            </w:r>
          </w:p>
        </w:tc>
        <w:tc>
          <w:tcPr>
            <w:tcW w:w="619" w:type="pct"/>
            <w:tcBorders>
              <w:top w:val="nil"/>
              <w:left w:val="nil"/>
              <w:bottom w:val="single" w:sz="4" w:space="0" w:color="auto"/>
              <w:right w:val="single" w:sz="4" w:space="0" w:color="auto"/>
            </w:tcBorders>
            <w:shd w:val="clear" w:color="auto" w:fill="auto"/>
            <w:noWrap/>
            <w:hideMark/>
          </w:tcPr>
          <w:p w14:paraId="50897097" w14:textId="61D12425" w:rsidR="00A66753" w:rsidRPr="00B171F1" w:rsidRDefault="00A66753" w:rsidP="000D0B9B">
            <w:pPr>
              <w:pStyle w:val="Tabletext"/>
              <w:rPr>
                <w:lang w:eastAsia="en-AU"/>
              </w:rPr>
            </w:pPr>
            <w:r>
              <w:t>320</w:t>
            </w:r>
          </w:p>
        </w:tc>
        <w:tc>
          <w:tcPr>
            <w:tcW w:w="619" w:type="pct"/>
            <w:tcBorders>
              <w:top w:val="nil"/>
              <w:left w:val="nil"/>
              <w:bottom w:val="single" w:sz="4" w:space="0" w:color="auto"/>
              <w:right w:val="single" w:sz="4" w:space="0" w:color="auto"/>
            </w:tcBorders>
          </w:tcPr>
          <w:p w14:paraId="3D07EF5B" w14:textId="2F649B73" w:rsidR="00A66753" w:rsidRDefault="00A66753" w:rsidP="000D0B9B">
            <w:pPr>
              <w:pStyle w:val="Tabletext"/>
            </w:pPr>
            <w:r>
              <w:t>364</w:t>
            </w:r>
          </w:p>
        </w:tc>
      </w:tr>
      <w:tr w:rsidR="00A66753" w:rsidRPr="00B171F1" w14:paraId="120E1281" w14:textId="3BDBAAC5" w:rsidTr="00A66753">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012F8447" w14:textId="77777777" w:rsidR="00A66753" w:rsidRPr="00B171F1" w:rsidRDefault="00A66753" w:rsidP="000D0B9B">
            <w:pPr>
              <w:pStyle w:val="Tabletext"/>
              <w:rPr>
                <w:lang w:eastAsia="en-AU"/>
              </w:rPr>
            </w:pPr>
            <w:r w:rsidRPr="00B171F1">
              <w:rPr>
                <w:lang w:eastAsia="en-AU"/>
              </w:rPr>
              <w:t>3</w:t>
            </w:r>
          </w:p>
        </w:tc>
        <w:tc>
          <w:tcPr>
            <w:tcW w:w="618" w:type="pct"/>
            <w:tcBorders>
              <w:top w:val="nil"/>
              <w:left w:val="nil"/>
              <w:bottom w:val="single" w:sz="4" w:space="0" w:color="auto"/>
              <w:right w:val="single" w:sz="4" w:space="0" w:color="auto"/>
            </w:tcBorders>
            <w:shd w:val="clear" w:color="auto" w:fill="auto"/>
            <w:noWrap/>
            <w:hideMark/>
          </w:tcPr>
          <w:p w14:paraId="16F23EE9" w14:textId="0B668C8D" w:rsidR="00A66753" w:rsidRPr="00B171F1" w:rsidRDefault="00A66753" w:rsidP="000D0B9B">
            <w:pPr>
              <w:pStyle w:val="Tabletext"/>
              <w:rPr>
                <w:lang w:eastAsia="en-AU"/>
              </w:rPr>
            </w:pPr>
            <w:r>
              <w:t>98</w:t>
            </w:r>
          </w:p>
        </w:tc>
        <w:tc>
          <w:tcPr>
            <w:tcW w:w="619" w:type="pct"/>
            <w:tcBorders>
              <w:top w:val="nil"/>
              <w:left w:val="nil"/>
              <w:bottom w:val="single" w:sz="4" w:space="0" w:color="auto"/>
              <w:right w:val="single" w:sz="4" w:space="0" w:color="auto"/>
            </w:tcBorders>
            <w:shd w:val="clear" w:color="auto" w:fill="auto"/>
            <w:noWrap/>
            <w:hideMark/>
          </w:tcPr>
          <w:p w14:paraId="66641D13" w14:textId="19A6EABE" w:rsidR="00A66753" w:rsidRPr="00B171F1" w:rsidRDefault="00A66753" w:rsidP="000D0B9B">
            <w:pPr>
              <w:pStyle w:val="Tabletext"/>
              <w:rPr>
                <w:lang w:eastAsia="en-AU"/>
              </w:rPr>
            </w:pPr>
            <w:r>
              <w:t>98</w:t>
            </w:r>
          </w:p>
        </w:tc>
        <w:tc>
          <w:tcPr>
            <w:tcW w:w="619" w:type="pct"/>
            <w:tcBorders>
              <w:top w:val="nil"/>
              <w:left w:val="nil"/>
              <w:bottom w:val="single" w:sz="4" w:space="0" w:color="auto"/>
              <w:right w:val="single" w:sz="4" w:space="0" w:color="auto"/>
            </w:tcBorders>
            <w:shd w:val="clear" w:color="auto" w:fill="auto"/>
            <w:noWrap/>
            <w:hideMark/>
          </w:tcPr>
          <w:p w14:paraId="29BC6298" w14:textId="0E8E8695" w:rsidR="00A66753" w:rsidRPr="00B171F1" w:rsidRDefault="00A66753" w:rsidP="000D0B9B">
            <w:pPr>
              <w:pStyle w:val="Tabletext"/>
              <w:rPr>
                <w:lang w:eastAsia="en-AU"/>
              </w:rPr>
            </w:pPr>
            <w:r>
              <w:t>112</w:t>
            </w:r>
          </w:p>
        </w:tc>
        <w:tc>
          <w:tcPr>
            <w:tcW w:w="619" w:type="pct"/>
            <w:tcBorders>
              <w:top w:val="nil"/>
              <w:left w:val="nil"/>
              <w:bottom w:val="single" w:sz="4" w:space="0" w:color="auto"/>
              <w:right w:val="single" w:sz="4" w:space="0" w:color="auto"/>
            </w:tcBorders>
            <w:shd w:val="clear" w:color="auto" w:fill="auto"/>
            <w:noWrap/>
            <w:hideMark/>
          </w:tcPr>
          <w:p w14:paraId="3B1F269A" w14:textId="4D5D6EB8" w:rsidR="00A66753" w:rsidRPr="00B171F1" w:rsidRDefault="00A66753" w:rsidP="000D0B9B">
            <w:pPr>
              <w:pStyle w:val="Tabletext"/>
              <w:rPr>
                <w:lang w:eastAsia="en-AU"/>
              </w:rPr>
            </w:pPr>
            <w:r>
              <w:t>134</w:t>
            </w:r>
          </w:p>
        </w:tc>
        <w:tc>
          <w:tcPr>
            <w:tcW w:w="619" w:type="pct"/>
            <w:tcBorders>
              <w:top w:val="nil"/>
              <w:left w:val="nil"/>
              <w:bottom w:val="single" w:sz="4" w:space="0" w:color="auto"/>
              <w:right w:val="single" w:sz="4" w:space="0" w:color="auto"/>
            </w:tcBorders>
            <w:shd w:val="clear" w:color="auto" w:fill="auto"/>
            <w:noWrap/>
            <w:hideMark/>
          </w:tcPr>
          <w:p w14:paraId="3518C36E" w14:textId="42952F13" w:rsidR="00A66753" w:rsidRPr="00B171F1" w:rsidRDefault="00A66753" w:rsidP="000D0B9B">
            <w:pPr>
              <w:pStyle w:val="Tabletext"/>
              <w:rPr>
                <w:lang w:eastAsia="en-AU"/>
              </w:rPr>
            </w:pPr>
            <w:r>
              <w:t>143</w:t>
            </w:r>
          </w:p>
        </w:tc>
        <w:tc>
          <w:tcPr>
            <w:tcW w:w="619" w:type="pct"/>
            <w:tcBorders>
              <w:top w:val="nil"/>
              <w:left w:val="nil"/>
              <w:bottom w:val="single" w:sz="4" w:space="0" w:color="auto"/>
              <w:right w:val="single" w:sz="4" w:space="0" w:color="auto"/>
            </w:tcBorders>
          </w:tcPr>
          <w:p w14:paraId="7533102B" w14:textId="703BCB95" w:rsidR="00A66753" w:rsidRDefault="00A66753" w:rsidP="000D0B9B">
            <w:pPr>
              <w:pStyle w:val="Tabletext"/>
            </w:pPr>
            <w:r>
              <w:t>163</w:t>
            </w:r>
          </w:p>
        </w:tc>
      </w:tr>
      <w:tr w:rsidR="00A66753" w:rsidRPr="00B171F1" w14:paraId="05EF0538" w14:textId="046E1400" w:rsidTr="00A66753">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0E8938A" w14:textId="77777777" w:rsidR="00A66753" w:rsidRPr="00B171F1" w:rsidRDefault="00A66753" w:rsidP="000D0B9B">
            <w:pPr>
              <w:pStyle w:val="Tabletext"/>
              <w:rPr>
                <w:lang w:eastAsia="en-AU"/>
              </w:rPr>
            </w:pPr>
            <w:r w:rsidRPr="00B171F1">
              <w:rPr>
                <w:lang w:eastAsia="en-AU"/>
              </w:rPr>
              <w:t>4</w:t>
            </w:r>
          </w:p>
        </w:tc>
        <w:tc>
          <w:tcPr>
            <w:tcW w:w="618" w:type="pct"/>
            <w:tcBorders>
              <w:top w:val="nil"/>
              <w:left w:val="nil"/>
              <w:bottom w:val="single" w:sz="4" w:space="0" w:color="auto"/>
              <w:right w:val="single" w:sz="4" w:space="0" w:color="auto"/>
            </w:tcBorders>
            <w:shd w:val="clear" w:color="auto" w:fill="auto"/>
            <w:noWrap/>
            <w:hideMark/>
          </w:tcPr>
          <w:p w14:paraId="3570E336" w14:textId="6DF65886" w:rsidR="00A66753" w:rsidRPr="00B171F1" w:rsidRDefault="00A66753" w:rsidP="000D0B9B">
            <w:pPr>
              <w:pStyle w:val="Tabletext"/>
              <w:rPr>
                <w:lang w:eastAsia="en-AU"/>
              </w:rPr>
            </w:pPr>
            <w:r>
              <w:t>59</w:t>
            </w:r>
          </w:p>
        </w:tc>
        <w:tc>
          <w:tcPr>
            <w:tcW w:w="619" w:type="pct"/>
            <w:tcBorders>
              <w:top w:val="nil"/>
              <w:left w:val="nil"/>
              <w:bottom w:val="single" w:sz="4" w:space="0" w:color="auto"/>
              <w:right w:val="single" w:sz="4" w:space="0" w:color="auto"/>
            </w:tcBorders>
            <w:shd w:val="clear" w:color="auto" w:fill="auto"/>
            <w:noWrap/>
            <w:hideMark/>
          </w:tcPr>
          <w:p w14:paraId="46C94C6F" w14:textId="3971CFBF" w:rsidR="00A66753" w:rsidRPr="00B171F1" w:rsidRDefault="00A66753" w:rsidP="000D0B9B">
            <w:pPr>
              <w:pStyle w:val="Tabletext"/>
              <w:rPr>
                <w:lang w:eastAsia="en-AU"/>
              </w:rPr>
            </w:pPr>
            <w:r>
              <w:t>69</w:t>
            </w:r>
          </w:p>
        </w:tc>
        <w:tc>
          <w:tcPr>
            <w:tcW w:w="619" w:type="pct"/>
            <w:tcBorders>
              <w:top w:val="nil"/>
              <w:left w:val="nil"/>
              <w:bottom w:val="single" w:sz="4" w:space="0" w:color="auto"/>
              <w:right w:val="single" w:sz="4" w:space="0" w:color="auto"/>
            </w:tcBorders>
            <w:shd w:val="clear" w:color="auto" w:fill="auto"/>
            <w:noWrap/>
            <w:hideMark/>
          </w:tcPr>
          <w:p w14:paraId="3386128B" w14:textId="32E917A1" w:rsidR="00A66753" w:rsidRPr="00B171F1" w:rsidRDefault="00A66753" w:rsidP="000D0B9B">
            <w:pPr>
              <w:pStyle w:val="Tabletext"/>
              <w:rPr>
                <w:lang w:eastAsia="en-AU"/>
              </w:rPr>
            </w:pPr>
            <w:r>
              <w:t>64</w:t>
            </w:r>
          </w:p>
        </w:tc>
        <w:tc>
          <w:tcPr>
            <w:tcW w:w="619" w:type="pct"/>
            <w:tcBorders>
              <w:top w:val="nil"/>
              <w:left w:val="nil"/>
              <w:bottom w:val="single" w:sz="4" w:space="0" w:color="auto"/>
              <w:right w:val="single" w:sz="4" w:space="0" w:color="auto"/>
            </w:tcBorders>
            <w:shd w:val="clear" w:color="auto" w:fill="auto"/>
            <w:noWrap/>
            <w:hideMark/>
          </w:tcPr>
          <w:p w14:paraId="39823EA1" w14:textId="2D1823E3" w:rsidR="00A66753" w:rsidRPr="00B171F1" w:rsidRDefault="00A66753" w:rsidP="000D0B9B">
            <w:pPr>
              <w:pStyle w:val="Tabletext"/>
              <w:rPr>
                <w:lang w:eastAsia="en-AU"/>
              </w:rPr>
            </w:pPr>
            <w:r>
              <w:t>70</w:t>
            </w:r>
          </w:p>
        </w:tc>
        <w:tc>
          <w:tcPr>
            <w:tcW w:w="619" w:type="pct"/>
            <w:tcBorders>
              <w:top w:val="nil"/>
              <w:left w:val="nil"/>
              <w:bottom w:val="single" w:sz="4" w:space="0" w:color="auto"/>
              <w:right w:val="single" w:sz="4" w:space="0" w:color="auto"/>
            </w:tcBorders>
            <w:shd w:val="clear" w:color="auto" w:fill="auto"/>
            <w:noWrap/>
            <w:hideMark/>
          </w:tcPr>
          <w:p w14:paraId="54A9820D" w14:textId="44795E8E" w:rsidR="00A66753" w:rsidRPr="00B171F1" w:rsidRDefault="00A66753" w:rsidP="000D0B9B">
            <w:pPr>
              <w:pStyle w:val="Tabletext"/>
              <w:rPr>
                <w:lang w:eastAsia="en-AU"/>
              </w:rPr>
            </w:pPr>
            <w:r>
              <w:t>88</w:t>
            </w:r>
          </w:p>
        </w:tc>
        <w:tc>
          <w:tcPr>
            <w:tcW w:w="619" w:type="pct"/>
            <w:tcBorders>
              <w:top w:val="nil"/>
              <w:left w:val="nil"/>
              <w:bottom w:val="single" w:sz="4" w:space="0" w:color="auto"/>
              <w:right w:val="single" w:sz="4" w:space="0" w:color="auto"/>
            </w:tcBorders>
          </w:tcPr>
          <w:p w14:paraId="0E01EDE3" w14:textId="7F2D4267" w:rsidR="00A66753" w:rsidRDefault="00A66753" w:rsidP="000D0B9B">
            <w:pPr>
              <w:pStyle w:val="Tabletext"/>
            </w:pPr>
            <w:r>
              <w:t>101</w:t>
            </w:r>
          </w:p>
        </w:tc>
      </w:tr>
      <w:tr w:rsidR="00A66753" w:rsidRPr="00B171F1" w14:paraId="31109F02" w14:textId="30F4471B" w:rsidTr="00A66753">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3DA7D650" w14:textId="77777777" w:rsidR="00A66753" w:rsidRPr="00B171F1" w:rsidRDefault="00A66753" w:rsidP="000D0B9B">
            <w:pPr>
              <w:pStyle w:val="Tabletext"/>
              <w:rPr>
                <w:lang w:eastAsia="en-AU"/>
              </w:rPr>
            </w:pPr>
            <w:r w:rsidRPr="00B171F1">
              <w:rPr>
                <w:lang w:eastAsia="en-AU"/>
              </w:rPr>
              <w:t>5</w:t>
            </w:r>
          </w:p>
        </w:tc>
        <w:tc>
          <w:tcPr>
            <w:tcW w:w="618" w:type="pct"/>
            <w:tcBorders>
              <w:top w:val="nil"/>
              <w:left w:val="nil"/>
              <w:bottom w:val="single" w:sz="4" w:space="0" w:color="auto"/>
              <w:right w:val="single" w:sz="4" w:space="0" w:color="auto"/>
            </w:tcBorders>
            <w:shd w:val="clear" w:color="auto" w:fill="auto"/>
            <w:noWrap/>
            <w:hideMark/>
          </w:tcPr>
          <w:p w14:paraId="6AD591E7" w14:textId="2D0263DC" w:rsidR="00A66753" w:rsidRPr="00B171F1" w:rsidRDefault="00A66753" w:rsidP="000D0B9B">
            <w:pPr>
              <w:pStyle w:val="Tabletext"/>
              <w:rPr>
                <w:lang w:eastAsia="en-AU"/>
              </w:rPr>
            </w:pPr>
            <w:r>
              <w:t>39</w:t>
            </w:r>
          </w:p>
        </w:tc>
        <w:tc>
          <w:tcPr>
            <w:tcW w:w="619" w:type="pct"/>
            <w:tcBorders>
              <w:top w:val="nil"/>
              <w:left w:val="nil"/>
              <w:bottom w:val="single" w:sz="4" w:space="0" w:color="auto"/>
              <w:right w:val="single" w:sz="4" w:space="0" w:color="auto"/>
            </w:tcBorders>
            <w:shd w:val="clear" w:color="auto" w:fill="auto"/>
            <w:noWrap/>
            <w:hideMark/>
          </w:tcPr>
          <w:p w14:paraId="1E4B38C4" w14:textId="3A5685DB" w:rsidR="00A66753" w:rsidRPr="00B171F1" w:rsidRDefault="00A66753" w:rsidP="000D0B9B">
            <w:pPr>
              <w:pStyle w:val="Tabletext"/>
              <w:rPr>
                <w:lang w:eastAsia="en-AU"/>
              </w:rPr>
            </w:pPr>
            <w:r>
              <w:t>28</w:t>
            </w:r>
          </w:p>
        </w:tc>
        <w:tc>
          <w:tcPr>
            <w:tcW w:w="619" w:type="pct"/>
            <w:tcBorders>
              <w:top w:val="nil"/>
              <w:left w:val="nil"/>
              <w:bottom w:val="single" w:sz="4" w:space="0" w:color="auto"/>
              <w:right w:val="single" w:sz="4" w:space="0" w:color="auto"/>
            </w:tcBorders>
            <w:shd w:val="clear" w:color="auto" w:fill="auto"/>
            <w:noWrap/>
            <w:hideMark/>
          </w:tcPr>
          <w:p w14:paraId="46CD75C5" w14:textId="291B1EEA" w:rsidR="00A66753" w:rsidRPr="00B171F1" w:rsidRDefault="00A66753" w:rsidP="000D0B9B">
            <w:pPr>
              <w:pStyle w:val="Tabletext"/>
              <w:rPr>
                <w:lang w:eastAsia="en-AU"/>
              </w:rPr>
            </w:pPr>
            <w:r>
              <w:t>34</w:t>
            </w:r>
          </w:p>
        </w:tc>
        <w:tc>
          <w:tcPr>
            <w:tcW w:w="619" w:type="pct"/>
            <w:tcBorders>
              <w:top w:val="nil"/>
              <w:left w:val="nil"/>
              <w:bottom w:val="single" w:sz="4" w:space="0" w:color="auto"/>
              <w:right w:val="single" w:sz="4" w:space="0" w:color="auto"/>
            </w:tcBorders>
            <w:shd w:val="clear" w:color="auto" w:fill="auto"/>
            <w:noWrap/>
            <w:hideMark/>
          </w:tcPr>
          <w:p w14:paraId="532BD3BE" w14:textId="407243AD" w:rsidR="00A66753" w:rsidRPr="00B171F1" w:rsidRDefault="00A66753" w:rsidP="000D0B9B">
            <w:pPr>
              <w:pStyle w:val="Tabletext"/>
              <w:rPr>
                <w:lang w:eastAsia="en-AU"/>
              </w:rPr>
            </w:pPr>
            <w:r>
              <w:t>53</w:t>
            </w:r>
          </w:p>
        </w:tc>
        <w:tc>
          <w:tcPr>
            <w:tcW w:w="619" w:type="pct"/>
            <w:tcBorders>
              <w:top w:val="nil"/>
              <w:left w:val="nil"/>
              <w:bottom w:val="single" w:sz="4" w:space="0" w:color="auto"/>
              <w:right w:val="single" w:sz="4" w:space="0" w:color="auto"/>
            </w:tcBorders>
            <w:shd w:val="clear" w:color="auto" w:fill="auto"/>
            <w:noWrap/>
            <w:hideMark/>
          </w:tcPr>
          <w:p w14:paraId="5366FD4F" w14:textId="2AA6A7EE" w:rsidR="00A66753" w:rsidRPr="00B171F1" w:rsidRDefault="00A66753" w:rsidP="000D0B9B">
            <w:pPr>
              <w:pStyle w:val="Tabletext"/>
              <w:rPr>
                <w:lang w:eastAsia="en-AU"/>
              </w:rPr>
            </w:pPr>
            <w:r>
              <w:t>58</w:t>
            </w:r>
          </w:p>
        </w:tc>
        <w:tc>
          <w:tcPr>
            <w:tcW w:w="619" w:type="pct"/>
            <w:tcBorders>
              <w:top w:val="nil"/>
              <w:left w:val="nil"/>
              <w:bottom w:val="single" w:sz="4" w:space="0" w:color="auto"/>
              <w:right w:val="single" w:sz="4" w:space="0" w:color="auto"/>
            </w:tcBorders>
          </w:tcPr>
          <w:p w14:paraId="26589FF1" w14:textId="56853166" w:rsidR="00A66753" w:rsidRDefault="00A66753" w:rsidP="000D0B9B">
            <w:pPr>
              <w:pStyle w:val="Tabletext"/>
            </w:pPr>
            <w:r>
              <w:t>60</w:t>
            </w:r>
          </w:p>
        </w:tc>
      </w:tr>
      <w:tr w:rsidR="00A66753" w:rsidRPr="00B171F1" w14:paraId="4626AB1D" w14:textId="614281A0" w:rsidTr="00A66753">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65B0EB5D" w14:textId="77777777" w:rsidR="00A66753" w:rsidRPr="00B171F1" w:rsidRDefault="00A66753" w:rsidP="000D0B9B">
            <w:pPr>
              <w:pStyle w:val="Tabletext"/>
              <w:rPr>
                <w:lang w:eastAsia="en-AU"/>
              </w:rPr>
            </w:pPr>
            <w:r w:rsidRPr="00B171F1">
              <w:rPr>
                <w:lang w:eastAsia="en-AU"/>
              </w:rPr>
              <w:t>6</w:t>
            </w:r>
          </w:p>
        </w:tc>
        <w:tc>
          <w:tcPr>
            <w:tcW w:w="618" w:type="pct"/>
            <w:tcBorders>
              <w:top w:val="nil"/>
              <w:left w:val="nil"/>
              <w:bottom w:val="single" w:sz="4" w:space="0" w:color="auto"/>
              <w:right w:val="single" w:sz="4" w:space="0" w:color="auto"/>
            </w:tcBorders>
            <w:shd w:val="clear" w:color="auto" w:fill="auto"/>
            <w:noWrap/>
            <w:hideMark/>
          </w:tcPr>
          <w:p w14:paraId="4F422E3E" w14:textId="73791E44" w:rsidR="00A66753" w:rsidRPr="00B171F1" w:rsidRDefault="00A66753" w:rsidP="000D0B9B">
            <w:pPr>
              <w:pStyle w:val="Tabletext"/>
              <w:rPr>
                <w:lang w:eastAsia="en-AU"/>
              </w:rPr>
            </w:pPr>
            <w:r>
              <w:t>17</w:t>
            </w:r>
          </w:p>
        </w:tc>
        <w:tc>
          <w:tcPr>
            <w:tcW w:w="619" w:type="pct"/>
            <w:tcBorders>
              <w:top w:val="nil"/>
              <w:left w:val="nil"/>
              <w:bottom w:val="single" w:sz="4" w:space="0" w:color="auto"/>
              <w:right w:val="single" w:sz="4" w:space="0" w:color="auto"/>
            </w:tcBorders>
            <w:shd w:val="clear" w:color="auto" w:fill="auto"/>
            <w:noWrap/>
            <w:hideMark/>
          </w:tcPr>
          <w:p w14:paraId="38F4EA19" w14:textId="5ACF75E4" w:rsidR="00A66753" w:rsidRPr="00B171F1" w:rsidRDefault="00A66753" w:rsidP="000D0B9B">
            <w:pPr>
              <w:pStyle w:val="Tabletext"/>
              <w:rPr>
                <w:lang w:eastAsia="en-AU"/>
              </w:rPr>
            </w:pPr>
            <w:r>
              <w:t>26</w:t>
            </w:r>
          </w:p>
        </w:tc>
        <w:tc>
          <w:tcPr>
            <w:tcW w:w="619" w:type="pct"/>
            <w:tcBorders>
              <w:top w:val="nil"/>
              <w:left w:val="nil"/>
              <w:bottom w:val="single" w:sz="4" w:space="0" w:color="auto"/>
              <w:right w:val="single" w:sz="4" w:space="0" w:color="auto"/>
            </w:tcBorders>
            <w:shd w:val="clear" w:color="auto" w:fill="auto"/>
            <w:noWrap/>
            <w:hideMark/>
          </w:tcPr>
          <w:p w14:paraId="26C5984D" w14:textId="3A893B17" w:rsidR="00A66753" w:rsidRPr="00B171F1" w:rsidRDefault="00A66753" w:rsidP="000D0B9B">
            <w:pPr>
              <w:pStyle w:val="Tabletext"/>
              <w:rPr>
                <w:lang w:eastAsia="en-AU"/>
              </w:rPr>
            </w:pPr>
            <w:r>
              <w:t>26</w:t>
            </w:r>
          </w:p>
        </w:tc>
        <w:tc>
          <w:tcPr>
            <w:tcW w:w="619" w:type="pct"/>
            <w:tcBorders>
              <w:top w:val="nil"/>
              <w:left w:val="nil"/>
              <w:bottom w:val="single" w:sz="4" w:space="0" w:color="auto"/>
              <w:right w:val="single" w:sz="4" w:space="0" w:color="auto"/>
            </w:tcBorders>
            <w:shd w:val="clear" w:color="auto" w:fill="auto"/>
            <w:noWrap/>
            <w:hideMark/>
          </w:tcPr>
          <w:p w14:paraId="057085F0" w14:textId="26A49E31" w:rsidR="00A66753" w:rsidRPr="00B171F1" w:rsidRDefault="00A66753" w:rsidP="000D0B9B">
            <w:pPr>
              <w:pStyle w:val="Tabletext"/>
              <w:rPr>
                <w:lang w:eastAsia="en-AU"/>
              </w:rPr>
            </w:pPr>
            <w:r>
              <w:t>32</w:t>
            </w:r>
          </w:p>
        </w:tc>
        <w:tc>
          <w:tcPr>
            <w:tcW w:w="619" w:type="pct"/>
            <w:tcBorders>
              <w:top w:val="nil"/>
              <w:left w:val="nil"/>
              <w:bottom w:val="single" w:sz="4" w:space="0" w:color="auto"/>
              <w:right w:val="single" w:sz="4" w:space="0" w:color="auto"/>
            </w:tcBorders>
            <w:shd w:val="clear" w:color="auto" w:fill="auto"/>
            <w:noWrap/>
            <w:hideMark/>
          </w:tcPr>
          <w:p w14:paraId="48CEF1FF" w14:textId="2F7F8498" w:rsidR="00A66753" w:rsidRPr="00B171F1" w:rsidRDefault="00A66753" w:rsidP="000D0B9B">
            <w:pPr>
              <w:pStyle w:val="Tabletext"/>
              <w:rPr>
                <w:lang w:eastAsia="en-AU"/>
              </w:rPr>
            </w:pPr>
            <w:r>
              <w:t>33</w:t>
            </w:r>
          </w:p>
        </w:tc>
        <w:tc>
          <w:tcPr>
            <w:tcW w:w="619" w:type="pct"/>
            <w:tcBorders>
              <w:top w:val="nil"/>
              <w:left w:val="nil"/>
              <w:bottom w:val="single" w:sz="4" w:space="0" w:color="auto"/>
              <w:right w:val="single" w:sz="4" w:space="0" w:color="auto"/>
            </w:tcBorders>
          </w:tcPr>
          <w:p w14:paraId="4F73B4EF" w14:textId="4A0E755D" w:rsidR="00A66753" w:rsidRDefault="00A66753" w:rsidP="000D0B9B">
            <w:pPr>
              <w:pStyle w:val="Tabletext"/>
            </w:pPr>
            <w:r>
              <w:t>46</w:t>
            </w:r>
          </w:p>
        </w:tc>
      </w:tr>
      <w:tr w:rsidR="00A66753" w:rsidRPr="00B171F1" w14:paraId="29D8C56C" w14:textId="6412432B" w:rsidTr="00A66753">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547F4B74" w14:textId="77777777" w:rsidR="00A66753" w:rsidRPr="00B171F1" w:rsidRDefault="00A66753" w:rsidP="000D0B9B">
            <w:pPr>
              <w:pStyle w:val="Tabletext"/>
              <w:rPr>
                <w:lang w:eastAsia="en-AU"/>
              </w:rPr>
            </w:pPr>
            <w:r w:rsidRPr="00B171F1">
              <w:rPr>
                <w:lang w:eastAsia="en-AU"/>
              </w:rPr>
              <w:t>7+</w:t>
            </w:r>
          </w:p>
        </w:tc>
        <w:tc>
          <w:tcPr>
            <w:tcW w:w="618" w:type="pct"/>
            <w:tcBorders>
              <w:top w:val="nil"/>
              <w:left w:val="nil"/>
              <w:bottom w:val="single" w:sz="4" w:space="0" w:color="auto"/>
              <w:right w:val="single" w:sz="4" w:space="0" w:color="auto"/>
            </w:tcBorders>
            <w:shd w:val="clear" w:color="auto" w:fill="auto"/>
            <w:noWrap/>
            <w:hideMark/>
          </w:tcPr>
          <w:p w14:paraId="327E8BC4" w14:textId="0A2BB0E7" w:rsidR="00A66753" w:rsidRPr="00B171F1" w:rsidRDefault="00A66753" w:rsidP="000D0B9B">
            <w:pPr>
              <w:pStyle w:val="Tabletext"/>
              <w:rPr>
                <w:lang w:eastAsia="en-AU"/>
              </w:rPr>
            </w:pPr>
            <w:r>
              <w:t>116</w:t>
            </w:r>
          </w:p>
        </w:tc>
        <w:tc>
          <w:tcPr>
            <w:tcW w:w="619" w:type="pct"/>
            <w:tcBorders>
              <w:top w:val="nil"/>
              <w:left w:val="nil"/>
              <w:bottom w:val="single" w:sz="4" w:space="0" w:color="auto"/>
              <w:right w:val="single" w:sz="4" w:space="0" w:color="auto"/>
            </w:tcBorders>
            <w:shd w:val="clear" w:color="auto" w:fill="auto"/>
            <w:noWrap/>
            <w:hideMark/>
          </w:tcPr>
          <w:p w14:paraId="3BC4A3E3" w14:textId="11D12BDD" w:rsidR="00A66753" w:rsidRPr="00B171F1" w:rsidRDefault="00A66753" w:rsidP="000D0B9B">
            <w:pPr>
              <w:pStyle w:val="Tabletext"/>
              <w:rPr>
                <w:lang w:eastAsia="en-AU"/>
              </w:rPr>
            </w:pPr>
            <w:r>
              <w:t>124</w:t>
            </w:r>
          </w:p>
        </w:tc>
        <w:tc>
          <w:tcPr>
            <w:tcW w:w="619" w:type="pct"/>
            <w:tcBorders>
              <w:top w:val="nil"/>
              <w:left w:val="nil"/>
              <w:bottom w:val="single" w:sz="4" w:space="0" w:color="auto"/>
              <w:right w:val="single" w:sz="4" w:space="0" w:color="auto"/>
            </w:tcBorders>
            <w:shd w:val="clear" w:color="auto" w:fill="auto"/>
            <w:noWrap/>
            <w:hideMark/>
          </w:tcPr>
          <w:p w14:paraId="01D01276" w14:textId="45DD4560" w:rsidR="00A66753" w:rsidRPr="00B171F1" w:rsidRDefault="00A66753" w:rsidP="000D0B9B">
            <w:pPr>
              <w:pStyle w:val="Tabletext"/>
              <w:rPr>
                <w:lang w:eastAsia="en-AU"/>
              </w:rPr>
            </w:pPr>
            <w:r>
              <w:t>133</w:t>
            </w:r>
          </w:p>
        </w:tc>
        <w:tc>
          <w:tcPr>
            <w:tcW w:w="619" w:type="pct"/>
            <w:tcBorders>
              <w:top w:val="nil"/>
              <w:left w:val="nil"/>
              <w:bottom w:val="single" w:sz="4" w:space="0" w:color="auto"/>
              <w:right w:val="single" w:sz="4" w:space="0" w:color="auto"/>
            </w:tcBorders>
            <w:shd w:val="clear" w:color="auto" w:fill="auto"/>
            <w:noWrap/>
            <w:hideMark/>
          </w:tcPr>
          <w:p w14:paraId="2660E7ED" w14:textId="30B27661" w:rsidR="00A66753" w:rsidRPr="00B171F1" w:rsidRDefault="00A66753" w:rsidP="000D0B9B">
            <w:pPr>
              <w:pStyle w:val="Tabletext"/>
              <w:rPr>
                <w:lang w:eastAsia="en-AU"/>
              </w:rPr>
            </w:pPr>
            <w:r>
              <w:t>165</w:t>
            </w:r>
          </w:p>
        </w:tc>
        <w:tc>
          <w:tcPr>
            <w:tcW w:w="619" w:type="pct"/>
            <w:tcBorders>
              <w:top w:val="nil"/>
              <w:left w:val="nil"/>
              <w:bottom w:val="single" w:sz="4" w:space="0" w:color="auto"/>
              <w:right w:val="single" w:sz="4" w:space="0" w:color="auto"/>
            </w:tcBorders>
            <w:shd w:val="clear" w:color="auto" w:fill="auto"/>
            <w:noWrap/>
            <w:hideMark/>
          </w:tcPr>
          <w:p w14:paraId="6EAE2545" w14:textId="082B9965" w:rsidR="00A66753" w:rsidRPr="00B171F1" w:rsidRDefault="00A66753" w:rsidP="000D0B9B">
            <w:pPr>
              <w:pStyle w:val="Tabletext"/>
              <w:rPr>
                <w:lang w:eastAsia="en-AU"/>
              </w:rPr>
            </w:pPr>
            <w:r>
              <w:t>184</w:t>
            </w:r>
          </w:p>
        </w:tc>
        <w:tc>
          <w:tcPr>
            <w:tcW w:w="619" w:type="pct"/>
            <w:tcBorders>
              <w:top w:val="nil"/>
              <w:left w:val="nil"/>
              <w:bottom w:val="single" w:sz="4" w:space="0" w:color="auto"/>
              <w:right w:val="single" w:sz="4" w:space="0" w:color="auto"/>
            </w:tcBorders>
          </w:tcPr>
          <w:p w14:paraId="2BA7BFE9" w14:textId="0BA86E51" w:rsidR="00A66753" w:rsidRDefault="00A66753" w:rsidP="000D0B9B">
            <w:pPr>
              <w:pStyle w:val="Tabletext"/>
            </w:pPr>
            <w:r>
              <w:t>169</w:t>
            </w:r>
          </w:p>
        </w:tc>
      </w:tr>
    </w:tbl>
    <w:p w14:paraId="22EEE414" w14:textId="7850087B" w:rsidR="00381B2F" w:rsidRPr="00A83DB5" w:rsidRDefault="00381B2F" w:rsidP="00643556">
      <w:pPr>
        <w:pStyle w:val="Bodyaftertable"/>
      </w:pPr>
      <w:r>
        <w:t>With respect to duration, the</w:t>
      </w:r>
      <w:r w:rsidR="00B7121F">
        <w:t>re were 19 episodes of restraint</w:t>
      </w:r>
      <w:r w:rsidR="00F96F48">
        <w:t xml:space="preserve"> in excess of 12 hours, </w:t>
      </w:r>
      <w:r>
        <w:t>represent</w:t>
      </w:r>
      <w:r w:rsidR="00CF7F40">
        <w:t xml:space="preserve">ing </w:t>
      </w:r>
      <w:r>
        <w:t>0.</w:t>
      </w:r>
      <w:r w:rsidR="000B0634">
        <w:t>2</w:t>
      </w:r>
      <w:r>
        <w:t xml:space="preserve"> per cent of the total</w:t>
      </w:r>
      <w:r w:rsidR="008C69C7">
        <w:t xml:space="preserve"> in </w:t>
      </w:r>
      <w:r w:rsidR="007B2175">
        <w:t>2020–21</w:t>
      </w:r>
      <w:r w:rsidR="00BF3B3F">
        <w:t xml:space="preserve">. This </w:t>
      </w:r>
      <w:r w:rsidR="00387FDB">
        <w:t xml:space="preserve">is a reduction </w:t>
      </w:r>
      <w:r>
        <w:t xml:space="preserve">of </w:t>
      </w:r>
      <w:r w:rsidR="000B0634">
        <w:t>79</w:t>
      </w:r>
      <w:r>
        <w:t xml:space="preserve"> per cent relative to 2015–16 (Table </w:t>
      </w:r>
      <w:r w:rsidR="008E180F">
        <w:t>18</w:t>
      </w:r>
      <w:r>
        <w:t>).</w:t>
      </w:r>
      <w:r w:rsidR="00B5548B">
        <w:t xml:space="preserve"> </w:t>
      </w:r>
      <w:r w:rsidR="1FFD5A84">
        <w:t xml:space="preserve">The majority of restraints last less than three minutes and may reflect </w:t>
      </w:r>
      <w:r w:rsidR="0033497B">
        <w:t xml:space="preserve">the use of </w:t>
      </w:r>
      <w:r w:rsidR="1FFD5A84">
        <w:t>restraint to facilitate the administration of medication or to guide a person to</w:t>
      </w:r>
      <w:r w:rsidR="20818CA6">
        <w:t>wards</w:t>
      </w:r>
      <w:r w:rsidR="1FFD5A84">
        <w:t xml:space="preserve"> a different space</w:t>
      </w:r>
      <w:r w:rsidR="348A1212">
        <w:t>.</w:t>
      </w:r>
      <w:r w:rsidR="00F37232">
        <w:t xml:space="preserve"> There is ongoing work to understand the variation in </w:t>
      </w:r>
      <w:r w:rsidR="00256ED7">
        <w:t>clinical practice.</w:t>
      </w:r>
    </w:p>
    <w:p w14:paraId="2D6FEA36" w14:textId="43286F1D" w:rsidR="00381B2F" w:rsidRPr="003C6E6B" w:rsidRDefault="00381B2F" w:rsidP="000D0B9B">
      <w:pPr>
        <w:pStyle w:val="Tablecaption"/>
      </w:pPr>
      <w:r w:rsidRPr="64F2407C">
        <w:t xml:space="preserve">Table </w:t>
      </w:r>
      <w:r w:rsidR="008E180F">
        <w:t>18</w:t>
      </w:r>
      <w:r w:rsidRPr="64F2407C">
        <w:t xml:space="preserve">: Duration of physical, mechanical and combined restraint episodes, 2015–16 to </w:t>
      </w:r>
      <w:r>
        <w:br/>
      </w:r>
      <w:r w:rsidR="007B2175">
        <w:t>2020–21</w:t>
      </w:r>
    </w:p>
    <w:tbl>
      <w:tblPr>
        <w:tblW w:w="5000" w:type="pct"/>
        <w:tblLook w:val="04A0" w:firstRow="1" w:lastRow="0" w:firstColumn="1" w:lastColumn="0" w:noHBand="0" w:noVBand="1"/>
      </w:tblPr>
      <w:tblGrid>
        <w:gridCol w:w="2194"/>
        <w:gridCol w:w="1183"/>
        <w:gridCol w:w="1181"/>
        <w:gridCol w:w="1183"/>
        <w:gridCol w:w="1184"/>
        <w:gridCol w:w="1184"/>
        <w:gridCol w:w="1179"/>
      </w:tblGrid>
      <w:tr w:rsidR="00FC1E88" w:rsidRPr="00012445" w14:paraId="35BEAB7A" w14:textId="75C76A8F" w:rsidTr="008D39FB">
        <w:trPr>
          <w:trHeight w:val="300"/>
          <w:tblHeader/>
        </w:trPr>
        <w:tc>
          <w:tcPr>
            <w:tcW w:w="11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8F1CF" w14:textId="71AC630A" w:rsidR="00FC1E88" w:rsidRPr="00012445" w:rsidRDefault="00FC1E88" w:rsidP="000D0B9B">
            <w:pPr>
              <w:pStyle w:val="Tablecolhead"/>
              <w:rPr>
                <w:lang w:eastAsia="en-AU"/>
              </w:rPr>
            </w:pPr>
            <w:r w:rsidRPr="00012445">
              <w:rPr>
                <w:lang w:eastAsia="en-AU"/>
              </w:rPr>
              <w:t> </w:t>
            </w:r>
            <w:r>
              <w:rPr>
                <w:lang w:eastAsia="en-AU"/>
              </w:rPr>
              <w:t>Duration</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14:paraId="6FE16405" w14:textId="59721CA4" w:rsidR="00FC1E88" w:rsidRPr="00012445" w:rsidRDefault="00FC1E88" w:rsidP="000D0B9B">
            <w:pPr>
              <w:pStyle w:val="Tablecolhead"/>
              <w:rPr>
                <w:lang w:eastAsia="en-AU"/>
              </w:rPr>
            </w:pPr>
            <w:r w:rsidRPr="00012445">
              <w:rPr>
                <w:lang w:eastAsia="en-AU"/>
              </w:rPr>
              <w:t>2015</w:t>
            </w:r>
            <w:r>
              <w:rPr>
                <w:lang w:eastAsia="en-AU"/>
              </w:rPr>
              <w:t>–1</w:t>
            </w:r>
            <w:r w:rsidRPr="00012445">
              <w:rPr>
                <w:lang w:eastAsia="en-AU"/>
              </w:rPr>
              <w:t>6</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14:paraId="34C6FB25" w14:textId="6701632F" w:rsidR="00FC1E88" w:rsidRPr="00012445" w:rsidRDefault="00FC1E88" w:rsidP="000D0B9B">
            <w:pPr>
              <w:pStyle w:val="Tablecolhead"/>
              <w:rPr>
                <w:lang w:eastAsia="en-AU"/>
              </w:rPr>
            </w:pPr>
            <w:r w:rsidRPr="00012445">
              <w:rPr>
                <w:lang w:eastAsia="en-AU"/>
              </w:rPr>
              <w:t>2016</w:t>
            </w:r>
            <w:r>
              <w:rPr>
                <w:lang w:eastAsia="en-AU"/>
              </w:rPr>
              <w:t>–1</w:t>
            </w:r>
            <w:r w:rsidRPr="00012445">
              <w:rPr>
                <w:lang w:eastAsia="en-AU"/>
              </w:rPr>
              <w:t>7</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14:paraId="509D8080" w14:textId="2941483E" w:rsidR="00FC1E88" w:rsidRPr="00012445" w:rsidRDefault="00FC1E88" w:rsidP="000D0B9B">
            <w:pPr>
              <w:pStyle w:val="Tablecolhead"/>
              <w:rPr>
                <w:lang w:eastAsia="en-AU"/>
              </w:rPr>
            </w:pPr>
            <w:r w:rsidRPr="00012445">
              <w:rPr>
                <w:lang w:eastAsia="en-AU"/>
              </w:rPr>
              <w:t>2017</w:t>
            </w:r>
            <w:r>
              <w:rPr>
                <w:lang w:eastAsia="en-AU"/>
              </w:rPr>
              <w:t>–1</w:t>
            </w:r>
            <w:r w:rsidRPr="00012445">
              <w:rPr>
                <w:lang w:eastAsia="en-AU"/>
              </w:rPr>
              <w:t>8</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14:paraId="455781F8" w14:textId="04FF35FA" w:rsidR="00FC1E88" w:rsidRPr="00012445" w:rsidRDefault="00FC1E88" w:rsidP="000D0B9B">
            <w:pPr>
              <w:pStyle w:val="Tablecolhead"/>
              <w:rPr>
                <w:lang w:eastAsia="en-AU"/>
              </w:rPr>
            </w:pPr>
            <w:r w:rsidRPr="00012445">
              <w:rPr>
                <w:lang w:eastAsia="en-AU"/>
              </w:rPr>
              <w:t>2018</w:t>
            </w:r>
            <w:r>
              <w:rPr>
                <w:lang w:eastAsia="en-AU"/>
              </w:rPr>
              <w:t>–1</w:t>
            </w:r>
            <w:r w:rsidRPr="00012445">
              <w:rPr>
                <w:lang w:eastAsia="en-AU"/>
              </w:rPr>
              <w:t>9</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14:paraId="4921EE45" w14:textId="062C316A" w:rsidR="00FC1E88" w:rsidRPr="00012445" w:rsidRDefault="00FC1E88" w:rsidP="000D0B9B">
            <w:pPr>
              <w:pStyle w:val="Tablecolhead"/>
              <w:rPr>
                <w:lang w:eastAsia="en-AU"/>
              </w:rPr>
            </w:pPr>
            <w:r w:rsidRPr="00012445">
              <w:rPr>
                <w:lang w:eastAsia="en-AU"/>
              </w:rPr>
              <w:t>2019</w:t>
            </w:r>
            <w:r>
              <w:rPr>
                <w:lang w:eastAsia="en-AU"/>
              </w:rPr>
              <w:t>–2</w:t>
            </w:r>
            <w:r w:rsidRPr="00012445">
              <w:rPr>
                <w:lang w:eastAsia="en-AU"/>
              </w:rPr>
              <w:t>0</w:t>
            </w:r>
          </w:p>
        </w:tc>
        <w:tc>
          <w:tcPr>
            <w:tcW w:w="642" w:type="pct"/>
            <w:tcBorders>
              <w:top w:val="single" w:sz="4" w:space="0" w:color="auto"/>
              <w:left w:val="nil"/>
              <w:bottom w:val="single" w:sz="4" w:space="0" w:color="auto"/>
              <w:right w:val="single" w:sz="4" w:space="0" w:color="auto"/>
            </w:tcBorders>
          </w:tcPr>
          <w:p w14:paraId="7E4FEA74" w14:textId="4235F834" w:rsidR="00FC1E88" w:rsidRPr="00012445" w:rsidRDefault="007B2175" w:rsidP="000D0B9B">
            <w:pPr>
              <w:pStyle w:val="Tablecolhead"/>
              <w:rPr>
                <w:lang w:eastAsia="en-AU"/>
              </w:rPr>
            </w:pPr>
            <w:r>
              <w:rPr>
                <w:lang w:eastAsia="en-AU"/>
              </w:rPr>
              <w:t>2020–21</w:t>
            </w:r>
          </w:p>
        </w:tc>
      </w:tr>
      <w:tr w:rsidR="00766454" w:rsidRPr="00012445" w14:paraId="2413597D" w14:textId="7921DEB6" w:rsidTr="008D39FB">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6EC53C10" w14:textId="63E66171" w:rsidR="00766454" w:rsidRPr="00012445" w:rsidRDefault="00766454" w:rsidP="000D0B9B">
            <w:pPr>
              <w:pStyle w:val="Tabletext"/>
              <w:rPr>
                <w:lang w:eastAsia="en-AU"/>
              </w:rPr>
            </w:pPr>
            <w:r w:rsidRPr="00012445">
              <w:rPr>
                <w:lang w:eastAsia="en-AU"/>
              </w:rPr>
              <w:t>Less than 3 min</w:t>
            </w:r>
            <w:r>
              <w:rPr>
                <w:lang w:eastAsia="en-AU"/>
              </w:rPr>
              <w:t>ute</w:t>
            </w:r>
            <w:r w:rsidRPr="00012445">
              <w:rPr>
                <w:lang w:eastAsia="en-AU"/>
              </w:rPr>
              <w:t>s</w:t>
            </w:r>
          </w:p>
        </w:tc>
        <w:tc>
          <w:tcPr>
            <w:tcW w:w="645" w:type="pct"/>
            <w:tcBorders>
              <w:top w:val="nil"/>
              <w:left w:val="nil"/>
              <w:bottom w:val="single" w:sz="4" w:space="0" w:color="auto"/>
              <w:right w:val="single" w:sz="4" w:space="0" w:color="auto"/>
            </w:tcBorders>
            <w:shd w:val="clear" w:color="auto" w:fill="auto"/>
            <w:noWrap/>
            <w:hideMark/>
          </w:tcPr>
          <w:p w14:paraId="1F9E1C5D" w14:textId="2988FFEE" w:rsidR="00766454" w:rsidRPr="00012445" w:rsidRDefault="00766454" w:rsidP="000D0B9B">
            <w:pPr>
              <w:pStyle w:val="Tabletext"/>
              <w:rPr>
                <w:lang w:eastAsia="en-AU"/>
              </w:rPr>
            </w:pPr>
            <w:r>
              <w:t>4,978</w:t>
            </w:r>
          </w:p>
        </w:tc>
        <w:tc>
          <w:tcPr>
            <w:tcW w:w="644" w:type="pct"/>
            <w:tcBorders>
              <w:top w:val="nil"/>
              <w:left w:val="nil"/>
              <w:bottom w:val="single" w:sz="4" w:space="0" w:color="auto"/>
              <w:right w:val="single" w:sz="4" w:space="0" w:color="auto"/>
            </w:tcBorders>
            <w:shd w:val="clear" w:color="auto" w:fill="auto"/>
            <w:noWrap/>
            <w:hideMark/>
          </w:tcPr>
          <w:p w14:paraId="0FB2DAA7" w14:textId="2ED36149" w:rsidR="00766454" w:rsidRPr="00012445" w:rsidRDefault="00766454" w:rsidP="000D0B9B">
            <w:pPr>
              <w:pStyle w:val="Tabletext"/>
              <w:rPr>
                <w:lang w:eastAsia="en-AU"/>
              </w:rPr>
            </w:pPr>
            <w:r>
              <w:t>3,479</w:t>
            </w:r>
          </w:p>
        </w:tc>
        <w:tc>
          <w:tcPr>
            <w:tcW w:w="645" w:type="pct"/>
            <w:tcBorders>
              <w:top w:val="nil"/>
              <w:left w:val="nil"/>
              <w:bottom w:val="single" w:sz="4" w:space="0" w:color="auto"/>
              <w:right w:val="single" w:sz="4" w:space="0" w:color="auto"/>
            </w:tcBorders>
            <w:shd w:val="clear" w:color="auto" w:fill="auto"/>
            <w:noWrap/>
            <w:hideMark/>
          </w:tcPr>
          <w:p w14:paraId="5B7AFB5A" w14:textId="2CFB9E56" w:rsidR="00766454" w:rsidRPr="00012445" w:rsidRDefault="00766454" w:rsidP="000D0B9B">
            <w:pPr>
              <w:pStyle w:val="Tabletext"/>
              <w:rPr>
                <w:lang w:eastAsia="en-AU"/>
              </w:rPr>
            </w:pPr>
            <w:r>
              <w:t>4,806</w:t>
            </w:r>
          </w:p>
        </w:tc>
        <w:tc>
          <w:tcPr>
            <w:tcW w:w="645" w:type="pct"/>
            <w:tcBorders>
              <w:top w:val="nil"/>
              <w:left w:val="nil"/>
              <w:bottom w:val="single" w:sz="4" w:space="0" w:color="auto"/>
              <w:right w:val="single" w:sz="4" w:space="0" w:color="auto"/>
            </w:tcBorders>
            <w:shd w:val="clear" w:color="auto" w:fill="auto"/>
            <w:noWrap/>
            <w:hideMark/>
          </w:tcPr>
          <w:p w14:paraId="18099EDD" w14:textId="3A11CC4E" w:rsidR="00766454" w:rsidRPr="00012445" w:rsidRDefault="00766454" w:rsidP="000D0B9B">
            <w:pPr>
              <w:pStyle w:val="Tabletext"/>
              <w:rPr>
                <w:lang w:eastAsia="en-AU"/>
              </w:rPr>
            </w:pPr>
            <w:r>
              <w:t>6,083</w:t>
            </w:r>
          </w:p>
        </w:tc>
        <w:tc>
          <w:tcPr>
            <w:tcW w:w="645" w:type="pct"/>
            <w:tcBorders>
              <w:top w:val="nil"/>
              <w:left w:val="nil"/>
              <w:bottom w:val="single" w:sz="4" w:space="0" w:color="auto"/>
              <w:right w:val="single" w:sz="4" w:space="0" w:color="auto"/>
            </w:tcBorders>
            <w:shd w:val="clear" w:color="auto" w:fill="auto"/>
            <w:noWrap/>
            <w:hideMark/>
          </w:tcPr>
          <w:p w14:paraId="44203EBB" w14:textId="068AA3F9" w:rsidR="00766454" w:rsidRPr="00012445" w:rsidRDefault="00766454" w:rsidP="000D0B9B">
            <w:pPr>
              <w:pStyle w:val="Tabletext"/>
              <w:rPr>
                <w:lang w:eastAsia="en-AU"/>
              </w:rPr>
            </w:pPr>
            <w:r>
              <w:t>5,379</w:t>
            </w:r>
          </w:p>
        </w:tc>
        <w:tc>
          <w:tcPr>
            <w:tcW w:w="642" w:type="pct"/>
            <w:tcBorders>
              <w:top w:val="nil"/>
              <w:left w:val="nil"/>
              <w:bottom w:val="single" w:sz="4" w:space="0" w:color="auto"/>
              <w:right w:val="single" w:sz="4" w:space="0" w:color="auto"/>
            </w:tcBorders>
          </w:tcPr>
          <w:p w14:paraId="2369D997" w14:textId="0FC1383D" w:rsidR="00766454" w:rsidRDefault="00766454" w:rsidP="000D0B9B">
            <w:pPr>
              <w:pStyle w:val="Tabletext"/>
            </w:pPr>
            <w:r>
              <w:t>5,743</w:t>
            </w:r>
          </w:p>
        </w:tc>
      </w:tr>
      <w:tr w:rsidR="00766454" w:rsidRPr="00012445" w14:paraId="4EE4D942" w14:textId="1D350067" w:rsidTr="008D39FB">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155CC3D0" w14:textId="301B46E1" w:rsidR="00766454" w:rsidRPr="00012445" w:rsidRDefault="00766454" w:rsidP="000D0B9B">
            <w:pPr>
              <w:pStyle w:val="Tabletext"/>
              <w:rPr>
                <w:lang w:eastAsia="en-AU"/>
              </w:rPr>
            </w:pPr>
            <w:r>
              <w:rPr>
                <w:lang w:eastAsia="en-AU"/>
              </w:rPr>
              <w:t xml:space="preserve">≥ </w:t>
            </w:r>
            <w:r w:rsidRPr="00012445">
              <w:rPr>
                <w:lang w:eastAsia="en-AU"/>
              </w:rPr>
              <w:t>3 to &lt;</w:t>
            </w:r>
            <w:r>
              <w:rPr>
                <w:lang w:eastAsia="en-AU"/>
              </w:rPr>
              <w:t xml:space="preserve"> </w:t>
            </w:r>
            <w:r w:rsidRPr="00012445">
              <w:rPr>
                <w:lang w:eastAsia="en-AU"/>
              </w:rPr>
              <w:t>15 min</w:t>
            </w:r>
            <w:r>
              <w:rPr>
                <w:lang w:eastAsia="en-AU"/>
              </w:rPr>
              <w:t>ute</w:t>
            </w:r>
            <w:r w:rsidRPr="00012445">
              <w:rPr>
                <w:lang w:eastAsia="en-AU"/>
              </w:rPr>
              <w:t>s</w:t>
            </w:r>
          </w:p>
        </w:tc>
        <w:tc>
          <w:tcPr>
            <w:tcW w:w="645" w:type="pct"/>
            <w:tcBorders>
              <w:top w:val="nil"/>
              <w:left w:val="nil"/>
              <w:bottom w:val="single" w:sz="4" w:space="0" w:color="auto"/>
              <w:right w:val="single" w:sz="4" w:space="0" w:color="auto"/>
            </w:tcBorders>
            <w:shd w:val="clear" w:color="auto" w:fill="auto"/>
            <w:noWrap/>
            <w:hideMark/>
          </w:tcPr>
          <w:p w14:paraId="22D0CD45" w14:textId="23184048" w:rsidR="00766454" w:rsidRPr="00012445" w:rsidRDefault="00766454" w:rsidP="000D0B9B">
            <w:pPr>
              <w:pStyle w:val="Tabletext"/>
              <w:rPr>
                <w:lang w:eastAsia="en-AU"/>
              </w:rPr>
            </w:pPr>
            <w:r>
              <w:t>3,825</w:t>
            </w:r>
          </w:p>
        </w:tc>
        <w:tc>
          <w:tcPr>
            <w:tcW w:w="644" w:type="pct"/>
            <w:tcBorders>
              <w:top w:val="nil"/>
              <w:left w:val="nil"/>
              <w:bottom w:val="single" w:sz="4" w:space="0" w:color="auto"/>
              <w:right w:val="single" w:sz="4" w:space="0" w:color="auto"/>
            </w:tcBorders>
            <w:shd w:val="clear" w:color="auto" w:fill="auto"/>
            <w:noWrap/>
            <w:hideMark/>
          </w:tcPr>
          <w:p w14:paraId="3F5F8737" w14:textId="29B2E5E8" w:rsidR="00766454" w:rsidRPr="00012445" w:rsidRDefault="00766454" w:rsidP="000D0B9B">
            <w:pPr>
              <w:pStyle w:val="Tabletext"/>
              <w:rPr>
                <w:lang w:eastAsia="en-AU"/>
              </w:rPr>
            </w:pPr>
            <w:r>
              <w:t>3,010</w:t>
            </w:r>
          </w:p>
        </w:tc>
        <w:tc>
          <w:tcPr>
            <w:tcW w:w="645" w:type="pct"/>
            <w:tcBorders>
              <w:top w:val="nil"/>
              <w:left w:val="nil"/>
              <w:bottom w:val="single" w:sz="4" w:space="0" w:color="auto"/>
              <w:right w:val="single" w:sz="4" w:space="0" w:color="auto"/>
            </w:tcBorders>
            <w:shd w:val="clear" w:color="auto" w:fill="auto"/>
            <w:noWrap/>
            <w:hideMark/>
          </w:tcPr>
          <w:p w14:paraId="4ED316D5" w14:textId="354ACD1C" w:rsidR="00766454" w:rsidRPr="00012445" w:rsidRDefault="00766454" w:rsidP="000D0B9B">
            <w:pPr>
              <w:pStyle w:val="Tabletext"/>
              <w:rPr>
                <w:lang w:eastAsia="en-AU"/>
              </w:rPr>
            </w:pPr>
            <w:r>
              <w:t>3,416</w:t>
            </w:r>
          </w:p>
        </w:tc>
        <w:tc>
          <w:tcPr>
            <w:tcW w:w="645" w:type="pct"/>
            <w:tcBorders>
              <w:top w:val="nil"/>
              <w:left w:val="nil"/>
              <w:bottom w:val="single" w:sz="4" w:space="0" w:color="auto"/>
              <w:right w:val="single" w:sz="4" w:space="0" w:color="auto"/>
            </w:tcBorders>
            <w:shd w:val="clear" w:color="auto" w:fill="auto"/>
            <w:noWrap/>
            <w:hideMark/>
          </w:tcPr>
          <w:p w14:paraId="131FB8A8" w14:textId="7D4B480D" w:rsidR="00766454" w:rsidRPr="00012445" w:rsidRDefault="00766454" w:rsidP="000D0B9B">
            <w:pPr>
              <w:pStyle w:val="Tabletext"/>
              <w:rPr>
                <w:lang w:eastAsia="en-AU"/>
              </w:rPr>
            </w:pPr>
            <w:r>
              <w:t>3,787</w:t>
            </w:r>
          </w:p>
        </w:tc>
        <w:tc>
          <w:tcPr>
            <w:tcW w:w="645" w:type="pct"/>
            <w:tcBorders>
              <w:top w:val="nil"/>
              <w:left w:val="nil"/>
              <w:bottom w:val="single" w:sz="4" w:space="0" w:color="auto"/>
              <w:right w:val="single" w:sz="4" w:space="0" w:color="auto"/>
            </w:tcBorders>
            <w:shd w:val="clear" w:color="auto" w:fill="auto"/>
            <w:noWrap/>
            <w:hideMark/>
          </w:tcPr>
          <w:p w14:paraId="42FBBF40" w14:textId="5183623A" w:rsidR="00766454" w:rsidRPr="00012445" w:rsidRDefault="00766454" w:rsidP="000D0B9B">
            <w:pPr>
              <w:pStyle w:val="Tabletext"/>
              <w:rPr>
                <w:lang w:eastAsia="en-AU"/>
              </w:rPr>
            </w:pPr>
            <w:r>
              <w:t>2,441</w:t>
            </w:r>
          </w:p>
        </w:tc>
        <w:tc>
          <w:tcPr>
            <w:tcW w:w="642" w:type="pct"/>
            <w:tcBorders>
              <w:top w:val="nil"/>
              <w:left w:val="nil"/>
              <w:bottom w:val="single" w:sz="4" w:space="0" w:color="auto"/>
              <w:right w:val="single" w:sz="4" w:space="0" w:color="auto"/>
            </w:tcBorders>
          </w:tcPr>
          <w:p w14:paraId="155D399A" w14:textId="385C2822" w:rsidR="00766454" w:rsidRDefault="00766454" w:rsidP="000D0B9B">
            <w:pPr>
              <w:pStyle w:val="Tabletext"/>
            </w:pPr>
            <w:r>
              <w:t>2,164</w:t>
            </w:r>
          </w:p>
        </w:tc>
      </w:tr>
      <w:tr w:rsidR="00766454" w:rsidRPr="00012445" w14:paraId="65E24822" w14:textId="6A53BF82" w:rsidTr="008D39FB">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3C6F9F1B" w14:textId="0604E9F1" w:rsidR="00766454" w:rsidRPr="00012445" w:rsidRDefault="00766454" w:rsidP="000D0B9B">
            <w:pPr>
              <w:pStyle w:val="Tabletext"/>
              <w:rPr>
                <w:lang w:eastAsia="en-AU"/>
              </w:rPr>
            </w:pPr>
            <w:r>
              <w:rPr>
                <w:lang w:eastAsia="en-AU"/>
              </w:rPr>
              <w:t xml:space="preserve">≥ </w:t>
            </w:r>
            <w:r w:rsidRPr="00012445">
              <w:rPr>
                <w:lang w:eastAsia="en-AU"/>
              </w:rPr>
              <w:t>15 to &lt;</w:t>
            </w:r>
            <w:r>
              <w:rPr>
                <w:lang w:eastAsia="en-AU"/>
              </w:rPr>
              <w:t xml:space="preserve"> </w:t>
            </w:r>
            <w:r w:rsidRPr="00012445">
              <w:rPr>
                <w:lang w:eastAsia="en-AU"/>
              </w:rPr>
              <w:t>30 min</w:t>
            </w:r>
            <w:r>
              <w:rPr>
                <w:lang w:eastAsia="en-AU"/>
              </w:rPr>
              <w:t>ute</w:t>
            </w:r>
            <w:r w:rsidRPr="00012445">
              <w:rPr>
                <w:lang w:eastAsia="en-AU"/>
              </w:rPr>
              <w:t>s</w:t>
            </w:r>
          </w:p>
        </w:tc>
        <w:tc>
          <w:tcPr>
            <w:tcW w:w="645" w:type="pct"/>
            <w:tcBorders>
              <w:top w:val="nil"/>
              <w:left w:val="nil"/>
              <w:bottom w:val="single" w:sz="4" w:space="0" w:color="auto"/>
              <w:right w:val="single" w:sz="4" w:space="0" w:color="auto"/>
            </w:tcBorders>
            <w:shd w:val="clear" w:color="auto" w:fill="auto"/>
            <w:noWrap/>
            <w:hideMark/>
          </w:tcPr>
          <w:p w14:paraId="21379864" w14:textId="2CCDEBA6" w:rsidR="00766454" w:rsidRPr="00012445" w:rsidRDefault="00766454" w:rsidP="000D0B9B">
            <w:pPr>
              <w:pStyle w:val="Tabletext"/>
              <w:rPr>
                <w:lang w:eastAsia="en-AU"/>
              </w:rPr>
            </w:pPr>
            <w:r>
              <w:t>238</w:t>
            </w:r>
          </w:p>
        </w:tc>
        <w:tc>
          <w:tcPr>
            <w:tcW w:w="644" w:type="pct"/>
            <w:tcBorders>
              <w:top w:val="nil"/>
              <w:left w:val="nil"/>
              <w:bottom w:val="single" w:sz="4" w:space="0" w:color="auto"/>
              <w:right w:val="single" w:sz="4" w:space="0" w:color="auto"/>
            </w:tcBorders>
            <w:shd w:val="clear" w:color="auto" w:fill="auto"/>
            <w:noWrap/>
            <w:hideMark/>
          </w:tcPr>
          <w:p w14:paraId="6CDDF60A" w14:textId="17117A56" w:rsidR="00766454" w:rsidRPr="00012445" w:rsidRDefault="00766454" w:rsidP="000D0B9B">
            <w:pPr>
              <w:pStyle w:val="Tabletext"/>
              <w:rPr>
                <w:lang w:eastAsia="en-AU"/>
              </w:rPr>
            </w:pPr>
            <w:r>
              <w:t>216</w:t>
            </w:r>
          </w:p>
        </w:tc>
        <w:tc>
          <w:tcPr>
            <w:tcW w:w="645" w:type="pct"/>
            <w:tcBorders>
              <w:top w:val="nil"/>
              <w:left w:val="nil"/>
              <w:bottom w:val="single" w:sz="4" w:space="0" w:color="auto"/>
              <w:right w:val="single" w:sz="4" w:space="0" w:color="auto"/>
            </w:tcBorders>
            <w:shd w:val="clear" w:color="auto" w:fill="auto"/>
            <w:noWrap/>
            <w:hideMark/>
          </w:tcPr>
          <w:p w14:paraId="1A34C2F0" w14:textId="4BCD1222" w:rsidR="00766454" w:rsidRPr="00012445" w:rsidRDefault="00766454" w:rsidP="000D0B9B">
            <w:pPr>
              <w:pStyle w:val="Tabletext"/>
              <w:rPr>
                <w:lang w:eastAsia="en-AU"/>
              </w:rPr>
            </w:pPr>
            <w:r>
              <w:t>225</w:t>
            </w:r>
          </w:p>
        </w:tc>
        <w:tc>
          <w:tcPr>
            <w:tcW w:w="645" w:type="pct"/>
            <w:tcBorders>
              <w:top w:val="nil"/>
              <w:left w:val="nil"/>
              <w:bottom w:val="single" w:sz="4" w:space="0" w:color="auto"/>
              <w:right w:val="single" w:sz="4" w:space="0" w:color="auto"/>
            </w:tcBorders>
            <w:shd w:val="clear" w:color="auto" w:fill="auto"/>
            <w:noWrap/>
            <w:hideMark/>
          </w:tcPr>
          <w:p w14:paraId="75273AD7" w14:textId="733F708E" w:rsidR="00766454" w:rsidRPr="00012445" w:rsidRDefault="00766454" w:rsidP="000D0B9B">
            <w:pPr>
              <w:pStyle w:val="Tabletext"/>
              <w:rPr>
                <w:lang w:eastAsia="en-AU"/>
              </w:rPr>
            </w:pPr>
            <w:r>
              <w:t>213</w:t>
            </w:r>
          </w:p>
        </w:tc>
        <w:tc>
          <w:tcPr>
            <w:tcW w:w="645" w:type="pct"/>
            <w:tcBorders>
              <w:top w:val="nil"/>
              <w:left w:val="nil"/>
              <w:bottom w:val="single" w:sz="4" w:space="0" w:color="auto"/>
              <w:right w:val="single" w:sz="4" w:space="0" w:color="auto"/>
            </w:tcBorders>
            <w:shd w:val="clear" w:color="auto" w:fill="auto"/>
            <w:noWrap/>
            <w:hideMark/>
          </w:tcPr>
          <w:p w14:paraId="7D093925" w14:textId="6F1DD856" w:rsidR="00766454" w:rsidRPr="00012445" w:rsidRDefault="00766454" w:rsidP="000D0B9B">
            <w:pPr>
              <w:pStyle w:val="Tabletext"/>
              <w:rPr>
                <w:lang w:eastAsia="en-AU"/>
              </w:rPr>
            </w:pPr>
            <w:r>
              <w:t>170</w:t>
            </w:r>
          </w:p>
        </w:tc>
        <w:tc>
          <w:tcPr>
            <w:tcW w:w="642" w:type="pct"/>
            <w:tcBorders>
              <w:top w:val="nil"/>
              <w:left w:val="nil"/>
              <w:bottom w:val="single" w:sz="4" w:space="0" w:color="auto"/>
              <w:right w:val="single" w:sz="4" w:space="0" w:color="auto"/>
            </w:tcBorders>
          </w:tcPr>
          <w:p w14:paraId="29E6D776" w14:textId="67014198" w:rsidR="00766454" w:rsidRDefault="00766454" w:rsidP="000D0B9B">
            <w:pPr>
              <w:pStyle w:val="Tabletext"/>
            </w:pPr>
            <w:r>
              <w:t>213</w:t>
            </w:r>
          </w:p>
        </w:tc>
      </w:tr>
      <w:tr w:rsidR="00766454" w:rsidRPr="00012445" w14:paraId="1426B28F" w14:textId="4F6660E4" w:rsidTr="008D39FB">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34F63EC2" w14:textId="6CF1ADBA" w:rsidR="00766454" w:rsidRPr="00012445" w:rsidRDefault="00766454" w:rsidP="000D0B9B">
            <w:pPr>
              <w:pStyle w:val="Tabletext"/>
              <w:rPr>
                <w:lang w:eastAsia="en-AU"/>
              </w:rPr>
            </w:pPr>
            <w:r>
              <w:rPr>
                <w:lang w:eastAsia="en-AU"/>
              </w:rPr>
              <w:t xml:space="preserve">≥ </w:t>
            </w:r>
            <w:r w:rsidRPr="00012445">
              <w:rPr>
                <w:lang w:eastAsia="en-AU"/>
              </w:rPr>
              <w:t>30 to &lt;</w:t>
            </w:r>
            <w:r>
              <w:rPr>
                <w:lang w:eastAsia="en-AU"/>
              </w:rPr>
              <w:t xml:space="preserve"> </w:t>
            </w:r>
            <w:r w:rsidRPr="00012445">
              <w:rPr>
                <w:lang w:eastAsia="en-AU"/>
              </w:rPr>
              <w:t>45 min</w:t>
            </w:r>
            <w:r>
              <w:rPr>
                <w:lang w:eastAsia="en-AU"/>
              </w:rPr>
              <w:t>ute</w:t>
            </w:r>
            <w:r w:rsidRPr="00012445">
              <w:rPr>
                <w:lang w:eastAsia="en-AU"/>
              </w:rPr>
              <w:t>s</w:t>
            </w:r>
          </w:p>
        </w:tc>
        <w:tc>
          <w:tcPr>
            <w:tcW w:w="645" w:type="pct"/>
            <w:tcBorders>
              <w:top w:val="nil"/>
              <w:left w:val="nil"/>
              <w:bottom w:val="single" w:sz="4" w:space="0" w:color="auto"/>
              <w:right w:val="single" w:sz="4" w:space="0" w:color="auto"/>
            </w:tcBorders>
            <w:shd w:val="clear" w:color="auto" w:fill="auto"/>
            <w:noWrap/>
            <w:hideMark/>
          </w:tcPr>
          <w:p w14:paraId="65D25C5C" w14:textId="1A672C2C" w:rsidR="00766454" w:rsidRPr="00012445" w:rsidRDefault="00766454" w:rsidP="000D0B9B">
            <w:pPr>
              <w:pStyle w:val="Tabletext"/>
              <w:rPr>
                <w:lang w:eastAsia="en-AU"/>
              </w:rPr>
            </w:pPr>
            <w:r>
              <w:t>61</w:t>
            </w:r>
          </w:p>
        </w:tc>
        <w:tc>
          <w:tcPr>
            <w:tcW w:w="644" w:type="pct"/>
            <w:tcBorders>
              <w:top w:val="nil"/>
              <w:left w:val="nil"/>
              <w:bottom w:val="single" w:sz="4" w:space="0" w:color="auto"/>
              <w:right w:val="single" w:sz="4" w:space="0" w:color="auto"/>
            </w:tcBorders>
            <w:shd w:val="clear" w:color="auto" w:fill="auto"/>
            <w:noWrap/>
            <w:hideMark/>
          </w:tcPr>
          <w:p w14:paraId="522E24FD" w14:textId="0A725804" w:rsidR="00766454" w:rsidRPr="00012445" w:rsidRDefault="00766454" w:rsidP="000D0B9B">
            <w:pPr>
              <w:pStyle w:val="Tabletext"/>
              <w:rPr>
                <w:lang w:eastAsia="en-AU"/>
              </w:rPr>
            </w:pPr>
            <w:r>
              <w:t>70</w:t>
            </w:r>
          </w:p>
        </w:tc>
        <w:tc>
          <w:tcPr>
            <w:tcW w:w="645" w:type="pct"/>
            <w:tcBorders>
              <w:top w:val="nil"/>
              <w:left w:val="nil"/>
              <w:bottom w:val="single" w:sz="4" w:space="0" w:color="auto"/>
              <w:right w:val="single" w:sz="4" w:space="0" w:color="auto"/>
            </w:tcBorders>
            <w:shd w:val="clear" w:color="auto" w:fill="auto"/>
            <w:noWrap/>
            <w:hideMark/>
          </w:tcPr>
          <w:p w14:paraId="4F4DE982" w14:textId="2DB63685" w:rsidR="00766454" w:rsidRPr="00012445" w:rsidRDefault="00766454" w:rsidP="000D0B9B">
            <w:pPr>
              <w:pStyle w:val="Tabletext"/>
              <w:rPr>
                <w:lang w:eastAsia="en-AU"/>
              </w:rPr>
            </w:pPr>
            <w:r>
              <w:t>75</w:t>
            </w:r>
          </w:p>
        </w:tc>
        <w:tc>
          <w:tcPr>
            <w:tcW w:w="645" w:type="pct"/>
            <w:tcBorders>
              <w:top w:val="nil"/>
              <w:left w:val="nil"/>
              <w:bottom w:val="single" w:sz="4" w:space="0" w:color="auto"/>
              <w:right w:val="single" w:sz="4" w:space="0" w:color="auto"/>
            </w:tcBorders>
            <w:shd w:val="clear" w:color="auto" w:fill="auto"/>
            <w:noWrap/>
            <w:hideMark/>
          </w:tcPr>
          <w:p w14:paraId="7B03F3C5" w14:textId="02A3575F" w:rsidR="00766454" w:rsidRPr="00012445" w:rsidRDefault="00766454" w:rsidP="000D0B9B">
            <w:pPr>
              <w:pStyle w:val="Tabletext"/>
              <w:rPr>
                <w:lang w:eastAsia="en-AU"/>
              </w:rPr>
            </w:pPr>
            <w:r>
              <w:t>76</w:t>
            </w:r>
          </w:p>
        </w:tc>
        <w:tc>
          <w:tcPr>
            <w:tcW w:w="645" w:type="pct"/>
            <w:tcBorders>
              <w:top w:val="nil"/>
              <w:left w:val="nil"/>
              <w:bottom w:val="single" w:sz="4" w:space="0" w:color="auto"/>
              <w:right w:val="single" w:sz="4" w:space="0" w:color="auto"/>
            </w:tcBorders>
            <w:shd w:val="clear" w:color="auto" w:fill="auto"/>
            <w:noWrap/>
            <w:hideMark/>
          </w:tcPr>
          <w:p w14:paraId="61ABBAB6" w14:textId="02E200C4" w:rsidR="00766454" w:rsidRPr="00012445" w:rsidRDefault="00766454" w:rsidP="000D0B9B">
            <w:pPr>
              <w:pStyle w:val="Tabletext"/>
              <w:rPr>
                <w:lang w:eastAsia="en-AU"/>
              </w:rPr>
            </w:pPr>
            <w:r>
              <w:t>68</w:t>
            </w:r>
          </w:p>
        </w:tc>
        <w:tc>
          <w:tcPr>
            <w:tcW w:w="642" w:type="pct"/>
            <w:tcBorders>
              <w:top w:val="nil"/>
              <w:left w:val="nil"/>
              <w:bottom w:val="single" w:sz="4" w:space="0" w:color="auto"/>
              <w:right w:val="single" w:sz="4" w:space="0" w:color="auto"/>
            </w:tcBorders>
          </w:tcPr>
          <w:p w14:paraId="259FEB30" w14:textId="33440B43" w:rsidR="00766454" w:rsidRDefault="00766454" w:rsidP="000D0B9B">
            <w:pPr>
              <w:pStyle w:val="Tabletext"/>
            </w:pPr>
            <w:r>
              <w:t>87</w:t>
            </w:r>
          </w:p>
        </w:tc>
      </w:tr>
      <w:tr w:rsidR="00766454" w:rsidRPr="00012445" w14:paraId="0204C8E4" w14:textId="18D28C96" w:rsidTr="008D39FB">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2B9CD4A5" w14:textId="6418211E" w:rsidR="00766454" w:rsidRPr="00012445" w:rsidRDefault="00766454" w:rsidP="000D0B9B">
            <w:pPr>
              <w:pStyle w:val="Tabletext"/>
              <w:rPr>
                <w:lang w:eastAsia="en-AU"/>
              </w:rPr>
            </w:pPr>
            <w:r>
              <w:rPr>
                <w:lang w:eastAsia="en-AU"/>
              </w:rPr>
              <w:t xml:space="preserve">≥ </w:t>
            </w:r>
            <w:r w:rsidRPr="00012445">
              <w:rPr>
                <w:lang w:eastAsia="en-AU"/>
              </w:rPr>
              <w:t>45 mins to &lt;</w:t>
            </w:r>
            <w:r>
              <w:rPr>
                <w:lang w:eastAsia="en-AU"/>
              </w:rPr>
              <w:t xml:space="preserve"> </w:t>
            </w:r>
            <w:r w:rsidRPr="00012445">
              <w:rPr>
                <w:lang w:eastAsia="en-AU"/>
              </w:rPr>
              <w:t>1</w:t>
            </w:r>
            <w:r>
              <w:rPr>
                <w:lang w:eastAsia="en-AU"/>
              </w:rPr>
              <w:t xml:space="preserve"> </w:t>
            </w:r>
            <w:r w:rsidRPr="00012445">
              <w:rPr>
                <w:lang w:eastAsia="en-AU"/>
              </w:rPr>
              <w:t>h</w:t>
            </w:r>
            <w:r>
              <w:rPr>
                <w:lang w:eastAsia="en-AU"/>
              </w:rPr>
              <w:t>ou</w:t>
            </w:r>
            <w:r w:rsidRPr="00012445">
              <w:rPr>
                <w:lang w:eastAsia="en-AU"/>
              </w:rPr>
              <w:t>r</w:t>
            </w:r>
          </w:p>
        </w:tc>
        <w:tc>
          <w:tcPr>
            <w:tcW w:w="645" w:type="pct"/>
            <w:tcBorders>
              <w:top w:val="nil"/>
              <w:left w:val="nil"/>
              <w:bottom w:val="single" w:sz="4" w:space="0" w:color="auto"/>
              <w:right w:val="single" w:sz="4" w:space="0" w:color="auto"/>
            </w:tcBorders>
            <w:shd w:val="clear" w:color="auto" w:fill="auto"/>
            <w:noWrap/>
            <w:hideMark/>
          </w:tcPr>
          <w:p w14:paraId="3A96765D" w14:textId="24122599" w:rsidR="00766454" w:rsidRPr="00012445" w:rsidRDefault="00766454" w:rsidP="000D0B9B">
            <w:pPr>
              <w:pStyle w:val="Tabletext"/>
              <w:rPr>
                <w:lang w:eastAsia="en-AU"/>
              </w:rPr>
            </w:pPr>
            <w:r>
              <w:t>40</w:t>
            </w:r>
          </w:p>
        </w:tc>
        <w:tc>
          <w:tcPr>
            <w:tcW w:w="644" w:type="pct"/>
            <w:tcBorders>
              <w:top w:val="nil"/>
              <w:left w:val="nil"/>
              <w:bottom w:val="single" w:sz="4" w:space="0" w:color="auto"/>
              <w:right w:val="single" w:sz="4" w:space="0" w:color="auto"/>
            </w:tcBorders>
            <w:shd w:val="clear" w:color="auto" w:fill="auto"/>
            <w:noWrap/>
            <w:hideMark/>
          </w:tcPr>
          <w:p w14:paraId="39479F02" w14:textId="166D78FB" w:rsidR="00766454" w:rsidRPr="00012445" w:rsidRDefault="00766454" w:rsidP="000D0B9B">
            <w:pPr>
              <w:pStyle w:val="Tabletext"/>
              <w:rPr>
                <w:lang w:eastAsia="en-AU"/>
              </w:rPr>
            </w:pPr>
            <w:r>
              <w:t>39</w:t>
            </w:r>
          </w:p>
        </w:tc>
        <w:tc>
          <w:tcPr>
            <w:tcW w:w="645" w:type="pct"/>
            <w:tcBorders>
              <w:top w:val="nil"/>
              <w:left w:val="nil"/>
              <w:bottom w:val="single" w:sz="4" w:space="0" w:color="auto"/>
              <w:right w:val="single" w:sz="4" w:space="0" w:color="auto"/>
            </w:tcBorders>
            <w:shd w:val="clear" w:color="auto" w:fill="auto"/>
            <w:noWrap/>
            <w:hideMark/>
          </w:tcPr>
          <w:p w14:paraId="0BABE5AC" w14:textId="6D76036C" w:rsidR="00766454" w:rsidRPr="00012445" w:rsidRDefault="00766454" w:rsidP="000D0B9B">
            <w:pPr>
              <w:pStyle w:val="Tabletext"/>
              <w:rPr>
                <w:lang w:eastAsia="en-AU"/>
              </w:rPr>
            </w:pPr>
            <w:r>
              <w:t>39</w:t>
            </w:r>
          </w:p>
        </w:tc>
        <w:tc>
          <w:tcPr>
            <w:tcW w:w="645" w:type="pct"/>
            <w:tcBorders>
              <w:top w:val="nil"/>
              <w:left w:val="nil"/>
              <w:bottom w:val="single" w:sz="4" w:space="0" w:color="auto"/>
              <w:right w:val="single" w:sz="4" w:space="0" w:color="auto"/>
            </w:tcBorders>
            <w:shd w:val="clear" w:color="auto" w:fill="auto"/>
            <w:noWrap/>
            <w:hideMark/>
          </w:tcPr>
          <w:p w14:paraId="5C96B812" w14:textId="151BBBCF" w:rsidR="00766454" w:rsidRPr="00012445" w:rsidRDefault="00766454" w:rsidP="000D0B9B">
            <w:pPr>
              <w:pStyle w:val="Tabletext"/>
              <w:rPr>
                <w:lang w:eastAsia="en-AU"/>
              </w:rPr>
            </w:pPr>
            <w:r>
              <w:t>46</w:t>
            </w:r>
          </w:p>
        </w:tc>
        <w:tc>
          <w:tcPr>
            <w:tcW w:w="645" w:type="pct"/>
            <w:tcBorders>
              <w:top w:val="nil"/>
              <w:left w:val="nil"/>
              <w:bottom w:val="single" w:sz="4" w:space="0" w:color="auto"/>
              <w:right w:val="single" w:sz="4" w:space="0" w:color="auto"/>
            </w:tcBorders>
            <w:shd w:val="clear" w:color="auto" w:fill="auto"/>
            <w:noWrap/>
            <w:hideMark/>
          </w:tcPr>
          <w:p w14:paraId="1D207A69" w14:textId="097DBA64" w:rsidR="00766454" w:rsidRPr="00012445" w:rsidRDefault="00766454" w:rsidP="000D0B9B">
            <w:pPr>
              <w:pStyle w:val="Tabletext"/>
              <w:rPr>
                <w:lang w:eastAsia="en-AU"/>
              </w:rPr>
            </w:pPr>
            <w:r>
              <w:t>49</w:t>
            </w:r>
          </w:p>
        </w:tc>
        <w:tc>
          <w:tcPr>
            <w:tcW w:w="642" w:type="pct"/>
            <w:tcBorders>
              <w:top w:val="nil"/>
              <w:left w:val="nil"/>
              <w:bottom w:val="single" w:sz="4" w:space="0" w:color="auto"/>
              <w:right w:val="single" w:sz="4" w:space="0" w:color="auto"/>
            </w:tcBorders>
          </w:tcPr>
          <w:p w14:paraId="60681368" w14:textId="376451EA" w:rsidR="00766454" w:rsidRDefault="00766454" w:rsidP="000D0B9B">
            <w:pPr>
              <w:pStyle w:val="Tabletext"/>
            </w:pPr>
            <w:r>
              <w:t>67</w:t>
            </w:r>
          </w:p>
        </w:tc>
      </w:tr>
      <w:tr w:rsidR="008D39FB" w:rsidRPr="00012445" w14:paraId="54563346" w14:textId="76F6A6FD" w:rsidTr="008D39FB">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0C9B95E4" w14:textId="0BC92ED5" w:rsidR="008D39FB" w:rsidRPr="00012445" w:rsidRDefault="008D39FB" w:rsidP="000D0B9B">
            <w:pPr>
              <w:pStyle w:val="Tabletext"/>
              <w:rPr>
                <w:lang w:eastAsia="en-AU"/>
              </w:rPr>
            </w:pPr>
            <w:r>
              <w:rPr>
                <w:lang w:eastAsia="en-AU"/>
              </w:rPr>
              <w:t xml:space="preserve">≥ </w:t>
            </w:r>
            <w:r w:rsidRPr="00012445">
              <w:rPr>
                <w:lang w:eastAsia="en-AU"/>
              </w:rPr>
              <w:t>1 to &lt;</w:t>
            </w:r>
            <w:r>
              <w:rPr>
                <w:lang w:eastAsia="en-AU"/>
              </w:rPr>
              <w:t xml:space="preserve"> </w:t>
            </w:r>
            <w:r w:rsidRPr="00012445">
              <w:rPr>
                <w:lang w:eastAsia="en-AU"/>
              </w:rPr>
              <w:t>4 h</w:t>
            </w:r>
            <w:r>
              <w:rPr>
                <w:lang w:eastAsia="en-AU"/>
              </w:rPr>
              <w:t>ou</w:t>
            </w:r>
            <w:r w:rsidRPr="00012445">
              <w:rPr>
                <w:lang w:eastAsia="en-AU"/>
              </w:rPr>
              <w:t>rs</w:t>
            </w:r>
          </w:p>
        </w:tc>
        <w:tc>
          <w:tcPr>
            <w:tcW w:w="645" w:type="pct"/>
            <w:tcBorders>
              <w:top w:val="nil"/>
              <w:left w:val="nil"/>
              <w:bottom w:val="single" w:sz="4" w:space="0" w:color="auto"/>
              <w:right w:val="single" w:sz="4" w:space="0" w:color="auto"/>
            </w:tcBorders>
            <w:shd w:val="clear" w:color="auto" w:fill="auto"/>
            <w:noWrap/>
            <w:hideMark/>
          </w:tcPr>
          <w:p w14:paraId="47D2151C" w14:textId="3904BE3E" w:rsidR="008D39FB" w:rsidRPr="00012445" w:rsidRDefault="008D39FB" w:rsidP="000D0B9B">
            <w:pPr>
              <w:pStyle w:val="Tabletext"/>
              <w:rPr>
                <w:lang w:eastAsia="en-AU"/>
              </w:rPr>
            </w:pPr>
            <w:r>
              <w:t>186</w:t>
            </w:r>
          </w:p>
        </w:tc>
        <w:tc>
          <w:tcPr>
            <w:tcW w:w="644" w:type="pct"/>
            <w:tcBorders>
              <w:top w:val="nil"/>
              <w:left w:val="nil"/>
              <w:bottom w:val="single" w:sz="4" w:space="0" w:color="auto"/>
              <w:right w:val="single" w:sz="4" w:space="0" w:color="auto"/>
            </w:tcBorders>
            <w:shd w:val="clear" w:color="auto" w:fill="auto"/>
            <w:noWrap/>
            <w:hideMark/>
          </w:tcPr>
          <w:p w14:paraId="6180B65E" w14:textId="3E979055" w:rsidR="008D39FB" w:rsidRPr="00012445" w:rsidRDefault="008D39FB" w:rsidP="000D0B9B">
            <w:pPr>
              <w:pStyle w:val="Tabletext"/>
              <w:rPr>
                <w:lang w:eastAsia="en-AU"/>
              </w:rPr>
            </w:pPr>
            <w:r>
              <w:t>282</w:t>
            </w:r>
          </w:p>
        </w:tc>
        <w:tc>
          <w:tcPr>
            <w:tcW w:w="645" w:type="pct"/>
            <w:tcBorders>
              <w:top w:val="nil"/>
              <w:left w:val="nil"/>
              <w:bottom w:val="single" w:sz="4" w:space="0" w:color="auto"/>
              <w:right w:val="single" w:sz="4" w:space="0" w:color="auto"/>
            </w:tcBorders>
            <w:shd w:val="clear" w:color="auto" w:fill="auto"/>
            <w:noWrap/>
            <w:hideMark/>
          </w:tcPr>
          <w:p w14:paraId="21E11196" w14:textId="3B8C010F" w:rsidR="008D39FB" w:rsidRPr="00012445" w:rsidRDefault="008D39FB" w:rsidP="000D0B9B">
            <w:pPr>
              <w:pStyle w:val="Tabletext"/>
              <w:rPr>
                <w:lang w:eastAsia="en-AU"/>
              </w:rPr>
            </w:pPr>
            <w:r>
              <w:t>166</w:t>
            </w:r>
          </w:p>
        </w:tc>
        <w:tc>
          <w:tcPr>
            <w:tcW w:w="645" w:type="pct"/>
            <w:tcBorders>
              <w:top w:val="nil"/>
              <w:left w:val="nil"/>
              <w:bottom w:val="single" w:sz="4" w:space="0" w:color="auto"/>
              <w:right w:val="single" w:sz="4" w:space="0" w:color="auto"/>
            </w:tcBorders>
            <w:shd w:val="clear" w:color="auto" w:fill="auto"/>
            <w:noWrap/>
            <w:hideMark/>
          </w:tcPr>
          <w:p w14:paraId="526C6E60" w14:textId="06FFC892" w:rsidR="008D39FB" w:rsidRPr="00012445" w:rsidRDefault="008D39FB" w:rsidP="000D0B9B">
            <w:pPr>
              <w:pStyle w:val="Tabletext"/>
              <w:rPr>
                <w:lang w:eastAsia="en-AU"/>
              </w:rPr>
            </w:pPr>
            <w:r>
              <w:t>218</w:t>
            </w:r>
          </w:p>
        </w:tc>
        <w:tc>
          <w:tcPr>
            <w:tcW w:w="645" w:type="pct"/>
            <w:tcBorders>
              <w:top w:val="nil"/>
              <w:left w:val="nil"/>
              <w:bottom w:val="single" w:sz="4" w:space="0" w:color="auto"/>
              <w:right w:val="single" w:sz="4" w:space="0" w:color="auto"/>
            </w:tcBorders>
            <w:shd w:val="clear" w:color="auto" w:fill="auto"/>
            <w:noWrap/>
            <w:hideMark/>
          </w:tcPr>
          <w:p w14:paraId="24D32C46" w14:textId="2785F5B8" w:rsidR="008D39FB" w:rsidRPr="00012445" w:rsidRDefault="008D39FB" w:rsidP="000D0B9B">
            <w:pPr>
              <w:pStyle w:val="Tabletext"/>
              <w:rPr>
                <w:lang w:eastAsia="en-AU"/>
              </w:rPr>
            </w:pPr>
            <w:r>
              <w:t>205</w:t>
            </w:r>
          </w:p>
        </w:tc>
        <w:tc>
          <w:tcPr>
            <w:tcW w:w="642" w:type="pct"/>
            <w:tcBorders>
              <w:top w:val="nil"/>
              <w:left w:val="nil"/>
              <w:bottom w:val="single" w:sz="4" w:space="0" w:color="auto"/>
              <w:right w:val="single" w:sz="4" w:space="0" w:color="auto"/>
            </w:tcBorders>
          </w:tcPr>
          <w:p w14:paraId="6F713AA8" w14:textId="59306511" w:rsidR="008D39FB" w:rsidRDefault="008D39FB" w:rsidP="000D0B9B">
            <w:pPr>
              <w:pStyle w:val="Tabletext"/>
            </w:pPr>
            <w:r>
              <w:t>159</w:t>
            </w:r>
          </w:p>
        </w:tc>
      </w:tr>
      <w:tr w:rsidR="008D39FB" w:rsidRPr="00012445" w14:paraId="6511DEE6" w14:textId="718CECD2" w:rsidTr="00EA6A89">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09F9E6F7" w14:textId="35771393" w:rsidR="008D39FB" w:rsidRPr="00012445" w:rsidRDefault="008D39FB" w:rsidP="000D0B9B">
            <w:pPr>
              <w:pStyle w:val="Tabletext"/>
              <w:rPr>
                <w:lang w:eastAsia="en-AU"/>
              </w:rPr>
            </w:pPr>
            <w:r>
              <w:rPr>
                <w:lang w:eastAsia="en-AU"/>
              </w:rPr>
              <w:t xml:space="preserve">≥ </w:t>
            </w:r>
            <w:r w:rsidRPr="00012445">
              <w:rPr>
                <w:lang w:eastAsia="en-AU"/>
              </w:rPr>
              <w:t>4 to &lt;</w:t>
            </w:r>
            <w:r>
              <w:rPr>
                <w:lang w:eastAsia="en-AU"/>
              </w:rPr>
              <w:t xml:space="preserve"> </w:t>
            </w:r>
            <w:r w:rsidRPr="00012445">
              <w:rPr>
                <w:lang w:eastAsia="en-AU"/>
              </w:rPr>
              <w:t>12 h</w:t>
            </w:r>
            <w:r>
              <w:rPr>
                <w:lang w:eastAsia="en-AU"/>
              </w:rPr>
              <w:t>ou</w:t>
            </w:r>
            <w:r w:rsidRPr="00012445">
              <w:rPr>
                <w:lang w:eastAsia="en-AU"/>
              </w:rPr>
              <w:t>rs</w:t>
            </w:r>
          </w:p>
        </w:tc>
        <w:tc>
          <w:tcPr>
            <w:tcW w:w="645" w:type="pct"/>
            <w:tcBorders>
              <w:top w:val="nil"/>
              <w:left w:val="nil"/>
              <w:bottom w:val="single" w:sz="4" w:space="0" w:color="auto"/>
              <w:right w:val="single" w:sz="4" w:space="0" w:color="auto"/>
            </w:tcBorders>
            <w:shd w:val="clear" w:color="auto" w:fill="auto"/>
            <w:noWrap/>
            <w:hideMark/>
          </w:tcPr>
          <w:p w14:paraId="531E3FBC" w14:textId="270D1692" w:rsidR="008D39FB" w:rsidRPr="00012445" w:rsidRDefault="008D39FB" w:rsidP="000D0B9B">
            <w:pPr>
              <w:pStyle w:val="Tabletext"/>
              <w:rPr>
                <w:lang w:eastAsia="en-AU"/>
              </w:rPr>
            </w:pPr>
            <w:r>
              <w:t>73</w:t>
            </w:r>
          </w:p>
        </w:tc>
        <w:tc>
          <w:tcPr>
            <w:tcW w:w="644" w:type="pct"/>
            <w:tcBorders>
              <w:top w:val="nil"/>
              <w:left w:val="nil"/>
              <w:bottom w:val="single" w:sz="4" w:space="0" w:color="auto"/>
              <w:right w:val="single" w:sz="4" w:space="0" w:color="auto"/>
            </w:tcBorders>
            <w:shd w:val="clear" w:color="auto" w:fill="auto"/>
            <w:noWrap/>
            <w:hideMark/>
          </w:tcPr>
          <w:p w14:paraId="4A7FFD5E" w14:textId="56EA2F94" w:rsidR="008D39FB" w:rsidRPr="00012445" w:rsidRDefault="008D39FB" w:rsidP="000D0B9B">
            <w:pPr>
              <w:pStyle w:val="Tabletext"/>
              <w:rPr>
                <w:lang w:eastAsia="en-AU"/>
              </w:rPr>
            </w:pPr>
            <w:r>
              <w:t>88</w:t>
            </w:r>
          </w:p>
        </w:tc>
        <w:tc>
          <w:tcPr>
            <w:tcW w:w="645" w:type="pct"/>
            <w:tcBorders>
              <w:top w:val="nil"/>
              <w:left w:val="nil"/>
              <w:bottom w:val="single" w:sz="4" w:space="0" w:color="auto"/>
              <w:right w:val="single" w:sz="4" w:space="0" w:color="auto"/>
            </w:tcBorders>
            <w:shd w:val="clear" w:color="auto" w:fill="auto"/>
            <w:noWrap/>
            <w:hideMark/>
          </w:tcPr>
          <w:p w14:paraId="2B27D278" w14:textId="5F6AC79B" w:rsidR="008D39FB" w:rsidRPr="00012445" w:rsidRDefault="008D39FB" w:rsidP="000D0B9B">
            <w:pPr>
              <w:pStyle w:val="Tabletext"/>
              <w:rPr>
                <w:lang w:eastAsia="en-AU"/>
              </w:rPr>
            </w:pPr>
            <w:r>
              <w:t>66</w:t>
            </w:r>
          </w:p>
        </w:tc>
        <w:tc>
          <w:tcPr>
            <w:tcW w:w="645" w:type="pct"/>
            <w:tcBorders>
              <w:top w:val="nil"/>
              <w:left w:val="nil"/>
              <w:bottom w:val="single" w:sz="4" w:space="0" w:color="auto"/>
              <w:right w:val="single" w:sz="4" w:space="0" w:color="auto"/>
            </w:tcBorders>
            <w:shd w:val="clear" w:color="auto" w:fill="auto"/>
            <w:noWrap/>
            <w:hideMark/>
          </w:tcPr>
          <w:p w14:paraId="31C21ED6" w14:textId="0D3CEB95" w:rsidR="008D39FB" w:rsidRPr="00012445" w:rsidRDefault="008D39FB" w:rsidP="000D0B9B">
            <w:pPr>
              <w:pStyle w:val="Tabletext"/>
              <w:rPr>
                <w:lang w:eastAsia="en-AU"/>
              </w:rPr>
            </w:pPr>
            <w:r>
              <w:t>46</w:t>
            </w:r>
          </w:p>
        </w:tc>
        <w:tc>
          <w:tcPr>
            <w:tcW w:w="645" w:type="pct"/>
            <w:tcBorders>
              <w:top w:val="nil"/>
              <w:left w:val="nil"/>
              <w:bottom w:val="single" w:sz="4" w:space="0" w:color="auto"/>
              <w:right w:val="single" w:sz="4" w:space="0" w:color="auto"/>
            </w:tcBorders>
            <w:shd w:val="clear" w:color="auto" w:fill="auto"/>
            <w:noWrap/>
            <w:hideMark/>
          </w:tcPr>
          <w:p w14:paraId="7F25B807" w14:textId="5B2FF184" w:rsidR="008D39FB" w:rsidRPr="00012445" w:rsidRDefault="008D39FB" w:rsidP="000D0B9B">
            <w:pPr>
              <w:pStyle w:val="Tabletext"/>
              <w:rPr>
                <w:lang w:eastAsia="en-AU"/>
              </w:rPr>
            </w:pPr>
            <w:r>
              <w:t>55</w:t>
            </w:r>
          </w:p>
        </w:tc>
        <w:tc>
          <w:tcPr>
            <w:tcW w:w="642" w:type="pct"/>
            <w:tcBorders>
              <w:top w:val="nil"/>
              <w:left w:val="nil"/>
              <w:bottom w:val="single" w:sz="4" w:space="0" w:color="auto"/>
              <w:right w:val="single" w:sz="4" w:space="0" w:color="auto"/>
            </w:tcBorders>
          </w:tcPr>
          <w:p w14:paraId="46661E04" w14:textId="59514379" w:rsidR="008D39FB" w:rsidRDefault="008D39FB" w:rsidP="000D0B9B">
            <w:pPr>
              <w:pStyle w:val="Tabletext"/>
            </w:pPr>
            <w:r>
              <w:t>45</w:t>
            </w:r>
          </w:p>
        </w:tc>
      </w:tr>
      <w:tr w:rsidR="008D39FB" w:rsidRPr="00012445" w14:paraId="3CCCF23B" w14:textId="00B08A22" w:rsidTr="00EA6A89">
        <w:trPr>
          <w:trHeight w:val="30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79A10F38" w14:textId="32B89AB3" w:rsidR="008D39FB" w:rsidRPr="00012445" w:rsidRDefault="008D39FB" w:rsidP="000D0B9B">
            <w:pPr>
              <w:pStyle w:val="Tabletext"/>
              <w:rPr>
                <w:lang w:eastAsia="en-AU"/>
              </w:rPr>
            </w:pPr>
            <w:r>
              <w:rPr>
                <w:lang w:eastAsia="en-AU"/>
              </w:rPr>
              <w:t xml:space="preserve">≥ </w:t>
            </w:r>
            <w:r w:rsidRPr="00012445">
              <w:rPr>
                <w:lang w:eastAsia="en-AU"/>
              </w:rPr>
              <w:t>12 h</w:t>
            </w:r>
            <w:r>
              <w:rPr>
                <w:lang w:eastAsia="en-AU"/>
              </w:rPr>
              <w:t>ou</w:t>
            </w:r>
            <w:r w:rsidRPr="00012445">
              <w:rPr>
                <w:lang w:eastAsia="en-AU"/>
              </w:rPr>
              <w:t>rs</w:t>
            </w:r>
          </w:p>
        </w:tc>
        <w:tc>
          <w:tcPr>
            <w:tcW w:w="645" w:type="pct"/>
            <w:tcBorders>
              <w:top w:val="nil"/>
              <w:left w:val="nil"/>
              <w:bottom w:val="single" w:sz="4" w:space="0" w:color="auto"/>
              <w:right w:val="single" w:sz="4" w:space="0" w:color="auto"/>
            </w:tcBorders>
            <w:shd w:val="clear" w:color="auto" w:fill="auto"/>
            <w:noWrap/>
            <w:hideMark/>
          </w:tcPr>
          <w:p w14:paraId="32D1C63D" w14:textId="3DFDAC4F" w:rsidR="008D39FB" w:rsidRPr="00012445" w:rsidRDefault="008D39FB" w:rsidP="000D0B9B">
            <w:pPr>
              <w:pStyle w:val="Tabletext"/>
              <w:rPr>
                <w:lang w:eastAsia="en-AU"/>
              </w:rPr>
            </w:pPr>
            <w:r>
              <w:t>90</w:t>
            </w:r>
          </w:p>
        </w:tc>
        <w:tc>
          <w:tcPr>
            <w:tcW w:w="644" w:type="pct"/>
            <w:tcBorders>
              <w:top w:val="nil"/>
              <w:left w:val="nil"/>
              <w:bottom w:val="single" w:sz="4" w:space="0" w:color="auto"/>
              <w:right w:val="single" w:sz="4" w:space="0" w:color="auto"/>
            </w:tcBorders>
            <w:shd w:val="clear" w:color="auto" w:fill="auto"/>
            <w:noWrap/>
            <w:hideMark/>
          </w:tcPr>
          <w:p w14:paraId="34AEE568" w14:textId="66898E7B" w:rsidR="008D39FB" w:rsidRPr="00012445" w:rsidRDefault="008D39FB" w:rsidP="000D0B9B">
            <w:pPr>
              <w:pStyle w:val="Tabletext"/>
              <w:rPr>
                <w:lang w:eastAsia="en-AU"/>
              </w:rPr>
            </w:pPr>
            <w:r>
              <w:t>45</w:t>
            </w:r>
          </w:p>
        </w:tc>
        <w:tc>
          <w:tcPr>
            <w:tcW w:w="645" w:type="pct"/>
            <w:tcBorders>
              <w:top w:val="nil"/>
              <w:left w:val="nil"/>
              <w:bottom w:val="single" w:sz="4" w:space="0" w:color="auto"/>
              <w:right w:val="single" w:sz="4" w:space="0" w:color="auto"/>
            </w:tcBorders>
            <w:shd w:val="clear" w:color="auto" w:fill="auto"/>
            <w:noWrap/>
            <w:hideMark/>
          </w:tcPr>
          <w:p w14:paraId="34A3990E" w14:textId="21542F2F" w:rsidR="008D39FB" w:rsidRPr="00012445" w:rsidRDefault="008D39FB" w:rsidP="000D0B9B">
            <w:pPr>
              <w:pStyle w:val="Tabletext"/>
              <w:rPr>
                <w:lang w:eastAsia="en-AU"/>
              </w:rPr>
            </w:pPr>
            <w:r>
              <w:t>42</w:t>
            </w:r>
          </w:p>
        </w:tc>
        <w:tc>
          <w:tcPr>
            <w:tcW w:w="645" w:type="pct"/>
            <w:tcBorders>
              <w:top w:val="nil"/>
              <w:left w:val="nil"/>
              <w:bottom w:val="single" w:sz="4" w:space="0" w:color="auto"/>
              <w:right w:val="single" w:sz="4" w:space="0" w:color="auto"/>
            </w:tcBorders>
            <w:shd w:val="clear" w:color="auto" w:fill="auto"/>
            <w:noWrap/>
            <w:hideMark/>
          </w:tcPr>
          <w:p w14:paraId="03337280" w14:textId="43537420" w:rsidR="008D39FB" w:rsidRPr="00012445" w:rsidRDefault="008D39FB" w:rsidP="000D0B9B">
            <w:pPr>
              <w:pStyle w:val="Tabletext"/>
              <w:rPr>
                <w:lang w:eastAsia="en-AU"/>
              </w:rPr>
            </w:pPr>
            <w:r>
              <w:t>26</w:t>
            </w:r>
          </w:p>
        </w:tc>
        <w:tc>
          <w:tcPr>
            <w:tcW w:w="645" w:type="pct"/>
            <w:tcBorders>
              <w:top w:val="nil"/>
              <w:left w:val="nil"/>
              <w:bottom w:val="single" w:sz="4" w:space="0" w:color="auto"/>
              <w:right w:val="single" w:sz="4" w:space="0" w:color="auto"/>
            </w:tcBorders>
            <w:shd w:val="clear" w:color="auto" w:fill="auto"/>
            <w:noWrap/>
            <w:hideMark/>
          </w:tcPr>
          <w:p w14:paraId="67BC45C1" w14:textId="1568FDCF" w:rsidR="008D39FB" w:rsidRPr="00012445" w:rsidRDefault="008D39FB" w:rsidP="000D0B9B">
            <w:pPr>
              <w:pStyle w:val="Tabletext"/>
              <w:rPr>
                <w:lang w:eastAsia="en-AU"/>
              </w:rPr>
            </w:pPr>
            <w:r>
              <w:t>35</w:t>
            </w:r>
          </w:p>
        </w:tc>
        <w:tc>
          <w:tcPr>
            <w:tcW w:w="642" w:type="pct"/>
            <w:tcBorders>
              <w:top w:val="nil"/>
              <w:left w:val="nil"/>
              <w:bottom w:val="single" w:sz="4" w:space="0" w:color="auto"/>
              <w:right w:val="single" w:sz="4" w:space="0" w:color="auto"/>
            </w:tcBorders>
          </w:tcPr>
          <w:p w14:paraId="0FAFF014" w14:textId="77DDAC76" w:rsidR="008D39FB" w:rsidRDefault="008D39FB" w:rsidP="000D0B9B">
            <w:pPr>
              <w:pStyle w:val="Tabletext"/>
            </w:pPr>
            <w:r>
              <w:t>19</w:t>
            </w:r>
          </w:p>
        </w:tc>
      </w:tr>
    </w:tbl>
    <w:p w14:paraId="40F87EF3" w14:textId="5F4E4746" w:rsidR="00381B2F" w:rsidRDefault="00381B2F" w:rsidP="00381B2F">
      <w:pPr>
        <w:pStyle w:val="Heading2"/>
      </w:pPr>
      <w:bookmarkStart w:id="44" w:name="_Toc86347185"/>
      <w:r>
        <w:lastRenderedPageBreak/>
        <w:t>S</w:t>
      </w:r>
      <w:r w:rsidRPr="00442A45">
        <w:t>ecure extended care units</w:t>
      </w:r>
      <w:bookmarkEnd w:id="44"/>
    </w:p>
    <w:p w14:paraId="1D1FF7AB" w14:textId="5DDBC2BC" w:rsidR="009B0FA8" w:rsidRPr="009B0FA8" w:rsidRDefault="00F22070" w:rsidP="008B4B58">
      <w:pPr>
        <w:pStyle w:val="Body"/>
      </w:pPr>
      <w:r>
        <w:t>SECUs</w:t>
      </w:r>
      <w:r w:rsidR="002B0AD5">
        <w:t xml:space="preserve"> </w:t>
      </w:r>
      <w:r w:rsidR="009B0FA8">
        <w:t xml:space="preserve">aim to cater </w:t>
      </w:r>
      <w:r w:rsidR="002B0AD5">
        <w:t>to the needs of</w:t>
      </w:r>
      <w:r w:rsidR="009B0FA8">
        <w:t xml:space="preserve"> consumers </w:t>
      </w:r>
      <w:r w:rsidR="002B0AD5">
        <w:t xml:space="preserve">facing complex </w:t>
      </w:r>
      <w:r w:rsidR="009A601D">
        <w:t>challenges</w:t>
      </w:r>
      <w:r w:rsidR="005A7C28">
        <w:t xml:space="preserve"> in </w:t>
      </w:r>
      <w:r w:rsidR="00982CC3">
        <w:t xml:space="preserve">the context of </w:t>
      </w:r>
      <w:r w:rsidR="00AB08F9">
        <w:t xml:space="preserve">limitations on current </w:t>
      </w:r>
      <w:r w:rsidR="00907AC7">
        <w:t xml:space="preserve">community care provision options. </w:t>
      </w:r>
      <w:r w:rsidR="004407FD">
        <w:t xml:space="preserve">It is anticipated </w:t>
      </w:r>
      <w:r w:rsidR="005D79D3">
        <w:t xml:space="preserve">that </w:t>
      </w:r>
      <w:r w:rsidR="007E2C92">
        <w:t xml:space="preserve">increased community resources, including </w:t>
      </w:r>
      <w:r w:rsidR="002A2198">
        <w:t xml:space="preserve">other </w:t>
      </w:r>
      <w:r w:rsidR="00853530">
        <w:t>accommodation</w:t>
      </w:r>
      <w:r w:rsidR="002A2198">
        <w:t xml:space="preserve"> options and supports</w:t>
      </w:r>
      <w:r w:rsidR="005334BE">
        <w:t xml:space="preserve">, will </w:t>
      </w:r>
      <w:r w:rsidR="006A29CA">
        <w:t xml:space="preserve">create </w:t>
      </w:r>
      <w:r w:rsidR="007C03DA">
        <w:t xml:space="preserve">a wider range of </w:t>
      </w:r>
      <w:r w:rsidR="00965DF1">
        <w:t xml:space="preserve">settings </w:t>
      </w:r>
      <w:r w:rsidR="00F75450">
        <w:t>conducive to recovery</w:t>
      </w:r>
      <w:r w:rsidR="00283C5B">
        <w:t>-</w:t>
      </w:r>
      <w:r w:rsidR="00F75450">
        <w:t xml:space="preserve">oriented care. </w:t>
      </w:r>
    </w:p>
    <w:p w14:paraId="182B149C" w14:textId="25FE7DD4" w:rsidR="00381B2F" w:rsidRDefault="00381B2F" w:rsidP="00381B2F">
      <w:pPr>
        <w:pStyle w:val="Heading3"/>
      </w:pPr>
      <w:r>
        <w:t>Seclusion</w:t>
      </w:r>
      <w:r w:rsidR="0099684E">
        <w:t xml:space="preserve"> – secure extended care units</w:t>
      </w:r>
    </w:p>
    <w:p w14:paraId="47C26077" w14:textId="52CA8B26" w:rsidR="00381B2F" w:rsidRDefault="00381B2F" w:rsidP="008B4B58">
      <w:pPr>
        <w:pStyle w:val="Body"/>
      </w:pPr>
      <w:r>
        <w:t xml:space="preserve">Table </w:t>
      </w:r>
      <w:r w:rsidR="008E180F">
        <w:t>19</w:t>
      </w:r>
      <w:r>
        <w:t xml:space="preserve"> shows that seclusion episodes per 1,000 occupied bed days in SECUs rose relative to 2018–19. </w:t>
      </w:r>
      <w:r w:rsidR="008E4E0C">
        <w:t xml:space="preserve">A number of factors may have contributed to this </w:t>
      </w:r>
      <w:r w:rsidR="00C95E2A">
        <w:t xml:space="preserve">increase, including COVID-19 lockdown, staffing changes, </w:t>
      </w:r>
      <w:r w:rsidR="00756A36">
        <w:t>leave</w:t>
      </w:r>
      <w:r w:rsidR="008C79BC">
        <w:t xml:space="preserve"> and access to visitors</w:t>
      </w:r>
      <w:r w:rsidR="00E86F11">
        <w:t xml:space="preserve"> (including support staff)</w:t>
      </w:r>
      <w:r w:rsidR="008C79BC">
        <w:t xml:space="preserve">. </w:t>
      </w:r>
      <w:r>
        <w:t xml:space="preserve">The SECU program is included in all the </w:t>
      </w:r>
      <w:r w:rsidRPr="008B4B58">
        <w:t>initiatives</w:t>
      </w:r>
      <w:r>
        <w:t xml:space="preserve"> designed to bring a recovery focus to mental health treatments and to minimise the use of restrictive interventions. </w:t>
      </w:r>
    </w:p>
    <w:p w14:paraId="481B15BE" w14:textId="5B2772F4" w:rsidR="00A419F2" w:rsidRDefault="00381B2F" w:rsidP="000D0B9B">
      <w:pPr>
        <w:pStyle w:val="Tablecaption"/>
      </w:pPr>
      <w:r w:rsidRPr="00ED4277">
        <w:t xml:space="preserve">Table </w:t>
      </w:r>
      <w:r w:rsidR="008E180F">
        <w:t>19</w:t>
      </w:r>
      <w:r w:rsidRPr="00ED4277">
        <w:t xml:space="preserve">: SECU seclusion episodes per 1,000 occupied bed days, 2015–16 to </w:t>
      </w:r>
      <w:r w:rsidR="007B2175">
        <w:t>2020–21</w:t>
      </w:r>
    </w:p>
    <w:tbl>
      <w:tblPr>
        <w:tblStyle w:val="TableGrid"/>
        <w:tblW w:w="0" w:type="auto"/>
        <w:tblLook w:val="04A0" w:firstRow="1" w:lastRow="0" w:firstColumn="1" w:lastColumn="0" w:noHBand="0" w:noVBand="1"/>
      </w:tblPr>
      <w:tblGrid>
        <w:gridCol w:w="1597"/>
        <w:gridCol w:w="1710"/>
      </w:tblGrid>
      <w:tr w:rsidR="00A419F2" w14:paraId="396C7E5B" w14:textId="77777777" w:rsidTr="00A419F2">
        <w:trPr>
          <w:tblHeader/>
        </w:trPr>
        <w:tc>
          <w:tcPr>
            <w:tcW w:w="1597" w:type="dxa"/>
          </w:tcPr>
          <w:p w14:paraId="3BD06D90" w14:textId="0DE474EC" w:rsidR="00A419F2" w:rsidRDefault="00A419F2" w:rsidP="000D0B9B">
            <w:pPr>
              <w:pStyle w:val="Tablecolhead"/>
            </w:pPr>
            <w:r>
              <w:t>Year</w:t>
            </w:r>
          </w:p>
        </w:tc>
        <w:tc>
          <w:tcPr>
            <w:tcW w:w="1710" w:type="dxa"/>
          </w:tcPr>
          <w:p w14:paraId="4607EF19" w14:textId="357F8B72" w:rsidR="00A419F2" w:rsidRDefault="7EDE7C1C" w:rsidP="000D0B9B">
            <w:pPr>
              <w:pStyle w:val="Tablecolhead"/>
            </w:pPr>
            <w:r>
              <w:t>Rate</w:t>
            </w:r>
          </w:p>
        </w:tc>
      </w:tr>
      <w:tr w:rsidR="00A419F2" w14:paraId="5874C917" w14:textId="77777777" w:rsidTr="00A419F2">
        <w:tc>
          <w:tcPr>
            <w:tcW w:w="1597" w:type="dxa"/>
          </w:tcPr>
          <w:p w14:paraId="12382E98" w14:textId="24EC1AE0" w:rsidR="00A419F2" w:rsidRDefault="00241E33" w:rsidP="000D0B9B">
            <w:pPr>
              <w:pStyle w:val="Tabletext"/>
            </w:pPr>
            <w:r>
              <w:t>2015–16</w:t>
            </w:r>
          </w:p>
        </w:tc>
        <w:tc>
          <w:tcPr>
            <w:tcW w:w="1710" w:type="dxa"/>
          </w:tcPr>
          <w:p w14:paraId="10604647" w14:textId="51968572" w:rsidR="00A419F2" w:rsidRDefault="00164F05" w:rsidP="000D0B9B">
            <w:pPr>
              <w:pStyle w:val="Tabletext"/>
            </w:pPr>
            <w:r>
              <w:t>2.0</w:t>
            </w:r>
          </w:p>
        </w:tc>
      </w:tr>
      <w:tr w:rsidR="00241E33" w14:paraId="46A5F84A" w14:textId="77777777" w:rsidTr="00A419F2">
        <w:tc>
          <w:tcPr>
            <w:tcW w:w="1597" w:type="dxa"/>
          </w:tcPr>
          <w:p w14:paraId="13535325" w14:textId="4F9CB1B9" w:rsidR="00241E33" w:rsidRDefault="00241E33" w:rsidP="000D0B9B">
            <w:pPr>
              <w:pStyle w:val="Tabletext"/>
            </w:pPr>
            <w:r w:rsidRPr="006C4DD1">
              <w:t>201</w:t>
            </w:r>
            <w:r>
              <w:t>6</w:t>
            </w:r>
            <w:r w:rsidRPr="006C4DD1">
              <w:t>–1</w:t>
            </w:r>
            <w:r>
              <w:t>7</w:t>
            </w:r>
          </w:p>
        </w:tc>
        <w:tc>
          <w:tcPr>
            <w:tcW w:w="1710" w:type="dxa"/>
          </w:tcPr>
          <w:p w14:paraId="7EA97978" w14:textId="5671155C" w:rsidR="00241E33" w:rsidRDefault="00164F05" w:rsidP="000D0B9B">
            <w:pPr>
              <w:pStyle w:val="Tabletext"/>
            </w:pPr>
            <w:r>
              <w:t>2.5</w:t>
            </w:r>
          </w:p>
        </w:tc>
      </w:tr>
      <w:tr w:rsidR="00241E33" w14:paraId="1BC40DC1" w14:textId="77777777" w:rsidTr="00A419F2">
        <w:tc>
          <w:tcPr>
            <w:tcW w:w="1597" w:type="dxa"/>
          </w:tcPr>
          <w:p w14:paraId="683306EC" w14:textId="3205C72C" w:rsidR="00241E33" w:rsidRDefault="00241E33" w:rsidP="000D0B9B">
            <w:pPr>
              <w:pStyle w:val="Tabletext"/>
            </w:pPr>
            <w:r w:rsidRPr="006C4DD1">
              <w:t>201</w:t>
            </w:r>
            <w:r>
              <w:t>7</w:t>
            </w:r>
            <w:r w:rsidRPr="006C4DD1">
              <w:t>–1</w:t>
            </w:r>
            <w:r>
              <w:t>8</w:t>
            </w:r>
          </w:p>
        </w:tc>
        <w:tc>
          <w:tcPr>
            <w:tcW w:w="1710" w:type="dxa"/>
          </w:tcPr>
          <w:p w14:paraId="089D75FD" w14:textId="1F529404" w:rsidR="00241E33" w:rsidRDefault="00164F05" w:rsidP="000D0B9B">
            <w:pPr>
              <w:pStyle w:val="Tabletext"/>
            </w:pPr>
            <w:r>
              <w:t>2.9</w:t>
            </w:r>
          </w:p>
        </w:tc>
      </w:tr>
      <w:tr w:rsidR="00241E33" w14:paraId="6C2A9E84" w14:textId="77777777" w:rsidTr="00A419F2">
        <w:tc>
          <w:tcPr>
            <w:tcW w:w="1597" w:type="dxa"/>
          </w:tcPr>
          <w:p w14:paraId="4B506A59" w14:textId="35B4C16F" w:rsidR="00241E33" w:rsidRDefault="00241E33" w:rsidP="000D0B9B">
            <w:pPr>
              <w:pStyle w:val="Tabletext"/>
            </w:pPr>
            <w:r w:rsidRPr="006C4DD1">
              <w:t>201</w:t>
            </w:r>
            <w:r>
              <w:t>8</w:t>
            </w:r>
            <w:r w:rsidRPr="006C4DD1">
              <w:t>–1</w:t>
            </w:r>
            <w:r>
              <w:t>9</w:t>
            </w:r>
          </w:p>
        </w:tc>
        <w:tc>
          <w:tcPr>
            <w:tcW w:w="1710" w:type="dxa"/>
          </w:tcPr>
          <w:p w14:paraId="670CABE0" w14:textId="64218EFC" w:rsidR="00241E33" w:rsidRDefault="00164F05" w:rsidP="000D0B9B">
            <w:pPr>
              <w:pStyle w:val="Tabletext"/>
            </w:pPr>
            <w:r>
              <w:t>1.8</w:t>
            </w:r>
          </w:p>
        </w:tc>
      </w:tr>
      <w:tr w:rsidR="00241E33" w14:paraId="2C1DAD7F" w14:textId="77777777" w:rsidTr="00A419F2">
        <w:tc>
          <w:tcPr>
            <w:tcW w:w="1597" w:type="dxa"/>
          </w:tcPr>
          <w:p w14:paraId="3A102E9B" w14:textId="7049610F" w:rsidR="00241E33" w:rsidRDefault="00241E33" w:rsidP="000D0B9B">
            <w:pPr>
              <w:pStyle w:val="Tabletext"/>
            </w:pPr>
            <w:r w:rsidRPr="006C4DD1">
              <w:t>201</w:t>
            </w:r>
            <w:r>
              <w:t>9</w:t>
            </w:r>
            <w:r w:rsidRPr="006C4DD1">
              <w:t>–</w:t>
            </w:r>
            <w:r>
              <w:t>20</w:t>
            </w:r>
          </w:p>
        </w:tc>
        <w:tc>
          <w:tcPr>
            <w:tcW w:w="1710" w:type="dxa"/>
          </w:tcPr>
          <w:p w14:paraId="19D8C581" w14:textId="0D7CDBD5" w:rsidR="00241E33" w:rsidRDefault="00164F05" w:rsidP="000D0B9B">
            <w:pPr>
              <w:pStyle w:val="Tabletext"/>
            </w:pPr>
            <w:r>
              <w:t>3.7</w:t>
            </w:r>
          </w:p>
        </w:tc>
      </w:tr>
      <w:tr w:rsidR="00DC0623" w14:paraId="1B7573C8" w14:textId="77777777" w:rsidTr="00A419F2">
        <w:tc>
          <w:tcPr>
            <w:tcW w:w="1597" w:type="dxa"/>
          </w:tcPr>
          <w:p w14:paraId="4BC269DB" w14:textId="46062AF0" w:rsidR="00DC0623" w:rsidRPr="006C4DD1" w:rsidRDefault="007B2175" w:rsidP="000D0B9B">
            <w:pPr>
              <w:pStyle w:val="Tabletext"/>
            </w:pPr>
            <w:r>
              <w:t>2020–21</w:t>
            </w:r>
          </w:p>
        </w:tc>
        <w:tc>
          <w:tcPr>
            <w:tcW w:w="1710" w:type="dxa"/>
          </w:tcPr>
          <w:p w14:paraId="7C63CB26" w14:textId="6506F687" w:rsidR="00DC0623" w:rsidRDefault="00164F05" w:rsidP="000D0B9B">
            <w:pPr>
              <w:pStyle w:val="Tabletext"/>
            </w:pPr>
            <w:r>
              <w:t>4.0</w:t>
            </w:r>
          </w:p>
        </w:tc>
      </w:tr>
    </w:tbl>
    <w:p w14:paraId="4D763460" w14:textId="1C613ED3" w:rsidR="00381B2F" w:rsidRDefault="00381B2F" w:rsidP="00381B2F">
      <w:pPr>
        <w:pStyle w:val="Heading3"/>
      </w:pPr>
      <w:r>
        <w:t>Restraint</w:t>
      </w:r>
      <w:r w:rsidR="0099684E">
        <w:t xml:space="preserve"> – secure extended care units</w:t>
      </w:r>
    </w:p>
    <w:p w14:paraId="4AC437DE" w14:textId="1E103B40" w:rsidR="00381B2F" w:rsidRPr="00A83DB5" w:rsidRDefault="00381B2F" w:rsidP="00563C62">
      <w:pPr>
        <w:pStyle w:val="Body"/>
      </w:pPr>
      <w:r>
        <w:t>A similar pattern emerged with respect to restraint episodes</w:t>
      </w:r>
      <w:r w:rsidR="001F555B">
        <w:t xml:space="preserve"> over the past two years</w:t>
      </w:r>
      <w:r>
        <w:t xml:space="preserve"> (Table </w:t>
      </w:r>
      <w:r w:rsidR="3149B168">
        <w:t>2</w:t>
      </w:r>
      <w:r w:rsidR="00323A82">
        <w:t>0</w:t>
      </w:r>
      <w:r>
        <w:t>).</w:t>
      </w:r>
      <w:r w:rsidR="0079677B">
        <w:t xml:space="preserve"> </w:t>
      </w:r>
      <w:r w:rsidR="009F2220">
        <w:t xml:space="preserve">We note </w:t>
      </w:r>
      <w:r w:rsidR="000E147B">
        <w:t>the increase since 2016</w:t>
      </w:r>
      <w:r w:rsidR="00283C5B">
        <w:t>–</w:t>
      </w:r>
      <w:r w:rsidR="000E147B">
        <w:t>17</w:t>
      </w:r>
      <w:r w:rsidR="0047585F">
        <w:t xml:space="preserve"> </w:t>
      </w:r>
      <w:r w:rsidR="00BC208B">
        <w:t xml:space="preserve">and are </w:t>
      </w:r>
      <w:r w:rsidR="00013692">
        <w:t xml:space="preserve">seeking to understand </w:t>
      </w:r>
      <w:r w:rsidR="001F555B">
        <w:t>the contributing factors</w:t>
      </w:r>
      <w:r w:rsidR="00CD5E67">
        <w:t xml:space="preserve">. We are also </w:t>
      </w:r>
      <w:r w:rsidR="00893303">
        <w:t>working individually with services to reduce their rates of restrictive practice</w:t>
      </w:r>
      <w:r w:rsidR="00AC4A68">
        <w:t xml:space="preserve"> in conjunction with </w:t>
      </w:r>
      <w:r w:rsidR="0033473B">
        <w:t xml:space="preserve">the work undertaken by the Chief Psychiatrist’s </w:t>
      </w:r>
      <w:r w:rsidR="000A186A">
        <w:t xml:space="preserve">Restrictive Interventions </w:t>
      </w:r>
      <w:r w:rsidR="0033473B">
        <w:t>Committee</w:t>
      </w:r>
      <w:r w:rsidR="001F555B">
        <w:t>.</w:t>
      </w:r>
    </w:p>
    <w:p w14:paraId="3BD12BCC" w14:textId="675DEED5" w:rsidR="00A419F2" w:rsidRPr="000D0B9B" w:rsidRDefault="00381B2F" w:rsidP="000D0B9B">
      <w:pPr>
        <w:pStyle w:val="Tablecaption"/>
      </w:pPr>
      <w:r w:rsidRPr="000D0B9B">
        <w:t xml:space="preserve">Table </w:t>
      </w:r>
      <w:r w:rsidR="6B0B72A0" w:rsidRPr="000D0B9B">
        <w:t>2</w:t>
      </w:r>
      <w:r w:rsidR="00323A82">
        <w:t>0</w:t>
      </w:r>
      <w:r w:rsidRPr="000D0B9B">
        <w:t xml:space="preserve">: SECU bodily restraint episodes per 1,000 occupied bed days, 2015–16 to </w:t>
      </w:r>
      <w:r w:rsidR="007B2175">
        <w:t>2020–21</w:t>
      </w:r>
    </w:p>
    <w:tbl>
      <w:tblPr>
        <w:tblStyle w:val="TableGrid"/>
        <w:tblW w:w="0" w:type="auto"/>
        <w:tblLook w:val="04A0" w:firstRow="1" w:lastRow="0" w:firstColumn="1" w:lastColumn="0" w:noHBand="0" w:noVBand="1"/>
      </w:tblPr>
      <w:tblGrid>
        <w:gridCol w:w="1597"/>
        <w:gridCol w:w="1710"/>
      </w:tblGrid>
      <w:tr w:rsidR="00A419F2" w14:paraId="6A3E9192" w14:textId="77777777" w:rsidTr="00B07969">
        <w:trPr>
          <w:tblHeader/>
        </w:trPr>
        <w:tc>
          <w:tcPr>
            <w:tcW w:w="1597" w:type="dxa"/>
          </w:tcPr>
          <w:p w14:paraId="61AE0229" w14:textId="77777777" w:rsidR="00A419F2" w:rsidRPr="000D0B9B" w:rsidRDefault="00A419F2" w:rsidP="000D0B9B">
            <w:pPr>
              <w:pStyle w:val="Tablecolhead"/>
            </w:pPr>
            <w:r w:rsidRPr="000D0B9B">
              <w:t>Year</w:t>
            </w:r>
          </w:p>
        </w:tc>
        <w:tc>
          <w:tcPr>
            <w:tcW w:w="1710" w:type="dxa"/>
          </w:tcPr>
          <w:p w14:paraId="6B95BB47" w14:textId="1EA35B30" w:rsidR="00A419F2" w:rsidRDefault="5C7293C2" w:rsidP="000D0B9B">
            <w:pPr>
              <w:pStyle w:val="Tablecolhead"/>
            </w:pPr>
            <w:r>
              <w:t>Rate</w:t>
            </w:r>
          </w:p>
        </w:tc>
      </w:tr>
      <w:tr w:rsidR="00241E33" w14:paraId="29C05EE1" w14:textId="77777777" w:rsidTr="00B07969">
        <w:tc>
          <w:tcPr>
            <w:tcW w:w="1597" w:type="dxa"/>
          </w:tcPr>
          <w:p w14:paraId="7D6374C3" w14:textId="3DE151CD" w:rsidR="00241E33" w:rsidRDefault="00241E33" w:rsidP="000D0B9B">
            <w:pPr>
              <w:pStyle w:val="Tabletext"/>
            </w:pPr>
            <w:r>
              <w:t>2015–16</w:t>
            </w:r>
          </w:p>
        </w:tc>
        <w:tc>
          <w:tcPr>
            <w:tcW w:w="1710" w:type="dxa"/>
          </w:tcPr>
          <w:p w14:paraId="6B835E2A" w14:textId="06168A72" w:rsidR="00241E33" w:rsidRDefault="002B7656" w:rsidP="000D0B9B">
            <w:pPr>
              <w:pStyle w:val="Tabletext"/>
            </w:pPr>
            <w:r>
              <w:t>3.1</w:t>
            </w:r>
          </w:p>
        </w:tc>
      </w:tr>
      <w:tr w:rsidR="00241E33" w14:paraId="482E5A82" w14:textId="77777777" w:rsidTr="00B07969">
        <w:tc>
          <w:tcPr>
            <w:tcW w:w="1597" w:type="dxa"/>
          </w:tcPr>
          <w:p w14:paraId="5404ADB0" w14:textId="080BEFBB" w:rsidR="00241E33" w:rsidRDefault="00241E33" w:rsidP="000D0B9B">
            <w:pPr>
              <w:pStyle w:val="Tabletext"/>
            </w:pPr>
            <w:r w:rsidRPr="006C4DD1">
              <w:t>201</w:t>
            </w:r>
            <w:r>
              <w:t>6</w:t>
            </w:r>
            <w:r w:rsidRPr="006C4DD1">
              <w:t>–1</w:t>
            </w:r>
            <w:r>
              <w:t>7</w:t>
            </w:r>
          </w:p>
        </w:tc>
        <w:tc>
          <w:tcPr>
            <w:tcW w:w="1710" w:type="dxa"/>
          </w:tcPr>
          <w:p w14:paraId="52880B82" w14:textId="4C817105" w:rsidR="00241E33" w:rsidRDefault="002B7656" w:rsidP="000D0B9B">
            <w:pPr>
              <w:pStyle w:val="Tabletext"/>
            </w:pPr>
            <w:r>
              <w:t>2.2</w:t>
            </w:r>
          </w:p>
        </w:tc>
      </w:tr>
      <w:tr w:rsidR="00241E33" w14:paraId="2268195F" w14:textId="77777777" w:rsidTr="00B07969">
        <w:tc>
          <w:tcPr>
            <w:tcW w:w="1597" w:type="dxa"/>
          </w:tcPr>
          <w:p w14:paraId="355316BA" w14:textId="4CF88CA2" w:rsidR="00241E33" w:rsidRDefault="00241E33" w:rsidP="000D0B9B">
            <w:pPr>
              <w:pStyle w:val="Tabletext"/>
            </w:pPr>
            <w:r w:rsidRPr="006C4DD1">
              <w:t>201</w:t>
            </w:r>
            <w:r>
              <w:t>7</w:t>
            </w:r>
            <w:r w:rsidRPr="006C4DD1">
              <w:t>–1</w:t>
            </w:r>
            <w:r>
              <w:t>8</w:t>
            </w:r>
          </w:p>
        </w:tc>
        <w:tc>
          <w:tcPr>
            <w:tcW w:w="1710" w:type="dxa"/>
          </w:tcPr>
          <w:p w14:paraId="4F9BADD1" w14:textId="2BE43BBC" w:rsidR="00241E33" w:rsidRDefault="002B7656" w:rsidP="000D0B9B">
            <w:pPr>
              <w:pStyle w:val="Tabletext"/>
            </w:pPr>
            <w:r>
              <w:t>2.9</w:t>
            </w:r>
          </w:p>
        </w:tc>
      </w:tr>
      <w:tr w:rsidR="00241E33" w14:paraId="6E749B30" w14:textId="77777777" w:rsidTr="00B07969">
        <w:tc>
          <w:tcPr>
            <w:tcW w:w="1597" w:type="dxa"/>
          </w:tcPr>
          <w:p w14:paraId="0EA22150" w14:textId="7638096D" w:rsidR="00241E33" w:rsidRDefault="00241E33" w:rsidP="000D0B9B">
            <w:pPr>
              <w:pStyle w:val="Tabletext"/>
            </w:pPr>
            <w:r w:rsidRPr="006C4DD1">
              <w:t>201</w:t>
            </w:r>
            <w:r>
              <w:t>8</w:t>
            </w:r>
            <w:r w:rsidRPr="006C4DD1">
              <w:t>–1</w:t>
            </w:r>
            <w:r>
              <w:t>9</w:t>
            </w:r>
          </w:p>
        </w:tc>
        <w:tc>
          <w:tcPr>
            <w:tcW w:w="1710" w:type="dxa"/>
          </w:tcPr>
          <w:p w14:paraId="7CE4BEB2" w14:textId="0ABC0952" w:rsidR="00241E33" w:rsidRDefault="002B7656" w:rsidP="000D0B9B">
            <w:pPr>
              <w:pStyle w:val="Tabletext"/>
            </w:pPr>
            <w:r>
              <w:t>2.6</w:t>
            </w:r>
          </w:p>
        </w:tc>
      </w:tr>
      <w:tr w:rsidR="00241E33" w14:paraId="5B42739F" w14:textId="77777777" w:rsidTr="00B07969">
        <w:tc>
          <w:tcPr>
            <w:tcW w:w="1597" w:type="dxa"/>
          </w:tcPr>
          <w:p w14:paraId="0A726944" w14:textId="5ECE8DFC" w:rsidR="00241E33" w:rsidRDefault="00241E33" w:rsidP="000D0B9B">
            <w:pPr>
              <w:pStyle w:val="Tabletext"/>
            </w:pPr>
            <w:r w:rsidRPr="006C4DD1">
              <w:t>201</w:t>
            </w:r>
            <w:r>
              <w:t>9</w:t>
            </w:r>
            <w:r w:rsidRPr="006C4DD1">
              <w:t>–</w:t>
            </w:r>
            <w:r>
              <w:t>20</w:t>
            </w:r>
          </w:p>
        </w:tc>
        <w:tc>
          <w:tcPr>
            <w:tcW w:w="1710" w:type="dxa"/>
          </w:tcPr>
          <w:p w14:paraId="623D0DAC" w14:textId="3174D4A1" w:rsidR="00241E33" w:rsidRDefault="002B7656" w:rsidP="000D0B9B">
            <w:pPr>
              <w:pStyle w:val="Tabletext"/>
            </w:pPr>
            <w:r>
              <w:t>3.7</w:t>
            </w:r>
          </w:p>
        </w:tc>
      </w:tr>
      <w:tr w:rsidR="00724EFE" w14:paraId="058975B9" w14:textId="77777777" w:rsidTr="00B07969">
        <w:tc>
          <w:tcPr>
            <w:tcW w:w="1597" w:type="dxa"/>
          </w:tcPr>
          <w:p w14:paraId="5BDFF6E5" w14:textId="21A88BC5" w:rsidR="00724EFE" w:rsidRPr="006C4DD1" w:rsidRDefault="007B2175" w:rsidP="000D0B9B">
            <w:pPr>
              <w:pStyle w:val="Tabletext"/>
            </w:pPr>
            <w:r>
              <w:t>2020–21</w:t>
            </w:r>
          </w:p>
        </w:tc>
        <w:tc>
          <w:tcPr>
            <w:tcW w:w="1710" w:type="dxa"/>
          </w:tcPr>
          <w:p w14:paraId="3A0FA714" w14:textId="085E9F85" w:rsidR="00724EFE" w:rsidRDefault="002B7656" w:rsidP="000D0B9B">
            <w:pPr>
              <w:pStyle w:val="Tabletext"/>
            </w:pPr>
            <w:r>
              <w:t>3.3</w:t>
            </w:r>
          </w:p>
        </w:tc>
      </w:tr>
    </w:tbl>
    <w:p w14:paraId="49F64BA0" w14:textId="099041AC" w:rsidR="006B3F7E" w:rsidRDefault="006B3F7E" w:rsidP="00563C62">
      <w:pPr>
        <w:pStyle w:val="Body"/>
      </w:pPr>
    </w:p>
    <w:p w14:paraId="7E341130" w14:textId="77777777" w:rsidR="006B3F7E" w:rsidRDefault="006B3F7E">
      <w:pPr>
        <w:rPr>
          <w:rFonts w:ascii="Arial" w:eastAsia="Times" w:hAnsi="Arial"/>
          <w:sz w:val="21"/>
          <w:szCs w:val="21"/>
        </w:rPr>
      </w:pPr>
      <w:r>
        <w:br w:type="page"/>
      </w:r>
    </w:p>
    <w:tbl>
      <w:tblPr>
        <w:tblStyle w:val="TableGrid"/>
        <w:tblW w:w="0" w:type="auto"/>
        <w:tblLook w:val="04A0" w:firstRow="1" w:lastRow="0" w:firstColumn="1" w:lastColumn="0" w:noHBand="0" w:noVBand="1"/>
      </w:tblPr>
      <w:tblGrid>
        <w:gridCol w:w="9180"/>
      </w:tblGrid>
      <w:tr w:rsidR="00301E87" w14:paraId="44D4F755" w14:textId="77777777" w:rsidTr="007A3EDF">
        <w:tc>
          <w:tcPr>
            <w:tcW w:w="9288" w:type="dxa"/>
            <w:shd w:val="clear" w:color="auto" w:fill="DBE5F1" w:themeFill="accent1" w:themeFillTint="33"/>
          </w:tcPr>
          <w:p w14:paraId="7161E066" w14:textId="2D214214" w:rsidR="00301E87" w:rsidRPr="00EA4948" w:rsidRDefault="00301E87" w:rsidP="00070ED3">
            <w:pPr>
              <w:pStyle w:val="Boxtitle"/>
            </w:pPr>
            <w:r w:rsidRPr="00EA4948">
              <w:lastRenderedPageBreak/>
              <w:t>S</w:t>
            </w:r>
            <w:r w:rsidR="00D803E7">
              <w:t>.H.</w:t>
            </w:r>
            <w:r w:rsidRPr="00EA4948">
              <w:t>, Principal Data Officer</w:t>
            </w:r>
            <w:r>
              <w:t>, Office of the Chief Psychiatrist</w:t>
            </w:r>
          </w:p>
          <w:p w14:paraId="52EA8D33" w14:textId="77777777" w:rsidR="00301E87" w:rsidRPr="00EA4948" w:rsidRDefault="00301E87" w:rsidP="00563C62">
            <w:pPr>
              <w:pStyle w:val="Body"/>
            </w:pPr>
            <w:r w:rsidRPr="00EA4948">
              <w:t>I have a business analyst and management background and have worked in the Department of Health for 4.5 years. Prior to this, I held positions in the Department of Justice, Telstra and GE Capital (in India, New Zealand and London). I also have postgraduate qualifications in business administration and a Diploma in Project Management.</w:t>
            </w:r>
          </w:p>
          <w:p w14:paraId="0B37B220" w14:textId="5B15BC42" w:rsidR="00301E87" w:rsidRPr="00EA4948" w:rsidRDefault="00301E87" w:rsidP="00563C62">
            <w:pPr>
              <w:pStyle w:val="Body"/>
            </w:pPr>
            <w:r w:rsidRPr="00EA4948">
              <w:t xml:space="preserve">Data and analytics are my areas of interest, and so I was naturally drawn to the </w:t>
            </w:r>
            <w:r w:rsidR="00283C5B">
              <w:t>p</w:t>
            </w:r>
            <w:r w:rsidRPr="00EA4948">
              <w:t xml:space="preserve">rincipal </w:t>
            </w:r>
            <w:r w:rsidR="00283C5B">
              <w:t>d</w:t>
            </w:r>
            <w:r w:rsidRPr="00EA4948">
              <w:t xml:space="preserve">ata </w:t>
            </w:r>
            <w:r w:rsidR="00283C5B">
              <w:t>o</w:t>
            </w:r>
            <w:r w:rsidRPr="00EA4948">
              <w:t>fficer role when it became available at the OCP. My role primarily revolves around parsing through data, analysing it and interpreting it. I normally spend my workdays digging into raw data and making it useable for my OCP colleagues and our stakeholders. This includes tasks like analysing data systems, automating information retrieval, and preparing reports and dashboards that show managers how data could be applied to fulfil the Chief Psychiatrist’s statutory functions and advance the OCP’s strategic goals.</w:t>
            </w:r>
          </w:p>
          <w:p w14:paraId="72B92BDF" w14:textId="290417E9" w:rsidR="00301E87" w:rsidRPr="00EA4948" w:rsidRDefault="00301E87" w:rsidP="00563C62">
            <w:pPr>
              <w:pStyle w:val="Body"/>
            </w:pPr>
            <w:r w:rsidRPr="00EA4948">
              <w:t>The data we receive at the OCP helps us understand the context of mental health crises and why they happen in the first place. This data also allows us to see system-wide trends in the performance of mental health services from a quality and safety standpoint. In doing so, the data helps us determine where we should focus our attention and channel our resources to assist services</w:t>
            </w:r>
            <w:r w:rsidR="00F22070">
              <w:t xml:space="preserve"> to</w:t>
            </w:r>
            <w:r w:rsidRPr="00EA4948">
              <w:t xml:space="preserve"> meet their obligation of providing safe and high-quality care. I gain satisfaction from being a part of this team effort, knowing that it contributes to something so important in people’s lives.</w:t>
            </w:r>
          </w:p>
        </w:tc>
      </w:tr>
    </w:tbl>
    <w:p w14:paraId="4A528DF0" w14:textId="39215251" w:rsidR="00381B2F" w:rsidRDefault="00301E87" w:rsidP="00563C62">
      <w:pPr>
        <w:pStyle w:val="Body"/>
      </w:pPr>
      <w:r>
        <w:t xml:space="preserve"> </w:t>
      </w:r>
      <w:r w:rsidR="00381B2F">
        <w:br w:type="page"/>
      </w:r>
    </w:p>
    <w:p w14:paraId="3DF0C0B5" w14:textId="0259C7BE" w:rsidR="00381B2F" w:rsidRPr="00182DBC" w:rsidRDefault="00381B2F" w:rsidP="0012686C">
      <w:pPr>
        <w:pStyle w:val="Heading1"/>
        <w:rPr>
          <w:b/>
        </w:rPr>
      </w:pPr>
      <w:bookmarkStart w:id="45" w:name="_Toc86347186"/>
      <w:r w:rsidRPr="00182DBC">
        <w:lastRenderedPageBreak/>
        <w:t>2</w:t>
      </w:r>
      <w:r w:rsidR="0049615B">
        <w:t>.</w:t>
      </w:r>
      <w:r w:rsidRPr="00182DBC">
        <w:t xml:space="preserve"> Leadership and quality and safety improvement</w:t>
      </w:r>
      <w:bookmarkEnd w:id="45"/>
    </w:p>
    <w:p w14:paraId="068B57B9" w14:textId="49507E18" w:rsidR="00381B2F" w:rsidRPr="000F3963" w:rsidRDefault="00381B2F" w:rsidP="00381B2F">
      <w:pPr>
        <w:pStyle w:val="Heading2"/>
      </w:pPr>
      <w:bookmarkStart w:id="46" w:name="_Toc86347187"/>
      <w:r>
        <w:t xml:space="preserve">Quality and </w:t>
      </w:r>
      <w:r w:rsidR="0095545B">
        <w:t>s</w:t>
      </w:r>
      <w:r>
        <w:t>afety initiatives</w:t>
      </w:r>
      <w:bookmarkEnd w:id="46"/>
    </w:p>
    <w:p w14:paraId="2AB10D87" w14:textId="5C9CC10E" w:rsidR="00381B2F" w:rsidRDefault="004F1D84" w:rsidP="00381B2F">
      <w:pPr>
        <w:pStyle w:val="Heading3"/>
      </w:pPr>
      <w:r w:rsidRPr="33B77389">
        <w:t xml:space="preserve">Electroconvulsive treatment </w:t>
      </w:r>
      <w:r w:rsidR="0095545B">
        <w:t>a</w:t>
      </w:r>
      <w:r w:rsidR="00381B2F">
        <w:t>udits</w:t>
      </w:r>
    </w:p>
    <w:p w14:paraId="6560CC28" w14:textId="66537882" w:rsidR="00381B2F" w:rsidRDefault="00381B2F" w:rsidP="00563C62">
      <w:pPr>
        <w:pStyle w:val="Body"/>
      </w:pPr>
      <w:r>
        <w:t xml:space="preserve">Over the </w:t>
      </w:r>
      <w:r w:rsidR="004F1D84">
        <w:t>p</w:t>
      </w:r>
      <w:r>
        <w:t xml:space="preserve">ast </w:t>
      </w:r>
      <w:r w:rsidR="006A4E07">
        <w:t>three</w:t>
      </w:r>
      <w:r>
        <w:t xml:space="preserve"> years, all ECT services in Victoria have been audited to ensure adherence to the Chief Psychiatrist’s guideline on ECT. Audit teams have included a deputy </w:t>
      </w:r>
      <w:r w:rsidR="004F1D84">
        <w:t>c</w:t>
      </w:r>
      <w:r>
        <w:t xml:space="preserve">hief </w:t>
      </w:r>
      <w:r w:rsidR="004F1D84">
        <w:t>p</w:t>
      </w:r>
      <w:r>
        <w:t>sychiatrist, senior clinical advisor, an ECT director and nurse coordinator from other services, and consumer and carer representatives. During their day-long visits, team members met with senior clinicians, inspected the ECT treatment facilities and reviewed services’ clinical policies and practices, educational programs and quality improvement activities. As a result of the audit, treatment practices have become more consistent across the state. Important improvements have included better assessments of people’s capacity to give informed consent to ECT</w:t>
      </w:r>
      <w:r w:rsidR="004F1D84">
        <w:t>,</w:t>
      </w:r>
      <w:r>
        <w:t xml:space="preserve"> the use of strategies to minimise cognitive impairment, and regular checks of clinical progress.</w:t>
      </w:r>
    </w:p>
    <w:p w14:paraId="4D850BBF" w14:textId="4278DA0B" w:rsidR="00381B2F" w:rsidRDefault="00381B2F" w:rsidP="00381B2F">
      <w:pPr>
        <w:pStyle w:val="Heading3"/>
        <w:rPr>
          <w:rStyle w:val="normaltextrun"/>
          <w:lang w:val="en-US"/>
        </w:rPr>
      </w:pPr>
      <w:r w:rsidRPr="10DC7BF4">
        <w:rPr>
          <w:rStyle w:val="normaltextrun"/>
          <w:lang w:val="en-US"/>
        </w:rPr>
        <w:t>Sentinel event reviews</w:t>
      </w:r>
    </w:p>
    <w:p w14:paraId="042089D6" w14:textId="5E793A15" w:rsidR="00381B2F" w:rsidRDefault="00381B2F" w:rsidP="00563C62">
      <w:pPr>
        <w:pStyle w:val="Body"/>
      </w:pPr>
      <w:r>
        <w:t xml:space="preserve">Sentinel events are wholly or largely preventable adverse health incidents that result in serious harm or death. Health services </w:t>
      </w:r>
      <w:r w:rsidR="00360184">
        <w:t>must</w:t>
      </w:r>
      <w:r>
        <w:t xml:space="preserve"> report such incidents to Safer Care Victoria in accordance with the Australian </w:t>
      </w:r>
      <w:r w:rsidR="00D6537D">
        <w:t>National Sentinel Event Protocol</w:t>
      </w:r>
      <w:r>
        <w:t>. They must also conduct a detailed analysis of the circumstances leading to the event and make recommendations where applicable to reduce the likelihood of a recurrence. In the case of mental health services, suicides in acute inpatient units and small numbers of unexpected incidents with catastrophic consequences must be reported in this way.</w:t>
      </w:r>
      <w:r w:rsidR="0057779F">
        <w:t xml:space="preserve"> </w:t>
      </w:r>
    </w:p>
    <w:p w14:paraId="6F549C59" w14:textId="048B847F" w:rsidR="00381B2F" w:rsidRDefault="00381B2F" w:rsidP="00563C62">
      <w:pPr>
        <w:pStyle w:val="Body"/>
      </w:pPr>
      <w:r>
        <w:t xml:space="preserve">The </w:t>
      </w:r>
      <w:r w:rsidR="001F7590">
        <w:t>OCP</w:t>
      </w:r>
      <w:r>
        <w:t xml:space="preserve"> and members of </w:t>
      </w:r>
      <w:r w:rsidR="00C15211">
        <w:t xml:space="preserve">the Chief Psychiatrist’s </w:t>
      </w:r>
      <w:r>
        <w:t xml:space="preserve">Morbidity and Mortality Committee (including representatives of consumer and carer peak bodies) work with Safer Care Victoria to give feedback to mental health services </w:t>
      </w:r>
      <w:r w:rsidR="00360184">
        <w:t xml:space="preserve">about </w:t>
      </w:r>
      <w:r>
        <w:t>their analyses of events and their recommendations for action. Sentinel events are uncommon, and this extra level of scrutiny and support ensures services’ reviews are truly comprehensive and lead to practical action to identify and remediate risk for future consumers and carers.</w:t>
      </w:r>
      <w:r w:rsidR="0057779F">
        <w:t xml:space="preserve"> </w:t>
      </w:r>
    </w:p>
    <w:p w14:paraId="1BFEF8B9" w14:textId="42E94162" w:rsidR="00381B2F" w:rsidRDefault="00381B2F" w:rsidP="00381B2F">
      <w:pPr>
        <w:pStyle w:val="Heading3"/>
      </w:pPr>
      <w:r>
        <w:t>Inspire report</w:t>
      </w:r>
    </w:p>
    <w:p w14:paraId="1F988463" w14:textId="157865E8" w:rsidR="00381B2F" w:rsidRPr="00730FFB" w:rsidRDefault="00381B2F" w:rsidP="00563C62">
      <w:pPr>
        <w:pStyle w:val="Body"/>
      </w:pPr>
      <w:r>
        <w:t xml:space="preserve">The Victorian Agency for Health Information collaborates with the Chief Psychiatrist to prepare the </w:t>
      </w:r>
      <w:r w:rsidRPr="00730FFB">
        <w:rPr>
          <w:i/>
          <w:iCs/>
        </w:rPr>
        <w:t xml:space="preserve">Inspire </w:t>
      </w:r>
      <w:r w:rsidR="00360184">
        <w:rPr>
          <w:i/>
          <w:iCs/>
        </w:rPr>
        <w:t>m</w:t>
      </w:r>
      <w:r w:rsidRPr="00730FFB">
        <w:rPr>
          <w:i/>
          <w:iCs/>
        </w:rPr>
        <w:t xml:space="preserve">ental </w:t>
      </w:r>
      <w:r w:rsidR="00360184">
        <w:rPr>
          <w:i/>
          <w:iCs/>
        </w:rPr>
        <w:t>h</w:t>
      </w:r>
      <w:r w:rsidRPr="00730FFB">
        <w:rPr>
          <w:i/>
          <w:iCs/>
        </w:rPr>
        <w:t>ealth</w:t>
      </w:r>
      <w:r>
        <w:t xml:space="preserve"> benchmarking report for distribution to mental health services every six months. Each report compares services on a varying range of indicators extracted from the data submitted routinely to the </w:t>
      </w:r>
      <w:r w:rsidR="00360184">
        <w:t>d</w:t>
      </w:r>
      <w:r>
        <w:t xml:space="preserve">epartment. Indicators are selected by an expert advisory group </w:t>
      </w:r>
      <w:r w:rsidR="00360184">
        <w:t>based on</w:t>
      </w:r>
      <w:r>
        <w:t xml:space="preserve"> their clinical relevance and strategic importance. The purpose of the report is to highlight variance in practice (including variance between services’ various inpatient units and community teams) and</w:t>
      </w:r>
      <w:r w:rsidR="00360184">
        <w:t xml:space="preserve"> to</w:t>
      </w:r>
      <w:r>
        <w:t xml:space="preserve"> encourage debate within and between services about the clinical, cultural and operational factors that contribute to these differences. The Chief Psychiatrist then engages in discussion with ‘outlier’ services to promote action to address unexplained variance in clinical practices that might </w:t>
      </w:r>
      <w:r w:rsidR="00283205">
        <w:t xml:space="preserve">have an </w:t>
      </w:r>
      <w:r>
        <w:t>adverse</w:t>
      </w:r>
      <w:r w:rsidR="00283205">
        <w:t xml:space="preserve"> effect</w:t>
      </w:r>
      <w:r>
        <w:t xml:space="preserve"> on consumers’ experiences. </w:t>
      </w:r>
    </w:p>
    <w:p w14:paraId="391B7FC4" w14:textId="73A48988" w:rsidR="00381B2F" w:rsidRDefault="00381B2F" w:rsidP="00381B2F">
      <w:pPr>
        <w:pStyle w:val="Heading3"/>
      </w:pPr>
      <w:r>
        <w:lastRenderedPageBreak/>
        <w:t>Quality and safety bulletin</w:t>
      </w:r>
    </w:p>
    <w:p w14:paraId="6F0145B6" w14:textId="2910C4BD" w:rsidR="00381B2F" w:rsidRDefault="00EC6A26" w:rsidP="00563C62">
      <w:pPr>
        <w:pStyle w:val="Body"/>
      </w:pPr>
      <w:r>
        <w:t>The Chief Psychiatrist endeavours to publish a</w:t>
      </w:r>
      <w:r w:rsidR="00381B2F">
        <w:t xml:space="preserve"> quality and safety bulletin twice a year to highlight issues </w:t>
      </w:r>
      <w:r w:rsidR="0031073D">
        <w:t>affecting</w:t>
      </w:r>
      <w:r w:rsidR="00381B2F">
        <w:t xml:space="preserve"> consumer safety. The bulletins, which are published on the </w:t>
      </w:r>
      <w:hyperlink r:id="rId19">
        <w:r w:rsidR="00381B2F" w:rsidRPr="66FBA0A5">
          <w:rPr>
            <w:rStyle w:val="Hyperlink"/>
          </w:rPr>
          <w:t>Chief Psychiatrist’s website</w:t>
        </w:r>
      </w:hyperlink>
      <w:r w:rsidR="00381B2F">
        <w:t xml:space="preserve"> </w:t>
      </w:r>
      <w:r w:rsidR="00397F78">
        <w:t>&lt;</w:t>
      </w:r>
      <w:r w:rsidR="00397F78" w:rsidRPr="00397F78">
        <w:t>https://www2.health.vic.gov.au/about/publications/researchandreports/chief-psychiatrist-quality-and-safety-bulletin</w:t>
      </w:r>
      <w:r w:rsidR="00397F78">
        <w:t xml:space="preserve">&gt;, </w:t>
      </w:r>
      <w:r w:rsidR="00381B2F">
        <w:t xml:space="preserve">describe de-identified cases </w:t>
      </w:r>
      <w:r w:rsidR="00360184">
        <w:t xml:space="preserve">found </w:t>
      </w:r>
      <w:r w:rsidR="00381B2F">
        <w:t xml:space="preserve">through </w:t>
      </w:r>
      <w:r w:rsidR="00360184">
        <w:t>c</w:t>
      </w:r>
      <w:r w:rsidR="00381B2F">
        <w:t>oroners</w:t>
      </w:r>
      <w:r w:rsidR="00360184">
        <w:t>’</w:t>
      </w:r>
      <w:r w:rsidR="00381B2F">
        <w:t xml:space="preserve"> reports, notifications to Safer Care Victoria and other means. The purpose of the bulletin is to alert service providers to issues of grave clinical risk and to provide advice about strategies to mitigate these risks. This provides a useful opportunity to remind providers of existing guidelines and clinical practice advisory notices and of the need to embed these guidelines and notices within their policy and procedure documents. Matters of importance are </w:t>
      </w:r>
      <w:r w:rsidR="00360184">
        <w:t xml:space="preserve">also </w:t>
      </w:r>
      <w:r w:rsidR="00381B2F">
        <w:t>raised in meetings with clinical and operational leaders and in other relevant settings to ensure safety alerts are received and enacted within services.</w:t>
      </w:r>
    </w:p>
    <w:p w14:paraId="1EDC4A36" w14:textId="3AE85B45" w:rsidR="00381B2F" w:rsidRPr="00A34659" w:rsidRDefault="00381B2F" w:rsidP="00381B2F">
      <w:pPr>
        <w:pStyle w:val="Heading3"/>
        <w:rPr>
          <w:rStyle w:val="normaltextrun"/>
        </w:rPr>
      </w:pPr>
      <w:r w:rsidRPr="3D86FC7D">
        <w:rPr>
          <w:rStyle w:val="normaltextrun"/>
        </w:rPr>
        <w:t>New Chief Psychiatrist’s guidelines</w:t>
      </w:r>
    </w:p>
    <w:p w14:paraId="6189D75B" w14:textId="2FCA373F" w:rsidR="00381B2F" w:rsidRDefault="00381B2F" w:rsidP="00563C62">
      <w:pPr>
        <w:pStyle w:val="Body"/>
        <w:rPr>
          <w:rFonts w:eastAsia="Arial" w:cs="Arial"/>
          <w:color w:val="000000" w:themeColor="text1"/>
          <w:sz w:val="22"/>
          <w:szCs w:val="22"/>
        </w:rPr>
      </w:pPr>
      <w:r w:rsidRPr="4117A3B1">
        <w:rPr>
          <w:i/>
          <w:iCs/>
        </w:rPr>
        <w:t xml:space="preserve">The Chief Psychiatrist’s guideline on risk assessment and safety planning in mental health inpatient services </w:t>
      </w:r>
      <w:r>
        <w:t xml:space="preserve">was finalised in March 2020. </w:t>
      </w:r>
      <w:r w:rsidR="00360184">
        <w:t>However, i</w:t>
      </w:r>
      <w:r>
        <w:t xml:space="preserve">t was not released for distribution because of concerns that mental health services would struggle to implement </w:t>
      </w:r>
      <w:r w:rsidR="00F37C2F">
        <w:t xml:space="preserve">the guideline </w:t>
      </w:r>
      <w:r>
        <w:t xml:space="preserve">successfully while responding to </w:t>
      </w:r>
      <w:r w:rsidR="00360184">
        <w:t xml:space="preserve">the </w:t>
      </w:r>
      <w:r w:rsidR="00A424DB">
        <w:t>COVID-19</w:t>
      </w:r>
      <w:r w:rsidR="00360184">
        <w:t xml:space="preserve"> pandemic</w:t>
      </w:r>
      <w:r>
        <w:t xml:space="preserve">. </w:t>
      </w:r>
      <w:r w:rsidR="5A73F924" w:rsidRPr="005436CA">
        <w:t xml:space="preserve">Once </w:t>
      </w:r>
      <w:r w:rsidR="0031073D" w:rsidRPr="005436CA">
        <w:t>issued</w:t>
      </w:r>
      <w:r w:rsidR="5A73F924" w:rsidRPr="005436CA">
        <w:t>, the guideline’s focus on risk assessment as a component of safety planning should further limit the use of restrictive interventions and reduce self-harm.</w:t>
      </w:r>
    </w:p>
    <w:p w14:paraId="49FAA7B1" w14:textId="77777777" w:rsidR="00F4741C" w:rsidRDefault="00381B2F" w:rsidP="00563C62">
      <w:pPr>
        <w:pStyle w:val="Body"/>
      </w:pPr>
      <w:r>
        <w:t>As Victoria and the mental health system move towards a new ‘C</w:t>
      </w:r>
      <w:r w:rsidR="00360184">
        <w:t>OVID</w:t>
      </w:r>
      <w:r>
        <w:t xml:space="preserve"> normal’ in 202</w:t>
      </w:r>
      <w:r w:rsidR="7DFB04DE">
        <w:t>1</w:t>
      </w:r>
      <w:r w:rsidR="0012686C">
        <w:t>–2</w:t>
      </w:r>
      <w:r w:rsidR="685972CF">
        <w:t>2</w:t>
      </w:r>
      <w:r>
        <w:t>, the approach to disseminati</w:t>
      </w:r>
      <w:r w:rsidR="00CE763B">
        <w:t>ng</w:t>
      </w:r>
      <w:r>
        <w:t xml:space="preserve"> new guidelines and support</w:t>
      </w:r>
      <w:r w:rsidR="00CE763B">
        <w:t>ing</w:t>
      </w:r>
      <w:r>
        <w:t xml:space="preserve"> mental health services to implement them will be revised and adapted to ensure continued focus on quality and safety of service provision in the context of new ways of working.</w:t>
      </w:r>
    </w:p>
    <w:p w14:paraId="0417AD19" w14:textId="3C11EF33" w:rsidR="00381B2F" w:rsidRDefault="0057482E" w:rsidP="00563C62">
      <w:pPr>
        <w:pStyle w:val="Body"/>
      </w:pPr>
      <w:r>
        <w:t xml:space="preserve">This work will pick up pace </w:t>
      </w:r>
      <w:r w:rsidR="00096F8B">
        <w:t xml:space="preserve">once the Mental Health Improvement Unit is </w:t>
      </w:r>
      <w:r w:rsidR="0031073D">
        <w:t xml:space="preserve">set </w:t>
      </w:r>
      <w:r w:rsidR="00096F8B">
        <w:t xml:space="preserve">up in Safer Care Victoria at the beginning of 2022. </w:t>
      </w:r>
      <w:r w:rsidR="005A1D45">
        <w:t xml:space="preserve">The Mental Health Improvement Unit will </w:t>
      </w:r>
      <w:r w:rsidR="008D4C03">
        <w:t>play a major part in promoting quality and safety</w:t>
      </w:r>
      <w:r w:rsidR="005B2D6A">
        <w:t xml:space="preserve"> </w:t>
      </w:r>
      <w:r w:rsidR="00A8319D">
        <w:t>in Victoria’s mental health and wellbeing system</w:t>
      </w:r>
      <w:r w:rsidR="008D4C03">
        <w:t xml:space="preserve"> </w:t>
      </w:r>
      <w:r w:rsidR="007B39D5">
        <w:t xml:space="preserve">in partnership with the </w:t>
      </w:r>
      <w:r w:rsidR="008D4C03">
        <w:t>OCP</w:t>
      </w:r>
      <w:r w:rsidR="00F4741C">
        <w:t xml:space="preserve">. As such, </w:t>
      </w:r>
      <w:r w:rsidR="007B39D5">
        <w:t xml:space="preserve">the OCP </w:t>
      </w:r>
      <w:r w:rsidR="00A8319D">
        <w:t xml:space="preserve">is making plans </w:t>
      </w:r>
      <w:r w:rsidR="004669B0">
        <w:t xml:space="preserve">to </w:t>
      </w:r>
      <w:r w:rsidR="007B39D5">
        <w:t xml:space="preserve">develop </w:t>
      </w:r>
      <w:r w:rsidR="009E0276">
        <w:t xml:space="preserve">guidelines and support mental health services </w:t>
      </w:r>
      <w:r w:rsidR="00B075E7">
        <w:t>in</w:t>
      </w:r>
      <w:r w:rsidR="00B2734D">
        <w:t xml:space="preserve"> collaboration with the Mental Health Improvement Unit</w:t>
      </w:r>
      <w:r w:rsidR="00B075E7">
        <w:t xml:space="preserve">. This will ensure </w:t>
      </w:r>
      <w:r w:rsidR="00CB0732">
        <w:t xml:space="preserve">the development and delivery of advice and </w:t>
      </w:r>
      <w:r w:rsidR="00DC26D3">
        <w:t xml:space="preserve">standards of </w:t>
      </w:r>
      <w:r w:rsidR="00CB0732">
        <w:t>best practice to the sector</w:t>
      </w:r>
      <w:r w:rsidR="004669B0">
        <w:t xml:space="preserve"> </w:t>
      </w:r>
      <w:r w:rsidR="00826A92">
        <w:t>will be</w:t>
      </w:r>
      <w:r w:rsidR="004669B0">
        <w:t xml:space="preserve"> coordinated between the two entities</w:t>
      </w:r>
      <w:r w:rsidR="00CB0732">
        <w:t>.</w:t>
      </w:r>
    </w:p>
    <w:p w14:paraId="5A02E6CD" w14:textId="787624DE" w:rsidR="00381B2F" w:rsidRDefault="00381B2F" w:rsidP="00381B2F">
      <w:pPr>
        <w:pStyle w:val="Heading2"/>
      </w:pPr>
      <w:bookmarkStart w:id="47" w:name="_Toc86347188"/>
      <w:r>
        <w:t>Safewards</w:t>
      </w:r>
      <w:bookmarkEnd w:id="47"/>
    </w:p>
    <w:p w14:paraId="2902B794" w14:textId="16420DC6" w:rsidR="00532684" w:rsidRDefault="0088773B" w:rsidP="00563C62">
      <w:pPr>
        <w:pStyle w:val="Body"/>
      </w:pPr>
      <w:r w:rsidRPr="0088773B">
        <w:t xml:space="preserve">The program of work associated with Safewards transitioned to Safer Care Victoria </w:t>
      </w:r>
      <w:r w:rsidR="006F1F01">
        <w:t xml:space="preserve">in July 2021 </w:t>
      </w:r>
      <w:r w:rsidRPr="0088773B">
        <w:t xml:space="preserve">with the </w:t>
      </w:r>
      <w:r w:rsidR="00BF3C21">
        <w:rPr>
          <w:lang w:val="en-US"/>
        </w:rPr>
        <w:t>OCMHN</w:t>
      </w:r>
      <w:r w:rsidR="00FB153A">
        <w:t>.</w:t>
      </w:r>
      <w:r w:rsidR="00D27FA0">
        <w:t xml:space="preserve"> </w:t>
      </w:r>
      <w:r w:rsidR="00F23005">
        <w:t>As part of the program, t</w:t>
      </w:r>
      <w:r w:rsidR="00532684">
        <w:t xml:space="preserve">hree emergency departments from Peninsula Health and Bendigo Health took part in </w:t>
      </w:r>
      <w:r w:rsidR="00F23005">
        <w:t>a</w:t>
      </w:r>
      <w:r w:rsidR="00A27C4D">
        <w:t xml:space="preserve"> trial</w:t>
      </w:r>
      <w:r w:rsidR="00B53ABF">
        <w:t xml:space="preserve"> </w:t>
      </w:r>
      <w:r w:rsidR="00532684">
        <w:t>focused on addressing conflict and containment events</w:t>
      </w:r>
      <w:r w:rsidR="00C3573F">
        <w:t xml:space="preserve"> involving </w:t>
      </w:r>
      <w:r w:rsidR="00532684">
        <w:t xml:space="preserve">staff and </w:t>
      </w:r>
      <w:r w:rsidR="007C63BF">
        <w:t>patients</w:t>
      </w:r>
      <w:r w:rsidR="00532684">
        <w:t xml:space="preserve"> </w:t>
      </w:r>
      <w:r w:rsidR="00043AAF">
        <w:t xml:space="preserve">in </w:t>
      </w:r>
      <w:r w:rsidR="00532684">
        <w:t xml:space="preserve">emergency </w:t>
      </w:r>
      <w:r w:rsidR="007C63BF">
        <w:t>departments</w:t>
      </w:r>
      <w:r w:rsidR="00532684">
        <w:t>.</w:t>
      </w:r>
      <w:r w:rsidR="00A7539F">
        <w:t xml:space="preserve"> </w:t>
      </w:r>
      <w:r w:rsidR="00B12890">
        <w:t xml:space="preserve">This work </w:t>
      </w:r>
      <w:r w:rsidR="0031073D">
        <w:t xml:space="preserve">began </w:t>
      </w:r>
      <w:r w:rsidR="00B12890">
        <w:t>in</w:t>
      </w:r>
      <w:r w:rsidR="00A7539F">
        <w:t xml:space="preserve"> 2019 </w:t>
      </w:r>
      <w:r w:rsidR="00EE1F79">
        <w:t xml:space="preserve">and received </w:t>
      </w:r>
      <w:r w:rsidR="00A7539F">
        <w:t>support from the Victorian Managed Insurance Authority</w:t>
      </w:r>
      <w:r w:rsidR="00EE1F79">
        <w:t>.</w:t>
      </w:r>
    </w:p>
    <w:p w14:paraId="4A51A5D8" w14:textId="3629A745" w:rsidR="00C27BC0" w:rsidRDefault="00EC2046" w:rsidP="00563C62">
      <w:pPr>
        <w:pStyle w:val="Body"/>
      </w:pPr>
      <w:r>
        <w:t>The</w:t>
      </w:r>
      <w:r w:rsidR="00532684">
        <w:t xml:space="preserve"> evaluation </w:t>
      </w:r>
      <w:r>
        <w:t xml:space="preserve">was </w:t>
      </w:r>
      <w:r w:rsidR="00532684">
        <w:t>recently completed</w:t>
      </w:r>
      <w:r w:rsidR="00526C3A">
        <w:t>.</w:t>
      </w:r>
      <w:r w:rsidR="00184843">
        <w:t xml:space="preserve"> </w:t>
      </w:r>
      <w:r w:rsidR="00585EDE">
        <w:t>One of its</w:t>
      </w:r>
      <w:r w:rsidR="00526C3A">
        <w:t xml:space="preserve"> key findings </w:t>
      </w:r>
      <w:r w:rsidR="00F65218">
        <w:t>was</w:t>
      </w:r>
      <w:r w:rsidR="004E5D80">
        <w:t xml:space="preserve"> that </w:t>
      </w:r>
      <w:r w:rsidR="00532684">
        <w:t xml:space="preserve">some </w:t>
      </w:r>
      <w:r w:rsidR="00585EDE">
        <w:t xml:space="preserve">Safewards </w:t>
      </w:r>
      <w:r w:rsidR="00532684">
        <w:t>interventions have applicability in emergency department</w:t>
      </w:r>
      <w:r w:rsidR="004A4159">
        <w:t xml:space="preserve"> settings</w:t>
      </w:r>
      <w:r w:rsidR="00C27BC0">
        <w:t>.</w:t>
      </w:r>
      <w:r w:rsidR="00184843">
        <w:t xml:space="preserve"> </w:t>
      </w:r>
      <w:r w:rsidR="00532684">
        <w:t>The trial demonstrated a combined reduction rate of 30</w:t>
      </w:r>
      <w:r w:rsidR="0031073D">
        <w:t xml:space="preserve"> per cent</w:t>
      </w:r>
      <w:r w:rsidR="00532684">
        <w:t xml:space="preserve"> in code grey events, improved communication skills and collaboration between staff and patients. Significantly fewer medications were administered to manage aggressive behaviour. The trial did not significantly reduce the rate of mechanical restraint</w:t>
      </w:r>
      <w:r w:rsidR="00C27BC0">
        <w:t>. H</w:t>
      </w:r>
      <w:r w:rsidR="00532684">
        <w:t>owever, it did produce a significant effect in the reduction of the duration rate of mechanical restraint. A longer trial has the potential of further promising results.</w:t>
      </w:r>
      <w:r w:rsidR="00C27BC0">
        <w:t xml:space="preserve"> </w:t>
      </w:r>
    </w:p>
    <w:p w14:paraId="0EF1073E" w14:textId="4B947761" w:rsidR="00381B2F" w:rsidRPr="00695B36" w:rsidRDefault="00381B2F" w:rsidP="00381B2F">
      <w:pPr>
        <w:pStyle w:val="Heading2"/>
        <w:rPr>
          <w:color w:val="FF0000"/>
        </w:rPr>
      </w:pPr>
      <w:bookmarkStart w:id="48" w:name="_Toc86347189"/>
      <w:r>
        <w:lastRenderedPageBreak/>
        <w:t>Sexual safety</w:t>
      </w:r>
      <w:bookmarkEnd w:id="48"/>
    </w:p>
    <w:p w14:paraId="0672AD91" w14:textId="66CB0624" w:rsidR="00A23003" w:rsidRDefault="00381B2F" w:rsidP="00563C62">
      <w:pPr>
        <w:pStyle w:val="Body"/>
      </w:pPr>
      <w:r>
        <w:t xml:space="preserve">The Chief Psychiatrist </w:t>
      </w:r>
      <w:r w:rsidR="003B24E3">
        <w:t xml:space="preserve">continues </w:t>
      </w:r>
      <w:r>
        <w:t xml:space="preserve">to </w:t>
      </w:r>
      <w:r w:rsidR="00EE1CA3">
        <w:t xml:space="preserve">carry out </w:t>
      </w:r>
      <w:r>
        <w:t xml:space="preserve">work to improve sexual safety in </w:t>
      </w:r>
      <w:r w:rsidR="00817F3D">
        <w:t>m</w:t>
      </w:r>
      <w:r>
        <w:t xml:space="preserve">ental </w:t>
      </w:r>
      <w:r w:rsidR="00817F3D">
        <w:t>h</w:t>
      </w:r>
      <w:r>
        <w:t xml:space="preserve">ealth </w:t>
      </w:r>
      <w:r w:rsidR="00817F3D">
        <w:t>s</w:t>
      </w:r>
      <w:r>
        <w:t>ervices</w:t>
      </w:r>
      <w:r w:rsidR="00F82748">
        <w:t xml:space="preserve">. </w:t>
      </w:r>
      <w:r w:rsidR="03F942CE">
        <w:t xml:space="preserve">The sexual safety </w:t>
      </w:r>
      <w:r w:rsidR="27643630">
        <w:t xml:space="preserve">program </w:t>
      </w:r>
      <w:r w:rsidR="001C4030">
        <w:t xml:space="preserve">of work </w:t>
      </w:r>
      <w:r w:rsidR="0097211B">
        <w:t>see</w:t>
      </w:r>
      <w:r w:rsidR="003F4194">
        <w:t>ks</w:t>
      </w:r>
      <w:r w:rsidR="7FAB4CFB">
        <w:t xml:space="preserve"> to raise awareness around sexual safety incidents in inpatient settings, to </w:t>
      </w:r>
      <w:r w:rsidR="4B3DF23C">
        <w:t xml:space="preserve">monitor </w:t>
      </w:r>
      <w:r w:rsidR="00F3582E">
        <w:t xml:space="preserve">mental health service </w:t>
      </w:r>
      <w:r w:rsidR="4B3DF23C">
        <w:t>program</w:t>
      </w:r>
      <w:r w:rsidR="00F3582E">
        <w:t>s</w:t>
      </w:r>
      <w:r w:rsidR="4B3DF23C">
        <w:t xml:space="preserve"> support</w:t>
      </w:r>
      <w:r w:rsidR="00F3582E">
        <w:t>ing</w:t>
      </w:r>
      <w:r w:rsidR="4B3DF23C">
        <w:t xml:space="preserve"> s</w:t>
      </w:r>
      <w:r w:rsidR="2274CCBA">
        <w:t>exual safety interventions and</w:t>
      </w:r>
      <w:r w:rsidR="4B3DF23C">
        <w:t>, ultimately</w:t>
      </w:r>
      <w:r w:rsidR="1EBF651D">
        <w:t>,</w:t>
      </w:r>
      <w:r w:rsidR="4B3DF23C">
        <w:t xml:space="preserve"> to increase the safety of consumers </w:t>
      </w:r>
      <w:r w:rsidR="0400732C">
        <w:t xml:space="preserve">in inpatient settings. </w:t>
      </w:r>
    </w:p>
    <w:p w14:paraId="4FAF882D" w14:textId="46A09AA6" w:rsidR="00381B2F" w:rsidRDefault="00A23003" w:rsidP="00563C62">
      <w:pPr>
        <w:pStyle w:val="Body"/>
      </w:pPr>
      <w:r>
        <w:t>The work</w:t>
      </w:r>
      <w:r w:rsidR="00303095">
        <w:t xml:space="preserve"> has included</w:t>
      </w:r>
      <w:r w:rsidR="00381B2F">
        <w:t>:</w:t>
      </w:r>
    </w:p>
    <w:p w14:paraId="1C07F819" w14:textId="3376F0CA" w:rsidR="00381B2F" w:rsidRPr="00563C62" w:rsidRDefault="00381B2F" w:rsidP="00563C62">
      <w:pPr>
        <w:pStyle w:val="Bullet1"/>
      </w:pPr>
      <w:r w:rsidRPr="00563C62">
        <w:t xml:space="preserve">reporting back to mental health services on the sexual safety notifications </w:t>
      </w:r>
      <w:r w:rsidR="00603579" w:rsidRPr="00563C62">
        <w:t xml:space="preserve">that were </w:t>
      </w:r>
      <w:r w:rsidRPr="00563C62">
        <w:t>received</w:t>
      </w:r>
    </w:p>
    <w:p w14:paraId="78C59113" w14:textId="2238582A" w:rsidR="00381B2F" w:rsidRPr="00967C46" w:rsidRDefault="00EC0B98" w:rsidP="00563C62">
      <w:pPr>
        <w:pStyle w:val="Bullet1"/>
      </w:pPr>
      <w:r w:rsidRPr="00967C46">
        <w:t xml:space="preserve">conducting </w:t>
      </w:r>
      <w:r w:rsidR="00381B2F" w:rsidRPr="00967C46">
        <w:t xml:space="preserve">high-level analysis of the incidents reported, as well as information </w:t>
      </w:r>
      <w:r w:rsidR="0031073D">
        <w:t>for</w:t>
      </w:r>
      <w:r w:rsidR="0031073D" w:rsidRPr="00967C46">
        <w:t xml:space="preserve"> </w:t>
      </w:r>
      <w:r w:rsidR="00F60B53" w:rsidRPr="00967C46">
        <w:t>s</w:t>
      </w:r>
      <w:r w:rsidR="00381B2F" w:rsidRPr="00967C46">
        <w:t>tatewide reporting</w:t>
      </w:r>
    </w:p>
    <w:p w14:paraId="4E5B765F" w14:textId="22C5D49C" w:rsidR="00381B2F" w:rsidRPr="00967C46" w:rsidRDefault="00381B2F" w:rsidP="00563C62">
      <w:pPr>
        <w:pStyle w:val="Bullet1"/>
      </w:pPr>
      <w:r w:rsidRPr="00967C46">
        <w:t>supporting the workplan for the Chief Psychiatrist’s Statewide Sexual Safety Committee</w:t>
      </w:r>
      <w:r w:rsidR="00F60B53" w:rsidRPr="00967C46">
        <w:t>,</w:t>
      </w:r>
      <w:r w:rsidRPr="00967C46">
        <w:t xml:space="preserve"> comp</w:t>
      </w:r>
      <w:r w:rsidR="00F60B53" w:rsidRPr="00967C46">
        <w:t>o</w:t>
      </w:r>
      <w:r w:rsidRPr="00967C46">
        <w:t>sed of consumers, carers and clinical leaders</w:t>
      </w:r>
      <w:r w:rsidR="0057779F" w:rsidRPr="00967C46">
        <w:t xml:space="preserve"> </w:t>
      </w:r>
    </w:p>
    <w:p w14:paraId="0D17C9E8" w14:textId="35888FFF" w:rsidR="00381B2F" w:rsidRPr="00967C46" w:rsidRDefault="00381B2F" w:rsidP="00563C62">
      <w:pPr>
        <w:pStyle w:val="Bullet1"/>
      </w:pPr>
      <w:r w:rsidRPr="00967C46">
        <w:t xml:space="preserve">overseeing </w:t>
      </w:r>
      <w:r w:rsidR="00EC0B98" w:rsidRPr="00967C46">
        <w:t xml:space="preserve">the </w:t>
      </w:r>
      <w:r w:rsidRPr="00967C46">
        <w:t xml:space="preserve">revision of the Chief Psychiatrist’s guideline for sexual safety in acute mental health inpatient units and of the department’s </w:t>
      </w:r>
      <w:r w:rsidRPr="00967C46">
        <w:rPr>
          <w:i/>
          <w:iCs/>
        </w:rPr>
        <w:t>Service guideline on gender sensitivity and safety</w:t>
      </w:r>
      <w:r w:rsidRPr="00967C46">
        <w:t>.</w:t>
      </w:r>
    </w:p>
    <w:p w14:paraId="3120B35B" w14:textId="1D715AA3" w:rsidR="00381B2F" w:rsidRDefault="00381B2F" w:rsidP="00563C62">
      <w:pPr>
        <w:pStyle w:val="Bodyafterbullets"/>
      </w:pPr>
      <w:r>
        <w:t>The Victorian Mental Health Interprofessional Leadership Network was engaged to coordinate the consultation and rewrite the Chief Psychiatrist</w:t>
      </w:r>
      <w:r w:rsidR="008B31AC">
        <w:t xml:space="preserve"> guideline on sexual safety in mental health inpatient units</w:t>
      </w:r>
      <w:r>
        <w:t xml:space="preserve">. </w:t>
      </w:r>
      <w:r w:rsidR="00502F96">
        <w:t>T</w:t>
      </w:r>
      <w:r>
        <w:t>he new guideline will provide up</w:t>
      </w:r>
      <w:r w:rsidR="0031073D">
        <w:t>-</w:t>
      </w:r>
      <w:r>
        <w:t>to</w:t>
      </w:r>
      <w:r w:rsidR="0031073D">
        <w:t>-</w:t>
      </w:r>
      <w:r>
        <w:t xml:space="preserve">date information </w:t>
      </w:r>
      <w:r w:rsidR="000C3422">
        <w:t xml:space="preserve">on </w:t>
      </w:r>
      <w:r>
        <w:t>legislation, policies and procedures to support services to deliver safe, consumer</w:t>
      </w:r>
      <w:r w:rsidR="00093E30">
        <w:t>-</w:t>
      </w:r>
      <w:r>
        <w:t>centred care within all acute inpatient units, including adult, child and youth, aged, forensic</w:t>
      </w:r>
      <w:r w:rsidR="00D21949">
        <w:t>,</w:t>
      </w:r>
      <w:r>
        <w:t xml:space="preserve"> SECU</w:t>
      </w:r>
      <w:r w:rsidR="00047764">
        <w:t>s</w:t>
      </w:r>
      <w:r w:rsidR="00D21949">
        <w:t xml:space="preserve"> and community bed</w:t>
      </w:r>
      <w:r w:rsidR="00BA6028">
        <w:t>-</w:t>
      </w:r>
      <w:r w:rsidR="00D21949">
        <w:t>based services</w:t>
      </w:r>
      <w:r w:rsidR="00BA6028">
        <w:t xml:space="preserve">, such as </w:t>
      </w:r>
      <w:r w:rsidR="000C3422">
        <w:t>p</w:t>
      </w:r>
      <w:r w:rsidR="003C4A6A">
        <w:t xml:space="preserve">revention and </w:t>
      </w:r>
      <w:r w:rsidR="000C3422">
        <w:t>r</w:t>
      </w:r>
      <w:r w:rsidR="003C4A6A">
        <w:t xml:space="preserve">ecovery </w:t>
      </w:r>
      <w:r w:rsidR="000C3422">
        <w:t>c</w:t>
      </w:r>
      <w:r w:rsidR="003C4A6A">
        <w:t xml:space="preserve">are </w:t>
      </w:r>
      <w:r w:rsidR="000C3422">
        <w:t>s</w:t>
      </w:r>
      <w:r w:rsidR="00197E04">
        <w:t>ervices</w:t>
      </w:r>
      <w:r w:rsidR="00BA6028" w:rsidRPr="00BA6028">
        <w:t xml:space="preserve"> </w:t>
      </w:r>
      <w:r w:rsidR="00BA6028">
        <w:t xml:space="preserve">and </w:t>
      </w:r>
      <w:r w:rsidR="000C3422">
        <w:t>c</w:t>
      </w:r>
      <w:r w:rsidR="00197E04">
        <w:t xml:space="preserve">ommunity </w:t>
      </w:r>
      <w:r w:rsidR="000C3422">
        <w:t>c</w:t>
      </w:r>
      <w:r w:rsidR="00197E04">
        <w:t xml:space="preserve">are </w:t>
      </w:r>
      <w:r w:rsidR="000C3422">
        <w:t>u</w:t>
      </w:r>
      <w:r w:rsidR="00EA5500">
        <w:t>nits</w:t>
      </w:r>
      <w:r>
        <w:t xml:space="preserve">. The guideline </w:t>
      </w:r>
      <w:r w:rsidR="00CC629A">
        <w:t xml:space="preserve">will </w:t>
      </w:r>
      <w:r w:rsidR="00F85CFD">
        <w:t>outline</w:t>
      </w:r>
      <w:r>
        <w:t xml:space="preserve"> the process</w:t>
      </w:r>
      <w:r w:rsidR="0030119A">
        <w:t xml:space="preserve"> for reporting</w:t>
      </w:r>
      <w:r>
        <w:t xml:space="preserve"> sexual safety incidents that occur in inpatient units</w:t>
      </w:r>
      <w:r w:rsidR="00065115" w:rsidRPr="00065115">
        <w:t xml:space="preserve"> </w:t>
      </w:r>
      <w:r w:rsidR="00065115">
        <w:t>to the Chief Psychiatrist</w:t>
      </w:r>
      <w:r>
        <w:t xml:space="preserve">. </w:t>
      </w:r>
      <w:r w:rsidR="00093E30">
        <w:t>It</w:t>
      </w:r>
      <w:r>
        <w:t xml:space="preserve"> aims to help units and staff protect against sexual safety incidents, minimise harm and provide access to support and justice options if incidents do occur. The guide</w:t>
      </w:r>
      <w:r w:rsidR="002F7BF9">
        <w:t>line</w:t>
      </w:r>
      <w:r>
        <w:t xml:space="preserve"> reinforces that people receiving care in inpatient units, as well as staff and visitors, have a right to feel and be safe. </w:t>
      </w:r>
      <w:r w:rsidR="00392B65">
        <w:t xml:space="preserve">In this sense, it </w:t>
      </w:r>
      <w:r>
        <w:t xml:space="preserve">promotes safety for all. </w:t>
      </w:r>
    </w:p>
    <w:p w14:paraId="4E8D68EC" w14:textId="7A74AAB2" w:rsidR="00381B2F" w:rsidRDefault="001F8896" w:rsidP="00563C62">
      <w:pPr>
        <w:pStyle w:val="Body"/>
      </w:pPr>
      <w:r>
        <w:t xml:space="preserve">Deidentified information </w:t>
      </w:r>
      <w:r w:rsidR="009C177E">
        <w:t xml:space="preserve">about </w:t>
      </w:r>
      <w:r>
        <w:t>s</w:t>
      </w:r>
      <w:r w:rsidR="00CD4C45">
        <w:t>exual</w:t>
      </w:r>
      <w:r w:rsidR="00943AEC">
        <w:t xml:space="preserve"> </w:t>
      </w:r>
      <w:r w:rsidR="00214295">
        <w:t>s</w:t>
      </w:r>
      <w:r w:rsidR="00CD4C45">
        <w:t>afety</w:t>
      </w:r>
      <w:r w:rsidR="00943AEC">
        <w:t xml:space="preserve"> </w:t>
      </w:r>
      <w:r w:rsidR="00CD4C45">
        <w:t>notifications</w:t>
      </w:r>
      <w:r w:rsidR="00D169BC">
        <w:t xml:space="preserve"> will </w:t>
      </w:r>
      <w:r w:rsidR="002A0FB0">
        <w:t xml:space="preserve">continue to </w:t>
      </w:r>
      <w:r w:rsidR="00D169BC">
        <w:t xml:space="preserve">be </w:t>
      </w:r>
      <w:r w:rsidR="009C177E">
        <w:t xml:space="preserve">regularly </w:t>
      </w:r>
      <w:r w:rsidR="00E163D5">
        <w:t xml:space="preserve">collated </w:t>
      </w:r>
      <w:r w:rsidR="00214295">
        <w:t>and</w:t>
      </w:r>
      <w:r w:rsidR="0015466C">
        <w:t xml:space="preserve"> reported back to </w:t>
      </w:r>
      <w:r w:rsidR="008C3B06">
        <w:t>health</w:t>
      </w:r>
      <w:r w:rsidR="0015466C">
        <w:t xml:space="preserve"> services</w:t>
      </w:r>
      <w:r w:rsidR="00381B2F">
        <w:t xml:space="preserve">. Services </w:t>
      </w:r>
      <w:r w:rsidR="00CD4C45">
        <w:t>will be</w:t>
      </w:r>
      <w:r w:rsidR="008C3B06">
        <w:t xml:space="preserve"> </w:t>
      </w:r>
      <w:r w:rsidR="00381B2F">
        <w:t>encouraged to disseminate this information for quality improvement to inpatient nurse unit managers, assistant nurse unit managers, relevant medical staff, quality managers and consumer and carer consultants.</w:t>
      </w:r>
    </w:p>
    <w:p w14:paraId="352824E4" w14:textId="47CB474E" w:rsidR="00000B72" w:rsidRDefault="00746863" w:rsidP="00563C62">
      <w:pPr>
        <w:pStyle w:val="Body"/>
      </w:pPr>
      <w:r>
        <w:t>T</w:t>
      </w:r>
      <w:r w:rsidR="005E2C81">
        <w:t>his project</w:t>
      </w:r>
      <w:r>
        <w:t xml:space="preserve"> entered its final </w:t>
      </w:r>
      <w:r w:rsidR="00DE2BBE">
        <w:t>phase</w:t>
      </w:r>
      <w:r w:rsidR="008C72F1">
        <w:t xml:space="preserve"> in 2021, with the </w:t>
      </w:r>
      <w:r w:rsidR="000174CA">
        <w:t xml:space="preserve">OCP </w:t>
      </w:r>
      <w:r w:rsidR="00DE2BBE">
        <w:t>commenc</w:t>
      </w:r>
      <w:r w:rsidR="008C72F1">
        <w:t>ing</w:t>
      </w:r>
      <w:r w:rsidR="00DE2BBE">
        <w:t xml:space="preserve"> </w:t>
      </w:r>
      <w:r w:rsidR="00C046CF">
        <w:t xml:space="preserve">work </w:t>
      </w:r>
      <w:r w:rsidR="00EB509D">
        <w:t>to design</w:t>
      </w:r>
      <w:r w:rsidR="00821E69">
        <w:t xml:space="preserve"> a standardised </w:t>
      </w:r>
      <w:r w:rsidR="00353A3F">
        <w:t>method</w:t>
      </w:r>
      <w:r w:rsidR="00821E69">
        <w:t xml:space="preserve"> for</w:t>
      </w:r>
      <w:r w:rsidR="00995F8C">
        <w:t xml:space="preserve"> reporting sexual safety incidents</w:t>
      </w:r>
      <w:r w:rsidR="00F4078C">
        <w:t xml:space="preserve"> </w:t>
      </w:r>
      <w:r w:rsidR="00576CED">
        <w:t>in acute inpatient units</w:t>
      </w:r>
      <w:r w:rsidR="008E6B17">
        <w:t xml:space="preserve">. </w:t>
      </w:r>
      <w:r w:rsidR="00AD625A">
        <w:t>Once implemented, t</w:t>
      </w:r>
      <w:r w:rsidR="001C1DF4">
        <w:t>he new approach</w:t>
      </w:r>
      <w:r w:rsidR="00C72F2E">
        <w:t xml:space="preserve"> will </w:t>
      </w:r>
      <w:r w:rsidR="00FF2AE7">
        <w:t xml:space="preserve">serve as </w:t>
      </w:r>
      <w:r w:rsidR="00AD625A">
        <w:t>a</w:t>
      </w:r>
      <w:r w:rsidR="00FF2AE7">
        <w:t xml:space="preserve"> foundation for </w:t>
      </w:r>
      <w:r w:rsidR="00CB7B04">
        <w:t xml:space="preserve">monitoring and promoting </w:t>
      </w:r>
      <w:r w:rsidR="007C4215">
        <w:t>sexual safety</w:t>
      </w:r>
      <w:r w:rsidR="002C42F4">
        <w:t xml:space="preserve"> </w:t>
      </w:r>
      <w:r w:rsidR="00F06308">
        <w:t>across Victoria</w:t>
      </w:r>
      <w:r w:rsidR="002C42F4">
        <w:t xml:space="preserve"> by </w:t>
      </w:r>
      <w:r w:rsidR="00FC026C">
        <w:t xml:space="preserve">providing </w:t>
      </w:r>
      <w:r w:rsidR="5AC33EB1">
        <w:t xml:space="preserve">guidance around the </w:t>
      </w:r>
      <w:r w:rsidR="7E8CD793">
        <w:t xml:space="preserve">consistent </w:t>
      </w:r>
      <w:r w:rsidR="5AC33EB1">
        <w:t>classification of sexual safety incidents,</w:t>
      </w:r>
      <w:r w:rsidR="00FC026C">
        <w:t xml:space="preserve"> a clear threshold for incident reporting and easing </w:t>
      </w:r>
      <w:r w:rsidR="00FC026C" w:rsidRPr="00FC026C">
        <w:t>the administrative burden and duplication of data entry</w:t>
      </w:r>
      <w:r w:rsidR="001D5913">
        <w:t xml:space="preserve">. </w:t>
      </w:r>
      <w:r w:rsidR="009C6B7D">
        <w:t>The</w:t>
      </w:r>
      <w:r w:rsidR="001D5913">
        <w:t xml:space="preserve"> standardised reporting structure </w:t>
      </w:r>
      <w:r w:rsidR="006666D0" w:rsidRPr="006666D0">
        <w:t xml:space="preserve">will </w:t>
      </w:r>
      <w:r w:rsidR="009C6B7D">
        <w:t xml:space="preserve">strengthen the reliability of </w:t>
      </w:r>
      <w:r w:rsidR="006666D0" w:rsidRPr="006666D0">
        <w:t>sexual safety incident data, enable proper comparisons between services and across periods</w:t>
      </w:r>
      <w:r w:rsidR="00B35D8C">
        <w:t xml:space="preserve"> to detect trends and variations</w:t>
      </w:r>
      <w:r w:rsidR="006666D0">
        <w:t>,</w:t>
      </w:r>
      <w:r w:rsidR="001230AC">
        <w:t xml:space="preserve"> and</w:t>
      </w:r>
      <w:r w:rsidR="007626A6">
        <w:t xml:space="preserve"> </w:t>
      </w:r>
      <w:r w:rsidR="00EE50AA">
        <w:t>establish</w:t>
      </w:r>
      <w:r w:rsidR="006666D0">
        <w:t xml:space="preserve"> staff confidence in</w:t>
      </w:r>
      <w:r w:rsidR="00EE50AA">
        <w:t xml:space="preserve"> reporting through clarity in what </w:t>
      </w:r>
      <w:r w:rsidR="00826C37">
        <w:t>qualifies as</w:t>
      </w:r>
      <w:r w:rsidR="00EE50AA">
        <w:t xml:space="preserve"> a reportable incident</w:t>
      </w:r>
      <w:r w:rsidR="00B35D8C">
        <w:t>.</w:t>
      </w:r>
    </w:p>
    <w:p w14:paraId="50E701D2" w14:textId="063FEF67" w:rsidR="00381B2F" w:rsidRPr="00F47950" w:rsidRDefault="00381B2F" w:rsidP="00991BDE">
      <w:pPr>
        <w:pStyle w:val="Heading2"/>
      </w:pPr>
      <w:bookmarkStart w:id="49" w:name="_Toc86347190"/>
      <w:r w:rsidRPr="00F47950">
        <w:t xml:space="preserve">Promoting </w:t>
      </w:r>
      <w:r w:rsidR="0095134E">
        <w:t>h</w:t>
      </w:r>
      <w:r w:rsidRPr="00F47950">
        <w:t>uman rights</w:t>
      </w:r>
      <w:r w:rsidR="00297662">
        <w:t xml:space="preserve"> </w:t>
      </w:r>
      <w:r w:rsidR="00770145">
        <w:t>by</w:t>
      </w:r>
      <w:r w:rsidR="00297662">
        <w:t xml:space="preserve"> working to eliminate restrictive interventions</w:t>
      </w:r>
      <w:bookmarkEnd w:id="49"/>
    </w:p>
    <w:p w14:paraId="5F7FAAA2" w14:textId="1551707C" w:rsidR="00381B2F" w:rsidRDefault="00381B2F" w:rsidP="00563C62">
      <w:pPr>
        <w:pStyle w:val="Body"/>
      </w:pPr>
      <w:r w:rsidRPr="00F47950">
        <w:t xml:space="preserve">The </w:t>
      </w:r>
      <w:r>
        <w:t>OCP</w:t>
      </w:r>
      <w:r w:rsidRPr="00F47950">
        <w:t xml:space="preserve"> continues to promote human rights by monitoring the use of restrictive interventions</w:t>
      </w:r>
      <w:r w:rsidR="00D7243A">
        <w:t>. It also</w:t>
      </w:r>
      <w:r w:rsidRPr="00F47950">
        <w:t xml:space="preserve"> receiv</w:t>
      </w:r>
      <w:r w:rsidR="00D7243A">
        <w:t>es</w:t>
      </w:r>
      <w:r w:rsidRPr="00F47950">
        <w:t xml:space="preserve"> and monitor</w:t>
      </w:r>
      <w:r w:rsidR="00C65553">
        <w:t>s</w:t>
      </w:r>
      <w:r w:rsidRPr="00F47950">
        <w:t xml:space="preserve"> sexual safety notifications</w:t>
      </w:r>
      <w:r w:rsidR="00DD64D0">
        <w:t xml:space="preserve"> and </w:t>
      </w:r>
      <w:r w:rsidRPr="00F47950">
        <w:t>conduct</w:t>
      </w:r>
      <w:r w:rsidR="00C65553">
        <w:t>s</w:t>
      </w:r>
      <w:r w:rsidRPr="00F47950">
        <w:t xml:space="preserve"> service reviews and ECT audits. </w:t>
      </w:r>
      <w:r w:rsidR="00FC2491">
        <w:t>L</w:t>
      </w:r>
      <w:r w:rsidRPr="00F47950">
        <w:t>ived experience advisors and sector representatives</w:t>
      </w:r>
      <w:r w:rsidR="00A84E88">
        <w:t xml:space="preserve"> </w:t>
      </w:r>
      <w:r w:rsidR="00714685">
        <w:t>have been</w:t>
      </w:r>
      <w:r w:rsidR="00FE3F3C">
        <w:t xml:space="preserve"> </w:t>
      </w:r>
      <w:r w:rsidR="00A84E88">
        <w:t>present among the staff</w:t>
      </w:r>
      <w:r w:rsidR="005F4502">
        <w:t xml:space="preserve"> involved in these activi</w:t>
      </w:r>
      <w:r w:rsidR="00904051">
        <w:t>ti</w:t>
      </w:r>
      <w:r w:rsidR="005F4502">
        <w:t>es, contributing to</w:t>
      </w:r>
      <w:r w:rsidR="00C17F45">
        <w:t xml:space="preserve"> the </w:t>
      </w:r>
      <w:r w:rsidR="007F521A">
        <w:t xml:space="preserve">oversight of </w:t>
      </w:r>
      <w:r w:rsidR="00BA26BE">
        <w:t>how care</w:t>
      </w:r>
      <w:r w:rsidR="009F600B">
        <w:t xml:space="preserve"> and treatment are delivered</w:t>
      </w:r>
      <w:r w:rsidRPr="00F47950">
        <w:t xml:space="preserve"> and </w:t>
      </w:r>
      <w:r w:rsidR="004C50C3">
        <w:t xml:space="preserve">assisting </w:t>
      </w:r>
      <w:r w:rsidR="00F11366">
        <w:t xml:space="preserve">clinicians and </w:t>
      </w:r>
      <w:r w:rsidR="004C50C3">
        <w:t>services to m</w:t>
      </w:r>
      <w:r w:rsidR="004C0B04">
        <w:t>eet standards of best practice</w:t>
      </w:r>
      <w:r w:rsidRPr="00F47950">
        <w:t>.</w:t>
      </w:r>
    </w:p>
    <w:p w14:paraId="5D5FEC8F" w14:textId="244A166F" w:rsidR="006539A0" w:rsidRDefault="006468F9" w:rsidP="00563C62">
      <w:pPr>
        <w:pStyle w:val="Body"/>
      </w:pPr>
      <w:r>
        <w:lastRenderedPageBreak/>
        <w:t xml:space="preserve">As part of </w:t>
      </w:r>
      <w:r w:rsidR="00AF3301">
        <w:t>these efforts</w:t>
      </w:r>
      <w:r w:rsidR="00AF5347">
        <w:t xml:space="preserve">, </w:t>
      </w:r>
      <w:r w:rsidR="001F7C4F">
        <w:t xml:space="preserve">the OCP and </w:t>
      </w:r>
      <w:r w:rsidR="003D7277">
        <w:t>O</w:t>
      </w:r>
      <w:r w:rsidR="00E71FDA">
        <w:t xml:space="preserve">CMHN </w:t>
      </w:r>
      <w:r w:rsidR="009C177E">
        <w:t xml:space="preserve">began </w:t>
      </w:r>
      <w:r w:rsidR="001710E9">
        <w:t xml:space="preserve">a webinar series in </w:t>
      </w:r>
      <w:r w:rsidR="002D6A39">
        <w:t xml:space="preserve">2021 </w:t>
      </w:r>
      <w:r w:rsidR="004A3BA2">
        <w:t>called Towards</w:t>
      </w:r>
      <w:r w:rsidR="00A95570">
        <w:t xml:space="preserve"> </w:t>
      </w:r>
      <w:r w:rsidR="00960CF3">
        <w:t xml:space="preserve">Elimination. The series was hosted in partnership with </w:t>
      </w:r>
      <w:r w:rsidR="0034769E" w:rsidRPr="0034769E">
        <w:t>the</w:t>
      </w:r>
      <w:r w:rsidR="000035D3" w:rsidRPr="000035D3">
        <w:t xml:space="preserve"> Te Pou and the Health Quality </w:t>
      </w:r>
      <w:r w:rsidR="000614B9">
        <w:t>and</w:t>
      </w:r>
      <w:r w:rsidR="000035D3" w:rsidRPr="000035D3">
        <w:t xml:space="preserve"> Safety Commission New Zealan</w:t>
      </w:r>
      <w:r w:rsidR="00FB7F8E">
        <w:t>d</w:t>
      </w:r>
      <w:r w:rsidR="00E81047">
        <w:t>.</w:t>
      </w:r>
      <w:r w:rsidR="00FB7F8E">
        <w:t xml:space="preserve"> </w:t>
      </w:r>
      <w:r w:rsidR="00E81047">
        <w:t>I</w:t>
      </w:r>
      <w:r w:rsidR="00FB7F8E">
        <w:t xml:space="preserve">ts </w:t>
      </w:r>
      <w:r w:rsidR="00656B1C">
        <w:t>aim was</w:t>
      </w:r>
      <w:r w:rsidR="00236A32">
        <w:t xml:space="preserve"> to </w:t>
      </w:r>
      <w:r w:rsidR="0008225A" w:rsidRPr="0008225A">
        <w:t>provide</w:t>
      </w:r>
      <w:r w:rsidR="00815F4B">
        <w:t xml:space="preserve"> the sector</w:t>
      </w:r>
      <w:r w:rsidR="0008225A" w:rsidRPr="0008225A">
        <w:t xml:space="preserve"> practical support, </w:t>
      </w:r>
      <w:r w:rsidR="00773C64">
        <w:t xml:space="preserve">build </w:t>
      </w:r>
      <w:r w:rsidR="0008225A" w:rsidRPr="0008225A">
        <w:t xml:space="preserve">skills and </w:t>
      </w:r>
      <w:r w:rsidR="001E3E2B">
        <w:t xml:space="preserve">disseminate </w:t>
      </w:r>
      <w:r w:rsidR="0008225A" w:rsidRPr="0008225A">
        <w:t xml:space="preserve">information </w:t>
      </w:r>
      <w:r w:rsidR="005308E1">
        <w:t xml:space="preserve">important for </w:t>
      </w:r>
      <w:r w:rsidR="0008225A" w:rsidRPr="0008225A">
        <w:t>planning and implementing reduction and elimination strategies.</w:t>
      </w:r>
    </w:p>
    <w:p w14:paraId="13948420" w14:textId="678CBF74" w:rsidR="009C177E" w:rsidRDefault="006600EB" w:rsidP="00563C62">
      <w:pPr>
        <w:pStyle w:val="Body"/>
      </w:pPr>
      <w:r>
        <w:t xml:space="preserve">The series </w:t>
      </w:r>
      <w:r w:rsidR="00362D2B">
        <w:t>focused</w:t>
      </w:r>
      <w:r w:rsidR="00CA1AD4">
        <w:t xml:space="preserve"> </w:t>
      </w:r>
      <w:r>
        <w:t xml:space="preserve">on </w:t>
      </w:r>
      <w:r w:rsidR="00A34824">
        <w:t>Kevin</w:t>
      </w:r>
      <w:r w:rsidR="004F0426">
        <w:t xml:space="preserve"> Ann</w:t>
      </w:r>
      <w:r w:rsidR="00A34824">
        <w:t xml:space="preserve"> </w:t>
      </w:r>
      <w:r w:rsidR="00481A0C">
        <w:t>Hu</w:t>
      </w:r>
      <w:r w:rsidR="00D847DA">
        <w:t>ck</w:t>
      </w:r>
      <w:r w:rsidR="00F44EC9">
        <w:t xml:space="preserve">shorn’s </w:t>
      </w:r>
      <w:r w:rsidR="009C5735">
        <w:t>six core strategies</w:t>
      </w:r>
      <w:r>
        <w:t xml:space="preserve"> for preventing conflict and violence</w:t>
      </w:r>
      <w:r w:rsidR="00682DC9">
        <w:t xml:space="preserve"> that can lead to the use of seclusion and restraint</w:t>
      </w:r>
      <w:r>
        <w:t xml:space="preserve"> in </w:t>
      </w:r>
      <w:r w:rsidR="00855D93">
        <w:t>inpatient and residential setting</w:t>
      </w:r>
      <w:r w:rsidR="00FB2868">
        <w:t>s</w:t>
      </w:r>
      <w:r w:rsidR="001A6AF7">
        <w:t>.</w:t>
      </w:r>
      <w:r w:rsidR="00AA3D1C">
        <w:t xml:space="preserve"> </w:t>
      </w:r>
      <w:r w:rsidR="00587A21">
        <w:t>Those strategies involve</w:t>
      </w:r>
      <w:r w:rsidR="009C177E">
        <w:t>:</w:t>
      </w:r>
      <w:r w:rsidR="00587A21">
        <w:t xml:space="preserve"> </w:t>
      </w:r>
    </w:p>
    <w:p w14:paraId="7A618D9D" w14:textId="2A18AD7C" w:rsidR="009C177E" w:rsidRDefault="00AA3D1C" w:rsidP="004A6CFE">
      <w:pPr>
        <w:pStyle w:val="Bullet1"/>
      </w:pPr>
      <w:r w:rsidRPr="00EF4BA6">
        <w:t>improving leadership to drive organi</w:t>
      </w:r>
      <w:r w:rsidR="009C177E">
        <w:t>s</w:t>
      </w:r>
      <w:r w:rsidRPr="00EF4BA6">
        <w:t>ational change</w:t>
      </w:r>
    </w:p>
    <w:p w14:paraId="4DBB9D35" w14:textId="0FC442B8" w:rsidR="009C177E" w:rsidRDefault="00AA3D1C" w:rsidP="004A6CFE">
      <w:pPr>
        <w:pStyle w:val="Bullet1"/>
      </w:pPr>
      <w:r w:rsidRPr="00EF4BA6">
        <w:t>using data to inform practice</w:t>
      </w:r>
    </w:p>
    <w:p w14:paraId="3636AB8C" w14:textId="77777777" w:rsidR="009C177E" w:rsidRDefault="00AA3D1C" w:rsidP="004A6CFE">
      <w:pPr>
        <w:pStyle w:val="Bullet1"/>
      </w:pPr>
      <w:r w:rsidRPr="00EF4BA6">
        <w:t>focusing on workforce development</w:t>
      </w:r>
    </w:p>
    <w:p w14:paraId="7BED0487" w14:textId="77404A0F" w:rsidR="009C177E" w:rsidRDefault="00AA3D1C" w:rsidP="004A6CFE">
      <w:pPr>
        <w:pStyle w:val="Bullet1"/>
      </w:pPr>
      <w:r w:rsidRPr="00EF4BA6">
        <w:t>using seclusion and restraint prevention interventions</w:t>
      </w:r>
    </w:p>
    <w:p w14:paraId="27BDAF3E" w14:textId="78660AA5" w:rsidR="009C177E" w:rsidRDefault="00AA3D1C" w:rsidP="004A6CFE">
      <w:pPr>
        <w:pStyle w:val="Bullet1"/>
      </w:pPr>
      <w:r w:rsidRPr="00EF4BA6">
        <w:t>employing the expertise of people with lived experience of mental illness to work alongside clinical staff</w:t>
      </w:r>
    </w:p>
    <w:p w14:paraId="17AB47AF" w14:textId="7DB35D0A" w:rsidR="00AA3D1C" w:rsidRPr="00EF4BA6" w:rsidRDefault="000C5BCA" w:rsidP="004A6CFE">
      <w:pPr>
        <w:pStyle w:val="Bullet1"/>
      </w:pPr>
      <w:r>
        <w:t>using</w:t>
      </w:r>
      <w:r w:rsidR="00AA3D1C" w:rsidRPr="00EF4BA6">
        <w:t xml:space="preserve"> debriefing techniques to create understanding and avert the use of restrictive interventions in the future.</w:t>
      </w:r>
    </w:p>
    <w:p w14:paraId="20E9B97A" w14:textId="1C6E33FE" w:rsidR="00AA3D1C" w:rsidRDefault="00E859C5" w:rsidP="004A6CFE">
      <w:pPr>
        <w:pStyle w:val="Bodyafterbullets"/>
      </w:pPr>
      <w:r>
        <w:t>These</w:t>
      </w:r>
      <w:r w:rsidR="00AA3D1C" w:rsidRPr="00EF4BA6">
        <w:t xml:space="preserve"> strategies sit alongside recovery</w:t>
      </w:r>
      <w:r w:rsidR="00F66D95">
        <w:t>-</w:t>
      </w:r>
      <w:r w:rsidR="00AA3D1C" w:rsidRPr="00EF4BA6">
        <w:t>oriented and trauma</w:t>
      </w:r>
      <w:r w:rsidR="00F66D95">
        <w:t>-</w:t>
      </w:r>
      <w:r w:rsidR="00AA3D1C" w:rsidRPr="00EF4BA6">
        <w:t>informed care as central to Victoria’s approach to reducing and eliminating seclusion and restraint. The series</w:t>
      </w:r>
      <w:r w:rsidR="007200BB">
        <w:t xml:space="preserve"> </w:t>
      </w:r>
      <w:r w:rsidR="00F66D95">
        <w:t>ran</w:t>
      </w:r>
      <w:r w:rsidR="00AA3D1C" w:rsidRPr="00EF4BA6">
        <w:t xml:space="preserve"> monthly</w:t>
      </w:r>
      <w:r w:rsidR="007200BB">
        <w:t>,</w:t>
      </w:r>
      <w:r w:rsidR="00AA3D1C" w:rsidRPr="00EF4BA6">
        <w:t xml:space="preserve"> </w:t>
      </w:r>
      <w:r w:rsidR="007200BB">
        <w:t>beginning in</w:t>
      </w:r>
      <w:r w:rsidR="00AA3D1C" w:rsidRPr="00EF4BA6">
        <w:t xml:space="preserve"> May </w:t>
      </w:r>
      <w:r w:rsidR="007200BB">
        <w:t xml:space="preserve">and </w:t>
      </w:r>
      <w:r w:rsidR="00640EAA">
        <w:t>scheduled to conclude in</w:t>
      </w:r>
      <w:r w:rsidR="00AA3D1C" w:rsidRPr="00EF4BA6">
        <w:t xml:space="preserve"> November</w:t>
      </w:r>
      <w:r w:rsidR="00F66D95">
        <w:t>. It</w:t>
      </w:r>
      <w:r w:rsidR="00AA3D1C" w:rsidRPr="00EF4BA6">
        <w:t xml:space="preserve"> </w:t>
      </w:r>
      <w:r w:rsidR="00C32E0A">
        <w:t>serv</w:t>
      </w:r>
      <w:r w:rsidR="00F66D95">
        <w:t>es</w:t>
      </w:r>
      <w:r w:rsidR="00C32E0A">
        <w:t xml:space="preserve"> as an </w:t>
      </w:r>
      <w:r w:rsidR="003F357C">
        <w:t xml:space="preserve">important </w:t>
      </w:r>
      <w:r w:rsidR="00C32E0A">
        <w:t>educational resource for the</w:t>
      </w:r>
      <w:r w:rsidR="00AA3D1C" w:rsidRPr="00EF4BA6">
        <w:t xml:space="preserve"> sector </w:t>
      </w:r>
      <w:r w:rsidR="000D5E5E">
        <w:t>to</w:t>
      </w:r>
      <w:r w:rsidR="00AA3D1C" w:rsidRPr="00EF4BA6">
        <w:t xml:space="preserve"> </w:t>
      </w:r>
      <w:r w:rsidR="004766D1">
        <w:t>develop</w:t>
      </w:r>
      <w:r w:rsidR="00AA3D1C" w:rsidRPr="00EF4BA6">
        <w:t xml:space="preserve"> strategies towards eliminat</w:t>
      </w:r>
      <w:r w:rsidR="00FB33A7">
        <w:t xml:space="preserve">ing </w:t>
      </w:r>
      <w:r w:rsidR="00AA3D1C" w:rsidRPr="00EF4BA6">
        <w:t>restrictive interventions</w:t>
      </w:r>
      <w:r w:rsidR="009437B3">
        <w:t>.</w:t>
      </w:r>
    </w:p>
    <w:tbl>
      <w:tblPr>
        <w:tblStyle w:val="TableGrid"/>
        <w:tblW w:w="0" w:type="auto"/>
        <w:tblLook w:val="04A0" w:firstRow="1" w:lastRow="0" w:firstColumn="1" w:lastColumn="0" w:noHBand="0" w:noVBand="1"/>
      </w:tblPr>
      <w:tblGrid>
        <w:gridCol w:w="9180"/>
      </w:tblGrid>
      <w:tr w:rsidR="00EC7715" w14:paraId="1A6E356D" w14:textId="77777777" w:rsidTr="00EC7715">
        <w:tc>
          <w:tcPr>
            <w:tcW w:w="9288" w:type="dxa"/>
            <w:shd w:val="clear" w:color="auto" w:fill="DBE5F1" w:themeFill="accent1" w:themeFillTint="33"/>
          </w:tcPr>
          <w:p w14:paraId="0AC393E8" w14:textId="06B422C9" w:rsidR="00B9474D" w:rsidRPr="00B9474D" w:rsidRDefault="00B9474D" w:rsidP="004A6CFE">
            <w:pPr>
              <w:pStyle w:val="Boxtitle"/>
            </w:pPr>
            <w:r w:rsidRPr="00B9474D">
              <w:t>H</w:t>
            </w:r>
            <w:r w:rsidR="00D803E7">
              <w:t>.L.</w:t>
            </w:r>
            <w:r w:rsidRPr="00B9474D">
              <w:t>, Program Manager</w:t>
            </w:r>
            <w:r w:rsidR="009700E5">
              <w:t>, Office of the Chief Psychiatrist</w:t>
            </w:r>
          </w:p>
          <w:p w14:paraId="0C0DDE29" w14:textId="6744135B" w:rsidR="00B9474D" w:rsidRPr="00B9474D" w:rsidRDefault="00B9474D" w:rsidP="00563C62">
            <w:pPr>
              <w:pStyle w:val="Body"/>
            </w:pPr>
            <w:r w:rsidRPr="00B9474D">
              <w:t>I qualified as a pharmacist in the United Kingdom and felt drawn to working with some of our most complex vulnerable patients</w:t>
            </w:r>
            <w:r w:rsidR="0013779B">
              <w:t xml:space="preserve"> –</w:t>
            </w:r>
            <w:r w:rsidRPr="00B9474D">
              <w:t xml:space="preserve"> infants and children in intensive care. Inspired by</w:t>
            </w:r>
            <w:r w:rsidR="0013779B">
              <w:t xml:space="preserve"> a</w:t>
            </w:r>
            <w:r w:rsidRPr="00B9474D">
              <w:t xml:space="preserve"> curiosity to contribute to this specialty, I completed a Master of Philosophy for research into adverse drug reactions in children and went on to lead women’s and children’s pharmacy services in one of the largest teaching hospitals in the world in Leeds. Since arriving in Australia in 2000, I pursued certification in project management and change management to deliver statewide quality and safety improvement projects and became a registered counsellor, developing specialist interests in trauma, psychological safety and workplace wellbeing. </w:t>
            </w:r>
          </w:p>
          <w:p w14:paraId="0B108B30" w14:textId="296B5434" w:rsidR="00B9474D" w:rsidRPr="00B9474D" w:rsidRDefault="00B9474D" w:rsidP="00563C62">
            <w:pPr>
              <w:pStyle w:val="Body"/>
            </w:pPr>
            <w:r w:rsidRPr="00B9474D">
              <w:t xml:space="preserve">I recently transitioned to the OCP as a program manager in medicines, mental health and wellbeing. My role involves program management of the suite of Chief Psychiatrist guidelines in alignment with the recommendations from the Royal Commission into Victoria’s Mental Health System. In addition to the </w:t>
            </w:r>
            <w:r w:rsidR="00FD01A8">
              <w:t>R</w:t>
            </w:r>
            <w:r w:rsidRPr="00B9474D">
              <w:t xml:space="preserve">oyal </w:t>
            </w:r>
            <w:r w:rsidR="00FD01A8">
              <w:t>C</w:t>
            </w:r>
            <w:r w:rsidRPr="00B9474D">
              <w:t xml:space="preserve">ommission’s recommendations, guidelines are developed in response to a range of factors, including feedback from consumers via the Mental Health Complaints Commission, data collated from mental health services, changes to legislation and emerging evidence to support quality and safety improvement. Throughout </w:t>
            </w:r>
            <w:r w:rsidR="00174D55">
              <w:t>my work with the g</w:t>
            </w:r>
            <w:r w:rsidRPr="00B9474D">
              <w:t xml:space="preserve">uidelines, my clinical experience guides me to ‘walk with’ consumer and carers. We do this through consultation, collaboration and co-design with people </w:t>
            </w:r>
            <w:r w:rsidR="00174D55">
              <w:t>who</w:t>
            </w:r>
            <w:r w:rsidR="00174D55" w:rsidRPr="00B9474D">
              <w:t xml:space="preserve"> </w:t>
            </w:r>
            <w:r w:rsidRPr="00B9474D">
              <w:t xml:space="preserve">have lived experience of mental </w:t>
            </w:r>
            <w:r w:rsidR="003B2C8C">
              <w:t>illness</w:t>
            </w:r>
            <w:r w:rsidRPr="00B9474D">
              <w:t>. In this way we ensure the guidelines follow the principles of being trauma</w:t>
            </w:r>
            <w:r w:rsidR="00174D55">
              <w:t>-</w:t>
            </w:r>
            <w:r w:rsidRPr="00B9474D">
              <w:t>informed, recovery</w:t>
            </w:r>
            <w:r w:rsidR="00174D55">
              <w:t>-</w:t>
            </w:r>
            <w:r w:rsidRPr="00B9474D">
              <w:t>focused and support decision making by consumers and their families or family of choice.</w:t>
            </w:r>
          </w:p>
          <w:p w14:paraId="0FD5DC39" w14:textId="7A6356C8" w:rsidR="00EC7715" w:rsidRDefault="00B9474D" w:rsidP="00563C62">
            <w:pPr>
              <w:pStyle w:val="Body"/>
            </w:pPr>
            <w:r w:rsidRPr="00B9474D">
              <w:t xml:space="preserve">I also chair our Mental Health and Wellbeing Division’s People and Culture Committee. One of the highlights of my role is to work alongside a dedicated, multidisciplinary team of clinicians, non-clinicians and diverse communities from whom I learn and grow daily. In the context of the </w:t>
            </w:r>
            <w:r w:rsidRPr="00B9474D">
              <w:lastRenderedPageBreak/>
              <w:t>coronavirus pandemic, I’m mindful of the need to promote psychological safety within our stakeholder consultations across the department and within mental health services and to recognise that supporting the wellbeing of our care teams is critical for optimising mental health care and achieving the best outcomes for our community.</w:t>
            </w:r>
          </w:p>
        </w:tc>
      </w:tr>
    </w:tbl>
    <w:p w14:paraId="0778FD1C" w14:textId="77777777" w:rsidR="00563C62" w:rsidRDefault="00563C62" w:rsidP="00563C62">
      <w:pPr>
        <w:pStyle w:val="Body"/>
        <w:rPr>
          <w:color w:val="004EA8"/>
          <w:sz w:val="44"/>
          <w:szCs w:val="44"/>
        </w:rPr>
      </w:pPr>
      <w:r>
        <w:lastRenderedPageBreak/>
        <w:br w:type="page"/>
      </w:r>
    </w:p>
    <w:p w14:paraId="30D007AA" w14:textId="7A2563F7" w:rsidR="00381B2F" w:rsidRPr="00182DBC" w:rsidRDefault="00862231" w:rsidP="005003A0">
      <w:pPr>
        <w:pStyle w:val="Heading1"/>
        <w:rPr>
          <w:b/>
        </w:rPr>
      </w:pPr>
      <w:bookmarkStart w:id="50" w:name="_Toc86347191"/>
      <w:r>
        <w:lastRenderedPageBreak/>
        <w:t>3</w:t>
      </w:r>
      <w:r w:rsidR="0049615B">
        <w:t>.</w:t>
      </w:r>
      <w:r w:rsidR="00381B2F" w:rsidRPr="00182DBC">
        <w:t xml:space="preserve"> </w:t>
      </w:r>
      <w:r w:rsidR="00381B2F">
        <w:t>A</w:t>
      </w:r>
      <w:r w:rsidR="00381B2F" w:rsidRPr="00182DBC">
        <w:t xml:space="preserve"> final word</w:t>
      </w:r>
      <w:r w:rsidR="0008728D">
        <w:t xml:space="preserve">: </w:t>
      </w:r>
      <w:r w:rsidR="00146191">
        <w:rPr>
          <w:lang w:eastAsia="en-AU"/>
        </w:rPr>
        <w:t>l</w:t>
      </w:r>
      <w:r w:rsidR="00381B2F" w:rsidRPr="00064E72">
        <w:rPr>
          <w:lang w:eastAsia="en-AU"/>
        </w:rPr>
        <w:t xml:space="preserve">ived </w:t>
      </w:r>
      <w:r w:rsidR="00146191">
        <w:rPr>
          <w:lang w:eastAsia="en-AU"/>
        </w:rPr>
        <w:t>e</w:t>
      </w:r>
      <w:r w:rsidR="00381B2F" w:rsidRPr="00064E72">
        <w:rPr>
          <w:lang w:eastAsia="en-AU"/>
        </w:rPr>
        <w:t xml:space="preserve">xperience </w:t>
      </w:r>
      <w:r w:rsidR="00147C34">
        <w:rPr>
          <w:lang w:eastAsia="en-AU"/>
        </w:rPr>
        <w:t xml:space="preserve">and </w:t>
      </w:r>
      <w:r w:rsidR="00381B2F" w:rsidRPr="00064E72">
        <w:rPr>
          <w:lang w:eastAsia="en-AU"/>
        </w:rPr>
        <w:t>the OCP</w:t>
      </w:r>
      <w:r w:rsidR="00147C34">
        <w:rPr>
          <w:lang w:eastAsia="en-AU"/>
        </w:rPr>
        <w:t xml:space="preserve"> in the </w:t>
      </w:r>
      <w:r w:rsidR="0008728D">
        <w:rPr>
          <w:lang w:eastAsia="en-AU"/>
        </w:rPr>
        <w:t>future</w:t>
      </w:r>
      <w:r w:rsidR="00147C34">
        <w:rPr>
          <w:lang w:eastAsia="en-AU"/>
        </w:rPr>
        <w:t xml:space="preserve"> system</w:t>
      </w:r>
      <w:bookmarkEnd w:id="50"/>
      <w:r w:rsidR="006E55E2">
        <w:rPr>
          <w:lang w:eastAsia="en-AU"/>
        </w:rPr>
        <w:t xml:space="preserve"> </w:t>
      </w:r>
    </w:p>
    <w:p w14:paraId="362044E3" w14:textId="20AECE1F" w:rsidR="00522BDC" w:rsidRDefault="00522BDC" w:rsidP="00563C62">
      <w:pPr>
        <w:pStyle w:val="Body"/>
      </w:pPr>
      <w:r>
        <w:t xml:space="preserve">People with lived experience are a central part of the OCP’s work, being present in </w:t>
      </w:r>
      <w:r w:rsidR="001F35E8">
        <w:t>many</w:t>
      </w:r>
      <w:r>
        <w:t xml:space="preserve"> of </w:t>
      </w:r>
      <w:r w:rsidR="00BE1978">
        <w:t xml:space="preserve">the </w:t>
      </w:r>
      <w:r w:rsidR="00D408B9">
        <w:t>office’s</w:t>
      </w:r>
      <w:r>
        <w:t xml:space="preserve"> core activities. </w:t>
      </w:r>
      <w:r w:rsidR="00767670">
        <w:t>T</w:t>
      </w:r>
      <w:r>
        <w:t>hree lived experience advisors were employed in the OCP</w:t>
      </w:r>
      <w:r w:rsidR="00E14E0A">
        <w:t xml:space="preserve"> </w:t>
      </w:r>
      <w:r w:rsidR="00767670">
        <w:t>through 2020</w:t>
      </w:r>
      <w:r w:rsidR="0099684E">
        <w:t>–</w:t>
      </w:r>
      <w:r w:rsidR="00767670">
        <w:t xml:space="preserve">21 </w:t>
      </w:r>
      <w:r w:rsidR="00E14E0A">
        <w:t>–</w:t>
      </w:r>
      <w:r>
        <w:t xml:space="preserve"> two represented the consumer perspective and one the carer perspective. Through these dedicated lived experience roles, the OCP has ensured consumer and carer voices have been present at clinical meetings and on investigation panels and audit teams that monitor restrictive interventions and sexual safety.</w:t>
      </w:r>
    </w:p>
    <w:p w14:paraId="0EFF893E" w14:textId="1C44FD34" w:rsidR="00522BDC" w:rsidRDefault="00522BDC" w:rsidP="00563C62">
      <w:pPr>
        <w:pStyle w:val="Body"/>
      </w:pPr>
      <w:r>
        <w:t xml:space="preserve">The OCP also maintains a strong collaborative relationship with Tandem and </w:t>
      </w:r>
      <w:r w:rsidR="00E14E0A">
        <w:t xml:space="preserve">the </w:t>
      </w:r>
      <w:r w:rsidR="00E14E0A" w:rsidRPr="00E14E0A">
        <w:t xml:space="preserve">Victorian Mental Illness Awareness Council </w:t>
      </w:r>
      <w:r w:rsidR="00E14E0A">
        <w:t>(</w:t>
      </w:r>
      <w:r>
        <w:t>VMIAC</w:t>
      </w:r>
      <w:r w:rsidR="00E14E0A">
        <w:t>)</w:t>
      </w:r>
      <w:r>
        <w:t xml:space="preserve">, the peak bodies that advocate for the interests of carers and consumers. VMIAC and Tandem maintain registers of people with lived experience that can be accessed to support the work of the OCP. People from the registers have been involved in the OCP’s audits of </w:t>
      </w:r>
      <w:r w:rsidR="000C1AD7">
        <w:t>ECT</w:t>
      </w:r>
      <w:r>
        <w:t xml:space="preserve"> and clinical reviews of services. They have also attended forums hosted by the OCP as speakers. In addition, staff from VMIAC and Tandem attend the meetings of the Chief Psychiatrist’s statutory committees, sharing lived experience perspectives with other leaders and representatives from the mental health and wellbeing sector on those committees.</w:t>
      </w:r>
    </w:p>
    <w:p w14:paraId="7C40C71E" w14:textId="5CE93446" w:rsidR="00522BDC" w:rsidRDefault="00522BDC" w:rsidP="00563C62">
      <w:pPr>
        <w:pStyle w:val="Body"/>
      </w:pPr>
      <w:r>
        <w:t>In Ju</w:t>
      </w:r>
      <w:r w:rsidR="00CF1D2D">
        <w:t>ly</w:t>
      </w:r>
      <w:r>
        <w:t xml:space="preserve"> 2021 the OCP’s three lived experience advisors were transferred – with the </w:t>
      </w:r>
      <w:r w:rsidR="00BF3C21">
        <w:rPr>
          <w:lang w:val="en-US"/>
        </w:rPr>
        <w:t>OCMHN</w:t>
      </w:r>
      <w:r w:rsidR="00BF3C21" w:rsidDel="00BF3C21">
        <w:t xml:space="preserve"> </w:t>
      </w:r>
      <w:r>
        <w:t xml:space="preserve">– to Safer Care Victoria in the first stage of implementing the new quality and safety architecture recommended by the Royal Commission into Victoria’s Mental Health System. The departure of lived experience advisors was a significant loss for the OCP, given the important contribution they made in </w:t>
      </w:r>
      <w:r w:rsidR="00E14E0A">
        <w:t xml:space="preserve">our </w:t>
      </w:r>
      <w:r>
        <w:t xml:space="preserve">planning and oversight activities. </w:t>
      </w:r>
    </w:p>
    <w:p w14:paraId="0216BCA2" w14:textId="3E9AAE32" w:rsidR="00B60FA0" w:rsidRDefault="00522BDC" w:rsidP="00563C62">
      <w:pPr>
        <w:pStyle w:val="Body"/>
      </w:pPr>
      <w:r>
        <w:t xml:space="preserve">However, the OCP will once again benefit from the input of consumer and carer staff through the creation of a Lived Experience </w:t>
      </w:r>
      <w:r w:rsidR="00F85747">
        <w:t xml:space="preserve">Branch </w:t>
      </w:r>
      <w:r>
        <w:t>in the Mental Health and Wellbeing Division.</w:t>
      </w:r>
      <w:r w:rsidR="00F436B9">
        <w:t xml:space="preserve"> </w:t>
      </w:r>
      <w:r>
        <w:t xml:space="preserve">The Lived Experience </w:t>
      </w:r>
      <w:r w:rsidR="00F85747">
        <w:t xml:space="preserve">Branch is </w:t>
      </w:r>
      <w:r>
        <w:t>work</w:t>
      </w:r>
      <w:r w:rsidR="00F85747">
        <w:t>ing</w:t>
      </w:r>
      <w:r>
        <w:t xml:space="preserve"> across the </w:t>
      </w:r>
      <w:r w:rsidR="00880C24">
        <w:t>d</w:t>
      </w:r>
      <w:r>
        <w:t xml:space="preserve">ivision to ensure consumers and carers are central to the design and delivery of mental health services. Through this new arrangement, </w:t>
      </w:r>
      <w:r w:rsidR="006F69F4">
        <w:t xml:space="preserve">lived experience </w:t>
      </w:r>
      <w:r w:rsidR="005D503C">
        <w:t xml:space="preserve">participation </w:t>
      </w:r>
      <w:r w:rsidR="006F69F4">
        <w:t xml:space="preserve">will </w:t>
      </w:r>
      <w:r w:rsidR="00AA4263">
        <w:t>remain an essential part</w:t>
      </w:r>
      <w:r w:rsidR="006F69F4">
        <w:t xml:space="preserve"> of the OCP’s </w:t>
      </w:r>
      <w:r w:rsidR="00EF5761">
        <w:t>work</w:t>
      </w:r>
      <w:r w:rsidR="00174480">
        <w:t xml:space="preserve">, </w:t>
      </w:r>
      <w:r w:rsidR="00CE203A">
        <w:t>ensuring</w:t>
      </w:r>
      <w:r w:rsidR="00EF1E12">
        <w:t xml:space="preserve"> </w:t>
      </w:r>
      <w:r w:rsidR="005141ED">
        <w:t>the OCP</w:t>
      </w:r>
      <w:r w:rsidR="00947B24">
        <w:t xml:space="preserve"> continues to be </w:t>
      </w:r>
      <w:r w:rsidR="008720ED">
        <w:t xml:space="preserve">effective at </w:t>
      </w:r>
      <w:r w:rsidR="00317CAF">
        <w:t xml:space="preserve">protecting the rights of consumers and </w:t>
      </w:r>
      <w:r w:rsidR="008720ED">
        <w:t>promoting</w:t>
      </w:r>
      <w:r w:rsidR="00445D29">
        <w:t xml:space="preserve"> quality and safety </w:t>
      </w:r>
      <w:r w:rsidR="00C57C07">
        <w:t xml:space="preserve">in </w:t>
      </w:r>
      <w:r w:rsidR="00445D29">
        <w:t>mental health services</w:t>
      </w:r>
      <w:r w:rsidR="00C57C07">
        <w:t>.</w:t>
      </w:r>
      <w:r w:rsidR="003C45F9">
        <w:t xml:space="preserve"> In the spirit of </w:t>
      </w:r>
      <w:r w:rsidR="00071E5C">
        <w:t xml:space="preserve">such inclusion, we give the final word to our </w:t>
      </w:r>
      <w:r w:rsidR="00C0069B">
        <w:t>senior consumer advis</w:t>
      </w:r>
      <w:r w:rsidR="007F108E">
        <w:t>e</w:t>
      </w:r>
      <w:r w:rsidR="00C0069B">
        <w:t>r</w:t>
      </w:r>
      <w:r w:rsidR="00071E5C">
        <w:t xml:space="preserve"> colleague</w:t>
      </w:r>
      <w:r w:rsidR="00373D12">
        <w:t xml:space="preserve"> </w:t>
      </w:r>
      <w:r w:rsidR="00C5519E">
        <w:t>in the vignette below.</w:t>
      </w:r>
    </w:p>
    <w:tbl>
      <w:tblPr>
        <w:tblStyle w:val="TableGrid"/>
        <w:tblW w:w="0" w:type="auto"/>
        <w:tblLook w:val="04A0" w:firstRow="1" w:lastRow="0" w:firstColumn="1" w:lastColumn="0" w:noHBand="0" w:noVBand="1"/>
      </w:tblPr>
      <w:tblGrid>
        <w:gridCol w:w="9180"/>
      </w:tblGrid>
      <w:tr w:rsidR="00534E70" w14:paraId="7FE17A63" w14:textId="77777777" w:rsidTr="00534E70">
        <w:tc>
          <w:tcPr>
            <w:tcW w:w="9288" w:type="dxa"/>
            <w:shd w:val="clear" w:color="auto" w:fill="DBE5F1" w:themeFill="accent1" w:themeFillTint="33"/>
          </w:tcPr>
          <w:p w14:paraId="02C27A65" w14:textId="6F287EEB" w:rsidR="00534E70" w:rsidRPr="00C67A3F" w:rsidRDefault="00534E70" w:rsidP="0015730A">
            <w:pPr>
              <w:pStyle w:val="Boxtitle"/>
            </w:pPr>
            <w:r w:rsidRPr="00C67A3F">
              <w:t>J</w:t>
            </w:r>
            <w:r w:rsidR="00B0624E">
              <w:t>.A.</w:t>
            </w:r>
            <w:r w:rsidRPr="00C67A3F">
              <w:t>, Senior Consumer Adviser, Office of the Chief Mental Health Nurse</w:t>
            </w:r>
          </w:p>
          <w:p w14:paraId="79DE1369" w14:textId="4EB1A0DE" w:rsidR="00534E70" w:rsidRPr="00534E70" w:rsidRDefault="00534E70" w:rsidP="00563C62">
            <w:pPr>
              <w:pStyle w:val="Body"/>
            </w:pPr>
            <w:r w:rsidRPr="00534E70">
              <w:t>I am an expert by experience in mental health issues. I have completed a Company of Directors course at the Australian Institute of Company Directors</w:t>
            </w:r>
            <w:bookmarkStart w:id="51" w:name="_Hlk82683931"/>
            <w:r w:rsidRPr="00534E70">
              <w:t xml:space="preserve"> and </w:t>
            </w:r>
            <w:bookmarkEnd w:id="51"/>
            <w:r w:rsidRPr="00534E70">
              <w:t xml:space="preserve">a Graduate Certificate in Community and Consumer Engagement. I have sat on the board of Forensicare and was chair of </w:t>
            </w:r>
            <w:r w:rsidR="00AD7427">
              <w:t>Neami</w:t>
            </w:r>
            <w:r w:rsidRPr="00534E70">
              <w:t xml:space="preserve"> for </w:t>
            </w:r>
            <w:r w:rsidR="009733D4">
              <w:t>10</w:t>
            </w:r>
            <w:r w:rsidR="009733D4" w:rsidRPr="00534E70">
              <w:t xml:space="preserve"> </w:t>
            </w:r>
            <w:r w:rsidRPr="00534E70">
              <w:t xml:space="preserve">years. My other experience includes membership of a writing group that advised the Australian Government on writing the </w:t>
            </w:r>
            <w:r w:rsidRPr="00A14AB9">
              <w:rPr>
                <w:i/>
                <w:iCs/>
              </w:rPr>
              <w:t xml:space="preserve">Fifth </w:t>
            </w:r>
            <w:r w:rsidR="008952F6">
              <w:rPr>
                <w:i/>
                <w:iCs/>
              </w:rPr>
              <w:t>n</w:t>
            </w:r>
            <w:r w:rsidRPr="00A14AB9">
              <w:rPr>
                <w:i/>
                <w:iCs/>
              </w:rPr>
              <w:t xml:space="preserve">ational </w:t>
            </w:r>
            <w:r w:rsidR="008952F6">
              <w:rPr>
                <w:i/>
                <w:iCs/>
              </w:rPr>
              <w:t>m</w:t>
            </w:r>
            <w:r w:rsidRPr="00A14AB9">
              <w:rPr>
                <w:i/>
                <w:iCs/>
              </w:rPr>
              <w:t xml:space="preserve">ental </w:t>
            </w:r>
            <w:r w:rsidR="008952F6">
              <w:rPr>
                <w:i/>
                <w:iCs/>
              </w:rPr>
              <w:t>h</w:t>
            </w:r>
            <w:r w:rsidRPr="00A14AB9">
              <w:rPr>
                <w:i/>
                <w:iCs/>
              </w:rPr>
              <w:t xml:space="preserve">ealth and </w:t>
            </w:r>
            <w:r w:rsidR="008952F6">
              <w:rPr>
                <w:i/>
                <w:iCs/>
              </w:rPr>
              <w:t>s</w:t>
            </w:r>
            <w:r w:rsidRPr="00A14AB9">
              <w:rPr>
                <w:i/>
                <w:iCs/>
              </w:rPr>
              <w:t xml:space="preserve">uicide </w:t>
            </w:r>
            <w:r w:rsidR="008952F6">
              <w:rPr>
                <w:i/>
                <w:iCs/>
              </w:rPr>
              <w:t>p</w:t>
            </w:r>
            <w:r w:rsidRPr="00A14AB9">
              <w:rPr>
                <w:i/>
                <w:iCs/>
              </w:rPr>
              <w:t xml:space="preserve">revention </w:t>
            </w:r>
            <w:r w:rsidR="008952F6">
              <w:rPr>
                <w:i/>
                <w:iCs/>
              </w:rPr>
              <w:t>p</w:t>
            </w:r>
            <w:r w:rsidRPr="00A14AB9">
              <w:rPr>
                <w:i/>
                <w:iCs/>
              </w:rPr>
              <w:t>lan</w:t>
            </w:r>
            <w:r w:rsidRPr="00534E70">
              <w:t>. I have also presented at conferences in the United Kingdom, Canada, New Zealand and Australia on consumer participation and leadership.</w:t>
            </w:r>
          </w:p>
          <w:p w14:paraId="579B8F1E" w14:textId="6231437B" w:rsidR="00534E70" w:rsidRPr="00534E70" w:rsidRDefault="00534E70" w:rsidP="00563C62">
            <w:pPr>
              <w:pStyle w:val="Body"/>
            </w:pPr>
            <w:r w:rsidRPr="00534E70">
              <w:t xml:space="preserve">I have worked in the OCMHN for three years. My role as senior consumer adviser involves varying tasks and duties focused on monitoring and promoting quality and safety in mental health services. A guiding purpose of my role is to ensure the perspectives of consumers informs the key work carried out by the OCMHN and the broader OCP. I have been able to do this through membership in various committees and project groups involved in planning, </w:t>
            </w:r>
            <w:r w:rsidRPr="00534E70">
              <w:lastRenderedPageBreak/>
              <w:t xml:space="preserve">monitoring and improving the delivery of mental health and wellbeing services to ensure they are safe, high-quality and adhere to standards of best practice. This has involved attending clinical meetings, sittings of restrictive intervention and sexual safety committees, and partnership meetings with </w:t>
            </w:r>
            <w:r w:rsidR="008952F6">
              <w:t>VMIAC</w:t>
            </w:r>
            <w:r w:rsidRPr="00534E70">
              <w:t xml:space="preserve">. It has also involved contributing to the development of frameworks and guidelines, membership of teams that conduct </w:t>
            </w:r>
            <w:r w:rsidR="000C1AD7">
              <w:t>ECT</w:t>
            </w:r>
            <w:r w:rsidRPr="00534E70">
              <w:t xml:space="preserve"> audits and clinical reviews, going on hospital visits, reviewing data on restrictive interventions and sexual safety incidents, and giving conference and sector presentations.</w:t>
            </w:r>
          </w:p>
          <w:p w14:paraId="05CE58EE" w14:textId="5E20CCD1" w:rsidR="00534E70" w:rsidRPr="00534E70" w:rsidRDefault="00534E70" w:rsidP="00563C62">
            <w:pPr>
              <w:pStyle w:val="Body"/>
            </w:pPr>
            <w:r w:rsidRPr="00534E70">
              <w:t xml:space="preserve">My presence in the OCMHN and OCP, along with the presence of other lived experience colleagues there, helps to address historical power imbalances between those with lived experience and the professional workforce that makes decisions about how mental health care, treatment and support should be delivered. Our </w:t>
            </w:r>
            <w:r w:rsidR="0067565F">
              <w:t>im</w:t>
            </w:r>
            <w:r w:rsidRPr="00534E70">
              <w:t>mersion in the daily life of these offices contributes to its problem-solving and strategic capabilities because we are attuned to safety risks that can be easily overlooked by others. By highlighting those risks, we foster active thinking about them and help to identify where improvements are required in the system and what changes are likely to be most effective. This input complements that of our other colleagues, who bring their own specialised knowledge and skills to their roles, leading to outcomes that are more considered and better meet the needs of consumers.</w:t>
            </w:r>
          </w:p>
          <w:p w14:paraId="1ADF342E" w14:textId="0CC488C0" w:rsidR="00534E70" w:rsidRPr="00534E70" w:rsidRDefault="00534E70" w:rsidP="00563C62">
            <w:pPr>
              <w:pStyle w:val="Body"/>
            </w:pPr>
            <w:r w:rsidRPr="00534E70">
              <w:t xml:space="preserve">I find my job highly rewarding. I play a part in protecting the rights of consumers and facilitating change towards a mental health and wellbeing system that is compassionate, accountable and upholds people’s dignity. A strong sense of collegiality exists within my team, and my colleagues include me in all the important aspects of the office’s work. They respect my lived experience and draw on it to understand issues and find solutions to problems. It is rewarding to know that the work I do contributes to a better experience for people in mental health and wellbeing services. </w:t>
            </w:r>
          </w:p>
        </w:tc>
      </w:tr>
    </w:tbl>
    <w:p w14:paraId="6CFB7F44" w14:textId="77777777" w:rsidR="00381B2F" w:rsidRDefault="00381B2F" w:rsidP="005003A0">
      <w:pPr>
        <w:pStyle w:val="Heading2"/>
      </w:pPr>
      <w:bookmarkStart w:id="52" w:name="_Toc86347192"/>
      <w:r w:rsidRPr="005003A0">
        <w:lastRenderedPageBreak/>
        <w:t>Feedback</w:t>
      </w:r>
      <w:r>
        <w:t xml:space="preserve"> on this report</w:t>
      </w:r>
      <w:bookmarkEnd w:id="52"/>
    </w:p>
    <w:p w14:paraId="074E4380" w14:textId="16F6A140" w:rsidR="00381B2F" w:rsidRPr="00B925AF" w:rsidRDefault="00381B2F" w:rsidP="00643556">
      <w:pPr>
        <w:pStyle w:val="Bodyaftertable"/>
      </w:pPr>
      <w:r>
        <w:t xml:space="preserve">If you have any feedback on this report, either wanting to respond to the content or requiring more detail, please </w:t>
      </w:r>
      <w:hyperlink r:id="rId20" w:history="1">
        <w:r w:rsidR="00CD3E14" w:rsidRPr="00CD3E14">
          <w:rPr>
            <w:rStyle w:val="Hyperlink"/>
          </w:rPr>
          <w:t>email the OCP</w:t>
        </w:r>
      </w:hyperlink>
      <w:r>
        <w:t xml:space="preserve"> </w:t>
      </w:r>
      <w:r w:rsidR="00CD3E14">
        <w:t>&lt;</w:t>
      </w:r>
      <w:r w:rsidR="00CD3E14" w:rsidRPr="00BC7F2F">
        <w:t>ocp@</w:t>
      </w:r>
      <w:r w:rsidR="008952F6">
        <w:t>health</w:t>
      </w:r>
      <w:r w:rsidR="00CD3E14" w:rsidRPr="00BC7F2F">
        <w:t>.vic.gov.au</w:t>
      </w:r>
      <w:r w:rsidR="00CD3E14">
        <w:t>&gt;</w:t>
      </w:r>
      <w:r w:rsidR="0057779F">
        <w:t xml:space="preserve"> </w:t>
      </w:r>
      <w:r>
        <w:t xml:space="preserve">and </w:t>
      </w:r>
      <w:r w:rsidR="0068785A">
        <w:t>we</w:t>
      </w:r>
      <w:r>
        <w:t xml:space="preserve"> will respond </w:t>
      </w:r>
      <w:r w:rsidR="0068785A">
        <w:t>as soon as we can</w:t>
      </w:r>
      <w:r>
        <w:t>.</w:t>
      </w:r>
    </w:p>
    <w:p w14:paraId="32221FFA" w14:textId="77777777" w:rsidR="00381B2F" w:rsidRDefault="00381B2F" w:rsidP="00381B2F">
      <w:pPr>
        <w:pStyle w:val="Heading2"/>
        <w:rPr>
          <w:b w:val="0"/>
          <w:bCs/>
        </w:rPr>
      </w:pPr>
      <w:bookmarkStart w:id="53" w:name="_Toc86347193"/>
      <w:r>
        <w:rPr>
          <w:bCs/>
        </w:rPr>
        <w:t>Notes on data</w:t>
      </w:r>
      <w:bookmarkEnd w:id="53"/>
    </w:p>
    <w:p w14:paraId="623182B9" w14:textId="317A73D5" w:rsidR="00381B2F" w:rsidRDefault="00381B2F" w:rsidP="00563C62">
      <w:pPr>
        <w:pStyle w:val="Body"/>
        <w:rPr>
          <w:iCs/>
        </w:rPr>
      </w:pPr>
      <w:r w:rsidRPr="0084319B">
        <w:t xml:space="preserve">Please note that not all percentages </w:t>
      </w:r>
      <w:r w:rsidR="0068785A">
        <w:t xml:space="preserve">in graphs and tables </w:t>
      </w:r>
      <w:r w:rsidRPr="0084319B">
        <w:t>may add to 100</w:t>
      </w:r>
      <w:r w:rsidR="008F74B0">
        <w:t xml:space="preserve"> per cent</w:t>
      </w:r>
      <w:r w:rsidRPr="0084319B">
        <w:t xml:space="preserve"> because of rounding</w:t>
      </w:r>
      <w:r>
        <w:rPr>
          <w:iCs/>
        </w:rPr>
        <w:t>. For</w:t>
      </w:r>
      <w:r w:rsidRPr="0084319B">
        <w:t xml:space="preserve"> some tables, categories were further aggregated to protect the privacy and confidentiality of individuals.</w:t>
      </w:r>
    </w:p>
    <w:p w14:paraId="26B2C647" w14:textId="4AB5272E" w:rsidR="00381B2F" w:rsidRDefault="00381B2F" w:rsidP="00563C62">
      <w:pPr>
        <w:pStyle w:val="Body"/>
        <w:rPr>
          <w:iCs/>
        </w:rPr>
      </w:pPr>
      <w:r w:rsidRPr="0084319B">
        <w:t xml:space="preserve">The data </w:t>
      </w:r>
      <w:r w:rsidR="0068785A">
        <w:t xml:space="preserve">in this </w:t>
      </w:r>
      <w:r w:rsidRPr="0084319B">
        <w:t>report is extracted from live databases</w:t>
      </w:r>
      <w:r w:rsidR="0068785A">
        <w:t>.</w:t>
      </w:r>
      <w:r w:rsidRPr="0084319B">
        <w:t xml:space="preserve"> </w:t>
      </w:r>
      <w:r w:rsidR="0068785A">
        <w:t>T</w:t>
      </w:r>
      <w:r w:rsidRPr="0084319B">
        <w:t xml:space="preserve">his means there may be slight </w:t>
      </w:r>
      <w:r>
        <w:rPr>
          <w:iCs/>
        </w:rPr>
        <w:t>variations</w:t>
      </w:r>
      <w:r w:rsidRPr="0084319B">
        <w:t xml:space="preserve"> in the numbers when </w:t>
      </w:r>
      <w:r w:rsidRPr="0084319B">
        <w:rPr>
          <w:iCs/>
        </w:rPr>
        <w:t>compa</w:t>
      </w:r>
      <w:r>
        <w:rPr>
          <w:iCs/>
        </w:rPr>
        <w:t xml:space="preserve">red </w:t>
      </w:r>
      <w:r w:rsidR="00A424DB">
        <w:rPr>
          <w:iCs/>
        </w:rPr>
        <w:t>with</w:t>
      </w:r>
      <w:r w:rsidR="00A424DB" w:rsidRPr="0084319B">
        <w:t xml:space="preserve"> </w:t>
      </w:r>
      <w:r w:rsidRPr="0084319B">
        <w:t>previous annual reports.</w:t>
      </w:r>
    </w:p>
    <w:p w14:paraId="7E4366A2" w14:textId="419FB09E" w:rsidR="003B1035" w:rsidRDefault="00381B2F" w:rsidP="00563C62">
      <w:pPr>
        <w:pStyle w:val="Body"/>
      </w:pPr>
      <w:r w:rsidRPr="0084319B">
        <w:t xml:space="preserve">The </w:t>
      </w:r>
      <w:r w:rsidR="001F7590">
        <w:t>OCP</w:t>
      </w:r>
      <w:r w:rsidRPr="0084319B">
        <w:t xml:space="preserve"> kindly thanks the Victorian Agency for Health Information for extracti</w:t>
      </w:r>
      <w:r w:rsidR="0068785A">
        <w:t>ng</w:t>
      </w:r>
      <w:r w:rsidRPr="0084319B">
        <w:t xml:space="preserve"> ECT and </w:t>
      </w:r>
      <w:r w:rsidR="0068785A">
        <w:rPr>
          <w:iCs/>
        </w:rPr>
        <w:t>r</w:t>
      </w:r>
      <w:r w:rsidRPr="0084319B">
        <w:rPr>
          <w:iCs/>
        </w:rPr>
        <w:t xml:space="preserve">estrictive </w:t>
      </w:r>
      <w:r w:rsidR="0068785A">
        <w:rPr>
          <w:iCs/>
        </w:rPr>
        <w:t>i</w:t>
      </w:r>
      <w:r w:rsidRPr="0084319B">
        <w:rPr>
          <w:iCs/>
        </w:rPr>
        <w:t>nterventions</w:t>
      </w:r>
      <w:r w:rsidRPr="0084319B">
        <w:t xml:space="preserve"> data from the </w:t>
      </w:r>
      <w:r w:rsidR="63449B61">
        <w:t>statewide</w:t>
      </w:r>
      <w:r w:rsidRPr="0084319B">
        <w:t xml:space="preserve"> mental health database. </w:t>
      </w:r>
    </w:p>
    <w:sectPr w:rsidR="003B1035" w:rsidSect="00BA5E47">
      <w:headerReference w:type="even" r:id="rId21"/>
      <w:headerReference w:type="default" r:id="rId22"/>
      <w:footerReference w:type="even" r:id="rId23"/>
      <w:footerReference w:type="default" r:id="rId24"/>
      <w:footerReference w:type="first" r:id="rId25"/>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E3C38" w14:textId="77777777" w:rsidR="00F33284" w:rsidRDefault="00F33284">
      <w:r>
        <w:separator/>
      </w:r>
    </w:p>
  </w:endnote>
  <w:endnote w:type="continuationSeparator" w:id="0">
    <w:p w14:paraId="607E84F4" w14:textId="77777777" w:rsidR="00F33284" w:rsidRDefault="00F33284">
      <w:r>
        <w:continuationSeparator/>
      </w:r>
    </w:p>
  </w:endnote>
  <w:endnote w:type="continuationNotice" w:id="1">
    <w:p w14:paraId="796D1CC8" w14:textId="77777777" w:rsidR="00F33284" w:rsidRDefault="00F33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Times">
    <w:altName w:val="﷽﷽﷽﷽﷽﷽﷽﷽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48C16" w14:textId="1DC02189" w:rsidR="00F33284" w:rsidRDefault="00F33284">
    <w:pPr>
      <w:pStyle w:val="Footer"/>
    </w:pPr>
    <w:r>
      <w:rPr>
        <w:noProof/>
      </w:rPr>
      <mc:AlternateContent>
        <mc:Choice Requires="wps">
          <w:drawing>
            <wp:anchor distT="0" distB="0" distL="114300" distR="114300" simplePos="0" relativeHeight="251658241" behindDoc="0" locked="0" layoutInCell="0" allowOverlap="1" wp14:anchorId="6ED338FE" wp14:editId="08A28BB1">
              <wp:simplePos x="0" y="0"/>
              <wp:positionH relativeFrom="page">
                <wp:posOffset>0</wp:posOffset>
              </wp:positionH>
              <wp:positionV relativeFrom="page">
                <wp:posOffset>10189210</wp:posOffset>
              </wp:positionV>
              <wp:extent cx="7560310" cy="311785"/>
              <wp:effectExtent l="0" t="0" r="0" b="12065"/>
              <wp:wrapNone/>
              <wp:docPr id="4" name="MSIPCM8b554064852c03f1d26374a0"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35C3F" w14:textId="7DA10E6C"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D338FE" id="_x0000_t202" coordsize="21600,21600" o:spt="202" path="m,l,21600r21600,l21600,xe">
              <v:stroke joinstyle="miter"/>
              <v:path gradientshapeok="t" o:connecttype="rect"/>
            </v:shapetype>
            <v:shape id="MSIPCM8b554064852c03f1d26374a0" o:spid="_x0000_s1027" type="#_x0000_t202" alt="{&quot;HashCode&quot;:904758361,&quot;Height&quot;:841.0,&quot;Width&quot;:595.0,&quot;Placement&quot;:&quot;Footer&quot;,&quot;Index&quot;:&quot;OddAndEven&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SdbgywAgAASAUAAA4A&#10;AAAAAAAAAAAAAAAALgIAAGRycy9lMm9Eb2MueG1sUEsBAi0AFAAGAAgAAAAhAEgNXprfAAAACwEA&#10;AA8AAAAAAAAAAAAAAAAACgUAAGRycy9kb3ducmV2LnhtbFBLBQYAAAAABAAEAPMAAAAWBgAAAAA=&#10;" o:allowincell="f" filled="f" stroked="f" strokeweight=".5pt">
              <v:textbox inset=",0,,0">
                <w:txbxContent>
                  <w:p w14:paraId="4AF35C3F" w14:textId="7DA10E6C" w:rsidR="00F33284" w:rsidRPr="00F861AC" w:rsidRDefault="00F33284" w:rsidP="00F861AC">
                    <w:pPr>
                      <w:jc w:val="center"/>
                      <w:rPr>
                        <w:rFonts w:ascii="Arial Black" w:hAnsi="Arial Black"/>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947E7" w14:textId="14EA5824" w:rsidR="00F33284" w:rsidRDefault="00F33284">
    <w:pPr>
      <w:pStyle w:val="Footer"/>
    </w:pPr>
    <w:r>
      <w:rPr>
        <w:noProof/>
      </w:rPr>
      <mc:AlternateContent>
        <mc:Choice Requires="wps">
          <w:drawing>
            <wp:anchor distT="0" distB="0" distL="114300" distR="114300" simplePos="0" relativeHeight="251658240" behindDoc="0" locked="0" layoutInCell="0" allowOverlap="1" wp14:anchorId="7D442AA0" wp14:editId="632AC1BA">
              <wp:simplePos x="0" y="0"/>
              <wp:positionH relativeFrom="page">
                <wp:posOffset>0</wp:posOffset>
              </wp:positionH>
              <wp:positionV relativeFrom="page">
                <wp:posOffset>10189210</wp:posOffset>
              </wp:positionV>
              <wp:extent cx="7560310" cy="311785"/>
              <wp:effectExtent l="0" t="0" r="0" b="12065"/>
              <wp:wrapNone/>
              <wp:docPr id="1" name="MSIPCM240641de86b548ccb091be8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285477" w14:textId="53AAEA07"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442AA0" id="_x0000_t202" coordsize="21600,21600" o:spt="202" path="m,l,21600r21600,l21600,xe">
              <v:stroke joinstyle="miter"/>
              <v:path gradientshapeok="t" o:connecttype="rect"/>
            </v:shapetype>
            <v:shape id="MSIPCM240641de86b548ccb091be80"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Nvb+n68CAABMBQAADgAA&#10;AAAAAAAAAAAAAAAuAgAAZHJzL2Uyb0RvYy54bWxQSwECLQAUAAYACAAAACEASA1emt8AAAALAQAA&#10;DwAAAAAAAAAAAAAAAAAJBQAAZHJzL2Rvd25yZXYueG1sUEsFBgAAAAAEAAQA8wAAABUGAAAAAA==&#10;" o:allowincell="f" filled="f" stroked="f" strokeweight=".5pt">
              <v:textbox inset=",0,,0">
                <w:txbxContent>
                  <w:p w14:paraId="78285477" w14:textId="53AAEA07" w:rsidR="00F33284" w:rsidRPr="00F861AC" w:rsidRDefault="00F33284" w:rsidP="00F861AC">
                    <w:pPr>
                      <w:jc w:val="center"/>
                      <w:rPr>
                        <w:rFonts w:ascii="Arial Black" w:hAnsi="Arial Black"/>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EE30" w14:textId="6587E49F" w:rsidR="00F33284" w:rsidRPr="008114D1" w:rsidRDefault="00F33284" w:rsidP="00E969B1">
    <w:pPr>
      <w:pStyle w:val="DHHSfooter"/>
    </w:pPr>
    <w:r>
      <w:rPr>
        <w:noProof/>
      </w:rPr>
      <mc:AlternateContent>
        <mc:Choice Requires="wps">
          <w:drawing>
            <wp:anchor distT="0" distB="0" distL="114300" distR="114300" simplePos="0" relativeHeight="251658243" behindDoc="0" locked="0" layoutInCell="0" allowOverlap="1" wp14:anchorId="295A85A6" wp14:editId="72C422E5">
              <wp:simplePos x="0" y="0"/>
              <wp:positionH relativeFrom="page">
                <wp:posOffset>0</wp:posOffset>
              </wp:positionH>
              <wp:positionV relativeFrom="page">
                <wp:posOffset>10189210</wp:posOffset>
              </wp:positionV>
              <wp:extent cx="7560310" cy="311785"/>
              <wp:effectExtent l="0" t="0" r="0" b="12065"/>
              <wp:wrapNone/>
              <wp:docPr id="7" name="MSIPCMad25485fa8c62693cb66760c"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5356E3" w14:textId="77B82CD2"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5A85A6" id="_x0000_t202" coordsize="21600,21600" o:spt="202" path="m,l,21600r21600,l21600,xe">
              <v:stroke joinstyle="miter"/>
              <v:path gradientshapeok="t" o:connecttype="rect"/>
            </v:shapetype>
            <v:shape id="MSIPCMad25485fa8c62693cb66760c"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ORG84SzAgAATwUA&#10;AA4AAAAAAAAAAAAAAAAALgIAAGRycy9lMm9Eb2MueG1sUEsBAi0AFAAGAAgAAAAhAEgNXprfAAAA&#10;CwEAAA8AAAAAAAAAAAAAAAAADQUAAGRycy9kb3ducmV2LnhtbFBLBQYAAAAABAAEAPMAAAAZBgAA&#10;AAA=&#10;" o:allowincell="f" filled="f" stroked="f" strokeweight=".5pt">
              <v:textbox inset=",0,,0">
                <w:txbxContent>
                  <w:p w14:paraId="165356E3" w14:textId="77B82CD2" w:rsidR="00F33284" w:rsidRPr="00F861AC" w:rsidRDefault="00F33284" w:rsidP="00F861AC">
                    <w:pPr>
                      <w:jc w:val="center"/>
                      <w:rPr>
                        <w:rFonts w:ascii="Arial Black" w:hAnsi="Arial Black"/>
                        <w:color w:val="000000"/>
                      </w:rPr>
                    </w:pPr>
                  </w:p>
                </w:txbxContent>
              </v:textbox>
              <w10:wrap anchorx="page" anchory="page"/>
            </v:shape>
          </w:pict>
        </mc:Fallback>
      </mc:AlternateContent>
    </w:r>
    <w:r>
      <w:t xml:space="preserve">Page </w:t>
    </w:r>
    <w:r w:rsidRPr="005A39EC">
      <w:fldChar w:fldCharType="begin"/>
    </w:r>
    <w:r w:rsidRPr="005A39EC">
      <w:instrText xml:space="preserve"> PAGE </w:instrText>
    </w:r>
    <w:r w:rsidRPr="005A39EC">
      <w:fldChar w:fldCharType="separate"/>
    </w:r>
    <w:r>
      <w:rPr>
        <w:noProof/>
      </w:rPr>
      <w:t>8</w:t>
    </w:r>
    <w:r w:rsidRPr="005A39EC">
      <w:fldChar w:fldCharType="end"/>
    </w:r>
    <w:r>
      <w:tab/>
    </w:r>
    <w:r w:rsidRPr="00381B2F">
      <w:t>Chief Psychiatrist’s annual report 20</w:t>
    </w:r>
    <w:r>
      <w:t>20</w:t>
    </w:r>
    <w:r w:rsidRPr="00381B2F">
      <w:t>–2</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EFD76" w14:textId="4DE94166" w:rsidR="00F33284" w:rsidRPr="0031753A" w:rsidRDefault="00F33284" w:rsidP="00E969B1">
    <w:pPr>
      <w:pStyle w:val="DHHSfooter"/>
    </w:pPr>
    <w:r>
      <w:rPr>
        <w:noProof/>
      </w:rPr>
      <mc:AlternateContent>
        <mc:Choice Requires="wps">
          <w:drawing>
            <wp:anchor distT="0" distB="0" distL="114300" distR="114300" simplePos="0" relativeHeight="251658242" behindDoc="0" locked="0" layoutInCell="0" allowOverlap="1" wp14:anchorId="087ED57A" wp14:editId="71A33A70">
              <wp:simplePos x="0" y="0"/>
              <wp:positionH relativeFrom="page">
                <wp:posOffset>0</wp:posOffset>
              </wp:positionH>
              <wp:positionV relativeFrom="page">
                <wp:posOffset>10189210</wp:posOffset>
              </wp:positionV>
              <wp:extent cx="7560310" cy="311785"/>
              <wp:effectExtent l="0" t="0" r="0" b="12065"/>
              <wp:wrapNone/>
              <wp:docPr id="6" name="MSIPCM9cf24ec78242be993745388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17692F" w14:textId="5EE0F8DD"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7ED57A" id="_x0000_t202" coordsize="21600,21600" o:spt="202" path="m,l,21600r21600,l21600,xe">
              <v:stroke joinstyle="miter"/>
              <v:path gradientshapeok="t" o:connecttype="rect"/>
            </v:shapetype>
            <v:shape id="MSIPCM9cf24ec78242be9937453880" o:spid="_x0000_s1030" type="#_x0000_t202" alt="{&quot;HashCode&quot;:904758361,&quot;Height&quot;:841.0,&quot;Width&quot;:595.0,&quot;Placement&quot;:&quot;Footer&quot;,&quot;Index&quot;:&quot;Primary&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iYz1xsQIAAEwFAAAO&#10;AAAAAAAAAAAAAAAAAC4CAABkcnMvZTJvRG9jLnhtbFBLAQItABQABgAIAAAAIQBIDV6a3wAAAAsB&#10;AAAPAAAAAAAAAAAAAAAAAAsFAABkcnMvZG93bnJldi54bWxQSwUGAAAAAAQABADzAAAAFwYAAAAA&#10;" o:allowincell="f" filled="f" stroked="f" strokeweight=".5pt">
              <v:textbox inset=",0,,0">
                <w:txbxContent>
                  <w:p w14:paraId="4917692F" w14:textId="5EE0F8DD" w:rsidR="00F33284" w:rsidRPr="00F861AC" w:rsidRDefault="00F33284" w:rsidP="00F861AC">
                    <w:pPr>
                      <w:jc w:val="center"/>
                      <w:rPr>
                        <w:rFonts w:ascii="Arial Black" w:hAnsi="Arial Black"/>
                        <w:color w:val="000000"/>
                      </w:rPr>
                    </w:pPr>
                  </w:p>
                </w:txbxContent>
              </v:textbox>
              <w10:wrap anchorx="page" anchory="page"/>
            </v:shape>
          </w:pict>
        </mc:Fallback>
      </mc:AlternateContent>
    </w:r>
    <w:r w:rsidRPr="00381B2F">
      <w:t>Chief Psychiatrist’s annual report 20</w:t>
    </w:r>
    <w:r>
      <w:t>20</w:t>
    </w:r>
    <w:r w:rsidRPr="00381B2F">
      <w:t>–2</w:t>
    </w:r>
    <w:r>
      <w:t>1</w:t>
    </w:r>
    <w:r w:rsidRPr="0031753A">
      <w:tab/>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C98C0" w14:textId="77777777" w:rsidR="00F33284" w:rsidRPr="001A7E04" w:rsidRDefault="00F33284"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4832D" w14:textId="77777777" w:rsidR="00F33284" w:rsidRDefault="00F33284">
      <w:r>
        <w:separator/>
      </w:r>
    </w:p>
  </w:footnote>
  <w:footnote w:type="continuationSeparator" w:id="0">
    <w:p w14:paraId="4221EEAE" w14:textId="77777777" w:rsidR="00F33284" w:rsidRDefault="00F33284">
      <w:r>
        <w:continuationSeparator/>
      </w:r>
    </w:p>
  </w:footnote>
  <w:footnote w:type="continuationNotice" w:id="1">
    <w:p w14:paraId="4D052103" w14:textId="77777777" w:rsidR="00F33284" w:rsidRDefault="00F33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3B9C8" w14:textId="77777777" w:rsidR="00F33284" w:rsidRPr="0069374A" w:rsidRDefault="00F33284"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96D24" w14:textId="77777777" w:rsidR="00F33284" w:rsidRDefault="00F33284"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6C5B"/>
    <w:multiLevelType w:val="hybridMultilevel"/>
    <w:tmpl w:val="586CA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42204"/>
    <w:multiLevelType w:val="hybridMultilevel"/>
    <w:tmpl w:val="3364D8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C6691"/>
    <w:multiLevelType w:val="hybridMultilevel"/>
    <w:tmpl w:val="FFFFFFFF"/>
    <w:lvl w:ilvl="0" w:tplc="2214E340">
      <w:start w:val="1"/>
      <w:numFmt w:val="bullet"/>
      <w:lvlText w:val=""/>
      <w:lvlJc w:val="left"/>
      <w:pPr>
        <w:ind w:left="720" w:hanging="360"/>
      </w:pPr>
      <w:rPr>
        <w:rFonts w:ascii="Symbol" w:hAnsi="Symbol" w:hint="default"/>
      </w:rPr>
    </w:lvl>
    <w:lvl w:ilvl="1" w:tplc="954CF68E">
      <w:start w:val="1"/>
      <w:numFmt w:val="bullet"/>
      <w:lvlText w:val="o"/>
      <w:lvlJc w:val="left"/>
      <w:pPr>
        <w:ind w:left="1440" w:hanging="360"/>
      </w:pPr>
      <w:rPr>
        <w:rFonts w:ascii="Courier New" w:hAnsi="Courier New" w:hint="default"/>
      </w:rPr>
    </w:lvl>
    <w:lvl w:ilvl="2" w:tplc="69F8C1A4">
      <w:start w:val="1"/>
      <w:numFmt w:val="bullet"/>
      <w:lvlText w:val=""/>
      <w:lvlJc w:val="left"/>
      <w:pPr>
        <w:ind w:left="2160" w:hanging="360"/>
      </w:pPr>
      <w:rPr>
        <w:rFonts w:ascii="Wingdings" w:hAnsi="Wingdings" w:hint="default"/>
      </w:rPr>
    </w:lvl>
    <w:lvl w:ilvl="3" w:tplc="5DBC711E">
      <w:start w:val="1"/>
      <w:numFmt w:val="bullet"/>
      <w:lvlText w:val=""/>
      <w:lvlJc w:val="left"/>
      <w:pPr>
        <w:ind w:left="2880" w:hanging="360"/>
      </w:pPr>
      <w:rPr>
        <w:rFonts w:ascii="Symbol" w:hAnsi="Symbol" w:hint="default"/>
      </w:rPr>
    </w:lvl>
    <w:lvl w:ilvl="4" w:tplc="201E788C">
      <w:start w:val="1"/>
      <w:numFmt w:val="bullet"/>
      <w:lvlText w:val="o"/>
      <w:lvlJc w:val="left"/>
      <w:pPr>
        <w:ind w:left="3600" w:hanging="360"/>
      </w:pPr>
      <w:rPr>
        <w:rFonts w:ascii="Courier New" w:hAnsi="Courier New" w:hint="default"/>
      </w:rPr>
    </w:lvl>
    <w:lvl w:ilvl="5" w:tplc="1F14BD2A">
      <w:start w:val="1"/>
      <w:numFmt w:val="bullet"/>
      <w:lvlText w:val=""/>
      <w:lvlJc w:val="left"/>
      <w:pPr>
        <w:ind w:left="4320" w:hanging="360"/>
      </w:pPr>
      <w:rPr>
        <w:rFonts w:ascii="Wingdings" w:hAnsi="Wingdings" w:hint="default"/>
      </w:rPr>
    </w:lvl>
    <w:lvl w:ilvl="6" w:tplc="A0CAEEA2">
      <w:start w:val="1"/>
      <w:numFmt w:val="bullet"/>
      <w:lvlText w:val=""/>
      <w:lvlJc w:val="left"/>
      <w:pPr>
        <w:ind w:left="5040" w:hanging="360"/>
      </w:pPr>
      <w:rPr>
        <w:rFonts w:ascii="Symbol" w:hAnsi="Symbol" w:hint="default"/>
      </w:rPr>
    </w:lvl>
    <w:lvl w:ilvl="7" w:tplc="532E75FA">
      <w:start w:val="1"/>
      <w:numFmt w:val="bullet"/>
      <w:lvlText w:val="o"/>
      <w:lvlJc w:val="left"/>
      <w:pPr>
        <w:ind w:left="5760" w:hanging="360"/>
      </w:pPr>
      <w:rPr>
        <w:rFonts w:ascii="Courier New" w:hAnsi="Courier New" w:hint="default"/>
      </w:rPr>
    </w:lvl>
    <w:lvl w:ilvl="8" w:tplc="792625C6">
      <w:start w:val="1"/>
      <w:numFmt w:val="bullet"/>
      <w:lvlText w:val=""/>
      <w:lvlJc w:val="left"/>
      <w:pPr>
        <w:ind w:left="6480" w:hanging="360"/>
      </w:pPr>
      <w:rPr>
        <w:rFonts w:ascii="Wingdings" w:hAnsi="Wingdings" w:hint="default"/>
      </w:rPr>
    </w:lvl>
  </w:abstractNum>
  <w:abstractNum w:abstractNumId="3" w15:restartNumberingAfterBreak="0">
    <w:nsid w:val="0EF02DAD"/>
    <w:multiLevelType w:val="hybridMultilevel"/>
    <w:tmpl w:val="0F348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5A60F9"/>
    <w:multiLevelType w:val="hybridMultilevel"/>
    <w:tmpl w:val="E3642DF6"/>
    <w:lvl w:ilvl="0" w:tplc="83944284">
      <w:start w:val="1"/>
      <w:numFmt w:val="bullet"/>
      <w:lvlText w:val=""/>
      <w:lvlJc w:val="left"/>
      <w:pPr>
        <w:ind w:left="720" w:hanging="360"/>
      </w:pPr>
      <w:rPr>
        <w:rFonts w:ascii="Symbol" w:hAnsi="Symbol" w:hint="default"/>
      </w:rPr>
    </w:lvl>
    <w:lvl w:ilvl="1" w:tplc="454CEF88">
      <w:start w:val="1"/>
      <w:numFmt w:val="bullet"/>
      <w:lvlText w:val="o"/>
      <w:lvlJc w:val="left"/>
      <w:pPr>
        <w:ind w:left="1440" w:hanging="360"/>
      </w:pPr>
      <w:rPr>
        <w:rFonts w:ascii="Courier New" w:hAnsi="Courier New" w:hint="default"/>
      </w:rPr>
    </w:lvl>
    <w:lvl w:ilvl="2" w:tplc="D5D29804">
      <w:start w:val="1"/>
      <w:numFmt w:val="bullet"/>
      <w:lvlText w:val=""/>
      <w:lvlJc w:val="left"/>
      <w:pPr>
        <w:ind w:left="2160" w:hanging="360"/>
      </w:pPr>
      <w:rPr>
        <w:rFonts w:ascii="Wingdings" w:hAnsi="Wingdings" w:hint="default"/>
      </w:rPr>
    </w:lvl>
    <w:lvl w:ilvl="3" w:tplc="68D4FA42">
      <w:start w:val="1"/>
      <w:numFmt w:val="bullet"/>
      <w:lvlText w:val=""/>
      <w:lvlJc w:val="left"/>
      <w:pPr>
        <w:ind w:left="2880" w:hanging="360"/>
      </w:pPr>
      <w:rPr>
        <w:rFonts w:ascii="Symbol" w:hAnsi="Symbol" w:hint="default"/>
      </w:rPr>
    </w:lvl>
    <w:lvl w:ilvl="4" w:tplc="39280A8A">
      <w:start w:val="1"/>
      <w:numFmt w:val="bullet"/>
      <w:lvlText w:val="o"/>
      <w:lvlJc w:val="left"/>
      <w:pPr>
        <w:ind w:left="3600" w:hanging="360"/>
      </w:pPr>
      <w:rPr>
        <w:rFonts w:ascii="Courier New" w:hAnsi="Courier New" w:hint="default"/>
      </w:rPr>
    </w:lvl>
    <w:lvl w:ilvl="5" w:tplc="CF58FEC8">
      <w:start w:val="1"/>
      <w:numFmt w:val="bullet"/>
      <w:lvlText w:val=""/>
      <w:lvlJc w:val="left"/>
      <w:pPr>
        <w:ind w:left="4320" w:hanging="360"/>
      </w:pPr>
      <w:rPr>
        <w:rFonts w:ascii="Wingdings" w:hAnsi="Wingdings" w:hint="default"/>
      </w:rPr>
    </w:lvl>
    <w:lvl w:ilvl="6" w:tplc="DB36558C">
      <w:start w:val="1"/>
      <w:numFmt w:val="bullet"/>
      <w:lvlText w:val=""/>
      <w:lvlJc w:val="left"/>
      <w:pPr>
        <w:ind w:left="5040" w:hanging="360"/>
      </w:pPr>
      <w:rPr>
        <w:rFonts w:ascii="Symbol" w:hAnsi="Symbol" w:hint="default"/>
      </w:rPr>
    </w:lvl>
    <w:lvl w:ilvl="7" w:tplc="50B215EC">
      <w:start w:val="1"/>
      <w:numFmt w:val="bullet"/>
      <w:lvlText w:val="o"/>
      <w:lvlJc w:val="left"/>
      <w:pPr>
        <w:ind w:left="5760" w:hanging="360"/>
      </w:pPr>
      <w:rPr>
        <w:rFonts w:ascii="Courier New" w:hAnsi="Courier New" w:hint="default"/>
      </w:rPr>
    </w:lvl>
    <w:lvl w:ilvl="8" w:tplc="87A68C7E">
      <w:start w:val="1"/>
      <w:numFmt w:val="bullet"/>
      <w:lvlText w:val=""/>
      <w:lvlJc w:val="left"/>
      <w:pPr>
        <w:ind w:left="6480" w:hanging="360"/>
      </w:pPr>
      <w:rPr>
        <w:rFonts w:ascii="Wingdings" w:hAnsi="Wingdings" w:hint="default"/>
      </w:rPr>
    </w:lvl>
  </w:abstractNum>
  <w:abstractNum w:abstractNumId="5" w15:restartNumberingAfterBreak="0">
    <w:nsid w:val="11F102B6"/>
    <w:multiLevelType w:val="hybridMultilevel"/>
    <w:tmpl w:val="5038F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BB52B0"/>
    <w:multiLevelType w:val="hybridMultilevel"/>
    <w:tmpl w:val="71A0A112"/>
    <w:lvl w:ilvl="0" w:tplc="184EC104">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65A1F63"/>
    <w:multiLevelType w:val="hybridMultilevel"/>
    <w:tmpl w:val="9BE63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86679D"/>
    <w:multiLevelType w:val="hybridMultilevel"/>
    <w:tmpl w:val="6CE2B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224382"/>
    <w:multiLevelType w:val="hybridMultilevel"/>
    <w:tmpl w:val="04CEA84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D1936"/>
    <w:multiLevelType w:val="hybridMultilevel"/>
    <w:tmpl w:val="B0A68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C01D13"/>
    <w:multiLevelType w:val="hybridMultilevel"/>
    <w:tmpl w:val="1DAE232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7D66E1"/>
    <w:multiLevelType w:val="hybridMultilevel"/>
    <w:tmpl w:val="3946B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021FF"/>
    <w:multiLevelType w:val="hybridMultilevel"/>
    <w:tmpl w:val="EBF22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36048D"/>
    <w:multiLevelType w:val="hybridMultilevel"/>
    <w:tmpl w:val="A022B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D51B47"/>
    <w:multiLevelType w:val="hybridMultilevel"/>
    <w:tmpl w:val="4B4E7622"/>
    <w:numStyleLink w:val="ZZNumbers"/>
  </w:abstractNum>
  <w:abstractNum w:abstractNumId="16" w15:restartNumberingAfterBreak="0">
    <w:nsid w:val="31CB7F44"/>
    <w:multiLevelType w:val="hybridMultilevel"/>
    <w:tmpl w:val="393E4C8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C74DCD"/>
    <w:multiLevelType w:val="hybridMultilevel"/>
    <w:tmpl w:val="DBF6FC02"/>
    <w:lvl w:ilvl="0" w:tplc="3BF0BD86">
      <w:start w:val="1"/>
      <w:numFmt w:val="bullet"/>
      <w:lvlText w:val=""/>
      <w:lvlJc w:val="left"/>
      <w:pPr>
        <w:tabs>
          <w:tab w:val="num" w:pos="720"/>
        </w:tabs>
        <w:ind w:left="720" w:hanging="360"/>
      </w:pPr>
      <w:rPr>
        <w:rFonts w:ascii="Symbol" w:hAnsi="Symbol" w:hint="default"/>
        <w:sz w:val="20"/>
      </w:rPr>
    </w:lvl>
    <w:lvl w:ilvl="1" w:tplc="3D182448" w:tentative="1">
      <w:start w:val="1"/>
      <w:numFmt w:val="bullet"/>
      <w:lvlText w:val=""/>
      <w:lvlJc w:val="left"/>
      <w:pPr>
        <w:tabs>
          <w:tab w:val="num" w:pos="1440"/>
        </w:tabs>
        <w:ind w:left="1440" w:hanging="360"/>
      </w:pPr>
      <w:rPr>
        <w:rFonts w:ascii="Symbol" w:hAnsi="Symbol" w:hint="default"/>
        <w:sz w:val="20"/>
      </w:rPr>
    </w:lvl>
    <w:lvl w:ilvl="2" w:tplc="3A6E0668" w:tentative="1">
      <w:start w:val="1"/>
      <w:numFmt w:val="bullet"/>
      <w:lvlText w:val=""/>
      <w:lvlJc w:val="left"/>
      <w:pPr>
        <w:tabs>
          <w:tab w:val="num" w:pos="2160"/>
        </w:tabs>
        <w:ind w:left="2160" w:hanging="360"/>
      </w:pPr>
      <w:rPr>
        <w:rFonts w:ascii="Symbol" w:hAnsi="Symbol" w:hint="default"/>
        <w:sz w:val="20"/>
      </w:rPr>
    </w:lvl>
    <w:lvl w:ilvl="3" w:tplc="0F8A7B8C" w:tentative="1">
      <w:start w:val="1"/>
      <w:numFmt w:val="bullet"/>
      <w:lvlText w:val=""/>
      <w:lvlJc w:val="left"/>
      <w:pPr>
        <w:tabs>
          <w:tab w:val="num" w:pos="2880"/>
        </w:tabs>
        <w:ind w:left="2880" w:hanging="360"/>
      </w:pPr>
      <w:rPr>
        <w:rFonts w:ascii="Symbol" w:hAnsi="Symbol" w:hint="default"/>
        <w:sz w:val="20"/>
      </w:rPr>
    </w:lvl>
    <w:lvl w:ilvl="4" w:tplc="501CC542" w:tentative="1">
      <w:start w:val="1"/>
      <w:numFmt w:val="bullet"/>
      <w:lvlText w:val=""/>
      <w:lvlJc w:val="left"/>
      <w:pPr>
        <w:tabs>
          <w:tab w:val="num" w:pos="3600"/>
        </w:tabs>
        <w:ind w:left="3600" w:hanging="360"/>
      </w:pPr>
      <w:rPr>
        <w:rFonts w:ascii="Symbol" w:hAnsi="Symbol" w:hint="default"/>
        <w:sz w:val="20"/>
      </w:rPr>
    </w:lvl>
    <w:lvl w:ilvl="5" w:tplc="135061E8" w:tentative="1">
      <w:start w:val="1"/>
      <w:numFmt w:val="bullet"/>
      <w:lvlText w:val=""/>
      <w:lvlJc w:val="left"/>
      <w:pPr>
        <w:tabs>
          <w:tab w:val="num" w:pos="4320"/>
        </w:tabs>
        <w:ind w:left="4320" w:hanging="360"/>
      </w:pPr>
      <w:rPr>
        <w:rFonts w:ascii="Symbol" w:hAnsi="Symbol" w:hint="default"/>
        <w:sz w:val="20"/>
      </w:rPr>
    </w:lvl>
    <w:lvl w:ilvl="6" w:tplc="5F3ACC18" w:tentative="1">
      <w:start w:val="1"/>
      <w:numFmt w:val="bullet"/>
      <w:lvlText w:val=""/>
      <w:lvlJc w:val="left"/>
      <w:pPr>
        <w:tabs>
          <w:tab w:val="num" w:pos="5040"/>
        </w:tabs>
        <w:ind w:left="5040" w:hanging="360"/>
      </w:pPr>
      <w:rPr>
        <w:rFonts w:ascii="Symbol" w:hAnsi="Symbol" w:hint="default"/>
        <w:sz w:val="20"/>
      </w:rPr>
    </w:lvl>
    <w:lvl w:ilvl="7" w:tplc="51269316" w:tentative="1">
      <w:start w:val="1"/>
      <w:numFmt w:val="bullet"/>
      <w:lvlText w:val=""/>
      <w:lvlJc w:val="left"/>
      <w:pPr>
        <w:tabs>
          <w:tab w:val="num" w:pos="5760"/>
        </w:tabs>
        <w:ind w:left="5760" w:hanging="360"/>
      </w:pPr>
      <w:rPr>
        <w:rFonts w:ascii="Symbol" w:hAnsi="Symbol" w:hint="default"/>
        <w:sz w:val="20"/>
      </w:rPr>
    </w:lvl>
    <w:lvl w:ilvl="8" w:tplc="52C258B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D531F4"/>
    <w:multiLevelType w:val="hybridMultilevel"/>
    <w:tmpl w:val="25C68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277ECB"/>
    <w:multiLevelType w:val="hybridMultilevel"/>
    <w:tmpl w:val="5A90C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695BE3"/>
    <w:multiLevelType w:val="hybridMultilevel"/>
    <w:tmpl w:val="AA62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CC42A0"/>
    <w:multiLevelType w:val="hybridMultilevel"/>
    <w:tmpl w:val="FFFFFFFF"/>
    <w:lvl w:ilvl="0" w:tplc="592ED2A8">
      <w:start w:val="1"/>
      <w:numFmt w:val="bullet"/>
      <w:lvlText w:val="·"/>
      <w:lvlJc w:val="left"/>
      <w:pPr>
        <w:ind w:left="720" w:hanging="360"/>
      </w:pPr>
      <w:rPr>
        <w:rFonts w:ascii="Symbol" w:hAnsi="Symbol" w:hint="default"/>
      </w:rPr>
    </w:lvl>
    <w:lvl w:ilvl="1" w:tplc="2B4A40EA">
      <w:start w:val="1"/>
      <w:numFmt w:val="bullet"/>
      <w:lvlText w:val="o"/>
      <w:lvlJc w:val="left"/>
      <w:pPr>
        <w:ind w:left="1440" w:hanging="360"/>
      </w:pPr>
      <w:rPr>
        <w:rFonts w:ascii="Courier New" w:hAnsi="Courier New" w:hint="default"/>
      </w:rPr>
    </w:lvl>
    <w:lvl w:ilvl="2" w:tplc="D9F2DB58">
      <w:start w:val="1"/>
      <w:numFmt w:val="bullet"/>
      <w:lvlText w:val=""/>
      <w:lvlJc w:val="left"/>
      <w:pPr>
        <w:ind w:left="2160" w:hanging="360"/>
      </w:pPr>
      <w:rPr>
        <w:rFonts w:ascii="Wingdings" w:hAnsi="Wingdings" w:hint="default"/>
      </w:rPr>
    </w:lvl>
    <w:lvl w:ilvl="3" w:tplc="53405776">
      <w:start w:val="1"/>
      <w:numFmt w:val="bullet"/>
      <w:lvlText w:val=""/>
      <w:lvlJc w:val="left"/>
      <w:pPr>
        <w:ind w:left="2880" w:hanging="360"/>
      </w:pPr>
      <w:rPr>
        <w:rFonts w:ascii="Symbol" w:hAnsi="Symbol" w:hint="default"/>
      </w:rPr>
    </w:lvl>
    <w:lvl w:ilvl="4" w:tplc="A718DA2C">
      <w:start w:val="1"/>
      <w:numFmt w:val="bullet"/>
      <w:lvlText w:val="o"/>
      <w:lvlJc w:val="left"/>
      <w:pPr>
        <w:ind w:left="3600" w:hanging="360"/>
      </w:pPr>
      <w:rPr>
        <w:rFonts w:ascii="Courier New" w:hAnsi="Courier New" w:hint="default"/>
      </w:rPr>
    </w:lvl>
    <w:lvl w:ilvl="5" w:tplc="89144D48">
      <w:start w:val="1"/>
      <w:numFmt w:val="bullet"/>
      <w:lvlText w:val=""/>
      <w:lvlJc w:val="left"/>
      <w:pPr>
        <w:ind w:left="4320" w:hanging="360"/>
      </w:pPr>
      <w:rPr>
        <w:rFonts w:ascii="Wingdings" w:hAnsi="Wingdings" w:hint="default"/>
      </w:rPr>
    </w:lvl>
    <w:lvl w:ilvl="6" w:tplc="5C963A86">
      <w:start w:val="1"/>
      <w:numFmt w:val="bullet"/>
      <w:lvlText w:val=""/>
      <w:lvlJc w:val="left"/>
      <w:pPr>
        <w:ind w:left="5040" w:hanging="360"/>
      </w:pPr>
      <w:rPr>
        <w:rFonts w:ascii="Symbol" w:hAnsi="Symbol" w:hint="default"/>
      </w:rPr>
    </w:lvl>
    <w:lvl w:ilvl="7" w:tplc="70BC426A">
      <w:start w:val="1"/>
      <w:numFmt w:val="bullet"/>
      <w:lvlText w:val="o"/>
      <w:lvlJc w:val="left"/>
      <w:pPr>
        <w:ind w:left="5760" w:hanging="360"/>
      </w:pPr>
      <w:rPr>
        <w:rFonts w:ascii="Courier New" w:hAnsi="Courier New" w:hint="default"/>
      </w:rPr>
    </w:lvl>
    <w:lvl w:ilvl="8" w:tplc="49827C30">
      <w:start w:val="1"/>
      <w:numFmt w:val="bullet"/>
      <w:lvlText w:val=""/>
      <w:lvlJc w:val="left"/>
      <w:pPr>
        <w:ind w:left="6480" w:hanging="360"/>
      </w:pPr>
      <w:rPr>
        <w:rFonts w:ascii="Wingdings" w:hAnsi="Wingdings" w:hint="default"/>
      </w:rPr>
    </w:lvl>
  </w:abstractNum>
  <w:abstractNum w:abstractNumId="22" w15:restartNumberingAfterBreak="0">
    <w:nsid w:val="3BCF326F"/>
    <w:multiLevelType w:val="hybridMultilevel"/>
    <w:tmpl w:val="37BCB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4303A5"/>
    <w:multiLevelType w:val="hybridMultilevel"/>
    <w:tmpl w:val="4B4E7622"/>
    <w:styleLink w:val="ZZNumbers"/>
    <w:lvl w:ilvl="0" w:tplc="9C667276">
      <w:start w:val="1"/>
      <w:numFmt w:val="decimal"/>
      <w:pStyle w:val="DHHSnumberdigit"/>
      <w:lvlText w:val="%1."/>
      <w:lvlJc w:val="left"/>
      <w:pPr>
        <w:tabs>
          <w:tab w:val="num" w:pos="681"/>
        </w:tabs>
        <w:ind w:left="681" w:hanging="397"/>
      </w:pPr>
      <w:rPr>
        <w:rFonts w:hint="default"/>
      </w:rPr>
    </w:lvl>
    <w:lvl w:ilvl="1" w:tplc="BD806162">
      <w:start w:val="1"/>
      <w:numFmt w:val="decimal"/>
      <w:lvlRestart w:val="0"/>
      <w:pStyle w:val="DHHSnumberdigitindent"/>
      <w:lvlText w:val="%2."/>
      <w:lvlJc w:val="left"/>
      <w:pPr>
        <w:tabs>
          <w:tab w:val="num" w:pos="794"/>
        </w:tabs>
        <w:ind w:left="794" w:hanging="397"/>
      </w:pPr>
      <w:rPr>
        <w:rFonts w:hint="default"/>
      </w:rPr>
    </w:lvl>
    <w:lvl w:ilvl="2" w:tplc="5074EC1E">
      <w:start w:val="1"/>
      <w:numFmt w:val="lowerLetter"/>
      <w:lvlRestart w:val="0"/>
      <w:pStyle w:val="DHHSnumberloweralpha"/>
      <w:lvlText w:val="(%3)"/>
      <w:lvlJc w:val="left"/>
      <w:pPr>
        <w:tabs>
          <w:tab w:val="num" w:pos="397"/>
        </w:tabs>
        <w:ind w:left="397" w:hanging="397"/>
      </w:pPr>
      <w:rPr>
        <w:rFonts w:hint="default"/>
      </w:rPr>
    </w:lvl>
    <w:lvl w:ilvl="3" w:tplc="F022128E">
      <w:start w:val="1"/>
      <w:numFmt w:val="lowerLetter"/>
      <w:lvlRestart w:val="0"/>
      <w:pStyle w:val="DHHSnumberloweralphaindent"/>
      <w:lvlText w:val="(%4)"/>
      <w:lvlJc w:val="left"/>
      <w:pPr>
        <w:tabs>
          <w:tab w:val="num" w:pos="794"/>
        </w:tabs>
        <w:ind w:left="794" w:hanging="397"/>
      </w:pPr>
      <w:rPr>
        <w:rFonts w:hint="default"/>
      </w:rPr>
    </w:lvl>
    <w:lvl w:ilvl="4" w:tplc="4D7AA572">
      <w:start w:val="1"/>
      <w:numFmt w:val="lowerRoman"/>
      <w:lvlRestart w:val="0"/>
      <w:pStyle w:val="DHHSnumberlowerroman"/>
      <w:lvlText w:val="(%5)"/>
      <w:lvlJc w:val="left"/>
      <w:pPr>
        <w:tabs>
          <w:tab w:val="num" w:pos="397"/>
        </w:tabs>
        <w:ind w:left="397" w:hanging="397"/>
      </w:pPr>
      <w:rPr>
        <w:rFonts w:hint="default"/>
      </w:rPr>
    </w:lvl>
    <w:lvl w:ilvl="5" w:tplc="8A185C8C">
      <w:start w:val="1"/>
      <w:numFmt w:val="lowerRoman"/>
      <w:lvlRestart w:val="0"/>
      <w:pStyle w:val="DHHSnumberlowerromanindent"/>
      <w:lvlText w:val="(%6)"/>
      <w:lvlJc w:val="left"/>
      <w:pPr>
        <w:tabs>
          <w:tab w:val="num" w:pos="794"/>
        </w:tabs>
        <w:ind w:left="794" w:hanging="397"/>
      </w:pPr>
      <w:rPr>
        <w:rFonts w:hint="default"/>
      </w:rPr>
    </w:lvl>
    <w:lvl w:ilvl="6" w:tplc="C79C30B6">
      <w:start w:val="1"/>
      <w:numFmt w:val="none"/>
      <w:lvlRestart w:val="0"/>
      <w:lvlText w:val=""/>
      <w:lvlJc w:val="left"/>
      <w:pPr>
        <w:ind w:left="0" w:firstLine="0"/>
      </w:pPr>
      <w:rPr>
        <w:rFonts w:hint="default"/>
      </w:rPr>
    </w:lvl>
    <w:lvl w:ilvl="7" w:tplc="2FA06AB8">
      <w:start w:val="1"/>
      <w:numFmt w:val="none"/>
      <w:lvlRestart w:val="0"/>
      <w:lvlText w:val=""/>
      <w:lvlJc w:val="left"/>
      <w:pPr>
        <w:ind w:left="0" w:firstLine="0"/>
      </w:pPr>
      <w:rPr>
        <w:rFonts w:hint="default"/>
      </w:rPr>
    </w:lvl>
    <w:lvl w:ilvl="8" w:tplc="8B245E40">
      <w:start w:val="1"/>
      <w:numFmt w:val="none"/>
      <w:lvlRestart w:val="0"/>
      <w:lvlText w:val=""/>
      <w:lvlJc w:val="right"/>
      <w:pPr>
        <w:ind w:left="0" w:firstLine="0"/>
      </w:pPr>
      <w:rPr>
        <w:rFonts w:hint="default"/>
      </w:rPr>
    </w:lvl>
  </w:abstractNum>
  <w:abstractNum w:abstractNumId="24" w15:restartNumberingAfterBreak="0">
    <w:nsid w:val="3D856244"/>
    <w:multiLevelType w:val="hybridMultilevel"/>
    <w:tmpl w:val="39084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490424"/>
    <w:multiLevelType w:val="hybridMultilevel"/>
    <w:tmpl w:val="0B46D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3D5B06"/>
    <w:multiLevelType w:val="hybridMultilevel"/>
    <w:tmpl w:val="FFFFFFFF"/>
    <w:lvl w:ilvl="0" w:tplc="6818D31C">
      <w:start w:val="1"/>
      <w:numFmt w:val="bullet"/>
      <w:lvlText w:val="·"/>
      <w:lvlJc w:val="left"/>
      <w:pPr>
        <w:ind w:left="720" w:hanging="360"/>
      </w:pPr>
      <w:rPr>
        <w:rFonts w:ascii="Symbol" w:hAnsi="Symbol" w:hint="default"/>
      </w:rPr>
    </w:lvl>
    <w:lvl w:ilvl="1" w:tplc="6DACCDD8">
      <w:start w:val="1"/>
      <w:numFmt w:val="bullet"/>
      <w:lvlText w:val="o"/>
      <w:lvlJc w:val="left"/>
      <w:pPr>
        <w:ind w:left="1440" w:hanging="360"/>
      </w:pPr>
      <w:rPr>
        <w:rFonts w:ascii="Courier New" w:hAnsi="Courier New" w:hint="default"/>
      </w:rPr>
    </w:lvl>
    <w:lvl w:ilvl="2" w:tplc="823EE856">
      <w:start w:val="1"/>
      <w:numFmt w:val="bullet"/>
      <w:lvlText w:val=""/>
      <w:lvlJc w:val="left"/>
      <w:pPr>
        <w:ind w:left="2160" w:hanging="360"/>
      </w:pPr>
      <w:rPr>
        <w:rFonts w:ascii="Wingdings" w:hAnsi="Wingdings" w:hint="default"/>
      </w:rPr>
    </w:lvl>
    <w:lvl w:ilvl="3" w:tplc="E3689A36">
      <w:start w:val="1"/>
      <w:numFmt w:val="bullet"/>
      <w:lvlText w:val=""/>
      <w:lvlJc w:val="left"/>
      <w:pPr>
        <w:ind w:left="2880" w:hanging="360"/>
      </w:pPr>
      <w:rPr>
        <w:rFonts w:ascii="Symbol" w:hAnsi="Symbol" w:hint="default"/>
      </w:rPr>
    </w:lvl>
    <w:lvl w:ilvl="4" w:tplc="98300E92">
      <w:start w:val="1"/>
      <w:numFmt w:val="bullet"/>
      <w:lvlText w:val="o"/>
      <w:lvlJc w:val="left"/>
      <w:pPr>
        <w:ind w:left="3600" w:hanging="360"/>
      </w:pPr>
      <w:rPr>
        <w:rFonts w:ascii="Courier New" w:hAnsi="Courier New" w:hint="default"/>
      </w:rPr>
    </w:lvl>
    <w:lvl w:ilvl="5" w:tplc="4F365718">
      <w:start w:val="1"/>
      <w:numFmt w:val="bullet"/>
      <w:lvlText w:val=""/>
      <w:lvlJc w:val="left"/>
      <w:pPr>
        <w:ind w:left="4320" w:hanging="360"/>
      </w:pPr>
      <w:rPr>
        <w:rFonts w:ascii="Wingdings" w:hAnsi="Wingdings" w:hint="default"/>
      </w:rPr>
    </w:lvl>
    <w:lvl w:ilvl="6" w:tplc="AB58F134">
      <w:start w:val="1"/>
      <w:numFmt w:val="bullet"/>
      <w:lvlText w:val=""/>
      <w:lvlJc w:val="left"/>
      <w:pPr>
        <w:ind w:left="5040" w:hanging="360"/>
      </w:pPr>
      <w:rPr>
        <w:rFonts w:ascii="Symbol" w:hAnsi="Symbol" w:hint="default"/>
      </w:rPr>
    </w:lvl>
    <w:lvl w:ilvl="7" w:tplc="EE76D324">
      <w:start w:val="1"/>
      <w:numFmt w:val="bullet"/>
      <w:lvlText w:val="o"/>
      <w:lvlJc w:val="left"/>
      <w:pPr>
        <w:ind w:left="5760" w:hanging="360"/>
      </w:pPr>
      <w:rPr>
        <w:rFonts w:ascii="Courier New" w:hAnsi="Courier New" w:hint="default"/>
      </w:rPr>
    </w:lvl>
    <w:lvl w:ilvl="8" w:tplc="943C31FE">
      <w:start w:val="1"/>
      <w:numFmt w:val="bullet"/>
      <w:lvlText w:val=""/>
      <w:lvlJc w:val="left"/>
      <w:pPr>
        <w:ind w:left="6480" w:hanging="360"/>
      </w:pPr>
      <w:rPr>
        <w:rFonts w:ascii="Wingdings" w:hAnsi="Wingdings" w:hint="default"/>
      </w:rPr>
    </w:lvl>
  </w:abstractNum>
  <w:abstractNum w:abstractNumId="27" w15:restartNumberingAfterBreak="0">
    <w:nsid w:val="445A69BC"/>
    <w:multiLevelType w:val="hybridMultilevel"/>
    <w:tmpl w:val="FFFFFFFF"/>
    <w:lvl w:ilvl="0" w:tplc="FFFFFFFF">
      <w:start w:val="1"/>
      <w:numFmt w:val="bullet"/>
      <w:lvlText w:val=""/>
      <w:lvlJc w:val="left"/>
      <w:pPr>
        <w:ind w:left="720" w:hanging="360"/>
      </w:pPr>
      <w:rPr>
        <w:rFonts w:ascii="Symbol" w:hAnsi="Symbol" w:hint="default"/>
      </w:rPr>
    </w:lvl>
    <w:lvl w:ilvl="1" w:tplc="563A7392">
      <w:start w:val="1"/>
      <w:numFmt w:val="bullet"/>
      <w:lvlText w:val="o"/>
      <w:lvlJc w:val="left"/>
      <w:pPr>
        <w:ind w:left="1440" w:hanging="360"/>
      </w:pPr>
      <w:rPr>
        <w:rFonts w:ascii="Courier New" w:hAnsi="Courier New" w:hint="default"/>
      </w:rPr>
    </w:lvl>
    <w:lvl w:ilvl="2" w:tplc="1ABACBB4">
      <w:start w:val="1"/>
      <w:numFmt w:val="bullet"/>
      <w:lvlText w:val=""/>
      <w:lvlJc w:val="left"/>
      <w:pPr>
        <w:ind w:left="2160" w:hanging="360"/>
      </w:pPr>
      <w:rPr>
        <w:rFonts w:ascii="Wingdings" w:hAnsi="Wingdings" w:hint="default"/>
      </w:rPr>
    </w:lvl>
    <w:lvl w:ilvl="3" w:tplc="6A4AFDD4">
      <w:start w:val="1"/>
      <w:numFmt w:val="bullet"/>
      <w:lvlText w:val=""/>
      <w:lvlJc w:val="left"/>
      <w:pPr>
        <w:ind w:left="2880" w:hanging="360"/>
      </w:pPr>
      <w:rPr>
        <w:rFonts w:ascii="Symbol" w:hAnsi="Symbol" w:hint="default"/>
      </w:rPr>
    </w:lvl>
    <w:lvl w:ilvl="4" w:tplc="6F243490">
      <w:start w:val="1"/>
      <w:numFmt w:val="bullet"/>
      <w:lvlText w:val="o"/>
      <w:lvlJc w:val="left"/>
      <w:pPr>
        <w:ind w:left="3600" w:hanging="360"/>
      </w:pPr>
      <w:rPr>
        <w:rFonts w:ascii="Courier New" w:hAnsi="Courier New" w:hint="default"/>
      </w:rPr>
    </w:lvl>
    <w:lvl w:ilvl="5" w:tplc="0062FAF4">
      <w:start w:val="1"/>
      <w:numFmt w:val="bullet"/>
      <w:lvlText w:val=""/>
      <w:lvlJc w:val="left"/>
      <w:pPr>
        <w:ind w:left="4320" w:hanging="360"/>
      </w:pPr>
      <w:rPr>
        <w:rFonts w:ascii="Wingdings" w:hAnsi="Wingdings" w:hint="default"/>
      </w:rPr>
    </w:lvl>
    <w:lvl w:ilvl="6" w:tplc="14C8B522">
      <w:start w:val="1"/>
      <w:numFmt w:val="bullet"/>
      <w:lvlText w:val=""/>
      <w:lvlJc w:val="left"/>
      <w:pPr>
        <w:ind w:left="5040" w:hanging="360"/>
      </w:pPr>
      <w:rPr>
        <w:rFonts w:ascii="Symbol" w:hAnsi="Symbol" w:hint="default"/>
      </w:rPr>
    </w:lvl>
    <w:lvl w:ilvl="7" w:tplc="564861CC">
      <w:start w:val="1"/>
      <w:numFmt w:val="bullet"/>
      <w:lvlText w:val="o"/>
      <w:lvlJc w:val="left"/>
      <w:pPr>
        <w:ind w:left="5760" w:hanging="360"/>
      </w:pPr>
      <w:rPr>
        <w:rFonts w:ascii="Courier New" w:hAnsi="Courier New" w:hint="default"/>
      </w:rPr>
    </w:lvl>
    <w:lvl w:ilvl="8" w:tplc="56E60FE8">
      <w:start w:val="1"/>
      <w:numFmt w:val="bullet"/>
      <w:lvlText w:val=""/>
      <w:lvlJc w:val="left"/>
      <w:pPr>
        <w:ind w:left="6480" w:hanging="360"/>
      </w:pPr>
      <w:rPr>
        <w:rFonts w:ascii="Wingdings" w:hAnsi="Wingdings" w:hint="default"/>
      </w:rPr>
    </w:lvl>
  </w:abstractNum>
  <w:abstractNum w:abstractNumId="28" w15:restartNumberingAfterBreak="0">
    <w:nsid w:val="4561622B"/>
    <w:multiLevelType w:val="hybridMultilevel"/>
    <w:tmpl w:val="BEC04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87153F"/>
    <w:multiLevelType w:val="hybridMultilevel"/>
    <w:tmpl w:val="97809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AC7F44"/>
    <w:multiLevelType w:val="hybridMultilevel"/>
    <w:tmpl w:val="4B962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7C0602B"/>
    <w:multiLevelType w:val="hybridMultilevel"/>
    <w:tmpl w:val="28D28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050A0D"/>
    <w:multiLevelType w:val="hybridMultilevel"/>
    <w:tmpl w:val="8C204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A491CD1"/>
    <w:multiLevelType w:val="hybridMultilevel"/>
    <w:tmpl w:val="598CD7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BD7460"/>
    <w:multiLevelType w:val="hybridMultilevel"/>
    <w:tmpl w:val="FFFFFFFF"/>
    <w:lvl w:ilvl="0" w:tplc="BCFC8966">
      <w:start w:val="1"/>
      <w:numFmt w:val="bullet"/>
      <w:lvlText w:val="·"/>
      <w:lvlJc w:val="left"/>
      <w:pPr>
        <w:ind w:left="720" w:hanging="360"/>
      </w:pPr>
      <w:rPr>
        <w:rFonts w:ascii="Symbol" w:hAnsi="Symbol" w:hint="default"/>
      </w:rPr>
    </w:lvl>
    <w:lvl w:ilvl="1" w:tplc="9CE808F6">
      <w:start w:val="1"/>
      <w:numFmt w:val="bullet"/>
      <w:lvlText w:val="o"/>
      <w:lvlJc w:val="left"/>
      <w:pPr>
        <w:ind w:left="1440" w:hanging="360"/>
      </w:pPr>
      <w:rPr>
        <w:rFonts w:ascii="Courier New" w:hAnsi="Courier New" w:hint="default"/>
      </w:rPr>
    </w:lvl>
    <w:lvl w:ilvl="2" w:tplc="0BD8D780">
      <w:start w:val="1"/>
      <w:numFmt w:val="bullet"/>
      <w:lvlText w:val=""/>
      <w:lvlJc w:val="left"/>
      <w:pPr>
        <w:ind w:left="2160" w:hanging="360"/>
      </w:pPr>
      <w:rPr>
        <w:rFonts w:ascii="Wingdings" w:hAnsi="Wingdings" w:hint="default"/>
      </w:rPr>
    </w:lvl>
    <w:lvl w:ilvl="3" w:tplc="E14C9AAA">
      <w:start w:val="1"/>
      <w:numFmt w:val="bullet"/>
      <w:lvlText w:val=""/>
      <w:lvlJc w:val="left"/>
      <w:pPr>
        <w:ind w:left="2880" w:hanging="360"/>
      </w:pPr>
      <w:rPr>
        <w:rFonts w:ascii="Symbol" w:hAnsi="Symbol" w:hint="default"/>
      </w:rPr>
    </w:lvl>
    <w:lvl w:ilvl="4" w:tplc="F92EFE64">
      <w:start w:val="1"/>
      <w:numFmt w:val="bullet"/>
      <w:lvlText w:val="o"/>
      <w:lvlJc w:val="left"/>
      <w:pPr>
        <w:ind w:left="3600" w:hanging="360"/>
      </w:pPr>
      <w:rPr>
        <w:rFonts w:ascii="Courier New" w:hAnsi="Courier New" w:hint="default"/>
      </w:rPr>
    </w:lvl>
    <w:lvl w:ilvl="5" w:tplc="F8F8F3A2">
      <w:start w:val="1"/>
      <w:numFmt w:val="bullet"/>
      <w:lvlText w:val=""/>
      <w:lvlJc w:val="left"/>
      <w:pPr>
        <w:ind w:left="4320" w:hanging="360"/>
      </w:pPr>
      <w:rPr>
        <w:rFonts w:ascii="Wingdings" w:hAnsi="Wingdings" w:hint="default"/>
      </w:rPr>
    </w:lvl>
    <w:lvl w:ilvl="6" w:tplc="39BE7656">
      <w:start w:val="1"/>
      <w:numFmt w:val="bullet"/>
      <w:lvlText w:val=""/>
      <w:lvlJc w:val="left"/>
      <w:pPr>
        <w:ind w:left="5040" w:hanging="360"/>
      </w:pPr>
      <w:rPr>
        <w:rFonts w:ascii="Symbol" w:hAnsi="Symbol" w:hint="default"/>
      </w:rPr>
    </w:lvl>
    <w:lvl w:ilvl="7" w:tplc="3A3ED0FA">
      <w:start w:val="1"/>
      <w:numFmt w:val="bullet"/>
      <w:lvlText w:val="o"/>
      <w:lvlJc w:val="left"/>
      <w:pPr>
        <w:ind w:left="5760" w:hanging="360"/>
      </w:pPr>
      <w:rPr>
        <w:rFonts w:ascii="Courier New" w:hAnsi="Courier New" w:hint="default"/>
      </w:rPr>
    </w:lvl>
    <w:lvl w:ilvl="8" w:tplc="942AA3D8">
      <w:start w:val="1"/>
      <w:numFmt w:val="bullet"/>
      <w:lvlText w:val=""/>
      <w:lvlJc w:val="left"/>
      <w:pPr>
        <w:ind w:left="6480" w:hanging="360"/>
      </w:pPr>
      <w:rPr>
        <w:rFonts w:ascii="Wingdings" w:hAnsi="Wingdings" w:hint="default"/>
      </w:rPr>
    </w:lvl>
  </w:abstractNum>
  <w:abstractNum w:abstractNumId="35" w15:restartNumberingAfterBreak="0">
    <w:nsid w:val="4AD80871"/>
    <w:multiLevelType w:val="hybridMultilevel"/>
    <w:tmpl w:val="0B226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B3A3A0A"/>
    <w:multiLevelType w:val="hybridMultilevel"/>
    <w:tmpl w:val="A66E48E8"/>
    <w:lvl w:ilvl="0" w:tplc="3FA4D4E6">
      <w:start w:val="1"/>
      <w:numFmt w:val="bullet"/>
      <w:lvlText w:val="·"/>
      <w:lvlJc w:val="left"/>
      <w:pPr>
        <w:ind w:left="720" w:hanging="360"/>
      </w:pPr>
      <w:rPr>
        <w:rFonts w:ascii="Symbol" w:hAnsi="Symbol" w:hint="default"/>
      </w:rPr>
    </w:lvl>
    <w:lvl w:ilvl="1" w:tplc="10109746">
      <w:start w:val="1"/>
      <w:numFmt w:val="bullet"/>
      <w:lvlText w:val="o"/>
      <w:lvlJc w:val="left"/>
      <w:pPr>
        <w:ind w:left="1440" w:hanging="360"/>
      </w:pPr>
      <w:rPr>
        <w:rFonts w:ascii="Courier New" w:hAnsi="Courier New" w:hint="default"/>
      </w:rPr>
    </w:lvl>
    <w:lvl w:ilvl="2" w:tplc="CE96DEA6">
      <w:start w:val="1"/>
      <w:numFmt w:val="bullet"/>
      <w:lvlText w:val=""/>
      <w:lvlJc w:val="left"/>
      <w:pPr>
        <w:ind w:left="2160" w:hanging="360"/>
      </w:pPr>
      <w:rPr>
        <w:rFonts w:ascii="Wingdings" w:hAnsi="Wingdings" w:hint="default"/>
      </w:rPr>
    </w:lvl>
    <w:lvl w:ilvl="3" w:tplc="0E9A6576">
      <w:start w:val="1"/>
      <w:numFmt w:val="bullet"/>
      <w:lvlText w:val=""/>
      <w:lvlJc w:val="left"/>
      <w:pPr>
        <w:ind w:left="2880" w:hanging="360"/>
      </w:pPr>
      <w:rPr>
        <w:rFonts w:ascii="Symbol" w:hAnsi="Symbol" w:hint="default"/>
      </w:rPr>
    </w:lvl>
    <w:lvl w:ilvl="4" w:tplc="DC88EFBA">
      <w:start w:val="1"/>
      <w:numFmt w:val="bullet"/>
      <w:lvlText w:val="o"/>
      <w:lvlJc w:val="left"/>
      <w:pPr>
        <w:ind w:left="3600" w:hanging="360"/>
      </w:pPr>
      <w:rPr>
        <w:rFonts w:ascii="Courier New" w:hAnsi="Courier New" w:hint="default"/>
      </w:rPr>
    </w:lvl>
    <w:lvl w:ilvl="5" w:tplc="3E1C111C">
      <w:start w:val="1"/>
      <w:numFmt w:val="bullet"/>
      <w:lvlText w:val=""/>
      <w:lvlJc w:val="left"/>
      <w:pPr>
        <w:ind w:left="4320" w:hanging="360"/>
      </w:pPr>
      <w:rPr>
        <w:rFonts w:ascii="Wingdings" w:hAnsi="Wingdings" w:hint="default"/>
      </w:rPr>
    </w:lvl>
    <w:lvl w:ilvl="6" w:tplc="9C88B588">
      <w:start w:val="1"/>
      <w:numFmt w:val="bullet"/>
      <w:lvlText w:val=""/>
      <w:lvlJc w:val="left"/>
      <w:pPr>
        <w:ind w:left="5040" w:hanging="360"/>
      </w:pPr>
      <w:rPr>
        <w:rFonts w:ascii="Symbol" w:hAnsi="Symbol" w:hint="default"/>
      </w:rPr>
    </w:lvl>
    <w:lvl w:ilvl="7" w:tplc="C9845CBC">
      <w:start w:val="1"/>
      <w:numFmt w:val="bullet"/>
      <w:lvlText w:val="o"/>
      <w:lvlJc w:val="left"/>
      <w:pPr>
        <w:ind w:left="5760" w:hanging="360"/>
      </w:pPr>
      <w:rPr>
        <w:rFonts w:ascii="Courier New" w:hAnsi="Courier New" w:hint="default"/>
      </w:rPr>
    </w:lvl>
    <w:lvl w:ilvl="8" w:tplc="03F64D94">
      <w:start w:val="1"/>
      <w:numFmt w:val="bullet"/>
      <w:lvlText w:val=""/>
      <w:lvlJc w:val="left"/>
      <w:pPr>
        <w:ind w:left="6480" w:hanging="360"/>
      </w:pPr>
      <w:rPr>
        <w:rFonts w:ascii="Wingdings" w:hAnsi="Wingdings" w:hint="default"/>
      </w:rPr>
    </w:lvl>
  </w:abstractNum>
  <w:abstractNum w:abstractNumId="37" w15:restartNumberingAfterBreak="0">
    <w:nsid w:val="4C202EF1"/>
    <w:multiLevelType w:val="hybridMultilevel"/>
    <w:tmpl w:val="07129F24"/>
    <w:lvl w:ilvl="0" w:tplc="ACD61A42">
      <w:start w:val="1"/>
      <w:numFmt w:val="bullet"/>
      <w:lvlText w:val="·"/>
      <w:lvlJc w:val="left"/>
      <w:pPr>
        <w:ind w:left="720" w:hanging="360"/>
      </w:pPr>
      <w:rPr>
        <w:rFonts w:ascii="Symbol" w:hAnsi="Symbol" w:hint="default"/>
      </w:rPr>
    </w:lvl>
    <w:lvl w:ilvl="1" w:tplc="E04ED50A">
      <w:start w:val="1"/>
      <w:numFmt w:val="bullet"/>
      <w:lvlText w:val="o"/>
      <w:lvlJc w:val="left"/>
      <w:pPr>
        <w:ind w:left="1440" w:hanging="360"/>
      </w:pPr>
      <w:rPr>
        <w:rFonts w:ascii="Courier New" w:hAnsi="Courier New" w:hint="default"/>
      </w:rPr>
    </w:lvl>
    <w:lvl w:ilvl="2" w:tplc="5F92C110">
      <w:start w:val="1"/>
      <w:numFmt w:val="bullet"/>
      <w:lvlText w:val=""/>
      <w:lvlJc w:val="left"/>
      <w:pPr>
        <w:ind w:left="2160" w:hanging="360"/>
      </w:pPr>
      <w:rPr>
        <w:rFonts w:ascii="Wingdings" w:hAnsi="Wingdings" w:hint="default"/>
      </w:rPr>
    </w:lvl>
    <w:lvl w:ilvl="3" w:tplc="1B56F12C">
      <w:start w:val="1"/>
      <w:numFmt w:val="bullet"/>
      <w:lvlText w:val=""/>
      <w:lvlJc w:val="left"/>
      <w:pPr>
        <w:ind w:left="2880" w:hanging="360"/>
      </w:pPr>
      <w:rPr>
        <w:rFonts w:ascii="Symbol" w:hAnsi="Symbol" w:hint="default"/>
      </w:rPr>
    </w:lvl>
    <w:lvl w:ilvl="4" w:tplc="AD922A42">
      <w:start w:val="1"/>
      <w:numFmt w:val="bullet"/>
      <w:lvlText w:val="o"/>
      <w:lvlJc w:val="left"/>
      <w:pPr>
        <w:ind w:left="3600" w:hanging="360"/>
      </w:pPr>
      <w:rPr>
        <w:rFonts w:ascii="Courier New" w:hAnsi="Courier New" w:hint="default"/>
      </w:rPr>
    </w:lvl>
    <w:lvl w:ilvl="5" w:tplc="9566D192">
      <w:start w:val="1"/>
      <w:numFmt w:val="bullet"/>
      <w:lvlText w:val=""/>
      <w:lvlJc w:val="left"/>
      <w:pPr>
        <w:ind w:left="4320" w:hanging="360"/>
      </w:pPr>
      <w:rPr>
        <w:rFonts w:ascii="Wingdings" w:hAnsi="Wingdings" w:hint="default"/>
      </w:rPr>
    </w:lvl>
    <w:lvl w:ilvl="6" w:tplc="771A983C">
      <w:start w:val="1"/>
      <w:numFmt w:val="bullet"/>
      <w:lvlText w:val=""/>
      <w:lvlJc w:val="left"/>
      <w:pPr>
        <w:ind w:left="5040" w:hanging="360"/>
      </w:pPr>
      <w:rPr>
        <w:rFonts w:ascii="Symbol" w:hAnsi="Symbol" w:hint="default"/>
      </w:rPr>
    </w:lvl>
    <w:lvl w:ilvl="7" w:tplc="DE20112E">
      <w:start w:val="1"/>
      <w:numFmt w:val="bullet"/>
      <w:lvlText w:val="o"/>
      <w:lvlJc w:val="left"/>
      <w:pPr>
        <w:ind w:left="5760" w:hanging="360"/>
      </w:pPr>
      <w:rPr>
        <w:rFonts w:ascii="Courier New" w:hAnsi="Courier New" w:hint="default"/>
      </w:rPr>
    </w:lvl>
    <w:lvl w:ilvl="8" w:tplc="74EC2070">
      <w:start w:val="1"/>
      <w:numFmt w:val="bullet"/>
      <w:lvlText w:val=""/>
      <w:lvlJc w:val="left"/>
      <w:pPr>
        <w:ind w:left="6480" w:hanging="360"/>
      </w:pPr>
      <w:rPr>
        <w:rFonts w:ascii="Wingdings" w:hAnsi="Wingdings" w:hint="default"/>
      </w:rPr>
    </w:lvl>
  </w:abstractNum>
  <w:abstractNum w:abstractNumId="38" w15:restartNumberingAfterBreak="0">
    <w:nsid w:val="4D6725BF"/>
    <w:multiLevelType w:val="hybridMultilevel"/>
    <w:tmpl w:val="90C68E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E8B5D3D"/>
    <w:multiLevelType w:val="hybridMultilevel"/>
    <w:tmpl w:val="7F5E9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F6100A9"/>
    <w:multiLevelType w:val="hybridMultilevel"/>
    <w:tmpl w:val="13DEA3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0366322"/>
    <w:multiLevelType w:val="hybridMultilevel"/>
    <w:tmpl w:val="FFFFFFFF"/>
    <w:lvl w:ilvl="0" w:tplc="95FEBF8A">
      <w:start w:val="1"/>
      <w:numFmt w:val="bullet"/>
      <w:lvlText w:val=""/>
      <w:lvlJc w:val="left"/>
      <w:pPr>
        <w:ind w:left="720" w:hanging="360"/>
      </w:pPr>
      <w:rPr>
        <w:rFonts w:ascii="Symbol" w:hAnsi="Symbol" w:hint="default"/>
      </w:rPr>
    </w:lvl>
    <w:lvl w:ilvl="1" w:tplc="AAEEF044">
      <w:start w:val="1"/>
      <w:numFmt w:val="bullet"/>
      <w:lvlText w:val="o"/>
      <w:lvlJc w:val="left"/>
      <w:pPr>
        <w:ind w:left="1440" w:hanging="360"/>
      </w:pPr>
      <w:rPr>
        <w:rFonts w:ascii="Courier New" w:hAnsi="Courier New" w:hint="default"/>
      </w:rPr>
    </w:lvl>
    <w:lvl w:ilvl="2" w:tplc="0EC27E6A">
      <w:start w:val="1"/>
      <w:numFmt w:val="bullet"/>
      <w:lvlText w:val=""/>
      <w:lvlJc w:val="left"/>
      <w:pPr>
        <w:ind w:left="2160" w:hanging="360"/>
      </w:pPr>
      <w:rPr>
        <w:rFonts w:ascii="Wingdings" w:hAnsi="Wingdings" w:hint="default"/>
      </w:rPr>
    </w:lvl>
    <w:lvl w:ilvl="3" w:tplc="1F044ACA">
      <w:start w:val="1"/>
      <w:numFmt w:val="bullet"/>
      <w:lvlText w:val=""/>
      <w:lvlJc w:val="left"/>
      <w:pPr>
        <w:ind w:left="2880" w:hanging="360"/>
      </w:pPr>
      <w:rPr>
        <w:rFonts w:ascii="Symbol" w:hAnsi="Symbol" w:hint="default"/>
      </w:rPr>
    </w:lvl>
    <w:lvl w:ilvl="4" w:tplc="A00694A2">
      <w:start w:val="1"/>
      <w:numFmt w:val="bullet"/>
      <w:lvlText w:val="o"/>
      <w:lvlJc w:val="left"/>
      <w:pPr>
        <w:ind w:left="3600" w:hanging="360"/>
      </w:pPr>
      <w:rPr>
        <w:rFonts w:ascii="Courier New" w:hAnsi="Courier New" w:hint="default"/>
      </w:rPr>
    </w:lvl>
    <w:lvl w:ilvl="5" w:tplc="76840C26">
      <w:start w:val="1"/>
      <w:numFmt w:val="bullet"/>
      <w:lvlText w:val=""/>
      <w:lvlJc w:val="left"/>
      <w:pPr>
        <w:ind w:left="4320" w:hanging="360"/>
      </w:pPr>
      <w:rPr>
        <w:rFonts w:ascii="Wingdings" w:hAnsi="Wingdings" w:hint="default"/>
      </w:rPr>
    </w:lvl>
    <w:lvl w:ilvl="6" w:tplc="55B46F42">
      <w:start w:val="1"/>
      <w:numFmt w:val="bullet"/>
      <w:lvlText w:val=""/>
      <w:lvlJc w:val="left"/>
      <w:pPr>
        <w:ind w:left="5040" w:hanging="360"/>
      </w:pPr>
      <w:rPr>
        <w:rFonts w:ascii="Symbol" w:hAnsi="Symbol" w:hint="default"/>
      </w:rPr>
    </w:lvl>
    <w:lvl w:ilvl="7" w:tplc="9666657E">
      <w:start w:val="1"/>
      <w:numFmt w:val="bullet"/>
      <w:lvlText w:val="o"/>
      <w:lvlJc w:val="left"/>
      <w:pPr>
        <w:ind w:left="5760" w:hanging="360"/>
      </w:pPr>
      <w:rPr>
        <w:rFonts w:ascii="Courier New" w:hAnsi="Courier New" w:hint="default"/>
      </w:rPr>
    </w:lvl>
    <w:lvl w:ilvl="8" w:tplc="1D605EEC">
      <w:start w:val="1"/>
      <w:numFmt w:val="bullet"/>
      <w:lvlText w:val=""/>
      <w:lvlJc w:val="left"/>
      <w:pPr>
        <w:ind w:left="6480" w:hanging="360"/>
      </w:pPr>
      <w:rPr>
        <w:rFonts w:ascii="Wingdings" w:hAnsi="Wingdings" w:hint="default"/>
      </w:rPr>
    </w:lvl>
  </w:abstractNum>
  <w:abstractNum w:abstractNumId="42" w15:restartNumberingAfterBreak="0">
    <w:nsid w:val="517D77F6"/>
    <w:multiLevelType w:val="hybridMultilevel"/>
    <w:tmpl w:val="E59E7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24440C3"/>
    <w:multiLevelType w:val="hybridMultilevel"/>
    <w:tmpl w:val="633C8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E82426"/>
    <w:multiLevelType w:val="hybridMultilevel"/>
    <w:tmpl w:val="E7F2F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4BA1E5A"/>
    <w:multiLevelType w:val="hybridMultilevel"/>
    <w:tmpl w:val="6C6E1E62"/>
    <w:styleLink w:val="ZZBullets"/>
    <w:lvl w:ilvl="0" w:tplc="F90CC8E8">
      <w:start w:val="1"/>
      <w:numFmt w:val="bullet"/>
      <w:pStyle w:val="DHHSbullet1"/>
      <w:lvlText w:val="•"/>
      <w:lvlJc w:val="left"/>
      <w:pPr>
        <w:ind w:left="284" w:hanging="284"/>
      </w:pPr>
      <w:rPr>
        <w:rFonts w:ascii="Calibri" w:hAnsi="Calibri" w:hint="default"/>
      </w:rPr>
    </w:lvl>
    <w:lvl w:ilvl="1" w:tplc="36167C9E">
      <w:start w:val="1"/>
      <w:numFmt w:val="bullet"/>
      <w:lvlRestart w:val="0"/>
      <w:pStyle w:val="DHHSbullet1lastline"/>
      <w:lvlText w:val="•"/>
      <w:lvlJc w:val="left"/>
      <w:pPr>
        <w:ind w:left="284" w:hanging="284"/>
      </w:pPr>
      <w:rPr>
        <w:rFonts w:ascii="Calibri" w:hAnsi="Calibri" w:hint="default"/>
      </w:rPr>
    </w:lvl>
    <w:lvl w:ilvl="2" w:tplc="3848A12C">
      <w:start w:val="1"/>
      <w:numFmt w:val="bullet"/>
      <w:lvlRestart w:val="0"/>
      <w:pStyle w:val="DHHSbullet2"/>
      <w:lvlText w:val="–"/>
      <w:lvlJc w:val="left"/>
      <w:pPr>
        <w:ind w:left="567" w:hanging="283"/>
      </w:pPr>
      <w:rPr>
        <w:rFonts w:ascii="Arial" w:hAnsi="Arial" w:hint="default"/>
      </w:rPr>
    </w:lvl>
    <w:lvl w:ilvl="3" w:tplc="B778FFF4">
      <w:start w:val="1"/>
      <w:numFmt w:val="bullet"/>
      <w:lvlRestart w:val="0"/>
      <w:pStyle w:val="DHHSbullet2lastline"/>
      <w:lvlText w:val="–"/>
      <w:lvlJc w:val="left"/>
      <w:pPr>
        <w:ind w:left="567" w:hanging="283"/>
      </w:pPr>
      <w:rPr>
        <w:rFonts w:ascii="Arial" w:hAnsi="Arial" w:hint="default"/>
      </w:rPr>
    </w:lvl>
    <w:lvl w:ilvl="4" w:tplc="F0847C9A">
      <w:start w:val="1"/>
      <w:numFmt w:val="bullet"/>
      <w:lvlRestart w:val="0"/>
      <w:pStyle w:val="DHHSbulletindent"/>
      <w:lvlText w:val="•"/>
      <w:lvlJc w:val="left"/>
      <w:pPr>
        <w:ind w:left="680" w:hanging="283"/>
      </w:pPr>
      <w:rPr>
        <w:rFonts w:ascii="Calibri" w:hAnsi="Calibri" w:hint="default"/>
      </w:rPr>
    </w:lvl>
    <w:lvl w:ilvl="5" w:tplc="B22CE23C">
      <w:start w:val="1"/>
      <w:numFmt w:val="bullet"/>
      <w:lvlRestart w:val="0"/>
      <w:pStyle w:val="DHHSbulletindentlastline"/>
      <w:lvlText w:val="•"/>
      <w:lvlJc w:val="left"/>
      <w:pPr>
        <w:ind w:left="680" w:hanging="283"/>
      </w:pPr>
      <w:rPr>
        <w:rFonts w:ascii="Calibri" w:hAnsi="Calibri" w:hint="default"/>
      </w:rPr>
    </w:lvl>
    <w:lvl w:ilvl="6" w:tplc="D7127AD4">
      <w:start w:val="1"/>
      <w:numFmt w:val="bullet"/>
      <w:lvlRestart w:val="0"/>
      <w:pStyle w:val="DHHStablebullet"/>
      <w:lvlText w:val="•"/>
      <w:lvlJc w:val="left"/>
      <w:pPr>
        <w:ind w:left="227" w:hanging="227"/>
      </w:pPr>
      <w:rPr>
        <w:rFonts w:ascii="Calibri" w:hAnsi="Calibri" w:hint="default"/>
      </w:rPr>
    </w:lvl>
    <w:lvl w:ilvl="7" w:tplc="A5CE7F6A">
      <w:start w:val="1"/>
      <w:numFmt w:val="none"/>
      <w:lvlRestart w:val="0"/>
      <w:lvlText w:val=""/>
      <w:lvlJc w:val="left"/>
      <w:pPr>
        <w:ind w:left="0" w:firstLine="0"/>
      </w:pPr>
      <w:rPr>
        <w:rFonts w:hint="default"/>
      </w:rPr>
    </w:lvl>
    <w:lvl w:ilvl="8" w:tplc="6C0A3690">
      <w:start w:val="1"/>
      <w:numFmt w:val="none"/>
      <w:lvlRestart w:val="0"/>
      <w:lvlText w:val=""/>
      <w:lvlJc w:val="left"/>
      <w:pPr>
        <w:ind w:left="0" w:firstLine="0"/>
      </w:pPr>
      <w:rPr>
        <w:rFonts w:hint="default"/>
      </w:rPr>
    </w:lvl>
  </w:abstractNum>
  <w:abstractNum w:abstractNumId="46" w15:restartNumberingAfterBreak="0">
    <w:nsid w:val="5A757AC9"/>
    <w:multiLevelType w:val="hybridMultilevel"/>
    <w:tmpl w:val="85105C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C573EC5"/>
    <w:multiLevelType w:val="hybridMultilevel"/>
    <w:tmpl w:val="8402E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CE04765"/>
    <w:multiLevelType w:val="hybridMultilevel"/>
    <w:tmpl w:val="5484B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F09344F"/>
    <w:multiLevelType w:val="hybridMultilevel"/>
    <w:tmpl w:val="0E2E6E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5F5452E5"/>
    <w:multiLevelType w:val="hybridMultilevel"/>
    <w:tmpl w:val="FFFFFFFF"/>
    <w:lvl w:ilvl="0" w:tplc="B23E674C">
      <w:start w:val="1"/>
      <w:numFmt w:val="bullet"/>
      <w:lvlText w:val="·"/>
      <w:lvlJc w:val="left"/>
      <w:pPr>
        <w:ind w:left="720" w:hanging="360"/>
      </w:pPr>
      <w:rPr>
        <w:rFonts w:ascii="Symbol" w:hAnsi="Symbol" w:hint="default"/>
      </w:rPr>
    </w:lvl>
    <w:lvl w:ilvl="1" w:tplc="6B2E619C">
      <w:start w:val="1"/>
      <w:numFmt w:val="bullet"/>
      <w:lvlText w:val="o"/>
      <w:lvlJc w:val="left"/>
      <w:pPr>
        <w:ind w:left="1440" w:hanging="360"/>
      </w:pPr>
      <w:rPr>
        <w:rFonts w:ascii="Courier New" w:hAnsi="Courier New" w:hint="default"/>
      </w:rPr>
    </w:lvl>
    <w:lvl w:ilvl="2" w:tplc="3D205478">
      <w:start w:val="1"/>
      <w:numFmt w:val="bullet"/>
      <w:lvlText w:val=""/>
      <w:lvlJc w:val="left"/>
      <w:pPr>
        <w:ind w:left="2160" w:hanging="360"/>
      </w:pPr>
      <w:rPr>
        <w:rFonts w:ascii="Wingdings" w:hAnsi="Wingdings" w:hint="default"/>
      </w:rPr>
    </w:lvl>
    <w:lvl w:ilvl="3" w:tplc="E5CA05B4">
      <w:start w:val="1"/>
      <w:numFmt w:val="bullet"/>
      <w:lvlText w:val=""/>
      <w:lvlJc w:val="left"/>
      <w:pPr>
        <w:ind w:left="2880" w:hanging="360"/>
      </w:pPr>
      <w:rPr>
        <w:rFonts w:ascii="Symbol" w:hAnsi="Symbol" w:hint="default"/>
      </w:rPr>
    </w:lvl>
    <w:lvl w:ilvl="4" w:tplc="0A5CE682">
      <w:start w:val="1"/>
      <w:numFmt w:val="bullet"/>
      <w:lvlText w:val="o"/>
      <w:lvlJc w:val="left"/>
      <w:pPr>
        <w:ind w:left="3600" w:hanging="360"/>
      </w:pPr>
      <w:rPr>
        <w:rFonts w:ascii="Courier New" w:hAnsi="Courier New" w:hint="default"/>
      </w:rPr>
    </w:lvl>
    <w:lvl w:ilvl="5" w:tplc="BC48BDA6">
      <w:start w:val="1"/>
      <w:numFmt w:val="bullet"/>
      <w:lvlText w:val=""/>
      <w:lvlJc w:val="left"/>
      <w:pPr>
        <w:ind w:left="4320" w:hanging="360"/>
      </w:pPr>
      <w:rPr>
        <w:rFonts w:ascii="Wingdings" w:hAnsi="Wingdings" w:hint="default"/>
      </w:rPr>
    </w:lvl>
    <w:lvl w:ilvl="6" w:tplc="0CD00C56">
      <w:start w:val="1"/>
      <w:numFmt w:val="bullet"/>
      <w:lvlText w:val=""/>
      <w:lvlJc w:val="left"/>
      <w:pPr>
        <w:ind w:left="5040" w:hanging="360"/>
      </w:pPr>
      <w:rPr>
        <w:rFonts w:ascii="Symbol" w:hAnsi="Symbol" w:hint="default"/>
      </w:rPr>
    </w:lvl>
    <w:lvl w:ilvl="7" w:tplc="A008CC7E">
      <w:start w:val="1"/>
      <w:numFmt w:val="bullet"/>
      <w:lvlText w:val="o"/>
      <w:lvlJc w:val="left"/>
      <w:pPr>
        <w:ind w:left="5760" w:hanging="360"/>
      </w:pPr>
      <w:rPr>
        <w:rFonts w:ascii="Courier New" w:hAnsi="Courier New" w:hint="default"/>
      </w:rPr>
    </w:lvl>
    <w:lvl w:ilvl="8" w:tplc="777C3B6A">
      <w:start w:val="1"/>
      <w:numFmt w:val="bullet"/>
      <w:lvlText w:val=""/>
      <w:lvlJc w:val="left"/>
      <w:pPr>
        <w:ind w:left="6480" w:hanging="360"/>
      </w:pPr>
      <w:rPr>
        <w:rFonts w:ascii="Wingdings" w:hAnsi="Wingdings" w:hint="default"/>
      </w:rPr>
    </w:lvl>
  </w:abstractNum>
  <w:abstractNum w:abstractNumId="51" w15:restartNumberingAfterBreak="0">
    <w:nsid w:val="622148C6"/>
    <w:multiLevelType w:val="hybridMultilevel"/>
    <w:tmpl w:val="171E48E4"/>
    <w:lvl w:ilvl="0" w:tplc="E2FC5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494612C"/>
    <w:multiLevelType w:val="hybridMultilevel"/>
    <w:tmpl w:val="4C28F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90F4204"/>
    <w:multiLevelType w:val="hybridMultilevel"/>
    <w:tmpl w:val="A95A6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BFA142F"/>
    <w:multiLevelType w:val="hybridMultilevel"/>
    <w:tmpl w:val="00A87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FFC6A25"/>
    <w:multiLevelType w:val="hybridMultilevel"/>
    <w:tmpl w:val="D5629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2E57C54"/>
    <w:multiLevelType w:val="hybridMultilevel"/>
    <w:tmpl w:val="E078F0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8B03FEF"/>
    <w:multiLevelType w:val="hybridMultilevel"/>
    <w:tmpl w:val="EC68F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8DA04B3"/>
    <w:multiLevelType w:val="hybridMultilevel"/>
    <w:tmpl w:val="D2106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8F10E5C"/>
    <w:multiLevelType w:val="hybridMultilevel"/>
    <w:tmpl w:val="A872C14C"/>
    <w:lvl w:ilvl="0" w:tplc="7C4263A8">
      <w:start w:val="201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A1307C9"/>
    <w:multiLevelType w:val="hybridMultilevel"/>
    <w:tmpl w:val="D1309CBC"/>
    <w:lvl w:ilvl="0" w:tplc="4ACCF394">
      <w:start w:val="1"/>
      <w:numFmt w:val="bullet"/>
      <w:lvlText w:val="·"/>
      <w:lvlJc w:val="left"/>
      <w:pPr>
        <w:ind w:left="720" w:hanging="360"/>
      </w:pPr>
      <w:rPr>
        <w:rFonts w:ascii="Symbol" w:hAnsi="Symbol" w:hint="default"/>
      </w:rPr>
    </w:lvl>
    <w:lvl w:ilvl="1" w:tplc="FAD8CF68">
      <w:start w:val="1"/>
      <w:numFmt w:val="bullet"/>
      <w:lvlText w:val="o"/>
      <w:lvlJc w:val="left"/>
      <w:pPr>
        <w:ind w:left="1440" w:hanging="360"/>
      </w:pPr>
      <w:rPr>
        <w:rFonts w:ascii="Courier New" w:hAnsi="Courier New" w:hint="default"/>
      </w:rPr>
    </w:lvl>
    <w:lvl w:ilvl="2" w:tplc="846A7E00">
      <w:start w:val="1"/>
      <w:numFmt w:val="bullet"/>
      <w:lvlText w:val=""/>
      <w:lvlJc w:val="left"/>
      <w:pPr>
        <w:ind w:left="2160" w:hanging="360"/>
      </w:pPr>
      <w:rPr>
        <w:rFonts w:ascii="Wingdings" w:hAnsi="Wingdings" w:hint="default"/>
      </w:rPr>
    </w:lvl>
    <w:lvl w:ilvl="3" w:tplc="3D50B64A">
      <w:start w:val="1"/>
      <w:numFmt w:val="bullet"/>
      <w:lvlText w:val=""/>
      <w:lvlJc w:val="left"/>
      <w:pPr>
        <w:ind w:left="2880" w:hanging="360"/>
      </w:pPr>
      <w:rPr>
        <w:rFonts w:ascii="Symbol" w:hAnsi="Symbol" w:hint="default"/>
      </w:rPr>
    </w:lvl>
    <w:lvl w:ilvl="4" w:tplc="B40EEDA6">
      <w:start w:val="1"/>
      <w:numFmt w:val="bullet"/>
      <w:lvlText w:val="o"/>
      <w:lvlJc w:val="left"/>
      <w:pPr>
        <w:ind w:left="3600" w:hanging="360"/>
      </w:pPr>
      <w:rPr>
        <w:rFonts w:ascii="Courier New" w:hAnsi="Courier New" w:hint="default"/>
      </w:rPr>
    </w:lvl>
    <w:lvl w:ilvl="5" w:tplc="80FE022E">
      <w:start w:val="1"/>
      <w:numFmt w:val="bullet"/>
      <w:lvlText w:val=""/>
      <w:lvlJc w:val="left"/>
      <w:pPr>
        <w:ind w:left="4320" w:hanging="360"/>
      </w:pPr>
      <w:rPr>
        <w:rFonts w:ascii="Wingdings" w:hAnsi="Wingdings" w:hint="default"/>
      </w:rPr>
    </w:lvl>
    <w:lvl w:ilvl="6" w:tplc="F73A1C7E">
      <w:start w:val="1"/>
      <w:numFmt w:val="bullet"/>
      <w:lvlText w:val=""/>
      <w:lvlJc w:val="left"/>
      <w:pPr>
        <w:ind w:left="5040" w:hanging="360"/>
      </w:pPr>
      <w:rPr>
        <w:rFonts w:ascii="Symbol" w:hAnsi="Symbol" w:hint="default"/>
      </w:rPr>
    </w:lvl>
    <w:lvl w:ilvl="7" w:tplc="7BA251F2">
      <w:start w:val="1"/>
      <w:numFmt w:val="bullet"/>
      <w:lvlText w:val="o"/>
      <w:lvlJc w:val="left"/>
      <w:pPr>
        <w:ind w:left="5760" w:hanging="360"/>
      </w:pPr>
      <w:rPr>
        <w:rFonts w:ascii="Courier New" w:hAnsi="Courier New" w:hint="default"/>
      </w:rPr>
    </w:lvl>
    <w:lvl w:ilvl="8" w:tplc="137AB004">
      <w:start w:val="1"/>
      <w:numFmt w:val="bullet"/>
      <w:lvlText w:val=""/>
      <w:lvlJc w:val="left"/>
      <w:pPr>
        <w:ind w:left="6480" w:hanging="360"/>
      </w:pPr>
      <w:rPr>
        <w:rFonts w:ascii="Wingdings" w:hAnsi="Wingdings" w:hint="default"/>
      </w:rPr>
    </w:lvl>
  </w:abstractNum>
  <w:abstractNum w:abstractNumId="61"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33102D"/>
    <w:multiLevelType w:val="hybridMultilevel"/>
    <w:tmpl w:val="63A88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1"/>
  </w:num>
  <w:num w:numId="2">
    <w:abstractNumId w:val="45"/>
  </w:num>
  <w:num w:numId="3">
    <w:abstractNumId w:val="2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1"/>
  </w:num>
  <w:num w:numId="17">
    <w:abstractNumId w:val="43"/>
  </w:num>
  <w:num w:numId="18">
    <w:abstractNumId w:val="46"/>
  </w:num>
  <w:num w:numId="19">
    <w:abstractNumId w:val="47"/>
  </w:num>
  <w:num w:numId="20">
    <w:abstractNumId w:val="5"/>
  </w:num>
  <w:num w:numId="21">
    <w:abstractNumId w:val="22"/>
  </w:num>
  <w:num w:numId="22">
    <w:abstractNumId w:val="18"/>
  </w:num>
  <w:num w:numId="23">
    <w:abstractNumId w:val="25"/>
  </w:num>
  <w:num w:numId="24">
    <w:abstractNumId w:val="54"/>
  </w:num>
  <w:num w:numId="25">
    <w:abstractNumId w:val="11"/>
  </w:num>
  <w:num w:numId="26">
    <w:abstractNumId w:val="24"/>
  </w:num>
  <w:num w:numId="27">
    <w:abstractNumId w:val="55"/>
  </w:num>
  <w:num w:numId="28">
    <w:abstractNumId w:val="44"/>
  </w:num>
  <w:num w:numId="29">
    <w:abstractNumId w:val="56"/>
  </w:num>
  <w:num w:numId="30">
    <w:abstractNumId w:val="12"/>
  </w:num>
  <w:num w:numId="31">
    <w:abstractNumId w:val="29"/>
  </w:num>
  <w:num w:numId="32">
    <w:abstractNumId w:val="7"/>
  </w:num>
  <w:num w:numId="33">
    <w:abstractNumId w:val="19"/>
  </w:num>
  <w:num w:numId="34">
    <w:abstractNumId w:val="53"/>
  </w:num>
  <w:num w:numId="35">
    <w:abstractNumId w:val="49"/>
  </w:num>
  <w:num w:numId="36">
    <w:abstractNumId w:val="31"/>
  </w:num>
  <w:num w:numId="37">
    <w:abstractNumId w:val="13"/>
  </w:num>
  <w:num w:numId="38">
    <w:abstractNumId w:val="16"/>
  </w:num>
  <w:num w:numId="39">
    <w:abstractNumId w:val="9"/>
  </w:num>
  <w:num w:numId="40">
    <w:abstractNumId w:val="36"/>
  </w:num>
  <w:num w:numId="41">
    <w:abstractNumId w:val="37"/>
  </w:num>
  <w:num w:numId="42">
    <w:abstractNumId w:val="60"/>
  </w:num>
  <w:num w:numId="43">
    <w:abstractNumId w:val="0"/>
  </w:num>
  <w:num w:numId="44">
    <w:abstractNumId w:val="6"/>
  </w:num>
  <w:num w:numId="45">
    <w:abstractNumId w:val="48"/>
  </w:num>
  <w:num w:numId="46">
    <w:abstractNumId w:val="17"/>
  </w:num>
  <w:num w:numId="47">
    <w:abstractNumId w:val="40"/>
  </w:num>
  <w:num w:numId="48">
    <w:abstractNumId w:val="50"/>
  </w:num>
  <w:num w:numId="49">
    <w:abstractNumId w:val="34"/>
  </w:num>
  <w:num w:numId="50">
    <w:abstractNumId w:val="21"/>
  </w:num>
  <w:num w:numId="51">
    <w:abstractNumId w:val="26"/>
  </w:num>
  <w:num w:numId="52">
    <w:abstractNumId w:val="59"/>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num>
  <w:num w:numId="55">
    <w:abstractNumId w:val="27"/>
  </w:num>
  <w:num w:numId="56">
    <w:abstractNumId w:val="41"/>
  </w:num>
  <w:num w:numId="57">
    <w:abstractNumId w:val="2"/>
  </w:num>
  <w:num w:numId="58">
    <w:abstractNumId w:val="52"/>
  </w:num>
  <w:num w:numId="59">
    <w:abstractNumId w:val="8"/>
  </w:num>
  <w:num w:numId="60">
    <w:abstractNumId w:val="33"/>
  </w:num>
  <w:num w:numId="61">
    <w:abstractNumId w:val="38"/>
  </w:num>
  <w:num w:numId="62">
    <w:abstractNumId w:val="45"/>
  </w:num>
  <w:num w:numId="63">
    <w:abstractNumId w:val="57"/>
  </w:num>
  <w:num w:numId="64">
    <w:abstractNumId w:val="20"/>
  </w:num>
  <w:num w:numId="65">
    <w:abstractNumId w:val="45"/>
  </w:num>
  <w:num w:numId="66">
    <w:abstractNumId w:val="32"/>
  </w:num>
  <w:num w:numId="67">
    <w:abstractNumId w:val="42"/>
  </w:num>
  <w:num w:numId="68">
    <w:abstractNumId w:val="35"/>
  </w:num>
  <w:num w:numId="69">
    <w:abstractNumId w:val="30"/>
  </w:num>
  <w:num w:numId="70">
    <w:abstractNumId w:val="28"/>
  </w:num>
  <w:num w:numId="71">
    <w:abstractNumId w:val="14"/>
  </w:num>
  <w:num w:numId="72">
    <w:abstractNumId w:val="39"/>
  </w:num>
  <w:num w:numId="73">
    <w:abstractNumId w:val="58"/>
  </w:num>
  <w:num w:numId="74">
    <w:abstractNumId w:val="10"/>
  </w:num>
  <w:num w:numId="75">
    <w:abstractNumId w:val="1"/>
  </w:num>
  <w:num w:numId="76">
    <w:abstractNumId w:val="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GwtDS0MLC0sLQwtjBR0lEKTi0uzszPAykwrAUA2/74fCwAAAA="/>
  </w:docVars>
  <w:rsids>
    <w:rsidRoot w:val="004417D5"/>
    <w:rsid w:val="000003A3"/>
    <w:rsid w:val="00000B72"/>
    <w:rsid w:val="0000120C"/>
    <w:rsid w:val="000012C6"/>
    <w:rsid w:val="000013F0"/>
    <w:rsid w:val="0000150D"/>
    <w:rsid w:val="00001553"/>
    <w:rsid w:val="00001681"/>
    <w:rsid w:val="00001900"/>
    <w:rsid w:val="00002128"/>
    <w:rsid w:val="00002990"/>
    <w:rsid w:val="000031DC"/>
    <w:rsid w:val="00003426"/>
    <w:rsid w:val="00003576"/>
    <w:rsid w:val="000035D3"/>
    <w:rsid w:val="000036B0"/>
    <w:rsid w:val="000048AC"/>
    <w:rsid w:val="00004C7A"/>
    <w:rsid w:val="00004E44"/>
    <w:rsid w:val="00006027"/>
    <w:rsid w:val="0000644C"/>
    <w:rsid w:val="00007275"/>
    <w:rsid w:val="00007760"/>
    <w:rsid w:val="00010A54"/>
    <w:rsid w:val="00011115"/>
    <w:rsid w:val="00011204"/>
    <w:rsid w:val="00011639"/>
    <w:rsid w:val="00012140"/>
    <w:rsid w:val="000131B9"/>
    <w:rsid w:val="00013692"/>
    <w:rsid w:val="00014670"/>
    <w:rsid w:val="00014958"/>
    <w:rsid w:val="00014B10"/>
    <w:rsid w:val="00014FC4"/>
    <w:rsid w:val="00015428"/>
    <w:rsid w:val="000159F9"/>
    <w:rsid w:val="000174CA"/>
    <w:rsid w:val="00017AD8"/>
    <w:rsid w:val="00017D0A"/>
    <w:rsid w:val="00020AAB"/>
    <w:rsid w:val="00020DC6"/>
    <w:rsid w:val="00021A39"/>
    <w:rsid w:val="00022275"/>
    <w:rsid w:val="000223A4"/>
    <w:rsid w:val="00022E60"/>
    <w:rsid w:val="00023DB1"/>
    <w:rsid w:val="00024E88"/>
    <w:rsid w:val="00025900"/>
    <w:rsid w:val="00026AAD"/>
    <w:rsid w:val="00026C19"/>
    <w:rsid w:val="000277EC"/>
    <w:rsid w:val="00030317"/>
    <w:rsid w:val="00031263"/>
    <w:rsid w:val="00031B51"/>
    <w:rsid w:val="00032728"/>
    <w:rsid w:val="00032AC6"/>
    <w:rsid w:val="00032BA9"/>
    <w:rsid w:val="00033301"/>
    <w:rsid w:val="00033445"/>
    <w:rsid w:val="00034A0A"/>
    <w:rsid w:val="00034A9D"/>
    <w:rsid w:val="00034DFD"/>
    <w:rsid w:val="00034F1B"/>
    <w:rsid w:val="0003558F"/>
    <w:rsid w:val="000356EE"/>
    <w:rsid w:val="00035957"/>
    <w:rsid w:val="0003685A"/>
    <w:rsid w:val="00036A15"/>
    <w:rsid w:val="00036DFE"/>
    <w:rsid w:val="00037930"/>
    <w:rsid w:val="00037934"/>
    <w:rsid w:val="000401D1"/>
    <w:rsid w:val="00040E69"/>
    <w:rsid w:val="00040F6D"/>
    <w:rsid w:val="0004126D"/>
    <w:rsid w:val="00041DA5"/>
    <w:rsid w:val="00041F21"/>
    <w:rsid w:val="00042503"/>
    <w:rsid w:val="000426CD"/>
    <w:rsid w:val="00043AAF"/>
    <w:rsid w:val="000444F1"/>
    <w:rsid w:val="000449BC"/>
    <w:rsid w:val="00044E17"/>
    <w:rsid w:val="0004605B"/>
    <w:rsid w:val="00046479"/>
    <w:rsid w:val="00046C81"/>
    <w:rsid w:val="000470B7"/>
    <w:rsid w:val="0004728C"/>
    <w:rsid w:val="00047764"/>
    <w:rsid w:val="00047CFC"/>
    <w:rsid w:val="0005050E"/>
    <w:rsid w:val="0005193F"/>
    <w:rsid w:val="00052F88"/>
    <w:rsid w:val="00053056"/>
    <w:rsid w:val="000538D4"/>
    <w:rsid w:val="000539FC"/>
    <w:rsid w:val="00053CA4"/>
    <w:rsid w:val="0005451B"/>
    <w:rsid w:val="0005494B"/>
    <w:rsid w:val="00054A3D"/>
    <w:rsid w:val="000553A7"/>
    <w:rsid w:val="00055B85"/>
    <w:rsid w:val="00055DB7"/>
    <w:rsid w:val="00055E77"/>
    <w:rsid w:val="0005606F"/>
    <w:rsid w:val="00056734"/>
    <w:rsid w:val="0005701B"/>
    <w:rsid w:val="000573AF"/>
    <w:rsid w:val="0005744F"/>
    <w:rsid w:val="000576AD"/>
    <w:rsid w:val="00060E93"/>
    <w:rsid w:val="000614B9"/>
    <w:rsid w:val="00062817"/>
    <w:rsid w:val="000632A1"/>
    <w:rsid w:val="0006463E"/>
    <w:rsid w:val="00064936"/>
    <w:rsid w:val="00065115"/>
    <w:rsid w:val="00066072"/>
    <w:rsid w:val="000660CA"/>
    <w:rsid w:val="00066869"/>
    <w:rsid w:val="00067306"/>
    <w:rsid w:val="00067CF8"/>
    <w:rsid w:val="00070043"/>
    <w:rsid w:val="00070192"/>
    <w:rsid w:val="00070ED3"/>
    <w:rsid w:val="00071BA4"/>
    <w:rsid w:val="00071E5C"/>
    <w:rsid w:val="00071FB4"/>
    <w:rsid w:val="0007276C"/>
    <w:rsid w:val="00072DF1"/>
    <w:rsid w:val="000730E8"/>
    <w:rsid w:val="000734F8"/>
    <w:rsid w:val="000736B8"/>
    <w:rsid w:val="00073D54"/>
    <w:rsid w:val="00073DB0"/>
    <w:rsid w:val="0007442C"/>
    <w:rsid w:val="00074A8D"/>
    <w:rsid w:val="00075261"/>
    <w:rsid w:val="00075F09"/>
    <w:rsid w:val="000761ED"/>
    <w:rsid w:val="000764EB"/>
    <w:rsid w:val="00076847"/>
    <w:rsid w:val="000771ED"/>
    <w:rsid w:val="00077B3C"/>
    <w:rsid w:val="00077C9D"/>
    <w:rsid w:val="00081178"/>
    <w:rsid w:val="000817CB"/>
    <w:rsid w:val="00081FD3"/>
    <w:rsid w:val="0008225A"/>
    <w:rsid w:val="000825BB"/>
    <w:rsid w:val="00082F36"/>
    <w:rsid w:val="000831A2"/>
    <w:rsid w:val="000837D9"/>
    <w:rsid w:val="00084238"/>
    <w:rsid w:val="000846DB"/>
    <w:rsid w:val="00085A46"/>
    <w:rsid w:val="00085DC6"/>
    <w:rsid w:val="000862A1"/>
    <w:rsid w:val="000867A0"/>
    <w:rsid w:val="0008728D"/>
    <w:rsid w:val="000873EF"/>
    <w:rsid w:val="00090785"/>
    <w:rsid w:val="000910D9"/>
    <w:rsid w:val="00091F0E"/>
    <w:rsid w:val="00093C30"/>
    <w:rsid w:val="00093E30"/>
    <w:rsid w:val="000941D3"/>
    <w:rsid w:val="000949E5"/>
    <w:rsid w:val="00094D8F"/>
    <w:rsid w:val="0009531E"/>
    <w:rsid w:val="000959C3"/>
    <w:rsid w:val="00095F82"/>
    <w:rsid w:val="00096592"/>
    <w:rsid w:val="000966A7"/>
    <w:rsid w:val="00096D60"/>
    <w:rsid w:val="00096F8B"/>
    <w:rsid w:val="000A049F"/>
    <w:rsid w:val="000A09A4"/>
    <w:rsid w:val="000A186A"/>
    <w:rsid w:val="000A1A19"/>
    <w:rsid w:val="000A2601"/>
    <w:rsid w:val="000A35AF"/>
    <w:rsid w:val="000A3747"/>
    <w:rsid w:val="000A3890"/>
    <w:rsid w:val="000A38DC"/>
    <w:rsid w:val="000A4A10"/>
    <w:rsid w:val="000A4CD1"/>
    <w:rsid w:val="000A4DBB"/>
    <w:rsid w:val="000A5343"/>
    <w:rsid w:val="000A559A"/>
    <w:rsid w:val="000A5A5E"/>
    <w:rsid w:val="000A60B2"/>
    <w:rsid w:val="000A61F1"/>
    <w:rsid w:val="000A62E3"/>
    <w:rsid w:val="000A6412"/>
    <w:rsid w:val="000A6B18"/>
    <w:rsid w:val="000A6DD7"/>
    <w:rsid w:val="000A70C3"/>
    <w:rsid w:val="000A7423"/>
    <w:rsid w:val="000A744C"/>
    <w:rsid w:val="000B0634"/>
    <w:rsid w:val="000B113D"/>
    <w:rsid w:val="000B2051"/>
    <w:rsid w:val="000B215E"/>
    <w:rsid w:val="000B29C3"/>
    <w:rsid w:val="000B2C94"/>
    <w:rsid w:val="000B2E59"/>
    <w:rsid w:val="000B3792"/>
    <w:rsid w:val="000B3C02"/>
    <w:rsid w:val="000B3D1E"/>
    <w:rsid w:val="000B43EC"/>
    <w:rsid w:val="000B4491"/>
    <w:rsid w:val="000B45C6"/>
    <w:rsid w:val="000B468A"/>
    <w:rsid w:val="000B486D"/>
    <w:rsid w:val="000B4E91"/>
    <w:rsid w:val="000B5770"/>
    <w:rsid w:val="000B5A43"/>
    <w:rsid w:val="000B5A9B"/>
    <w:rsid w:val="000B659C"/>
    <w:rsid w:val="000B6BBF"/>
    <w:rsid w:val="000B6C4E"/>
    <w:rsid w:val="000B6CEB"/>
    <w:rsid w:val="000B7E29"/>
    <w:rsid w:val="000C05CC"/>
    <w:rsid w:val="000C0AB5"/>
    <w:rsid w:val="000C15F2"/>
    <w:rsid w:val="000C1AD7"/>
    <w:rsid w:val="000C1CA6"/>
    <w:rsid w:val="000C271A"/>
    <w:rsid w:val="000C28BF"/>
    <w:rsid w:val="000C2B40"/>
    <w:rsid w:val="000C330C"/>
    <w:rsid w:val="000C3372"/>
    <w:rsid w:val="000C3422"/>
    <w:rsid w:val="000C3657"/>
    <w:rsid w:val="000C39D8"/>
    <w:rsid w:val="000C4C7A"/>
    <w:rsid w:val="000C5BCA"/>
    <w:rsid w:val="000C620A"/>
    <w:rsid w:val="000C6242"/>
    <w:rsid w:val="000C64A4"/>
    <w:rsid w:val="000C68DB"/>
    <w:rsid w:val="000C6A0B"/>
    <w:rsid w:val="000C7F1C"/>
    <w:rsid w:val="000C7FBA"/>
    <w:rsid w:val="000D04D6"/>
    <w:rsid w:val="000D0B9B"/>
    <w:rsid w:val="000D0E13"/>
    <w:rsid w:val="000D0F60"/>
    <w:rsid w:val="000D13AE"/>
    <w:rsid w:val="000D1431"/>
    <w:rsid w:val="000D1445"/>
    <w:rsid w:val="000D1704"/>
    <w:rsid w:val="000D1991"/>
    <w:rsid w:val="000D1E8F"/>
    <w:rsid w:val="000D243B"/>
    <w:rsid w:val="000D2C32"/>
    <w:rsid w:val="000D2C51"/>
    <w:rsid w:val="000D30C6"/>
    <w:rsid w:val="000D320D"/>
    <w:rsid w:val="000D37F9"/>
    <w:rsid w:val="000D4075"/>
    <w:rsid w:val="000D499E"/>
    <w:rsid w:val="000D5E5E"/>
    <w:rsid w:val="000D61B6"/>
    <w:rsid w:val="000D74C1"/>
    <w:rsid w:val="000D7AB8"/>
    <w:rsid w:val="000E0FD7"/>
    <w:rsid w:val="000E13A6"/>
    <w:rsid w:val="000E147B"/>
    <w:rsid w:val="000E1811"/>
    <w:rsid w:val="000E1A7F"/>
    <w:rsid w:val="000E1F22"/>
    <w:rsid w:val="000E2625"/>
    <w:rsid w:val="000E28FB"/>
    <w:rsid w:val="000E3F6E"/>
    <w:rsid w:val="000E3FBE"/>
    <w:rsid w:val="000E4BEC"/>
    <w:rsid w:val="000E4E03"/>
    <w:rsid w:val="000E56C9"/>
    <w:rsid w:val="000E595A"/>
    <w:rsid w:val="000E6F72"/>
    <w:rsid w:val="000E7F00"/>
    <w:rsid w:val="000E7F11"/>
    <w:rsid w:val="000F0478"/>
    <w:rsid w:val="000F0741"/>
    <w:rsid w:val="000F0A50"/>
    <w:rsid w:val="000F109C"/>
    <w:rsid w:val="000F1A6B"/>
    <w:rsid w:val="000F2493"/>
    <w:rsid w:val="000F27B0"/>
    <w:rsid w:val="000F2A3D"/>
    <w:rsid w:val="000F2DDC"/>
    <w:rsid w:val="000F373B"/>
    <w:rsid w:val="000F3E05"/>
    <w:rsid w:val="000F44FE"/>
    <w:rsid w:val="000F4699"/>
    <w:rsid w:val="000F49C3"/>
    <w:rsid w:val="000F4D7B"/>
    <w:rsid w:val="000F55CA"/>
    <w:rsid w:val="000F60BF"/>
    <w:rsid w:val="000F75F9"/>
    <w:rsid w:val="001002AE"/>
    <w:rsid w:val="0010063D"/>
    <w:rsid w:val="001021F5"/>
    <w:rsid w:val="001025E6"/>
    <w:rsid w:val="00102A0A"/>
    <w:rsid w:val="0010338F"/>
    <w:rsid w:val="00103D5E"/>
    <w:rsid w:val="00104EA7"/>
    <w:rsid w:val="0010518D"/>
    <w:rsid w:val="00105FAD"/>
    <w:rsid w:val="00106F73"/>
    <w:rsid w:val="00106FD2"/>
    <w:rsid w:val="001076EE"/>
    <w:rsid w:val="00107A6C"/>
    <w:rsid w:val="00107D3B"/>
    <w:rsid w:val="00110343"/>
    <w:rsid w:val="00110982"/>
    <w:rsid w:val="001109BE"/>
    <w:rsid w:val="00111191"/>
    <w:rsid w:val="0011155B"/>
    <w:rsid w:val="0011193F"/>
    <w:rsid w:val="001119A6"/>
    <w:rsid w:val="00111A6A"/>
    <w:rsid w:val="00111C39"/>
    <w:rsid w:val="00113C61"/>
    <w:rsid w:val="001143AE"/>
    <w:rsid w:val="00114C56"/>
    <w:rsid w:val="00114C81"/>
    <w:rsid w:val="001154EC"/>
    <w:rsid w:val="00115520"/>
    <w:rsid w:val="00115CBB"/>
    <w:rsid w:val="00115EA1"/>
    <w:rsid w:val="001170BD"/>
    <w:rsid w:val="00117761"/>
    <w:rsid w:val="001179A7"/>
    <w:rsid w:val="00120602"/>
    <w:rsid w:val="00120756"/>
    <w:rsid w:val="001216F8"/>
    <w:rsid w:val="001219D8"/>
    <w:rsid w:val="00121BF1"/>
    <w:rsid w:val="00122416"/>
    <w:rsid w:val="00122A97"/>
    <w:rsid w:val="001230AC"/>
    <w:rsid w:val="00123187"/>
    <w:rsid w:val="00123627"/>
    <w:rsid w:val="001238B9"/>
    <w:rsid w:val="00123AED"/>
    <w:rsid w:val="00123D73"/>
    <w:rsid w:val="001243AA"/>
    <w:rsid w:val="0012521F"/>
    <w:rsid w:val="00125906"/>
    <w:rsid w:val="00125A99"/>
    <w:rsid w:val="00125CC5"/>
    <w:rsid w:val="001267BB"/>
    <w:rsid w:val="0012686C"/>
    <w:rsid w:val="00126A20"/>
    <w:rsid w:val="00126DD9"/>
    <w:rsid w:val="001270DF"/>
    <w:rsid w:val="001272BB"/>
    <w:rsid w:val="00127795"/>
    <w:rsid w:val="00127A8B"/>
    <w:rsid w:val="00127CAF"/>
    <w:rsid w:val="00127F4D"/>
    <w:rsid w:val="001302EF"/>
    <w:rsid w:val="00130D24"/>
    <w:rsid w:val="00132BEE"/>
    <w:rsid w:val="001338CF"/>
    <w:rsid w:val="00133A53"/>
    <w:rsid w:val="00134B94"/>
    <w:rsid w:val="00134BE5"/>
    <w:rsid w:val="001352B6"/>
    <w:rsid w:val="00135422"/>
    <w:rsid w:val="001356ED"/>
    <w:rsid w:val="0013571B"/>
    <w:rsid w:val="00135E5A"/>
    <w:rsid w:val="00135E92"/>
    <w:rsid w:val="00135F27"/>
    <w:rsid w:val="001364DE"/>
    <w:rsid w:val="00136761"/>
    <w:rsid w:val="0013720F"/>
    <w:rsid w:val="00137279"/>
    <w:rsid w:val="0013763C"/>
    <w:rsid w:val="0013779B"/>
    <w:rsid w:val="00140609"/>
    <w:rsid w:val="001406B5"/>
    <w:rsid w:val="001412D1"/>
    <w:rsid w:val="00141641"/>
    <w:rsid w:val="00141FF1"/>
    <w:rsid w:val="00142130"/>
    <w:rsid w:val="001423E3"/>
    <w:rsid w:val="001423EE"/>
    <w:rsid w:val="0014332F"/>
    <w:rsid w:val="00144714"/>
    <w:rsid w:val="001448E6"/>
    <w:rsid w:val="00145401"/>
    <w:rsid w:val="00145938"/>
    <w:rsid w:val="00145C61"/>
    <w:rsid w:val="00146084"/>
    <w:rsid w:val="00146191"/>
    <w:rsid w:val="00146694"/>
    <w:rsid w:val="00146E5C"/>
    <w:rsid w:val="001475EA"/>
    <w:rsid w:val="00147BFC"/>
    <w:rsid w:val="00147C34"/>
    <w:rsid w:val="00147E2D"/>
    <w:rsid w:val="001501ED"/>
    <w:rsid w:val="001504F5"/>
    <w:rsid w:val="00150D8D"/>
    <w:rsid w:val="001517BD"/>
    <w:rsid w:val="0015191B"/>
    <w:rsid w:val="00152F7E"/>
    <w:rsid w:val="00152F83"/>
    <w:rsid w:val="0015322E"/>
    <w:rsid w:val="001534C3"/>
    <w:rsid w:val="00153A08"/>
    <w:rsid w:val="00154492"/>
    <w:rsid w:val="001545DC"/>
    <w:rsid w:val="0015466C"/>
    <w:rsid w:val="00154B01"/>
    <w:rsid w:val="00155A60"/>
    <w:rsid w:val="00155C48"/>
    <w:rsid w:val="00156306"/>
    <w:rsid w:val="001570A4"/>
    <w:rsid w:val="00157187"/>
    <w:rsid w:val="00157194"/>
    <w:rsid w:val="0015730A"/>
    <w:rsid w:val="00157477"/>
    <w:rsid w:val="0015763B"/>
    <w:rsid w:val="00162689"/>
    <w:rsid w:val="0016283B"/>
    <w:rsid w:val="00163B09"/>
    <w:rsid w:val="00163B66"/>
    <w:rsid w:val="00163BE1"/>
    <w:rsid w:val="00164BBD"/>
    <w:rsid w:val="00164F05"/>
    <w:rsid w:val="001657C3"/>
    <w:rsid w:val="00166746"/>
    <w:rsid w:val="00167049"/>
    <w:rsid w:val="00167BEA"/>
    <w:rsid w:val="00167E66"/>
    <w:rsid w:val="00170094"/>
    <w:rsid w:val="001700C1"/>
    <w:rsid w:val="00170D4F"/>
    <w:rsid w:val="00170D5A"/>
    <w:rsid w:val="00170F3C"/>
    <w:rsid w:val="001710E9"/>
    <w:rsid w:val="00171502"/>
    <w:rsid w:val="00171566"/>
    <w:rsid w:val="0017239E"/>
    <w:rsid w:val="0017248D"/>
    <w:rsid w:val="00172FC4"/>
    <w:rsid w:val="00173626"/>
    <w:rsid w:val="00174480"/>
    <w:rsid w:val="001745D0"/>
    <w:rsid w:val="00174D55"/>
    <w:rsid w:val="00174DFA"/>
    <w:rsid w:val="001757C1"/>
    <w:rsid w:val="001760B8"/>
    <w:rsid w:val="0017614A"/>
    <w:rsid w:val="00176643"/>
    <w:rsid w:val="00177364"/>
    <w:rsid w:val="00177DDC"/>
    <w:rsid w:val="0018024F"/>
    <w:rsid w:val="001807C4"/>
    <w:rsid w:val="00180AC7"/>
    <w:rsid w:val="00180DE1"/>
    <w:rsid w:val="0018144A"/>
    <w:rsid w:val="001817CD"/>
    <w:rsid w:val="0018235E"/>
    <w:rsid w:val="001825B0"/>
    <w:rsid w:val="00182788"/>
    <w:rsid w:val="00182BE5"/>
    <w:rsid w:val="00182C31"/>
    <w:rsid w:val="00182F49"/>
    <w:rsid w:val="001833B4"/>
    <w:rsid w:val="00183901"/>
    <w:rsid w:val="00183968"/>
    <w:rsid w:val="00183FA4"/>
    <w:rsid w:val="00184776"/>
    <w:rsid w:val="00184843"/>
    <w:rsid w:val="00184CF3"/>
    <w:rsid w:val="00185151"/>
    <w:rsid w:val="001855E4"/>
    <w:rsid w:val="00186AA3"/>
    <w:rsid w:val="0018729D"/>
    <w:rsid w:val="001872B3"/>
    <w:rsid w:val="0018768C"/>
    <w:rsid w:val="00187748"/>
    <w:rsid w:val="00187DB3"/>
    <w:rsid w:val="001904F1"/>
    <w:rsid w:val="00190601"/>
    <w:rsid w:val="00190E41"/>
    <w:rsid w:val="001915AA"/>
    <w:rsid w:val="00192197"/>
    <w:rsid w:val="00192407"/>
    <w:rsid w:val="001924AE"/>
    <w:rsid w:val="0019255A"/>
    <w:rsid w:val="001928F3"/>
    <w:rsid w:val="00192B9F"/>
    <w:rsid w:val="00192BA0"/>
    <w:rsid w:val="00193E6A"/>
    <w:rsid w:val="00194007"/>
    <w:rsid w:val="001941C6"/>
    <w:rsid w:val="00194782"/>
    <w:rsid w:val="0019613A"/>
    <w:rsid w:val="00197303"/>
    <w:rsid w:val="001973F5"/>
    <w:rsid w:val="001978AA"/>
    <w:rsid w:val="00197E04"/>
    <w:rsid w:val="00197F3A"/>
    <w:rsid w:val="001A05F1"/>
    <w:rsid w:val="001A0E0B"/>
    <w:rsid w:val="001A17EA"/>
    <w:rsid w:val="001A1D17"/>
    <w:rsid w:val="001A220A"/>
    <w:rsid w:val="001A22AA"/>
    <w:rsid w:val="001A305A"/>
    <w:rsid w:val="001A380F"/>
    <w:rsid w:val="001A38B2"/>
    <w:rsid w:val="001A3C33"/>
    <w:rsid w:val="001A4181"/>
    <w:rsid w:val="001A42EF"/>
    <w:rsid w:val="001A48B8"/>
    <w:rsid w:val="001A4944"/>
    <w:rsid w:val="001A4B0F"/>
    <w:rsid w:val="001A4BB3"/>
    <w:rsid w:val="001A4BE6"/>
    <w:rsid w:val="001A52F8"/>
    <w:rsid w:val="001A564B"/>
    <w:rsid w:val="001A6223"/>
    <w:rsid w:val="001A62D8"/>
    <w:rsid w:val="001A64D4"/>
    <w:rsid w:val="001A6AF7"/>
    <w:rsid w:val="001A7867"/>
    <w:rsid w:val="001A7A18"/>
    <w:rsid w:val="001B0934"/>
    <w:rsid w:val="001B0C17"/>
    <w:rsid w:val="001B10ED"/>
    <w:rsid w:val="001B1565"/>
    <w:rsid w:val="001B166D"/>
    <w:rsid w:val="001B171D"/>
    <w:rsid w:val="001B1A21"/>
    <w:rsid w:val="001B1CC7"/>
    <w:rsid w:val="001B20BB"/>
    <w:rsid w:val="001B21B5"/>
    <w:rsid w:val="001B2625"/>
    <w:rsid w:val="001B2873"/>
    <w:rsid w:val="001B28B5"/>
    <w:rsid w:val="001B2975"/>
    <w:rsid w:val="001B2C14"/>
    <w:rsid w:val="001B2FA7"/>
    <w:rsid w:val="001B307F"/>
    <w:rsid w:val="001B3D1E"/>
    <w:rsid w:val="001B4505"/>
    <w:rsid w:val="001B497E"/>
    <w:rsid w:val="001B4B92"/>
    <w:rsid w:val="001B5035"/>
    <w:rsid w:val="001B58FA"/>
    <w:rsid w:val="001B64E1"/>
    <w:rsid w:val="001B65B9"/>
    <w:rsid w:val="001B6E99"/>
    <w:rsid w:val="001B76E1"/>
    <w:rsid w:val="001B7923"/>
    <w:rsid w:val="001B7999"/>
    <w:rsid w:val="001C0884"/>
    <w:rsid w:val="001C122D"/>
    <w:rsid w:val="001C15E0"/>
    <w:rsid w:val="001C1DF4"/>
    <w:rsid w:val="001C279E"/>
    <w:rsid w:val="001C2DF2"/>
    <w:rsid w:val="001C400D"/>
    <w:rsid w:val="001C4030"/>
    <w:rsid w:val="001C42FF"/>
    <w:rsid w:val="001C4D7A"/>
    <w:rsid w:val="001C4E7E"/>
    <w:rsid w:val="001C4ECB"/>
    <w:rsid w:val="001C53F3"/>
    <w:rsid w:val="001C5C76"/>
    <w:rsid w:val="001C5CD6"/>
    <w:rsid w:val="001C5D48"/>
    <w:rsid w:val="001C5EAD"/>
    <w:rsid w:val="001C73E9"/>
    <w:rsid w:val="001D045D"/>
    <w:rsid w:val="001D0506"/>
    <w:rsid w:val="001D154F"/>
    <w:rsid w:val="001D1F0F"/>
    <w:rsid w:val="001D27F5"/>
    <w:rsid w:val="001D2A82"/>
    <w:rsid w:val="001D3A39"/>
    <w:rsid w:val="001D3F65"/>
    <w:rsid w:val="001D45C7"/>
    <w:rsid w:val="001D569B"/>
    <w:rsid w:val="001D5913"/>
    <w:rsid w:val="001D5AF2"/>
    <w:rsid w:val="001D614D"/>
    <w:rsid w:val="001D64F3"/>
    <w:rsid w:val="001D66DA"/>
    <w:rsid w:val="001D6775"/>
    <w:rsid w:val="001D6800"/>
    <w:rsid w:val="001D7D49"/>
    <w:rsid w:val="001E000C"/>
    <w:rsid w:val="001E05D1"/>
    <w:rsid w:val="001E0A29"/>
    <w:rsid w:val="001E0EA3"/>
    <w:rsid w:val="001E1AFF"/>
    <w:rsid w:val="001E2103"/>
    <w:rsid w:val="001E277E"/>
    <w:rsid w:val="001E3E2B"/>
    <w:rsid w:val="001E4152"/>
    <w:rsid w:val="001E4995"/>
    <w:rsid w:val="001E4E40"/>
    <w:rsid w:val="001E5259"/>
    <w:rsid w:val="001E5863"/>
    <w:rsid w:val="001E648F"/>
    <w:rsid w:val="001E66E2"/>
    <w:rsid w:val="001E702D"/>
    <w:rsid w:val="001E75B8"/>
    <w:rsid w:val="001E7A42"/>
    <w:rsid w:val="001F0212"/>
    <w:rsid w:val="001F09DC"/>
    <w:rsid w:val="001F0C59"/>
    <w:rsid w:val="001F1764"/>
    <w:rsid w:val="001F1AC1"/>
    <w:rsid w:val="001F1BB6"/>
    <w:rsid w:val="001F2562"/>
    <w:rsid w:val="001F291C"/>
    <w:rsid w:val="001F348B"/>
    <w:rsid w:val="001F35E8"/>
    <w:rsid w:val="001F423D"/>
    <w:rsid w:val="001F43E6"/>
    <w:rsid w:val="001F5458"/>
    <w:rsid w:val="001F555B"/>
    <w:rsid w:val="001F5600"/>
    <w:rsid w:val="001F598E"/>
    <w:rsid w:val="001F5CCF"/>
    <w:rsid w:val="001F67D7"/>
    <w:rsid w:val="001F6A46"/>
    <w:rsid w:val="001F7365"/>
    <w:rsid w:val="001F749C"/>
    <w:rsid w:val="001F7590"/>
    <w:rsid w:val="001F787E"/>
    <w:rsid w:val="001F7C4F"/>
    <w:rsid w:val="001F8896"/>
    <w:rsid w:val="0020033C"/>
    <w:rsid w:val="00200758"/>
    <w:rsid w:val="00200C14"/>
    <w:rsid w:val="002015E9"/>
    <w:rsid w:val="002020F9"/>
    <w:rsid w:val="002022A1"/>
    <w:rsid w:val="0020243D"/>
    <w:rsid w:val="00203628"/>
    <w:rsid w:val="00203656"/>
    <w:rsid w:val="00204C4B"/>
    <w:rsid w:val="0020547D"/>
    <w:rsid w:val="0020600A"/>
    <w:rsid w:val="002065A8"/>
    <w:rsid w:val="002068AE"/>
    <w:rsid w:val="00206D01"/>
    <w:rsid w:val="00207614"/>
    <w:rsid w:val="00207D0D"/>
    <w:rsid w:val="00207D96"/>
    <w:rsid w:val="00207F49"/>
    <w:rsid w:val="002116DC"/>
    <w:rsid w:val="00211896"/>
    <w:rsid w:val="00212C9B"/>
    <w:rsid w:val="00213772"/>
    <w:rsid w:val="00213ADE"/>
    <w:rsid w:val="00213B63"/>
    <w:rsid w:val="00213EA8"/>
    <w:rsid w:val="00214295"/>
    <w:rsid w:val="00214697"/>
    <w:rsid w:val="002152FD"/>
    <w:rsid w:val="0021559D"/>
    <w:rsid w:val="00215CC5"/>
    <w:rsid w:val="00215CE7"/>
    <w:rsid w:val="00216259"/>
    <w:rsid w:val="00216CFE"/>
    <w:rsid w:val="002171FB"/>
    <w:rsid w:val="00217FEA"/>
    <w:rsid w:val="00220749"/>
    <w:rsid w:val="0022136B"/>
    <w:rsid w:val="00221C07"/>
    <w:rsid w:val="0022261B"/>
    <w:rsid w:val="00222E44"/>
    <w:rsid w:val="00222F4B"/>
    <w:rsid w:val="0022302A"/>
    <w:rsid w:val="002233A8"/>
    <w:rsid w:val="0022369E"/>
    <w:rsid w:val="00223880"/>
    <w:rsid w:val="002239E6"/>
    <w:rsid w:val="00223EC9"/>
    <w:rsid w:val="0022422C"/>
    <w:rsid w:val="002249F5"/>
    <w:rsid w:val="00224E7B"/>
    <w:rsid w:val="00224ED8"/>
    <w:rsid w:val="0022598E"/>
    <w:rsid w:val="002263F3"/>
    <w:rsid w:val="002266AB"/>
    <w:rsid w:val="0022724E"/>
    <w:rsid w:val="00227403"/>
    <w:rsid w:val="00227A19"/>
    <w:rsid w:val="0023028F"/>
    <w:rsid w:val="00230666"/>
    <w:rsid w:val="00230694"/>
    <w:rsid w:val="0023089C"/>
    <w:rsid w:val="00230A4F"/>
    <w:rsid w:val="00230B0B"/>
    <w:rsid w:val="00230B12"/>
    <w:rsid w:val="00231153"/>
    <w:rsid w:val="002311EC"/>
    <w:rsid w:val="00231DF0"/>
    <w:rsid w:val="00232315"/>
    <w:rsid w:val="002324E8"/>
    <w:rsid w:val="0023252E"/>
    <w:rsid w:val="002325FD"/>
    <w:rsid w:val="00232C78"/>
    <w:rsid w:val="00232EE1"/>
    <w:rsid w:val="00233D77"/>
    <w:rsid w:val="00234454"/>
    <w:rsid w:val="002346A2"/>
    <w:rsid w:val="00234DD3"/>
    <w:rsid w:val="002354E9"/>
    <w:rsid w:val="002356AF"/>
    <w:rsid w:val="00235853"/>
    <w:rsid w:val="002360E0"/>
    <w:rsid w:val="00236447"/>
    <w:rsid w:val="0023680A"/>
    <w:rsid w:val="00236A32"/>
    <w:rsid w:val="002374B2"/>
    <w:rsid w:val="002376C8"/>
    <w:rsid w:val="0024063E"/>
    <w:rsid w:val="00240690"/>
    <w:rsid w:val="00240D69"/>
    <w:rsid w:val="00240DD7"/>
    <w:rsid w:val="00240E80"/>
    <w:rsid w:val="00240F18"/>
    <w:rsid w:val="002412BE"/>
    <w:rsid w:val="00241316"/>
    <w:rsid w:val="00241418"/>
    <w:rsid w:val="002414C2"/>
    <w:rsid w:val="002418B9"/>
    <w:rsid w:val="00241C31"/>
    <w:rsid w:val="00241D26"/>
    <w:rsid w:val="00241E33"/>
    <w:rsid w:val="002426A3"/>
    <w:rsid w:val="00242917"/>
    <w:rsid w:val="00242F14"/>
    <w:rsid w:val="00242F93"/>
    <w:rsid w:val="0024398B"/>
    <w:rsid w:val="00243AA9"/>
    <w:rsid w:val="00243C2B"/>
    <w:rsid w:val="00245428"/>
    <w:rsid w:val="00245AAE"/>
    <w:rsid w:val="00246343"/>
    <w:rsid w:val="00246574"/>
    <w:rsid w:val="002467C8"/>
    <w:rsid w:val="0024775A"/>
    <w:rsid w:val="00251020"/>
    <w:rsid w:val="002510D3"/>
    <w:rsid w:val="002510D6"/>
    <w:rsid w:val="00251628"/>
    <w:rsid w:val="0025172A"/>
    <w:rsid w:val="0025178A"/>
    <w:rsid w:val="00251E68"/>
    <w:rsid w:val="002520A9"/>
    <w:rsid w:val="0025282C"/>
    <w:rsid w:val="00252841"/>
    <w:rsid w:val="0025359A"/>
    <w:rsid w:val="00253DD4"/>
    <w:rsid w:val="00254072"/>
    <w:rsid w:val="0025427C"/>
    <w:rsid w:val="00254E00"/>
    <w:rsid w:val="00255042"/>
    <w:rsid w:val="00255BF3"/>
    <w:rsid w:val="00255DC4"/>
    <w:rsid w:val="00256235"/>
    <w:rsid w:val="002562D6"/>
    <w:rsid w:val="00256DDD"/>
    <w:rsid w:val="00256ED7"/>
    <w:rsid w:val="00260701"/>
    <w:rsid w:val="00260D89"/>
    <w:rsid w:val="00260EA7"/>
    <w:rsid w:val="00263712"/>
    <w:rsid w:val="00264145"/>
    <w:rsid w:val="00264390"/>
    <w:rsid w:val="002651B2"/>
    <w:rsid w:val="0026595C"/>
    <w:rsid w:val="0026597A"/>
    <w:rsid w:val="00265B17"/>
    <w:rsid w:val="00265B9D"/>
    <w:rsid w:val="00265FED"/>
    <w:rsid w:val="002679D5"/>
    <w:rsid w:val="00270E45"/>
    <w:rsid w:val="00270E86"/>
    <w:rsid w:val="00270F3D"/>
    <w:rsid w:val="00270F3F"/>
    <w:rsid w:val="002714B1"/>
    <w:rsid w:val="002714FD"/>
    <w:rsid w:val="00271E90"/>
    <w:rsid w:val="00272290"/>
    <w:rsid w:val="00272423"/>
    <w:rsid w:val="0027283A"/>
    <w:rsid w:val="00272AC2"/>
    <w:rsid w:val="00272C8C"/>
    <w:rsid w:val="00272F9A"/>
    <w:rsid w:val="00273214"/>
    <w:rsid w:val="00273282"/>
    <w:rsid w:val="0027397A"/>
    <w:rsid w:val="002747C9"/>
    <w:rsid w:val="00275637"/>
    <w:rsid w:val="002757DE"/>
    <w:rsid w:val="00275A0A"/>
    <w:rsid w:val="00275F94"/>
    <w:rsid w:val="00276293"/>
    <w:rsid w:val="00276BB7"/>
    <w:rsid w:val="00277EF8"/>
    <w:rsid w:val="00280C7F"/>
    <w:rsid w:val="00281026"/>
    <w:rsid w:val="002814B8"/>
    <w:rsid w:val="00281784"/>
    <w:rsid w:val="00281B9C"/>
    <w:rsid w:val="00282353"/>
    <w:rsid w:val="0028250E"/>
    <w:rsid w:val="00282A2F"/>
    <w:rsid w:val="00283034"/>
    <w:rsid w:val="00283130"/>
    <w:rsid w:val="00283205"/>
    <w:rsid w:val="00283ACB"/>
    <w:rsid w:val="00283BD6"/>
    <w:rsid w:val="00283C5B"/>
    <w:rsid w:val="0028444C"/>
    <w:rsid w:val="00284476"/>
    <w:rsid w:val="00284C9B"/>
    <w:rsid w:val="00284EF9"/>
    <w:rsid w:val="002856A4"/>
    <w:rsid w:val="00285A3F"/>
    <w:rsid w:val="00285CC6"/>
    <w:rsid w:val="00285F1F"/>
    <w:rsid w:val="0028619A"/>
    <w:rsid w:val="0028627E"/>
    <w:rsid w:val="0028633E"/>
    <w:rsid w:val="002863AD"/>
    <w:rsid w:val="0028697B"/>
    <w:rsid w:val="00286995"/>
    <w:rsid w:val="0028703D"/>
    <w:rsid w:val="002876B5"/>
    <w:rsid w:val="00290150"/>
    <w:rsid w:val="00290C40"/>
    <w:rsid w:val="00291056"/>
    <w:rsid w:val="00291180"/>
    <w:rsid w:val="00292660"/>
    <w:rsid w:val="00292C4B"/>
    <w:rsid w:val="002930B9"/>
    <w:rsid w:val="00293171"/>
    <w:rsid w:val="00293A42"/>
    <w:rsid w:val="00293ED6"/>
    <w:rsid w:val="00294DA3"/>
    <w:rsid w:val="00295D35"/>
    <w:rsid w:val="00296290"/>
    <w:rsid w:val="00296D17"/>
    <w:rsid w:val="00296F32"/>
    <w:rsid w:val="00297662"/>
    <w:rsid w:val="002A03C5"/>
    <w:rsid w:val="002A0DDA"/>
    <w:rsid w:val="002A0FB0"/>
    <w:rsid w:val="002A133B"/>
    <w:rsid w:val="002A141B"/>
    <w:rsid w:val="002A14D4"/>
    <w:rsid w:val="002A1C2C"/>
    <w:rsid w:val="002A2127"/>
    <w:rsid w:val="002A2198"/>
    <w:rsid w:val="002A26B6"/>
    <w:rsid w:val="002A3DD2"/>
    <w:rsid w:val="002A4123"/>
    <w:rsid w:val="002A4DA5"/>
    <w:rsid w:val="002A50F8"/>
    <w:rsid w:val="002A591B"/>
    <w:rsid w:val="002A595E"/>
    <w:rsid w:val="002A6470"/>
    <w:rsid w:val="002A6865"/>
    <w:rsid w:val="002A6924"/>
    <w:rsid w:val="002A6A4E"/>
    <w:rsid w:val="002A7674"/>
    <w:rsid w:val="002A787E"/>
    <w:rsid w:val="002A7947"/>
    <w:rsid w:val="002A7CE7"/>
    <w:rsid w:val="002B0105"/>
    <w:rsid w:val="002B020F"/>
    <w:rsid w:val="002B0AD5"/>
    <w:rsid w:val="002B1129"/>
    <w:rsid w:val="002B14AA"/>
    <w:rsid w:val="002B1B3D"/>
    <w:rsid w:val="002B2A0B"/>
    <w:rsid w:val="002B34F2"/>
    <w:rsid w:val="002B384F"/>
    <w:rsid w:val="002B3A53"/>
    <w:rsid w:val="002B3FB8"/>
    <w:rsid w:val="002B3FE7"/>
    <w:rsid w:val="002B4212"/>
    <w:rsid w:val="002B4716"/>
    <w:rsid w:val="002B585E"/>
    <w:rsid w:val="002B59EF"/>
    <w:rsid w:val="002B5A85"/>
    <w:rsid w:val="002B629D"/>
    <w:rsid w:val="002B6359"/>
    <w:rsid w:val="002B63A7"/>
    <w:rsid w:val="002B6688"/>
    <w:rsid w:val="002B67DD"/>
    <w:rsid w:val="002B69FA"/>
    <w:rsid w:val="002B6D33"/>
    <w:rsid w:val="002B7025"/>
    <w:rsid w:val="002B739A"/>
    <w:rsid w:val="002B740F"/>
    <w:rsid w:val="002B7656"/>
    <w:rsid w:val="002B794B"/>
    <w:rsid w:val="002B7A08"/>
    <w:rsid w:val="002C06C1"/>
    <w:rsid w:val="002C0FCA"/>
    <w:rsid w:val="002C0FD1"/>
    <w:rsid w:val="002C1A57"/>
    <w:rsid w:val="002C1EFB"/>
    <w:rsid w:val="002C209C"/>
    <w:rsid w:val="002C2FC6"/>
    <w:rsid w:val="002C30C4"/>
    <w:rsid w:val="002C3143"/>
    <w:rsid w:val="002C31F5"/>
    <w:rsid w:val="002C3534"/>
    <w:rsid w:val="002C37F3"/>
    <w:rsid w:val="002C3C30"/>
    <w:rsid w:val="002C42F4"/>
    <w:rsid w:val="002C449C"/>
    <w:rsid w:val="002C482A"/>
    <w:rsid w:val="002C4B71"/>
    <w:rsid w:val="002C5543"/>
    <w:rsid w:val="002C57D6"/>
    <w:rsid w:val="002C7C7A"/>
    <w:rsid w:val="002C7D96"/>
    <w:rsid w:val="002D0632"/>
    <w:rsid w:val="002D0F7F"/>
    <w:rsid w:val="002D1381"/>
    <w:rsid w:val="002D17B9"/>
    <w:rsid w:val="002D1B65"/>
    <w:rsid w:val="002D28A6"/>
    <w:rsid w:val="002D2A12"/>
    <w:rsid w:val="002D41B1"/>
    <w:rsid w:val="002D47FE"/>
    <w:rsid w:val="002D49A8"/>
    <w:rsid w:val="002D56DA"/>
    <w:rsid w:val="002D5EDA"/>
    <w:rsid w:val="002D6A39"/>
    <w:rsid w:val="002D6DDD"/>
    <w:rsid w:val="002D6E2F"/>
    <w:rsid w:val="002D70BD"/>
    <w:rsid w:val="002D70FB"/>
    <w:rsid w:val="002D7132"/>
    <w:rsid w:val="002D7392"/>
    <w:rsid w:val="002D7959"/>
    <w:rsid w:val="002E0198"/>
    <w:rsid w:val="002E0697"/>
    <w:rsid w:val="002E0ACC"/>
    <w:rsid w:val="002E1016"/>
    <w:rsid w:val="002E12BF"/>
    <w:rsid w:val="002E18C4"/>
    <w:rsid w:val="002E1D7C"/>
    <w:rsid w:val="002E2344"/>
    <w:rsid w:val="002E25C9"/>
    <w:rsid w:val="002E3881"/>
    <w:rsid w:val="002E3952"/>
    <w:rsid w:val="002E4039"/>
    <w:rsid w:val="002E5786"/>
    <w:rsid w:val="002E63ED"/>
    <w:rsid w:val="002E640B"/>
    <w:rsid w:val="002E6A6D"/>
    <w:rsid w:val="002E6DF1"/>
    <w:rsid w:val="002E712A"/>
    <w:rsid w:val="002E7712"/>
    <w:rsid w:val="002E7CAF"/>
    <w:rsid w:val="002E7D15"/>
    <w:rsid w:val="002F000B"/>
    <w:rsid w:val="002F031A"/>
    <w:rsid w:val="002F0B29"/>
    <w:rsid w:val="002F0B72"/>
    <w:rsid w:val="002F10EA"/>
    <w:rsid w:val="002F18DC"/>
    <w:rsid w:val="002F1A31"/>
    <w:rsid w:val="002F1B13"/>
    <w:rsid w:val="002F20AE"/>
    <w:rsid w:val="002F2249"/>
    <w:rsid w:val="002F2F08"/>
    <w:rsid w:val="002F361F"/>
    <w:rsid w:val="002F449B"/>
    <w:rsid w:val="002F45A7"/>
    <w:rsid w:val="002F4807"/>
    <w:rsid w:val="002F48C4"/>
    <w:rsid w:val="002F4A3E"/>
    <w:rsid w:val="002F4BD3"/>
    <w:rsid w:val="002F4D86"/>
    <w:rsid w:val="002F4E63"/>
    <w:rsid w:val="002F512A"/>
    <w:rsid w:val="002F5280"/>
    <w:rsid w:val="002F5467"/>
    <w:rsid w:val="002F572C"/>
    <w:rsid w:val="002F58CC"/>
    <w:rsid w:val="002F595B"/>
    <w:rsid w:val="002F5D69"/>
    <w:rsid w:val="002F6358"/>
    <w:rsid w:val="002F6A91"/>
    <w:rsid w:val="002F6B97"/>
    <w:rsid w:val="002F775A"/>
    <w:rsid w:val="002F77D0"/>
    <w:rsid w:val="002F79BE"/>
    <w:rsid w:val="002F7A29"/>
    <w:rsid w:val="002F7BF9"/>
    <w:rsid w:val="002F7C77"/>
    <w:rsid w:val="002F7DD2"/>
    <w:rsid w:val="00300CB3"/>
    <w:rsid w:val="003010FC"/>
    <w:rsid w:val="0030119A"/>
    <w:rsid w:val="00301E45"/>
    <w:rsid w:val="00301E87"/>
    <w:rsid w:val="00301FB8"/>
    <w:rsid w:val="003029AA"/>
    <w:rsid w:val="00303095"/>
    <w:rsid w:val="003032F4"/>
    <w:rsid w:val="00303528"/>
    <w:rsid w:val="003038B1"/>
    <w:rsid w:val="0030394B"/>
    <w:rsid w:val="00304F73"/>
    <w:rsid w:val="00305930"/>
    <w:rsid w:val="00306497"/>
    <w:rsid w:val="00306C72"/>
    <w:rsid w:val="00306D72"/>
    <w:rsid w:val="003072C6"/>
    <w:rsid w:val="003076C8"/>
    <w:rsid w:val="00310498"/>
    <w:rsid w:val="00310557"/>
    <w:rsid w:val="0031073D"/>
    <w:rsid w:val="00310D8E"/>
    <w:rsid w:val="003129A1"/>
    <w:rsid w:val="00312B7D"/>
    <w:rsid w:val="003134B6"/>
    <w:rsid w:val="003156BE"/>
    <w:rsid w:val="00315BBD"/>
    <w:rsid w:val="00315BD4"/>
    <w:rsid w:val="00316B56"/>
    <w:rsid w:val="00316B99"/>
    <w:rsid w:val="00316CFC"/>
    <w:rsid w:val="0031700E"/>
    <w:rsid w:val="00317090"/>
    <w:rsid w:val="0031753A"/>
    <w:rsid w:val="00317618"/>
    <w:rsid w:val="00317AE4"/>
    <w:rsid w:val="00317CAF"/>
    <w:rsid w:val="00320075"/>
    <w:rsid w:val="0032015C"/>
    <w:rsid w:val="00320293"/>
    <w:rsid w:val="003204BF"/>
    <w:rsid w:val="0032154F"/>
    <w:rsid w:val="00321688"/>
    <w:rsid w:val="00321954"/>
    <w:rsid w:val="00322569"/>
    <w:rsid w:val="00322785"/>
    <w:rsid w:val="00322947"/>
    <w:rsid w:val="00322CC2"/>
    <w:rsid w:val="003232F6"/>
    <w:rsid w:val="00323A82"/>
    <w:rsid w:val="00323B2B"/>
    <w:rsid w:val="00324537"/>
    <w:rsid w:val="0032459A"/>
    <w:rsid w:val="003251F3"/>
    <w:rsid w:val="00325B86"/>
    <w:rsid w:val="00325DD4"/>
    <w:rsid w:val="003260BD"/>
    <w:rsid w:val="003271DC"/>
    <w:rsid w:val="00327246"/>
    <w:rsid w:val="003276CF"/>
    <w:rsid w:val="00327BE9"/>
    <w:rsid w:val="00327D78"/>
    <w:rsid w:val="00330176"/>
    <w:rsid w:val="00332201"/>
    <w:rsid w:val="00332A0C"/>
    <w:rsid w:val="00332AD5"/>
    <w:rsid w:val="00333B31"/>
    <w:rsid w:val="00333CA2"/>
    <w:rsid w:val="00333D4C"/>
    <w:rsid w:val="00333E8B"/>
    <w:rsid w:val="0033473B"/>
    <w:rsid w:val="0033497B"/>
    <w:rsid w:val="00334B54"/>
    <w:rsid w:val="00334D67"/>
    <w:rsid w:val="00334D99"/>
    <w:rsid w:val="003352BE"/>
    <w:rsid w:val="0033616F"/>
    <w:rsid w:val="003361D0"/>
    <w:rsid w:val="00336631"/>
    <w:rsid w:val="003368A2"/>
    <w:rsid w:val="0033739E"/>
    <w:rsid w:val="00337473"/>
    <w:rsid w:val="0034094A"/>
    <w:rsid w:val="003415F6"/>
    <w:rsid w:val="00342088"/>
    <w:rsid w:val="0034210F"/>
    <w:rsid w:val="0034300B"/>
    <w:rsid w:val="00343733"/>
    <w:rsid w:val="003437D1"/>
    <w:rsid w:val="003441BE"/>
    <w:rsid w:val="00344AD7"/>
    <w:rsid w:val="00344E29"/>
    <w:rsid w:val="003454BA"/>
    <w:rsid w:val="0034596C"/>
    <w:rsid w:val="003467E9"/>
    <w:rsid w:val="00346E61"/>
    <w:rsid w:val="00347653"/>
    <w:rsid w:val="0034769E"/>
    <w:rsid w:val="00347A10"/>
    <w:rsid w:val="00350478"/>
    <w:rsid w:val="00351974"/>
    <w:rsid w:val="00351D36"/>
    <w:rsid w:val="0035229F"/>
    <w:rsid w:val="00352E48"/>
    <w:rsid w:val="00353A3F"/>
    <w:rsid w:val="00353DF0"/>
    <w:rsid w:val="003546AA"/>
    <w:rsid w:val="003557FE"/>
    <w:rsid w:val="00355886"/>
    <w:rsid w:val="00355DF9"/>
    <w:rsid w:val="0035602E"/>
    <w:rsid w:val="003562C4"/>
    <w:rsid w:val="00356798"/>
    <w:rsid w:val="00356814"/>
    <w:rsid w:val="00360184"/>
    <w:rsid w:val="003605F4"/>
    <w:rsid w:val="00360E45"/>
    <w:rsid w:val="003613AA"/>
    <w:rsid w:val="0036188F"/>
    <w:rsid w:val="00361F2B"/>
    <w:rsid w:val="00361F2E"/>
    <w:rsid w:val="00362D2B"/>
    <w:rsid w:val="00363B05"/>
    <w:rsid w:val="00363E7C"/>
    <w:rsid w:val="00363FAB"/>
    <w:rsid w:val="0036401A"/>
    <w:rsid w:val="003642D6"/>
    <w:rsid w:val="00364786"/>
    <w:rsid w:val="0036494C"/>
    <w:rsid w:val="00364A09"/>
    <w:rsid w:val="00365D53"/>
    <w:rsid w:val="0036629D"/>
    <w:rsid w:val="003663D5"/>
    <w:rsid w:val="0036677D"/>
    <w:rsid w:val="00366D91"/>
    <w:rsid w:val="00366EEC"/>
    <w:rsid w:val="00366FC5"/>
    <w:rsid w:val="00367360"/>
    <w:rsid w:val="00367CF7"/>
    <w:rsid w:val="0037046E"/>
    <w:rsid w:val="003705FA"/>
    <w:rsid w:val="00370CFB"/>
    <w:rsid w:val="0037109E"/>
    <w:rsid w:val="00371C0A"/>
    <w:rsid w:val="00372115"/>
    <w:rsid w:val="00372137"/>
    <w:rsid w:val="00372B97"/>
    <w:rsid w:val="00372F10"/>
    <w:rsid w:val="0037341B"/>
    <w:rsid w:val="00373D12"/>
    <w:rsid w:val="00373E81"/>
    <w:rsid w:val="00374F82"/>
    <w:rsid w:val="003750F6"/>
    <w:rsid w:val="0037594C"/>
    <w:rsid w:val="00375CF9"/>
    <w:rsid w:val="00376070"/>
    <w:rsid w:val="00376875"/>
    <w:rsid w:val="00376D62"/>
    <w:rsid w:val="00377C29"/>
    <w:rsid w:val="00377DE9"/>
    <w:rsid w:val="00377FD4"/>
    <w:rsid w:val="0038019F"/>
    <w:rsid w:val="00380FB3"/>
    <w:rsid w:val="003819A6"/>
    <w:rsid w:val="00381B2F"/>
    <w:rsid w:val="00381E8E"/>
    <w:rsid w:val="00382071"/>
    <w:rsid w:val="00382213"/>
    <w:rsid w:val="0038280D"/>
    <w:rsid w:val="003846A6"/>
    <w:rsid w:val="00385023"/>
    <w:rsid w:val="00385A95"/>
    <w:rsid w:val="00385AB1"/>
    <w:rsid w:val="00386719"/>
    <w:rsid w:val="0038677C"/>
    <w:rsid w:val="003878BE"/>
    <w:rsid w:val="00387D5C"/>
    <w:rsid w:val="00387FDB"/>
    <w:rsid w:val="00390013"/>
    <w:rsid w:val="00390928"/>
    <w:rsid w:val="00390EF2"/>
    <w:rsid w:val="0039202F"/>
    <w:rsid w:val="00392395"/>
    <w:rsid w:val="003924C9"/>
    <w:rsid w:val="00392B65"/>
    <w:rsid w:val="00392C8A"/>
    <w:rsid w:val="003945C1"/>
    <w:rsid w:val="003945C9"/>
    <w:rsid w:val="0039519F"/>
    <w:rsid w:val="00395884"/>
    <w:rsid w:val="00396965"/>
    <w:rsid w:val="003972B2"/>
    <w:rsid w:val="00397F78"/>
    <w:rsid w:val="003A0461"/>
    <w:rsid w:val="003A05EF"/>
    <w:rsid w:val="003A0997"/>
    <w:rsid w:val="003A0BD6"/>
    <w:rsid w:val="003A0DD0"/>
    <w:rsid w:val="003A13FA"/>
    <w:rsid w:val="003A18B7"/>
    <w:rsid w:val="003A2F25"/>
    <w:rsid w:val="003A3089"/>
    <w:rsid w:val="003A391C"/>
    <w:rsid w:val="003A3944"/>
    <w:rsid w:val="003A3954"/>
    <w:rsid w:val="003A4571"/>
    <w:rsid w:val="003A485B"/>
    <w:rsid w:val="003A4AFA"/>
    <w:rsid w:val="003A4FE7"/>
    <w:rsid w:val="003A5308"/>
    <w:rsid w:val="003A5B3A"/>
    <w:rsid w:val="003A6322"/>
    <w:rsid w:val="003A65FA"/>
    <w:rsid w:val="003A6966"/>
    <w:rsid w:val="003A6C3E"/>
    <w:rsid w:val="003A7702"/>
    <w:rsid w:val="003B0616"/>
    <w:rsid w:val="003B06D0"/>
    <w:rsid w:val="003B0872"/>
    <w:rsid w:val="003B1035"/>
    <w:rsid w:val="003B1D8B"/>
    <w:rsid w:val="003B24E3"/>
    <w:rsid w:val="003B2807"/>
    <w:rsid w:val="003B2C8C"/>
    <w:rsid w:val="003B32F0"/>
    <w:rsid w:val="003B3450"/>
    <w:rsid w:val="003B34FB"/>
    <w:rsid w:val="003B4561"/>
    <w:rsid w:val="003B4FD1"/>
    <w:rsid w:val="003B5126"/>
    <w:rsid w:val="003B54E5"/>
    <w:rsid w:val="003B5A06"/>
    <w:rsid w:val="003B5B35"/>
    <w:rsid w:val="003B5E26"/>
    <w:rsid w:val="003B6D26"/>
    <w:rsid w:val="003B6E8E"/>
    <w:rsid w:val="003B6E9B"/>
    <w:rsid w:val="003B6F20"/>
    <w:rsid w:val="003B6FBF"/>
    <w:rsid w:val="003B7620"/>
    <w:rsid w:val="003B793E"/>
    <w:rsid w:val="003C135E"/>
    <w:rsid w:val="003C17FF"/>
    <w:rsid w:val="003C19DF"/>
    <w:rsid w:val="003C1A33"/>
    <w:rsid w:val="003C1C00"/>
    <w:rsid w:val="003C1E9A"/>
    <w:rsid w:val="003C1EA1"/>
    <w:rsid w:val="003C2177"/>
    <w:rsid w:val="003C2219"/>
    <w:rsid w:val="003C3A4C"/>
    <w:rsid w:val="003C45F9"/>
    <w:rsid w:val="003C4715"/>
    <w:rsid w:val="003C4A6A"/>
    <w:rsid w:val="003C4D4A"/>
    <w:rsid w:val="003C5014"/>
    <w:rsid w:val="003C6205"/>
    <w:rsid w:val="003C65E7"/>
    <w:rsid w:val="003C66D5"/>
    <w:rsid w:val="003C68F2"/>
    <w:rsid w:val="003C70BB"/>
    <w:rsid w:val="003C7AB5"/>
    <w:rsid w:val="003D0554"/>
    <w:rsid w:val="003D11B3"/>
    <w:rsid w:val="003D16EC"/>
    <w:rsid w:val="003D17B6"/>
    <w:rsid w:val="003D19EE"/>
    <w:rsid w:val="003D1A4F"/>
    <w:rsid w:val="003D23C9"/>
    <w:rsid w:val="003D28F4"/>
    <w:rsid w:val="003D2926"/>
    <w:rsid w:val="003D2BB7"/>
    <w:rsid w:val="003D2CAB"/>
    <w:rsid w:val="003D2D31"/>
    <w:rsid w:val="003D321F"/>
    <w:rsid w:val="003D37B6"/>
    <w:rsid w:val="003D48D3"/>
    <w:rsid w:val="003D55BB"/>
    <w:rsid w:val="003D58B8"/>
    <w:rsid w:val="003D5CFB"/>
    <w:rsid w:val="003D627B"/>
    <w:rsid w:val="003D6907"/>
    <w:rsid w:val="003D6D83"/>
    <w:rsid w:val="003D701C"/>
    <w:rsid w:val="003D7277"/>
    <w:rsid w:val="003E0899"/>
    <w:rsid w:val="003E0D59"/>
    <w:rsid w:val="003E11A8"/>
    <w:rsid w:val="003E1481"/>
    <w:rsid w:val="003E178C"/>
    <w:rsid w:val="003E2636"/>
    <w:rsid w:val="003E276E"/>
    <w:rsid w:val="003E2E12"/>
    <w:rsid w:val="003E3097"/>
    <w:rsid w:val="003E3280"/>
    <w:rsid w:val="003E3C59"/>
    <w:rsid w:val="003E3D45"/>
    <w:rsid w:val="003E4D1D"/>
    <w:rsid w:val="003E6EBD"/>
    <w:rsid w:val="003E7612"/>
    <w:rsid w:val="003F0034"/>
    <w:rsid w:val="003F0132"/>
    <w:rsid w:val="003F03A6"/>
    <w:rsid w:val="003F0B6D"/>
    <w:rsid w:val="003F0E09"/>
    <w:rsid w:val="003F0E68"/>
    <w:rsid w:val="003F1160"/>
    <w:rsid w:val="003F2382"/>
    <w:rsid w:val="003F302F"/>
    <w:rsid w:val="003F357C"/>
    <w:rsid w:val="003F39CE"/>
    <w:rsid w:val="003F3D6D"/>
    <w:rsid w:val="003F3E6C"/>
    <w:rsid w:val="003F4194"/>
    <w:rsid w:val="003F42EB"/>
    <w:rsid w:val="003F467B"/>
    <w:rsid w:val="003F4992"/>
    <w:rsid w:val="003F49C3"/>
    <w:rsid w:val="003F5554"/>
    <w:rsid w:val="003F56D0"/>
    <w:rsid w:val="003F6C30"/>
    <w:rsid w:val="003F73B8"/>
    <w:rsid w:val="003F77F1"/>
    <w:rsid w:val="003F8BE4"/>
    <w:rsid w:val="00400673"/>
    <w:rsid w:val="00400996"/>
    <w:rsid w:val="00400B16"/>
    <w:rsid w:val="004010B3"/>
    <w:rsid w:val="00401108"/>
    <w:rsid w:val="00401F70"/>
    <w:rsid w:val="00402927"/>
    <w:rsid w:val="00402CAE"/>
    <w:rsid w:val="00403258"/>
    <w:rsid w:val="0040382E"/>
    <w:rsid w:val="00403B80"/>
    <w:rsid w:val="004045B3"/>
    <w:rsid w:val="00404C4A"/>
    <w:rsid w:val="00404FA4"/>
    <w:rsid w:val="00405C07"/>
    <w:rsid w:val="00405F0B"/>
    <w:rsid w:val="00406110"/>
    <w:rsid w:val="0040700D"/>
    <w:rsid w:val="004072DE"/>
    <w:rsid w:val="004073A4"/>
    <w:rsid w:val="00407993"/>
    <w:rsid w:val="00407E00"/>
    <w:rsid w:val="004104B7"/>
    <w:rsid w:val="004110B4"/>
    <w:rsid w:val="00411457"/>
    <w:rsid w:val="004116BC"/>
    <w:rsid w:val="00411833"/>
    <w:rsid w:val="0041213C"/>
    <w:rsid w:val="00412A0D"/>
    <w:rsid w:val="00412EEA"/>
    <w:rsid w:val="00412F64"/>
    <w:rsid w:val="0041336A"/>
    <w:rsid w:val="00413593"/>
    <w:rsid w:val="00413848"/>
    <w:rsid w:val="00413F85"/>
    <w:rsid w:val="00414EA5"/>
    <w:rsid w:val="00415DB0"/>
    <w:rsid w:val="00415E68"/>
    <w:rsid w:val="0041720C"/>
    <w:rsid w:val="00417290"/>
    <w:rsid w:val="004175F4"/>
    <w:rsid w:val="0041790D"/>
    <w:rsid w:val="004179E0"/>
    <w:rsid w:val="00417BEB"/>
    <w:rsid w:val="004201A6"/>
    <w:rsid w:val="0042085B"/>
    <w:rsid w:val="00420F2E"/>
    <w:rsid w:val="00421400"/>
    <w:rsid w:val="00421406"/>
    <w:rsid w:val="00421CDD"/>
    <w:rsid w:val="00422336"/>
    <w:rsid w:val="004237A0"/>
    <w:rsid w:val="00423AE8"/>
    <w:rsid w:val="00423BF0"/>
    <w:rsid w:val="00423F7F"/>
    <w:rsid w:val="00424109"/>
    <w:rsid w:val="004246B3"/>
    <w:rsid w:val="00424C24"/>
    <w:rsid w:val="00424C2D"/>
    <w:rsid w:val="00424EFA"/>
    <w:rsid w:val="004250D4"/>
    <w:rsid w:val="00425F79"/>
    <w:rsid w:val="0042619C"/>
    <w:rsid w:val="0042798C"/>
    <w:rsid w:val="00427BA0"/>
    <w:rsid w:val="00427BA8"/>
    <w:rsid w:val="00427C2E"/>
    <w:rsid w:val="00430CDA"/>
    <w:rsid w:val="00431CD8"/>
    <w:rsid w:val="00431D47"/>
    <w:rsid w:val="004324FF"/>
    <w:rsid w:val="00432A55"/>
    <w:rsid w:val="00432FB5"/>
    <w:rsid w:val="004331C5"/>
    <w:rsid w:val="00433366"/>
    <w:rsid w:val="004333A2"/>
    <w:rsid w:val="00433881"/>
    <w:rsid w:val="0043540E"/>
    <w:rsid w:val="00435458"/>
    <w:rsid w:val="00435C1D"/>
    <w:rsid w:val="00436843"/>
    <w:rsid w:val="004407FD"/>
    <w:rsid w:val="00440FAE"/>
    <w:rsid w:val="00441674"/>
    <w:rsid w:val="004417D5"/>
    <w:rsid w:val="0044260A"/>
    <w:rsid w:val="004428D5"/>
    <w:rsid w:val="00442E50"/>
    <w:rsid w:val="00443192"/>
    <w:rsid w:val="0044325C"/>
    <w:rsid w:val="00443A51"/>
    <w:rsid w:val="00443EAA"/>
    <w:rsid w:val="00443F1B"/>
    <w:rsid w:val="00444D82"/>
    <w:rsid w:val="00444EF4"/>
    <w:rsid w:val="00445D29"/>
    <w:rsid w:val="00446C56"/>
    <w:rsid w:val="00447D8D"/>
    <w:rsid w:val="00450E00"/>
    <w:rsid w:val="00451167"/>
    <w:rsid w:val="00451428"/>
    <w:rsid w:val="00451DE4"/>
    <w:rsid w:val="00452BAC"/>
    <w:rsid w:val="00452F19"/>
    <w:rsid w:val="00453340"/>
    <w:rsid w:val="00453D69"/>
    <w:rsid w:val="00454E21"/>
    <w:rsid w:val="0045578C"/>
    <w:rsid w:val="00456111"/>
    <w:rsid w:val="004564C6"/>
    <w:rsid w:val="00456511"/>
    <w:rsid w:val="00456865"/>
    <w:rsid w:val="00456C9E"/>
    <w:rsid w:val="00456F0C"/>
    <w:rsid w:val="00456F44"/>
    <w:rsid w:val="00457D3F"/>
    <w:rsid w:val="0046063C"/>
    <w:rsid w:val="004608C3"/>
    <w:rsid w:val="004610CC"/>
    <w:rsid w:val="00462084"/>
    <w:rsid w:val="004627FC"/>
    <w:rsid w:val="0046302B"/>
    <w:rsid w:val="00463124"/>
    <w:rsid w:val="004631E7"/>
    <w:rsid w:val="0046351B"/>
    <w:rsid w:val="00463925"/>
    <w:rsid w:val="00463EAD"/>
    <w:rsid w:val="0046485C"/>
    <w:rsid w:val="00464B53"/>
    <w:rsid w:val="00465464"/>
    <w:rsid w:val="004657A1"/>
    <w:rsid w:val="00465E87"/>
    <w:rsid w:val="004669B0"/>
    <w:rsid w:val="00466D19"/>
    <w:rsid w:val="004671A9"/>
    <w:rsid w:val="00467256"/>
    <w:rsid w:val="0046749B"/>
    <w:rsid w:val="00467577"/>
    <w:rsid w:val="00470B67"/>
    <w:rsid w:val="00472B5C"/>
    <w:rsid w:val="00474397"/>
    <w:rsid w:val="004746C4"/>
    <w:rsid w:val="0047477C"/>
    <w:rsid w:val="00474DA4"/>
    <w:rsid w:val="0047585F"/>
    <w:rsid w:val="00475D27"/>
    <w:rsid w:val="0047609E"/>
    <w:rsid w:val="004766D1"/>
    <w:rsid w:val="00476C27"/>
    <w:rsid w:val="00477178"/>
    <w:rsid w:val="0047786A"/>
    <w:rsid w:val="00477A65"/>
    <w:rsid w:val="00477F5E"/>
    <w:rsid w:val="0048002F"/>
    <w:rsid w:val="00481A0C"/>
    <w:rsid w:val="00481BDE"/>
    <w:rsid w:val="00481D36"/>
    <w:rsid w:val="00481DCE"/>
    <w:rsid w:val="004822E9"/>
    <w:rsid w:val="00482C5B"/>
    <w:rsid w:val="00482DB3"/>
    <w:rsid w:val="0048378B"/>
    <w:rsid w:val="0048468A"/>
    <w:rsid w:val="004846CB"/>
    <w:rsid w:val="00485B99"/>
    <w:rsid w:val="00485BDE"/>
    <w:rsid w:val="004870AC"/>
    <w:rsid w:val="00487260"/>
    <w:rsid w:val="004872CF"/>
    <w:rsid w:val="00487426"/>
    <w:rsid w:val="0048766A"/>
    <w:rsid w:val="00487D44"/>
    <w:rsid w:val="004905EE"/>
    <w:rsid w:val="00490F60"/>
    <w:rsid w:val="00490FD1"/>
    <w:rsid w:val="00491A0A"/>
    <w:rsid w:val="00491C10"/>
    <w:rsid w:val="00491FB9"/>
    <w:rsid w:val="0049278C"/>
    <w:rsid w:val="004928DB"/>
    <w:rsid w:val="00493126"/>
    <w:rsid w:val="004931AF"/>
    <w:rsid w:val="004939FC"/>
    <w:rsid w:val="004948A2"/>
    <w:rsid w:val="00494C4E"/>
    <w:rsid w:val="00494C59"/>
    <w:rsid w:val="00495626"/>
    <w:rsid w:val="004957D6"/>
    <w:rsid w:val="00495900"/>
    <w:rsid w:val="0049615B"/>
    <w:rsid w:val="00496292"/>
    <w:rsid w:val="00496323"/>
    <w:rsid w:val="00496C7B"/>
    <w:rsid w:val="00496F16"/>
    <w:rsid w:val="004975C6"/>
    <w:rsid w:val="004979A7"/>
    <w:rsid w:val="00497BAB"/>
    <w:rsid w:val="004A0236"/>
    <w:rsid w:val="004A0CAE"/>
    <w:rsid w:val="004A0D29"/>
    <w:rsid w:val="004A195A"/>
    <w:rsid w:val="004A1E22"/>
    <w:rsid w:val="004A1F9F"/>
    <w:rsid w:val="004A2485"/>
    <w:rsid w:val="004A271B"/>
    <w:rsid w:val="004A30B5"/>
    <w:rsid w:val="004A31A1"/>
    <w:rsid w:val="004A34B4"/>
    <w:rsid w:val="004A369A"/>
    <w:rsid w:val="004A3B3E"/>
    <w:rsid w:val="004A3BA2"/>
    <w:rsid w:val="004A3FEF"/>
    <w:rsid w:val="004A4159"/>
    <w:rsid w:val="004A4762"/>
    <w:rsid w:val="004A4823"/>
    <w:rsid w:val="004A54D5"/>
    <w:rsid w:val="004A5F05"/>
    <w:rsid w:val="004A60D9"/>
    <w:rsid w:val="004A638B"/>
    <w:rsid w:val="004A6C91"/>
    <w:rsid w:val="004A6CFE"/>
    <w:rsid w:val="004A6E8E"/>
    <w:rsid w:val="004B1018"/>
    <w:rsid w:val="004B305D"/>
    <w:rsid w:val="004B4361"/>
    <w:rsid w:val="004B5FB7"/>
    <w:rsid w:val="004B634C"/>
    <w:rsid w:val="004B6824"/>
    <w:rsid w:val="004B6AA6"/>
    <w:rsid w:val="004B6AFB"/>
    <w:rsid w:val="004B7CB1"/>
    <w:rsid w:val="004B7FAC"/>
    <w:rsid w:val="004C02F0"/>
    <w:rsid w:val="004C0371"/>
    <w:rsid w:val="004C0449"/>
    <w:rsid w:val="004C0714"/>
    <w:rsid w:val="004C0B04"/>
    <w:rsid w:val="004C0E9C"/>
    <w:rsid w:val="004C104B"/>
    <w:rsid w:val="004C10ED"/>
    <w:rsid w:val="004C1302"/>
    <w:rsid w:val="004C1C74"/>
    <w:rsid w:val="004C2870"/>
    <w:rsid w:val="004C2A03"/>
    <w:rsid w:val="004C2B9B"/>
    <w:rsid w:val="004C3223"/>
    <w:rsid w:val="004C3D3B"/>
    <w:rsid w:val="004C4583"/>
    <w:rsid w:val="004C4D7B"/>
    <w:rsid w:val="004C4ECD"/>
    <w:rsid w:val="004C50C3"/>
    <w:rsid w:val="004C5221"/>
    <w:rsid w:val="004C5304"/>
    <w:rsid w:val="004C53D5"/>
    <w:rsid w:val="004C5777"/>
    <w:rsid w:val="004C59D0"/>
    <w:rsid w:val="004C5E13"/>
    <w:rsid w:val="004C5FC3"/>
    <w:rsid w:val="004C62FC"/>
    <w:rsid w:val="004C6338"/>
    <w:rsid w:val="004C6DE1"/>
    <w:rsid w:val="004D0173"/>
    <w:rsid w:val="004D01F1"/>
    <w:rsid w:val="004D0309"/>
    <w:rsid w:val="004D1056"/>
    <w:rsid w:val="004D13CD"/>
    <w:rsid w:val="004D2206"/>
    <w:rsid w:val="004D272A"/>
    <w:rsid w:val="004D29B1"/>
    <w:rsid w:val="004D2FA6"/>
    <w:rsid w:val="004D39F5"/>
    <w:rsid w:val="004D3BD3"/>
    <w:rsid w:val="004D3E5B"/>
    <w:rsid w:val="004D4154"/>
    <w:rsid w:val="004D4BF4"/>
    <w:rsid w:val="004D4CF1"/>
    <w:rsid w:val="004D50BA"/>
    <w:rsid w:val="004D5BA7"/>
    <w:rsid w:val="004D6145"/>
    <w:rsid w:val="004D6D31"/>
    <w:rsid w:val="004E061C"/>
    <w:rsid w:val="004E0F59"/>
    <w:rsid w:val="004E135C"/>
    <w:rsid w:val="004E14E5"/>
    <w:rsid w:val="004E1938"/>
    <w:rsid w:val="004E1E66"/>
    <w:rsid w:val="004E1EDE"/>
    <w:rsid w:val="004E1F85"/>
    <w:rsid w:val="004E21E2"/>
    <w:rsid w:val="004E293F"/>
    <w:rsid w:val="004E2A98"/>
    <w:rsid w:val="004E3429"/>
    <w:rsid w:val="004E37D6"/>
    <w:rsid w:val="004E380D"/>
    <w:rsid w:val="004E38F8"/>
    <w:rsid w:val="004E39D4"/>
    <w:rsid w:val="004E3F5D"/>
    <w:rsid w:val="004E4385"/>
    <w:rsid w:val="004E44AD"/>
    <w:rsid w:val="004E4DD6"/>
    <w:rsid w:val="004E5A13"/>
    <w:rsid w:val="004E5A1D"/>
    <w:rsid w:val="004E5D80"/>
    <w:rsid w:val="004E7922"/>
    <w:rsid w:val="004E7A00"/>
    <w:rsid w:val="004F0063"/>
    <w:rsid w:val="004F00C0"/>
    <w:rsid w:val="004F01E6"/>
    <w:rsid w:val="004F0426"/>
    <w:rsid w:val="004F0DFC"/>
    <w:rsid w:val="004F141D"/>
    <w:rsid w:val="004F1508"/>
    <w:rsid w:val="004F16D7"/>
    <w:rsid w:val="004F1D84"/>
    <w:rsid w:val="004F27BF"/>
    <w:rsid w:val="004F2B19"/>
    <w:rsid w:val="004F336C"/>
    <w:rsid w:val="004F3441"/>
    <w:rsid w:val="004F3806"/>
    <w:rsid w:val="004F4116"/>
    <w:rsid w:val="004F41B2"/>
    <w:rsid w:val="004F4AFC"/>
    <w:rsid w:val="004F4B33"/>
    <w:rsid w:val="004F4C52"/>
    <w:rsid w:val="004F4CC5"/>
    <w:rsid w:val="004F4F7A"/>
    <w:rsid w:val="004F52A5"/>
    <w:rsid w:val="004F58D3"/>
    <w:rsid w:val="004F5D1F"/>
    <w:rsid w:val="004F5FF1"/>
    <w:rsid w:val="004F6554"/>
    <w:rsid w:val="004F7846"/>
    <w:rsid w:val="004F7A3B"/>
    <w:rsid w:val="004F7AD1"/>
    <w:rsid w:val="004F7D76"/>
    <w:rsid w:val="004F7E82"/>
    <w:rsid w:val="005001C2"/>
    <w:rsid w:val="005003A0"/>
    <w:rsid w:val="005003F1"/>
    <w:rsid w:val="005005D1"/>
    <w:rsid w:val="00500664"/>
    <w:rsid w:val="0050085D"/>
    <w:rsid w:val="0050097D"/>
    <w:rsid w:val="005009F6"/>
    <w:rsid w:val="00500BCF"/>
    <w:rsid w:val="00500C8C"/>
    <w:rsid w:val="00500FB1"/>
    <w:rsid w:val="00501375"/>
    <w:rsid w:val="00501D3B"/>
    <w:rsid w:val="005022C9"/>
    <w:rsid w:val="0050235F"/>
    <w:rsid w:val="005023D1"/>
    <w:rsid w:val="0050254F"/>
    <w:rsid w:val="00502C6B"/>
    <w:rsid w:val="00502F96"/>
    <w:rsid w:val="00503EA2"/>
    <w:rsid w:val="00503FB9"/>
    <w:rsid w:val="005047FF"/>
    <w:rsid w:val="00504CA3"/>
    <w:rsid w:val="00504F8D"/>
    <w:rsid w:val="005052D7"/>
    <w:rsid w:val="0050538F"/>
    <w:rsid w:val="00505627"/>
    <w:rsid w:val="00505EDD"/>
    <w:rsid w:val="00505F87"/>
    <w:rsid w:val="005068F4"/>
    <w:rsid w:val="00507045"/>
    <w:rsid w:val="0050779D"/>
    <w:rsid w:val="00507C36"/>
    <w:rsid w:val="00507DFA"/>
    <w:rsid w:val="00507E54"/>
    <w:rsid w:val="005103B7"/>
    <w:rsid w:val="005112BA"/>
    <w:rsid w:val="005116E4"/>
    <w:rsid w:val="00512491"/>
    <w:rsid w:val="005127A6"/>
    <w:rsid w:val="00512A93"/>
    <w:rsid w:val="00512DB6"/>
    <w:rsid w:val="00512E49"/>
    <w:rsid w:val="00513545"/>
    <w:rsid w:val="0051372E"/>
    <w:rsid w:val="00513996"/>
    <w:rsid w:val="005139CA"/>
    <w:rsid w:val="005139EA"/>
    <w:rsid w:val="00513AFA"/>
    <w:rsid w:val="005141ED"/>
    <w:rsid w:val="0051441C"/>
    <w:rsid w:val="005146DE"/>
    <w:rsid w:val="0051479F"/>
    <w:rsid w:val="00514B86"/>
    <w:rsid w:val="00515287"/>
    <w:rsid w:val="00515E22"/>
    <w:rsid w:val="0051656C"/>
    <w:rsid w:val="005169D9"/>
    <w:rsid w:val="00516DD1"/>
    <w:rsid w:val="00517270"/>
    <w:rsid w:val="00517BBE"/>
    <w:rsid w:val="00520BBB"/>
    <w:rsid w:val="00520E71"/>
    <w:rsid w:val="0052149D"/>
    <w:rsid w:val="005221E6"/>
    <w:rsid w:val="00522392"/>
    <w:rsid w:val="005224A6"/>
    <w:rsid w:val="00522631"/>
    <w:rsid w:val="00522BDC"/>
    <w:rsid w:val="005232A6"/>
    <w:rsid w:val="00523925"/>
    <w:rsid w:val="00524269"/>
    <w:rsid w:val="0052447E"/>
    <w:rsid w:val="00524D14"/>
    <w:rsid w:val="00524D86"/>
    <w:rsid w:val="00525108"/>
    <w:rsid w:val="00525456"/>
    <w:rsid w:val="00526510"/>
    <w:rsid w:val="00526984"/>
    <w:rsid w:val="00526C3A"/>
    <w:rsid w:val="00527491"/>
    <w:rsid w:val="00527CA1"/>
    <w:rsid w:val="00530352"/>
    <w:rsid w:val="005308E1"/>
    <w:rsid w:val="005315DD"/>
    <w:rsid w:val="00531CFD"/>
    <w:rsid w:val="00532236"/>
    <w:rsid w:val="00532405"/>
    <w:rsid w:val="00532684"/>
    <w:rsid w:val="0053270A"/>
    <w:rsid w:val="005327B5"/>
    <w:rsid w:val="00533374"/>
    <w:rsid w:val="005334BE"/>
    <w:rsid w:val="00533787"/>
    <w:rsid w:val="00534434"/>
    <w:rsid w:val="00534E70"/>
    <w:rsid w:val="005356E9"/>
    <w:rsid w:val="0053623A"/>
    <w:rsid w:val="00537442"/>
    <w:rsid w:val="00537A9A"/>
    <w:rsid w:val="005409DE"/>
    <w:rsid w:val="00540A15"/>
    <w:rsid w:val="005418D4"/>
    <w:rsid w:val="00541DFE"/>
    <w:rsid w:val="0054237D"/>
    <w:rsid w:val="00542D5A"/>
    <w:rsid w:val="00543348"/>
    <w:rsid w:val="005436CA"/>
    <w:rsid w:val="00543E6C"/>
    <w:rsid w:val="00544184"/>
    <w:rsid w:val="00544291"/>
    <w:rsid w:val="00544E93"/>
    <w:rsid w:val="00545D7B"/>
    <w:rsid w:val="005460FA"/>
    <w:rsid w:val="00546423"/>
    <w:rsid w:val="00546485"/>
    <w:rsid w:val="00546CE2"/>
    <w:rsid w:val="00547075"/>
    <w:rsid w:val="00547313"/>
    <w:rsid w:val="005509E0"/>
    <w:rsid w:val="00551359"/>
    <w:rsid w:val="005513B8"/>
    <w:rsid w:val="005518ED"/>
    <w:rsid w:val="00551FA9"/>
    <w:rsid w:val="00551FE5"/>
    <w:rsid w:val="0055247E"/>
    <w:rsid w:val="00552705"/>
    <w:rsid w:val="00552A06"/>
    <w:rsid w:val="00552AE7"/>
    <w:rsid w:val="00552D8C"/>
    <w:rsid w:val="00553076"/>
    <w:rsid w:val="00553542"/>
    <w:rsid w:val="005537C3"/>
    <w:rsid w:val="00554157"/>
    <w:rsid w:val="005543EA"/>
    <w:rsid w:val="0055468C"/>
    <w:rsid w:val="0055503E"/>
    <w:rsid w:val="005552FD"/>
    <w:rsid w:val="00555813"/>
    <w:rsid w:val="00555BDA"/>
    <w:rsid w:val="00555EF4"/>
    <w:rsid w:val="00556A83"/>
    <w:rsid w:val="00556C2E"/>
    <w:rsid w:val="00556C3A"/>
    <w:rsid w:val="00556FF1"/>
    <w:rsid w:val="005575CC"/>
    <w:rsid w:val="00557A36"/>
    <w:rsid w:val="00557AD3"/>
    <w:rsid w:val="005600E5"/>
    <w:rsid w:val="005602F4"/>
    <w:rsid w:val="005606A2"/>
    <w:rsid w:val="00562385"/>
    <w:rsid w:val="00562BA5"/>
    <w:rsid w:val="00562EDB"/>
    <w:rsid w:val="00563C62"/>
    <w:rsid w:val="005640AF"/>
    <w:rsid w:val="00564DF2"/>
    <w:rsid w:val="00564E8F"/>
    <w:rsid w:val="0056519F"/>
    <w:rsid w:val="00565841"/>
    <w:rsid w:val="00565A58"/>
    <w:rsid w:val="00565B36"/>
    <w:rsid w:val="00565EB2"/>
    <w:rsid w:val="00566051"/>
    <w:rsid w:val="005669E4"/>
    <w:rsid w:val="00570453"/>
    <w:rsid w:val="00570C81"/>
    <w:rsid w:val="00570DC6"/>
    <w:rsid w:val="00570E1A"/>
    <w:rsid w:val="005713D1"/>
    <w:rsid w:val="0057165E"/>
    <w:rsid w:val="00571842"/>
    <w:rsid w:val="00571921"/>
    <w:rsid w:val="00572168"/>
    <w:rsid w:val="005726A7"/>
    <w:rsid w:val="005728A4"/>
    <w:rsid w:val="005729C2"/>
    <w:rsid w:val="00573309"/>
    <w:rsid w:val="00573D26"/>
    <w:rsid w:val="0057482E"/>
    <w:rsid w:val="00574A04"/>
    <w:rsid w:val="00574F6D"/>
    <w:rsid w:val="005763FC"/>
    <w:rsid w:val="00576CED"/>
    <w:rsid w:val="00576D3A"/>
    <w:rsid w:val="00576EB4"/>
    <w:rsid w:val="0057779F"/>
    <w:rsid w:val="00577804"/>
    <w:rsid w:val="00577B30"/>
    <w:rsid w:val="005803F7"/>
    <w:rsid w:val="00581D68"/>
    <w:rsid w:val="00581F52"/>
    <w:rsid w:val="00582768"/>
    <w:rsid w:val="005828C8"/>
    <w:rsid w:val="005829AB"/>
    <w:rsid w:val="00583461"/>
    <w:rsid w:val="00585142"/>
    <w:rsid w:val="005852E0"/>
    <w:rsid w:val="005854C3"/>
    <w:rsid w:val="005856A4"/>
    <w:rsid w:val="00585990"/>
    <w:rsid w:val="00585EA2"/>
    <w:rsid w:val="00585EDE"/>
    <w:rsid w:val="00585FD4"/>
    <w:rsid w:val="005864DA"/>
    <w:rsid w:val="005868EA"/>
    <w:rsid w:val="005869AD"/>
    <w:rsid w:val="00586D1B"/>
    <w:rsid w:val="00587003"/>
    <w:rsid w:val="005871D8"/>
    <w:rsid w:val="005875CE"/>
    <w:rsid w:val="005875F7"/>
    <w:rsid w:val="0058798A"/>
    <w:rsid w:val="00587A21"/>
    <w:rsid w:val="00587E50"/>
    <w:rsid w:val="00590730"/>
    <w:rsid w:val="005910FA"/>
    <w:rsid w:val="005911AB"/>
    <w:rsid w:val="005917E9"/>
    <w:rsid w:val="005921F7"/>
    <w:rsid w:val="005928CD"/>
    <w:rsid w:val="00593024"/>
    <w:rsid w:val="0059363C"/>
    <w:rsid w:val="005937DC"/>
    <w:rsid w:val="00594746"/>
    <w:rsid w:val="00594A62"/>
    <w:rsid w:val="005951DC"/>
    <w:rsid w:val="0059553D"/>
    <w:rsid w:val="00595664"/>
    <w:rsid w:val="00595763"/>
    <w:rsid w:val="00595B3F"/>
    <w:rsid w:val="00595D51"/>
    <w:rsid w:val="00595D59"/>
    <w:rsid w:val="00595D61"/>
    <w:rsid w:val="00596D6B"/>
    <w:rsid w:val="00596F6D"/>
    <w:rsid w:val="005A01AA"/>
    <w:rsid w:val="005A0240"/>
    <w:rsid w:val="005A02A4"/>
    <w:rsid w:val="005A0799"/>
    <w:rsid w:val="005A0956"/>
    <w:rsid w:val="005A1754"/>
    <w:rsid w:val="005A1D45"/>
    <w:rsid w:val="005A28A1"/>
    <w:rsid w:val="005A2A7A"/>
    <w:rsid w:val="005A2AD8"/>
    <w:rsid w:val="005A3051"/>
    <w:rsid w:val="005A3166"/>
    <w:rsid w:val="005A38FD"/>
    <w:rsid w:val="005A3E55"/>
    <w:rsid w:val="005A4A31"/>
    <w:rsid w:val="005A4AA3"/>
    <w:rsid w:val="005A53FE"/>
    <w:rsid w:val="005A655D"/>
    <w:rsid w:val="005A6C8A"/>
    <w:rsid w:val="005A705A"/>
    <w:rsid w:val="005A7478"/>
    <w:rsid w:val="005A7C28"/>
    <w:rsid w:val="005B119B"/>
    <w:rsid w:val="005B1584"/>
    <w:rsid w:val="005B2D6A"/>
    <w:rsid w:val="005B3C41"/>
    <w:rsid w:val="005B4D04"/>
    <w:rsid w:val="005B4E2B"/>
    <w:rsid w:val="005B597A"/>
    <w:rsid w:val="005B7313"/>
    <w:rsid w:val="005B7D22"/>
    <w:rsid w:val="005C00DC"/>
    <w:rsid w:val="005C029E"/>
    <w:rsid w:val="005C06F5"/>
    <w:rsid w:val="005C12D2"/>
    <w:rsid w:val="005C2381"/>
    <w:rsid w:val="005C2B06"/>
    <w:rsid w:val="005C31C8"/>
    <w:rsid w:val="005C3B91"/>
    <w:rsid w:val="005C3D4C"/>
    <w:rsid w:val="005C4EB3"/>
    <w:rsid w:val="005C549A"/>
    <w:rsid w:val="005C6026"/>
    <w:rsid w:val="005C6249"/>
    <w:rsid w:val="005C67E7"/>
    <w:rsid w:val="005C6E3D"/>
    <w:rsid w:val="005C6EEA"/>
    <w:rsid w:val="005C70BA"/>
    <w:rsid w:val="005C7A67"/>
    <w:rsid w:val="005C7BBE"/>
    <w:rsid w:val="005C7DC6"/>
    <w:rsid w:val="005D018B"/>
    <w:rsid w:val="005D0739"/>
    <w:rsid w:val="005D1550"/>
    <w:rsid w:val="005D1ED1"/>
    <w:rsid w:val="005D2558"/>
    <w:rsid w:val="005D2A55"/>
    <w:rsid w:val="005D2C2B"/>
    <w:rsid w:val="005D3138"/>
    <w:rsid w:val="005D38CA"/>
    <w:rsid w:val="005D39EE"/>
    <w:rsid w:val="005D3EB3"/>
    <w:rsid w:val="005D482B"/>
    <w:rsid w:val="005D4A42"/>
    <w:rsid w:val="005D503C"/>
    <w:rsid w:val="005D5B29"/>
    <w:rsid w:val="005D63CD"/>
    <w:rsid w:val="005D6B4F"/>
    <w:rsid w:val="005D715A"/>
    <w:rsid w:val="005D73D4"/>
    <w:rsid w:val="005D7573"/>
    <w:rsid w:val="005D79D3"/>
    <w:rsid w:val="005D7A2E"/>
    <w:rsid w:val="005D7D61"/>
    <w:rsid w:val="005E07B6"/>
    <w:rsid w:val="005E085D"/>
    <w:rsid w:val="005E253F"/>
    <w:rsid w:val="005E257A"/>
    <w:rsid w:val="005E2C81"/>
    <w:rsid w:val="005E2E6A"/>
    <w:rsid w:val="005E320A"/>
    <w:rsid w:val="005E332D"/>
    <w:rsid w:val="005E3F40"/>
    <w:rsid w:val="005E3FA7"/>
    <w:rsid w:val="005E4CD3"/>
    <w:rsid w:val="005E4E15"/>
    <w:rsid w:val="005E5031"/>
    <w:rsid w:val="005E56A3"/>
    <w:rsid w:val="005E5AA4"/>
    <w:rsid w:val="005E6645"/>
    <w:rsid w:val="005E718F"/>
    <w:rsid w:val="005E76B5"/>
    <w:rsid w:val="005E790B"/>
    <w:rsid w:val="005E7963"/>
    <w:rsid w:val="005F141C"/>
    <w:rsid w:val="005F199B"/>
    <w:rsid w:val="005F1DF9"/>
    <w:rsid w:val="005F218C"/>
    <w:rsid w:val="005F2C19"/>
    <w:rsid w:val="005F2D47"/>
    <w:rsid w:val="005F4502"/>
    <w:rsid w:val="005F4523"/>
    <w:rsid w:val="005F467D"/>
    <w:rsid w:val="005F4A0C"/>
    <w:rsid w:val="005F4A39"/>
    <w:rsid w:val="005F50C3"/>
    <w:rsid w:val="005F5135"/>
    <w:rsid w:val="005F547D"/>
    <w:rsid w:val="005F562A"/>
    <w:rsid w:val="005F5A1C"/>
    <w:rsid w:val="005F5BC0"/>
    <w:rsid w:val="005F6263"/>
    <w:rsid w:val="005F7A02"/>
    <w:rsid w:val="005F7C8E"/>
    <w:rsid w:val="00600087"/>
    <w:rsid w:val="006002D2"/>
    <w:rsid w:val="006003A6"/>
    <w:rsid w:val="00600FDE"/>
    <w:rsid w:val="0060110C"/>
    <w:rsid w:val="006013AD"/>
    <w:rsid w:val="00601B19"/>
    <w:rsid w:val="00601B88"/>
    <w:rsid w:val="00601D47"/>
    <w:rsid w:val="00601D4D"/>
    <w:rsid w:val="006021B4"/>
    <w:rsid w:val="006021D9"/>
    <w:rsid w:val="00602797"/>
    <w:rsid w:val="00602CCE"/>
    <w:rsid w:val="00602EBD"/>
    <w:rsid w:val="00602FBC"/>
    <w:rsid w:val="00603579"/>
    <w:rsid w:val="006035D6"/>
    <w:rsid w:val="00603CCD"/>
    <w:rsid w:val="00603DEC"/>
    <w:rsid w:val="00604599"/>
    <w:rsid w:val="00604DC4"/>
    <w:rsid w:val="006050B7"/>
    <w:rsid w:val="00605580"/>
    <w:rsid w:val="006059B7"/>
    <w:rsid w:val="00605B5B"/>
    <w:rsid w:val="006062D8"/>
    <w:rsid w:val="00606827"/>
    <w:rsid w:val="0061010B"/>
    <w:rsid w:val="00610687"/>
    <w:rsid w:val="00610D5E"/>
    <w:rsid w:val="0061115D"/>
    <w:rsid w:val="006111FA"/>
    <w:rsid w:val="0061165F"/>
    <w:rsid w:val="00612485"/>
    <w:rsid w:val="006128A7"/>
    <w:rsid w:val="00612BB7"/>
    <w:rsid w:val="00613598"/>
    <w:rsid w:val="00613A56"/>
    <w:rsid w:val="00613DFF"/>
    <w:rsid w:val="00614E86"/>
    <w:rsid w:val="00614F88"/>
    <w:rsid w:val="00615CF9"/>
    <w:rsid w:val="00615E8A"/>
    <w:rsid w:val="00615EC2"/>
    <w:rsid w:val="00616B50"/>
    <w:rsid w:val="00617164"/>
    <w:rsid w:val="006173E8"/>
    <w:rsid w:val="00617B2F"/>
    <w:rsid w:val="00617EE7"/>
    <w:rsid w:val="00617F18"/>
    <w:rsid w:val="00620262"/>
    <w:rsid w:val="00620278"/>
    <w:rsid w:val="006213C8"/>
    <w:rsid w:val="00621ACE"/>
    <w:rsid w:val="00621B4C"/>
    <w:rsid w:val="00622EDB"/>
    <w:rsid w:val="00623CD7"/>
    <w:rsid w:val="00624B8C"/>
    <w:rsid w:val="0062568D"/>
    <w:rsid w:val="006258AC"/>
    <w:rsid w:val="006258C5"/>
    <w:rsid w:val="006264D4"/>
    <w:rsid w:val="006268E9"/>
    <w:rsid w:val="00627C52"/>
    <w:rsid w:val="0063013A"/>
    <w:rsid w:val="00630643"/>
    <w:rsid w:val="00630937"/>
    <w:rsid w:val="00631628"/>
    <w:rsid w:val="00631765"/>
    <w:rsid w:val="00631C4B"/>
    <w:rsid w:val="00633168"/>
    <w:rsid w:val="0063359B"/>
    <w:rsid w:val="00633969"/>
    <w:rsid w:val="00633CFC"/>
    <w:rsid w:val="00633D6D"/>
    <w:rsid w:val="006344CE"/>
    <w:rsid w:val="0063455E"/>
    <w:rsid w:val="006345D5"/>
    <w:rsid w:val="00634B89"/>
    <w:rsid w:val="00634BFE"/>
    <w:rsid w:val="00634D97"/>
    <w:rsid w:val="00635446"/>
    <w:rsid w:val="00635649"/>
    <w:rsid w:val="00635EC3"/>
    <w:rsid w:val="00636422"/>
    <w:rsid w:val="006364A9"/>
    <w:rsid w:val="00636779"/>
    <w:rsid w:val="00636934"/>
    <w:rsid w:val="00636945"/>
    <w:rsid w:val="0063755D"/>
    <w:rsid w:val="006376F5"/>
    <w:rsid w:val="006407C0"/>
    <w:rsid w:val="00640A12"/>
    <w:rsid w:val="00640EAA"/>
    <w:rsid w:val="00641752"/>
    <w:rsid w:val="0064177E"/>
    <w:rsid w:val="006417F3"/>
    <w:rsid w:val="00641CA6"/>
    <w:rsid w:val="00643556"/>
    <w:rsid w:val="00643662"/>
    <w:rsid w:val="00643B04"/>
    <w:rsid w:val="00643CC4"/>
    <w:rsid w:val="0064459D"/>
    <w:rsid w:val="00644A54"/>
    <w:rsid w:val="0064515B"/>
    <w:rsid w:val="006459DF"/>
    <w:rsid w:val="006468F9"/>
    <w:rsid w:val="00646E44"/>
    <w:rsid w:val="00647B7A"/>
    <w:rsid w:val="00650175"/>
    <w:rsid w:val="0065092B"/>
    <w:rsid w:val="00651231"/>
    <w:rsid w:val="0065169F"/>
    <w:rsid w:val="00651B9E"/>
    <w:rsid w:val="00651C2E"/>
    <w:rsid w:val="00651ED7"/>
    <w:rsid w:val="00651EEB"/>
    <w:rsid w:val="006520B0"/>
    <w:rsid w:val="006529B2"/>
    <w:rsid w:val="00653759"/>
    <w:rsid w:val="006538E1"/>
    <w:rsid w:val="006539A0"/>
    <w:rsid w:val="00653B84"/>
    <w:rsid w:val="00653E0D"/>
    <w:rsid w:val="00653E2F"/>
    <w:rsid w:val="00653FB6"/>
    <w:rsid w:val="00654562"/>
    <w:rsid w:val="00654C84"/>
    <w:rsid w:val="006558B3"/>
    <w:rsid w:val="00655ABE"/>
    <w:rsid w:val="00656A4B"/>
    <w:rsid w:val="00656B1C"/>
    <w:rsid w:val="00660001"/>
    <w:rsid w:val="006600EB"/>
    <w:rsid w:val="00660642"/>
    <w:rsid w:val="006608E1"/>
    <w:rsid w:val="00660E90"/>
    <w:rsid w:val="0066167C"/>
    <w:rsid w:val="00661FAC"/>
    <w:rsid w:val="00662131"/>
    <w:rsid w:val="00662B3E"/>
    <w:rsid w:val="0066301D"/>
    <w:rsid w:val="0066313E"/>
    <w:rsid w:val="00663204"/>
    <w:rsid w:val="00663EF3"/>
    <w:rsid w:val="00664074"/>
    <w:rsid w:val="0066500C"/>
    <w:rsid w:val="006653C5"/>
    <w:rsid w:val="006654A1"/>
    <w:rsid w:val="006664FF"/>
    <w:rsid w:val="006666D0"/>
    <w:rsid w:val="00666A25"/>
    <w:rsid w:val="006671E7"/>
    <w:rsid w:val="006675DE"/>
    <w:rsid w:val="00667BCD"/>
    <w:rsid w:val="00667D3E"/>
    <w:rsid w:val="00670198"/>
    <w:rsid w:val="00670883"/>
    <w:rsid w:val="00670E47"/>
    <w:rsid w:val="00671319"/>
    <w:rsid w:val="00671648"/>
    <w:rsid w:val="00671D30"/>
    <w:rsid w:val="0067313E"/>
    <w:rsid w:val="006742F1"/>
    <w:rsid w:val="00674FB8"/>
    <w:rsid w:val="00674FBB"/>
    <w:rsid w:val="006751F1"/>
    <w:rsid w:val="0067565F"/>
    <w:rsid w:val="00675ABE"/>
    <w:rsid w:val="006762CD"/>
    <w:rsid w:val="00676C51"/>
    <w:rsid w:val="006772E6"/>
    <w:rsid w:val="0068021D"/>
    <w:rsid w:val="0068033D"/>
    <w:rsid w:val="00680959"/>
    <w:rsid w:val="00680C10"/>
    <w:rsid w:val="00681369"/>
    <w:rsid w:val="00681551"/>
    <w:rsid w:val="00681D87"/>
    <w:rsid w:val="006827A9"/>
    <w:rsid w:val="00682DC9"/>
    <w:rsid w:val="00683DB5"/>
    <w:rsid w:val="006845FF"/>
    <w:rsid w:val="00684680"/>
    <w:rsid w:val="006849B6"/>
    <w:rsid w:val="0068583A"/>
    <w:rsid w:val="006865C8"/>
    <w:rsid w:val="00686B48"/>
    <w:rsid w:val="00686E0B"/>
    <w:rsid w:val="00687038"/>
    <w:rsid w:val="0068714E"/>
    <w:rsid w:val="0068785A"/>
    <w:rsid w:val="006900FC"/>
    <w:rsid w:val="00690351"/>
    <w:rsid w:val="00690FF6"/>
    <w:rsid w:val="00692250"/>
    <w:rsid w:val="006927E9"/>
    <w:rsid w:val="006929F7"/>
    <w:rsid w:val="00692BA9"/>
    <w:rsid w:val="00692F52"/>
    <w:rsid w:val="0069374A"/>
    <w:rsid w:val="00693DCD"/>
    <w:rsid w:val="006947A1"/>
    <w:rsid w:val="006947D3"/>
    <w:rsid w:val="006949B1"/>
    <w:rsid w:val="00694AB8"/>
    <w:rsid w:val="00695490"/>
    <w:rsid w:val="00695B36"/>
    <w:rsid w:val="00695C3E"/>
    <w:rsid w:val="00695EF7"/>
    <w:rsid w:val="00696744"/>
    <w:rsid w:val="0069699D"/>
    <w:rsid w:val="00696FBD"/>
    <w:rsid w:val="006970C3"/>
    <w:rsid w:val="00697527"/>
    <w:rsid w:val="006A096E"/>
    <w:rsid w:val="006A139F"/>
    <w:rsid w:val="006A17C0"/>
    <w:rsid w:val="006A2730"/>
    <w:rsid w:val="006A2751"/>
    <w:rsid w:val="006A29CA"/>
    <w:rsid w:val="006A449C"/>
    <w:rsid w:val="006A4E07"/>
    <w:rsid w:val="006A5417"/>
    <w:rsid w:val="006A56EF"/>
    <w:rsid w:val="006A5E53"/>
    <w:rsid w:val="006A6579"/>
    <w:rsid w:val="006A667D"/>
    <w:rsid w:val="006A68A6"/>
    <w:rsid w:val="006A6B53"/>
    <w:rsid w:val="006A716D"/>
    <w:rsid w:val="006A7827"/>
    <w:rsid w:val="006B0905"/>
    <w:rsid w:val="006B1B88"/>
    <w:rsid w:val="006B2C40"/>
    <w:rsid w:val="006B2C51"/>
    <w:rsid w:val="006B317C"/>
    <w:rsid w:val="006B3527"/>
    <w:rsid w:val="006B3F7E"/>
    <w:rsid w:val="006B3FA6"/>
    <w:rsid w:val="006B424B"/>
    <w:rsid w:val="006B48EA"/>
    <w:rsid w:val="006B4F4E"/>
    <w:rsid w:val="006B5055"/>
    <w:rsid w:val="006B5C32"/>
    <w:rsid w:val="006B6361"/>
    <w:rsid w:val="006B640D"/>
    <w:rsid w:val="006B7176"/>
    <w:rsid w:val="006C0AF4"/>
    <w:rsid w:val="006C0D16"/>
    <w:rsid w:val="006C1118"/>
    <w:rsid w:val="006C1423"/>
    <w:rsid w:val="006C1933"/>
    <w:rsid w:val="006C1F6E"/>
    <w:rsid w:val="006C29CE"/>
    <w:rsid w:val="006C2D50"/>
    <w:rsid w:val="006C321B"/>
    <w:rsid w:val="006C3BF0"/>
    <w:rsid w:val="006C4C24"/>
    <w:rsid w:val="006C4F94"/>
    <w:rsid w:val="006C518A"/>
    <w:rsid w:val="006C55C5"/>
    <w:rsid w:val="006C5A28"/>
    <w:rsid w:val="006C6152"/>
    <w:rsid w:val="006C663D"/>
    <w:rsid w:val="006C67A1"/>
    <w:rsid w:val="006C6AFF"/>
    <w:rsid w:val="006C6E1C"/>
    <w:rsid w:val="006C702B"/>
    <w:rsid w:val="006C731F"/>
    <w:rsid w:val="006C7883"/>
    <w:rsid w:val="006C797F"/>
    <w:rsid w:val="006D0087"/>
    <w:rsid w:val="006D012B"/>
    <w:rsid w:val="006D03FD"/>
    <w:rsid w:val="006D06CD"/>
    <w:rsid w:val="006D14C7"/>
    <w:rsid w:val="006D19C7"/>
    <w:rsid w:val="006D1CE7"/>
    <w:rsid w:val="006D20D6"/>
    <w:rsid w:val="006D2325"/>
    <w:rsid w:val="006D2770"/>
    <w:rsid w:val="006D295C"/>
    <w:rsid w:val="006D2C79"/>
    <w:rsid w:val="006D31D5"/>
    <w:rsid w:val="006D360C"/>
    <w:rsid w:val="006D465B"/>
    <w:rsid w:val="006D49CD"/>
    <w:rsid w:val="006D4A08"/>
    <w:rsid w:val="006D5AC9"/>
    <w:rsid w:val="006D6012"/>
    <w:rsid w:val="006D62A0"/>
    <w:rsid w:val="006D62D3"/>
    <w:rsid w:val="006D66ED"/>
    <w:rsid w:val="006D6751"/>
    <w:rsid w:val="006D6B1A"/>
    <w:rsid w:val="006D72B6"/>
    <w:rsid w:val="006E101E"/>
    <w:rsid w:val="006E172A"/>
    <w:rsid w:val="006E269B"/>
    <w:rsid w:val="006E2A17"/>
    <w:rsid w:val="006E2DAC"/>
    <w:rsid w:val="006E30BC"/>
    <w:rsid w:val="006E362F"/>
    <w:rsid w:val="006E3797"/>
    <w:rsid w:val="006E3B92"/>
    <w:rsid w:val="006E4144"/>
    <w:rsid w:val="006E4267"/>
    <w:rsid w:val="006E42FE"/>
    <w:rsid w:val="006E55E2"/>
    <w:rsid w:val="006E59F6"/>
    <w:rsid w:val="006E6239"/>
    <w:rsid w:val="006E6878"/>
    <w:rsid w:val="006E6E73"/>
    <w:rsid w:val="006E786B"/>
    <w:rsid w:val="006E7A62"/>
    <w:rsid w:val="006F01B6"/>
    <w:rsid w:val="006F1551"/>
    <w:rsid w:val="006F1AD3"/>
    <w:rsid w:val="006F1D66"/>
    <w:rsid w:val="006F1DEE"/>
    <w:rsid w:val="006F1F01"/>
    <w:rsid w:val="006F229E"/>
    <w:rsid w:val="006F30F0"/>
    <w:rsid w:val="006F3648"/>
    <w:rsid w:val="006F3CC1"/>
    <w:rsid w:val="006F43C0"/>
    <w:rsid w:val="006F4A1E"/>
    <w:rsid w:val="006F4C98"/>
    <w:rsid w:val="006F4D8E"/>
    <w:rsid w:val="006F51DA"/>
    <w:rsid w:val="006F55A8"/>
    <w:rsid w:val="006F566D"/>
    <w:rsid w:val="006F5B88"/>
    <w:rsid w:val="006F5D04"/>
    <w:rsid w:val="006F65FE"/>
    <w:rsid w:val="006F69F4"/>
    <w:rsid w:val="006F6A63"/>
    <w:rsid w:val="006F6EEC"/>
    <w:rsid w:val="006F6F8E"/>
    <w:rsid w:val="006F6FE0"/>
    <w:rsid w:val="006F7804"/>
    <w:rsid w:val="007002B1"/>
    <w:rsid w:val="0070044D"/>
    <w:rsid w:val="0070162A"/>
    <w:rsid w:val="00701695"/>
    <w:rsid w:val="00701A1A"/>
    <w:rsid w:val="00701A44"/>
    <w:rsid w:val="00701FDF"/>
    <w:rsid w:val="007029A6"/>
    <w:rsid w:val="00703470"/>
    <w:rsid w:val="00703CE5"/>
    <w:rsid w:val="007045DD"/>
    <w:rsid w:val="00704609"/>
    <w:rsid w:val="00704CAE"/>
    <w:rsid w:val="00704EB7"/>
    <w:rsid w:val="00704EC6"/>
    <w:rsid w:val="00705671"/>
    <w:rsid w:val="00705742"/>
    <w:rsid w:val="0070670E"/>
    <w:rsid w:val="00706BC8"/>
    <w:rsid w:val="00706DD8"/>
    <w:rsid w:val="00706F5E"/>
    <w:rsid w:val="007073C5"/>
    <w:rsid w:val="00707A10"/>
    <w:rsid w:val="00707E72"/>
    <w:rsid w:val="00710185"/>
    <w:rsid w:val="007104FE"/>
    <w:rsid w:val="00710C91"/>
    <w:rsid w:val="00711340"/>
    <w:rsid w:val="0071191A"/>
    <w:rsid w:val="00711AC0"/>
    <w:rsid w:val="00711B0C"/>
    <w:rsid w:val="007121A2"/>
    <w:rsid w:val="00713143"/>
    <w:rsid w:val="00713981"/>
    <w:rsid w:val="00713FA6"/>
    <w:rsid w:val="00714685"/>
    <w:rsid w:val="00714E3C"/>
    <w:rsid w:val="00714F7C"/>
    <w:rsid w:val="00715537"/>
    <w:rsid w:val="00715778"/>
    <w:rsid w:val="00715B56"/>
    <w:rsid w:val="0071669C"/>
    <w:rsid w:val="00716851"/>
    <w:rsid w:val="00716A5E"/>
    <w:rsid w:val="007176D6"/>
    <w:rsid w:val="00717703"/>
    <w:rsid w:val="00717777"/>
    <w:rsid w:val="00717823"/>
    <w:rsid w:val="007200AB"/>
    <w:rsid w:val="007200BB"/>
    <w:rsid w:val="00721185"/>
    <w:rsid w:val="0072146E"/>
    <w:rsid w:val="00721C5F"/>
    <w:rsid w:val="00721C69"/>
    <w:rsid w:val="007226FE"/>
    <w:rsid w:val="007227DD"/>
    <w:rsid w:val="00722C89"/>
    <w:rsid w:val="00722CAF"/>
    <w:rsid w:val="0072413B"/>
    <w:rsid w:val="00724455"/>
    <w:rsid w:val="00724567"/>
    <w:rsid w:val="007248D4"/>
    <w:rsid w:val="0072493F"/>
    <w:rsid w:val="00724B3B"/>
    <w:rsid w:val="00724EFE"/>
    <w:rsid w:val="007252A4"/>
    <w:rsid w:val="00725E99"/>
    <w:rsid w:val="0072609B"/>
    <w:rsid w:val="00727D54"/>
    <w:rsid w:val="007303B7"/>
    <w:rsid w:val="007310F0"/>
    <w:rsid w:val="007311A6"/>
    <w:rsid w:val="0073134C"/>
    <w:rsid w:val="0073257C"/>
    <w:rsid w:val="00733902"/>
    <w:rsid w:val="00734223"/>
    <w:rsid w:val="007344C5"/>
    <w:rsid w:val="007346BD"/>
    <w:rsid w:val="00734959"/>
    <w:rsid w:val="00735137"/>
    <w:rsid w:val="0073520D"/>
    <w:rsid w:val="00735608"/>
    <w:rsid w:val="00735992"/>
    <w:rsid w:val="00735F69"/>
    <w:rsid w:val="00736250"/>
    <w:rsid w:val="007363DC"/>
    <w:rsid w:val="00737303"/>
    <w:rsid w:val="007409A4"/>
    <w:rsid w:val="00740EE9"/>
    <w:rsid w:val="007413C1"/>
    <w:rsid w:val="007416B6"/>
    <w:rsid w:val="00741725"/>
    <w:rsid w:val="00742BD2"/>
    <w:rsid w:val="00742E6E"/>
    <w:rsid w:val="00743D6D"/>
    <w:rsid w:val="00743E2D"/>
    <w:rsid w:val="0074517C"/>
    <w:rsid w:val="00745BCF"/>
    <w:rsid w:val="00745CA5"/>
    <w:rsid w:val="00745E16"/>
    <w:rsid w:val="00746863"/>
    <w:rsid w:val="00746B14"/>
    <w:rsid w:val="0074753D"/>
    <w:rsid w:val="007477FF"/>
    <w:rsid w:val="00747A8B"/>
    <w:rsid w:val="007506C4"/>
    <w:rsid w:val="00751299"/>
    <w:rsid w:val="0075166E"/>
    <w:rsid w:val="00751A64"/>
    <w:rsid w:val="007532F8"/>
    <w:rsid w:val="00753D6A"/>
    <w:rsid w:val="007544B8"/>
    <w:rsid w:val="00755E9D"/>
    <w:rsid w:val="00756A36"/>
    <w:rsid w:val="00756AB2"/>
    <w:rsid w:val="00756F95"/>
    <w:rsid w:val="007605E2"/>
    <w:rsid w:val="00760B04"/>
    <w:rsid w:val="00761237"/>
    <w:rsid w:val="007626A6"/>
    <w:rsid w:val="00763096"/>
    <w:rsid w:val="007633CB"/>
    <w:rsid w:val="007639C1"/>
    <w:rsid w:val="00763A89"/>
    <w:rsid w:val="00764708"/>
    <w:rsid w:val="00765011"/>
    <w:rsid w:val="0076516A"/>
    <w:rsid w:val="00765CD2"/>
    <w:rsid w:val="00765E67"/>
    <w:rsid w:val="00765FF1"/>
    <w:rsid w:val="00766325"/>
    <w:rsid w:val="00766429"/>
    <w:rsid w:val="00766454"/>
    <w:rsid w:val="00767104"/>
    <w:rsid w:val="00767670"/>
    <w:rsid w:val="00767915"/>
    <w:rsid w:val="00767C41"/>
    <w:rsid w:val="00770145"/>
    <w:rsid w:val="007701C6"/>
    <w:rsid w:val="007710C5"/>
    <w:rsid w:val="007713FC"/>
    <w:rsid w:val="00771628"/>
    <w:rsid w:val="0077172B"/>
    <w:rsid w:val="00771782"/>
    <w:rsid w:val="00771BA3"/>
    <w:rsid w:val="00771DF0"/>
    <w:rsid w:val="00772C6F"/>
    <w:rsid w:val="00773178"/>
    <w:rsid w:val="0077347F"/>
    <w:rsid w:val="00773C64"/>
    <w:rsid w:val="0077557E"/>
    <w:rsid w:val="007767A1"/>
    <w:rsid w:val="007767E2"/>
    <w:rsid w:val="00776D5F"/>
    <w:rsid w:val="00776EBD"/>
    <w:rsid w:val="00777218"/>
    <w:rsid w:val="00777F08"/>
    <w:rsid w:val="00780226"/>
    <w:rsid w:val="00781938"/>
    <w:rsid w:val="00781AB4"/>
    <w:rsid w:val="00781B94"/>
    <w:rsid w:val="00781C99"/>
    <w:rsid w:val="00781DA4"/>
    <w:rsid w:val="00782801"/>
    <w:rsid w:val="007833B9"/>
    <w:rsid w:val="007833E4"/>
    <w:rsid w:val="00783544"/>
    <w:rsid w:val="00783AA3"/>
    <w:rsid w:val="007840FA"/>
    <w:rsid w:val="00784AF7"/>
    <w:rsid w:val="00784E6F"/>
    <w:rsid w:val="00785BE6"/>
    <w:rsid w:val="00786209"/>
    <w:rsid w:val="00786716"/>
    <w:rsid w:val="007869EE"/>
    <w:rsid w:val="00787238"/>
    <w:rsid w:val="0078761C"/>
    <w:rsid w:val="0079088F"/>
    <w:rsid w:val="00790CCE"/>
    <w:rsid w:val="00790E51"/>
    <w:rsid w:val="007918E3"/>
    <w:rsid w:val="00791A77"/>
    <w:rsid w:val="00791C47"/>
    <w:rsid w:val="007923B7"/>
    <w:rsid w:val="00792533"/>
    <w:rsid w:val="00792616"/>
    <w:rsid w:val="007926BB"/>
    <w:rsid w:val="00792C63"/>
    <w:rsid w:val="00792E1E"/>
    <w:rsid w:val="00793367"/>
    <w:rsid w:val="0079344C"/>
    <w:rsid w:val="007937E5"/>
    <w:rsid w:val="007942EC"/>
    <w:rsid w:val="00795856"/>
    <w:rsid w:val="00795E31"/>
    <w:rsid w:val="00795E8C"/>
    <w:rsid w:val="00795F51"/>
    <w:rsid w:val="007961A9"/>
    <w:rsid w:val="00796727"/>
    <w:rsid w:val="0079677B"/>
    <w:rsid w:val="007968AE"/>
    <w:rsid w:val="00796994"/>
    <w:rsid w:val="007978DC"/>
    <w:rsid w:val="007A00BE"/>
    <w:rsid w:val="007A019F"/>
    <w:rsid w:val="007A0283"/>
    <w:rsid w:val="007A037D"/>
    <w:rsid w:val="007A07A6"/>
    <w:rsid w:val="007A0AC5"/>
    <w:rsid w:val="007A0C61"/>
    <w:rsid w:val="007A2D4A"/>
    <w:rsid w:val="007A374D"/>
    <w:rsid w:val="007A3DD9"/>
    <w:rsid w:val="007A3EDF"/>
    <w:rsid w:val="007A3F59"/>
    <w:rsid w:val="007A42D1"/>
    <w:rsid w:val="007A4590"/>
    <w:rsid w:val="007A4893"/>
    <w:rsid w:val="007A503F"/>
    <w:rsid w:val="007A5643"/>
    <w:rsid w:val="007A5B82"/>
    <w:rsid w:val="007A5C85"/>
    <w:rsid w:val="007A5DFD"/>
    <w:rsid w:val="007A6061"/>
    <w:rsid w:val="007A610E"/>
    <w:rsid w:val="007A7767"/>
    <w:rsid w:val="007B0010"/>
    <w:rsid w:val="007B0B59"/>
    <w:rsid w:val="007B0DBB"/>
    <w:rsid w:val="007B13A9"/>
    <w:rsid w:val="007B1475"/>
    <w:rsid w:val="007B20FF"/>
    <w:rsid w:val="007B2175"/>
    <w:rsid w:val="007B24EC"/>
    <w:rsid w:val="007B26F9"/>
    <w:rsid w:val="007B28A7"/>
    <w:rsid w:val="007B346B"/>
    <w:rsid w:val="007B3471"/>
    <w:rsid w:val="007B36C7"/>
    <w:rsid w:val="007B394E"/>
    <w:rsid w:val="007B39D5"/>
    <w:rsid w:val="007B4A9F"/>
    <w:rsid w:val="007B4C48"/>
    <w:rsid w:val="007B5053"/>
    <w:rsid w:val="007B56F1"/>
    <w:rsid w:val="007B6239"/>
    <w:rsid w:val="007B6426"/>
    <w:rsid w:val="007B7513"/>
    <w:rsid w:val="007B78ED"/>
    <w:rsid w:val="007B7A3C"/>
    <w:rsid w:val="007C0116"/>
    <w:rsid w:val="007C023C"/>
    <w:rsid w:val="007C02C7"/>
    <w:rsid w:val="007C03DA"/>
    <w:rsid w:val="007C19DE"/>
    <w:rsid w:val="007C1A30"/>
    <w:rsid w:val="007C207F"/>
    <w:rsid w:val="007C21EE"/>
    <w:rsid w:val="007C2272"/>
    <w:rsid w:val="007C24D5"/>
    <w:rsid w:val="007C25F6"/>
    <w:rsid w:val="007C2E04"/>
    <w:rsid w:val="007C3415"/>
    <w:rsid w:val="007C4215"/>
    <w:rsid w:val="007C4682"/>
    <w:rsid w:val="007C4716"/>
    <w:rsid w:val="007C4E40"/>
    <w:rsid w:val="007C54E3"/>
    <w:rsid w:val="007C57FE"/>
    <w:rsid w:val="007C5A14"/>
    <w:rsid w:val="007C5BAC"/>
    <w:rsid w:val="007C5BC0"/>
    <w:rsid w:val="007C5C08"/>
    <w:rsid w:val="007C63BF"/>
    <w:rsid w:val="007C692A"/>
    <w:rsid w:val="007C6943"/>
    <w:rsid w:val="007C6BE3"/>
    <w:rsid w:val="007C6E64"/>
    <w:rsid w:val="007C70A5"/>
    <w:rsid w:val="007C7A55"/>
    <w:rsid w:val="007D066B"/>
    <w:rsid w:val="007D10D5"/>
    <w:rsid w:val="007D1361"/>
    <w:rsid w:val="007D164F"/>
    <w:rsid w:val="007D2075"/>
    <w:rsid w:val="007D260B"/>
    <w:rsid w:val="007D2779"/>
    <w:rsid w:val="007D3103"/>
    <w:rsid w:val="007D318C"/>
    <w:rsid w:val="007D3234"/>
    <w:rsid w:val="007D37BD"/>
    <w:rsid w:val="007D39C5"/>
    <w:rsid w:val="007D3A2E"/>
    <w:rsid w:val="007D3F01"/>
    <w:rsid w:val="007D495D"/>
    <w:rsid w:val="007D4A08"/>
    <w:rsid w:val="007D5F11"/>
    <w:rsid w:val="007D6108"/>
    <w:rsid w:val="007D6146"/>
    <w:rsid w:val="007D6652"/>
    <w:rsid w:val="007E05F0"/>
    <w:rsid w:val="007E2BF6"/>
    <w:rsid w:val="007E2C92"/>
    <w:rsid w:val="007E343D"/>
    <w:rsid w:val="007E36F4"/>
    <w:rsid w:val="007E38EB"/>
    <w:rsid w:val="007E4317"/>
    <w:rsid w:val="007E62BF"/>
    <w:rsid w:val="007E640F"/>
    <w:rsid w:val="007E6D23"/>
    <w:rsid w:val="007E74BF"/>
    <w:rsid w:val="007E7994"/>
    <w:rsid w:val="007F0862"/>
    <w:rsid w:val="007F08F5"/>
    <w:rsid w:val="007F108E"/>
    <w:rsid w:val="007F13CE"/>
    <w:rsid w:val="007F1C7C"/>
    <w:rsid w:val="007F1D77"/>
    <w:rsid w:val="007F3175"/>
    <w:rsid w:val="007F327D"/>
    <w:rsid w:val="007F3C8C"/>
    <w:rsid w:val="007F4383"/>
    <w:rsid w:val="007F4526"/>
    <w:rsid w:val="007F4FDE"/>
    <w:rsid w:val="007F4FE2"/>
    <w:rsid w:val="007F521A"/>
    <w:rsid w:val="007F57BC"/>
    <w:rsid w:val="007F6783"/>
    <w:rsid w:val="007F6D4C"/>
    <w:rsid w:val="007F7018"/>
    <w:rsid w:val="007F737C"/>
    <w:rsid w:val="0080048F"/>
    <w:rsid w:val="00800B63"/>
    <w:rsid w:val="00800F9E"/>
    <w:rsid w:val="0080145E"/>
    <w:rsid w:val="00801601"/>
    <w:rsid w:val="008028E5"/>
    <w:rsid w:val="00802DC6"/>
    <w:rsid w:val="00803354"/>
    <w:rsid w:val="00803755"/>
    <w:rsid w:val="00803EE8"/>
    <w:rsid w:val="008041E9"/>
    <w:rsid w:val="00804643"/>
    <w:rsid w:val="008046DB"/>
    <w:rsid w:val="00804734"/>
    <w:rsid w:val="0080481F"/>
    <w:rsid w:val="00804A70"/>
    <w:rsid w:val="00804C29"/>
    <w:rsid w:val="008057A3"/>
    <w:rsid w:val="008063CA"/>
    <w:rsid w:val="00806491"/>
    <w:rsid w:val="008104FC"/>
    <w:rsid w:val="0081064F"/>
    <w:rsid w:val="0081077B"/>
    <w:rsid w:val="00810991"/>
    <w:rsid w:val="00810C32"/>
    <w:rsid w:val="0081137B"/>
    <w:rsid w:val="00811A30"/>
    <w:rsid w:val="0081213E"/>
    <w:rsid w:val="00812279"/>
    <w:rsid w:val="008127F6"/>
    <w:rsid w:val="00812AA2"/>
    <w:rsid w:val="00812DB8"/>
    <w:rsid w:val="00812F4B"/>
    <w:rsid w:val="00813851"/>
    <w:rsid w:val="0081386F"/>
    <w:rsid w:val="00813AFB"/>
    <w:rsid w:val="00813DAF"/>
    <w:rsid w:val="00814A9B"/>
    <w:rsid w:val="00814F66"/>
    <w:rsid w:val="008152A4"/>
    <w:rsid w:val="008152AB"/>
    <w:rsid w:val="00815C60"/>
    <w:rsid w:val="00815F4B"/>
    <w:rsid w:val="008163A4"/>
    <w:rsid w:val="0081691B"/>
    <w:rsid w:val="00817690"/>
    <w:rsid w:val="00817BA2"/>
    <w:rsid w:val="00817C9E"/>
    <w:rsid w:val="00817F3D"/>
    <w:rsid w:val="008202F8"/>
    <w:rsid w:val="008205AF"/>
    <w:rsid w:val="0082199C"/>
    <w:rsid w:val="00821E69"/>
    <w:rsid w:val="008225E5"/>
    <w:rsid w:val="00822DFD"/>
    <w:rsid w:val="0082310E"/>
    <w:rsid w:val="00824053"/>
    <w:rsid w:val="008246EF"/>
    <w:rsid w:val="00824A1C"/>
    <w:rsid w:val="00826609"/>
    <w:rsid w:val="00826A92"/>
    <w:rsid w:val="00826B94"/>
    <w:rsid w:val="00826C37"/>
    <w:rsid w:val="00826E34"/>
    <w:rsid w:val="008270DB"/>
    <w:rsid w:val="008300CF"/>
    <w:rsid w:val="0083020B"/>
    <w:rsid w:val="008303E6"/>
    <w:rsid w:val="00831043"/>
    <w:rsid w:val="00831053"/>
    <w:rsid w:val="008314D2"/>
    <w:rsid w:val="00831529"/>
    <w:rsid w:val="00831AA6"/>
    <w:rsid w:val="0083254D"/>
    <w:rsid w:val="00832A62"/>
    <w:rsid w:val="00832ED8"/>
    <w:rsid w:val="00833197"/>
    <w:rsid w:val="00833307"/>
    <w:rsid w:val="0083332D"/>
    <w:rsid w:val="0083386B"/>
    <w:rsid w:val="00834162"/>
    <w:rsid w:val="00835348"/>
    <w:rsid w:val="00835BD4"/>
    <w:rsid w:val="00835D9D"/>
    <w:rsid w:val="00836249"/>
    <w:rsid w:val="0083696D"/>
    <w:rsid w:val="00836B99"/>
    <w:rsid w:val="00836F00"/>
    <w:rsid w:val="00840002"/>
    <w:rsid w:val="008402F9"/>
    <w:rsid w:val="0084054F"/>
    <w:rsid w:val="0084083E"/>
    <w:rsid w:val="00840C1F"/>
    <w:rsid w:val="0084139E"/>
    <w:rsid w:val="00841467"/>
    <w:rsid w:val="008419DA"/>
    <w:rsid w:val="00842C50"/>
    <w:rsid w:val="008434D7"/>
    <w:rsid w:val="00843977"/>
    <w:rsid w:val="00843E13"/>
    <w:rsid w:val="008443E1"/>
    <w:rsid w:val="008443F7"/>
    <w:rsid w:val="00844BE7"/>
    <w:rsid w:val="00844C67"/>
    <w:rsid w:val="00845098"/>
    <w:rsid w:val="0084556D"/>
    <w:rsid w:val="00845A8D"/>
    <w:rsid w:val="00846189"/>
    <w:rsid w:val="00846192"/>
    <w:rsid w:val="008462B2"/>
    <w:rsid w:val="008468E0"/>
    <w:rsid w:val="00846ACC"/>
    <w:rsid w:val="00850806"/>
    <w:rsid w:val="00851892"/>
    <w:rsid w:val="0085242D"/>
    <w:rsid w:val="00852FB5"/>
    <w:rsid w:val="0085331D"/>
    <w:rsid w:val="00853530"/>
    <w:rsid w:val="00853F6E"/>
    <w:rsid w:val="00854135"/>
    <w:rsid w:val="008547EA"/>
    <w:rsid w:val="008549DA"/>
    <w:rsid w:val="00855400"/>
    <w:rsid w:val="0085564E"/>
    <w:rsid w:val="0085570A"/>
    <w:rsid w:val="008558B1"/>
    <w:rsid w:val="00855903"/>
    <w:rsid w:val="00855CAF"/>
    <w:rsid w:val="00855D93"/>
    <w:rsid w:val="00855DAF"/>
    <w:rsid w:val="00856A1B"/>
    <w:rsid w:val="00856C87"/>
    <w:rsid w:val="00857406"/>
    <w:rsid w:val="00857723"/>
    <w:rsid w:val="00857BDA"/>
    <w:rsid w:val="0085DF4C"/>
    <w:rsid w:val="00860CF3"/>
    <w:rsid w:val="0086212F"/>
    <w:rsid w:val="008621C3"/>
    <w:rsid w:val="00862231"/>
    <w:rsid w:val="008629A8"/>
    <w:rsid w:val="00863447"/>
    <w:rsid w:val="008637AB"/>
    <w:rsid w:val="00863AED"/>
    <w:rsid w:val="00864AC1"/>
    <w:rsid w:val="00864FB9"/>
    <w:rsid w:val="00865486"/>
    <w:rsid w:val="0086569D"/>
    <w:rsid w:val="00865931"/>
    <w:rsid w:val="00865A41"/>
    <w:rsid w:val="00866CE3"/>
    <w:rsid w:val="00866E5C"/>
    <w:rsid w:val="0086726A"/>
    <w:rsid w:val="008679C4"/>
    <w:rsid w:val="00867B8F"/>
    <w:rsid w:val="00870CD4"/>
    <w:rsid w:val="00870CDF"/>
    <w:rsid w:val="00872012"/>
    <w:rsid w:val="008720ED"/>
    <w:rsid w:val="0087274E"/>
    <w:rsid w:val="00872EF2"/>
    <w:rsid w:val="00873A07"/>
    <w:rsid w:val="00873DEC"/>
    <w:rsid w:val="00874188"/>
    <w:rsid w:val="00874EEF"/>
    <w:rsid w:val="00875499"/>
    <w:rsid w:val="00875BF6"/>
    <w:rsid w:val="00876275"/>
    <w:rsid w:val="0087667E"/>
    <w:rsid w:val="00876D56"/>
    <w:rsid w:val="00877C2D"/>
    <w:rsid w:val="00880451"/>
    <w:rsid w:val="00880AB1"/>
    <w:rsid w:val="00880C24"/>
    <w:rsid w:val="0088187C"/>
    <w:rsid w:val="00881DE0"/>
    <w:rsid w:val="00882B99"/>
    <w:rsid w:val="00882CBB"/>
    <w:rsid w:val="00882DE1"/>
    <w:rsid w:val="00883B28"/>
    <w:rsid w:val="008841A9"/>
    <w:rsid w:val="00884481"/>
    <w:rsid w:val="00884F70"/>
    <w:rsid w:val="0088510C"/>
    <w:rsid w:val="008859C8"/>
    <w:rsid w:val="00885E25"/>
    <w:rsid w:val="00886121"/>
    <w:rsid w:val="00886E09"/>
    <w:rsid w:val="00887276"/>
    <w:rsid w:val="0088773B"/>
    <w:rsid w:val="00890682"/>
    <w:rsid w:val="00890EF4"/>
    <w:rsid w:val="008916A3"/>
    <w:rsid w:val="008916B9"/>
    <w:rsid w:val="0089179D"/>
    <w:rsid w:val="00892552"/>
    <w:rsid w:val="00892665"/>
    <w:rsid w:val="008929FD"/>
    <w:rsid w:val="00892ED8"/>
    <w:rsid w:val="00893303"/>
    <w:rsid w:val="00893392"/>
    <w:rsid w:val="00893662"/>
    <w:rsid w:val="00893C24"/>
    <w:rsid w:val="00893CA3"/>
    <w:rsid w:val="008948B2"/>
    <w:rsid w:val="0089529A"/>
    <w:rsid w:val="008952F6"/>
    <w:rsid w:val="008956C4"/>
    <w:rsid w:val="00896407"/>
    <w:rsid w:val="00896A1D"/>
    <w:rsid w:val="00897B98"/>
    <w:rsid w:val="00897BCB"/>
    <w:rsid w:val="00897C22"/>
    <w:rsid w:val="00897E05"/>
    <w:rsid w:val="00898C89"/>
    <w:rsid w:val="008A0483"/>
    <w:rsid w:val="008A0BA9"/>
    <w:rsid w:val="008A0CEE"/>
    <w:rsid w:val="008A1B40"/>
    <w:rsid w:val="008A1F5C"/>
    <w:rsid w:val="008A20C3"/>
    <w:rsid w:val="008A295B"/>
    <w:rsid w:val="008A2AC9"/>
    <w:rsid w:val="008A4109"/>
    <w:rsid w:val="008A494E"/>
    <w:rsid w:val="008A4CA5"/>
    <w:rsid w:val="008A4D32"/>
    <w:rsid w:val="008A5DD7"/>
    <w:rsid w:val="008A625F"/>
    <w:rsid w:val="008A63BA"/>
    <w:rsid w:val="008A6604"/>
    <w:rsid w:val="008A7262"/>
    <w:rsid w:val="008B0BCF"/>
    <w:rsid w:val="008B0DF7"/>
    <w:rsid w:val="008B1707"/>
    <w:rsid w:val="008B1EFE"/>
    <w:rsid w:val="008B1FF5"/>
    <w:rsid w:val="008B2779"/>
    <w:rsid w:val="008B30C0"/>
    <w:rsid w:val="008B31AC"/>
    <w:rsid w:val="008B3539"/>
    <w:rsid w:val="008B3BDD"/>
    <w:rsid w:val="008B3F27"/>
    <w:rsid w:val="008B4B58"/>
    <w:rsid w:val="008B4E8B"/>
    <w:rsid w:val="008B541B"/>
    <w:rsid w:val="008B5482"/>
    <w:rsid w:val="008B6046"/>
    <w:rsid w:val="008B6542"/>
    <w:rsid w:val="008B66A6"/>
    <w:rsid w:val="008B670A"/>
    <w:rsid w:val="008B7245"/>
    <w:rsid w:val="008B763B"/>
    <w:rsid w:val="008B7852"/>
    <w:rsid w:val="008B788D"/>
    <w:rsid w:val="008C06B6"/>
    <w:rsid w:val="008C0732"/>
    <w:rsid w:val="008C10FB"/>
    <w:rsid w:val="008C11F4"/>
    <w:rsid w:val="008C181B"/>
    <w:rsid w:val="008C1BE0"/>
    <w:rsid w:val="008C2599"/>
    <w:rsid w:val="008C26C0"/>
    <w:rsid w:val="008C2BEC"/>
    <w:rsid w:val="008C2D33"/>
    <w:rsid w:val="008C39EB"/>
    <w:rsid w:val="008C3B06"/>
    <w:rsid w:val="008C406F"/>
    <w:rsid w:val="008C4922"/>
    <w:rsid w:val="008C4BD7"/>
    <w:rsid w:val="008C5BD3"/>
    <w:rsid w:val="008C5F0A"/>
    <w:rsid w:val="008C6310"/>
    <w:rsid w:val="008C64DA"/>
    <w:rsid w:val="008C6523"/>
    <w:rsid w:val="008C693A"/>
    <w:rsid w:val="008C69C7"/>
    <w:rsid w:val="008C6A9F"/>
    <w:rsid w:val="008C6C69"/>
    <w:rsid w:val="008C6D0E"/>
    <w:rsid w:val="008C6EED"/>
    <w:rsid w:val="008C72F1"/>
    <w:rsid w:val="008C79BC"/>
    <w:rsid w:val="008C7E4E"/>
    <w:rsid w:val="008D0822"/>
    <w:rsid w:val="008D09D2"/>
    <w:rsid w:val="008D13ED"/>
    <w:rsid w:val="008D1C83"/>
    <w:rsid w:val="008D1CA6"/>
    <w:rsid w:val="008D2089"/>
    <w:rsid w:val="008D27D4"/>
    <w:rsid w:val="008D2839"/>
    <w:rsid w:val="008D39C5"/>
    <w:rsid w:val="008D39FB"/>
    <w:rsid w:val="008D3A4C"/>
    <w:rsid w:val="008D3EC8"/>
    <w:rsid w:val="008D4262"/>
    <w:rsid w:val="008D46D9"/>
    <w:rsid w:val="008D4B60"/>
    <w:rsid w:val="008D4C03"/>
    <w:rsid w:val="008D552C"/>
    <w:rsid w:val="008D55A8"/>
    <w:rsid w:val="008D55E6"/>
    <w:rsid w:val="008D5710"/>
    <w:rsid w:val="008D5BC3"/>
    <w:rsid w:val="008D60A5"/>
    <w:rsid w:val="008D6DD5"/>
    <w:rsid w:val="008D7398"/>
    <w:rsid w:val="008D7968"/>
    <w:rsid w:val="008D7AE4"/>
    <w:rsid w:val="008D7D9A"/>
    <w:rsid w:val="008D7E12"/>
    <w:rsid w:val="008E0742"/>
    <w:rsid w:val="008E09D5"/>
    <w:rsid w:val="008E13E5"/>
    <w:rsid w:val="008E149D"/>
    <w:rsid w:val="008E1778"/>
    <w:rsid w:val="008E180F"/>
    <w:rsid w:val="008E1D89"/>
    <w:rsid w:val="008E3561"/>
    <w:rsid w:val="008E3902"/>
    <w:rsid w:val="008E3E3E"/>
    <w:rsid w:val="008E4E0C"/>
    <w:rsid w:val="008E54CE"/>
    <w:rsid w:val="008E5973"/>
    <w:rsid w:val="008E5984"/>
    <w:rsid w:val="008E5A52"/>
    <w:rsid w:val="008E5E90"/>
    <w:rsid w:val="008E6567"/>
    <w:rsid w:val="008E6B17"/>
    <w:rsid w:val="008E6E78"/>
    <w:rsid w:val="008E7555"/>
    <w:rsid w:val="008E7571"/>
    <w:rsid w:val="008E76D0"/>
    <w:rsid w:val="008E7C1C"/>
    <w:rsid w:val="008E7D31"/>
    <w:rsid w:val="008E7E45"/>
    <w:rsid w:val="008F06D9"/>
    <w:rsid w:val="008F083C"/>
    <w:rsid w:val="008F0CC2"/>
    <w:rsid w:val="008F0DD5"/>
    <w:rsid w:val="008F0F1F"/>
    <w:rsid w:val="008F1DB8"/>
    <w:rsid w:val="008F23A0"/>
    <w:rsid w:val="008F2907"/>
    <w:rsid w:val="008F2AD7"/>
    <w:rsid w:val="008F3619"/>
    <w:rsid w:val="008F416B"/>
    <w:rsid w:val="008F4643"/>
    <w:rsid w:val="008F5404"/>
    <w:rsid w:val="008F57B9"/>
    <w:rsid w:val="008F5DE4"/>
    <w:rsid w:val="008F5F87"/>
    <w:rsid w:val="008F632E"/>
    <w:rsid w:val="008F67E7"/>
    <w:rsid w:val="008F6A8A"/>
    <w:rsid w:val="008F74B0"/>
    <w:rsid w:val="008F7C15"/>
    <w:rsid w:val="009003A7"/>
    <w:rsid w:val="00900A34"/>
    <w:rsid w:val="00900B84"/>
    <w:rsid w:val="009012B2"/>
    <w:rsid w:val="009015A4"/>
    <w:rsid w:val="00901984"/>
    <w:rsid w:val="00902876"/>
    <w:rsid w:val="00902B8A"/>
    <w:rsid w:val="00902DBA"/>
    <w:rsid w:val="00902FA1"/>
    <w:rsid w:val="0090307C"/>
    <w:rsid w:val="009036A7"/>
    <w:rsid w:val="009036DE"/>
    <w:rsid w:val="009036E8"/>
    <w:rsid w:val="00903E6F"/>
    <w:rsid w:val="00904051"/>
    <w:rsid w:val="00904968"/>
    <w:rsid w:val="00904EA1"/>
    <w:rsid w:val="00905072"/>
    <w:rsid w:val="00905DB7"/>
    <w:rsid w:val="009066B4"/>
    <w:rsid w:val="00907036"/>
    <w:rsid w:val="00907073"/>
    <w:rsid w:val="00907AC7"/>
    <w:rsid w:val="00910A26"/>
    <w:rsid w:val="00910EA6"/>
    <w:rsid w:val="00911233"/>
    <w:rsid w:val="009115D4"/>
    <w:rsid w:val="00911813"/>
    <w:rsid w:val="00911930"/>
    <w:rsid w:val="009122FA"/>
    <w:rsid w:val="00912C16"/>
    <w:rsid w:val="00912EDD"/>
    <w:rsid w:val="009130D6"/>
    <w:rsid w:val="009149A7"/>
    <w:rsid w:val="00914AC3"/>
    <w:rsid w:val="00914F62"/>
    <w:rsid w:val="009159EC"/>
    <w:rsid w:val="0091624D"/>
    <w:rsid w:val="00917B2F"/>
    <w:rsid w:val="0092083C"/>
    <w:rsid w:val="009208F5"/>
    <w:rsid w:val="00920909"/>
    <w:rsid w:val="0092153B"/>
    <w:rsid w:val="0092197D"/>
    <w:rsid w:val="00921A17"/>
    <w:rsid w:val="00921B94"/>
    <w:rsid w:val="009222CD"/>
    <w:rsid w:val="009224D9"/>
    <w:rsid w:val="00924D42"/>
    <w:rsid w:val="00925126"/>
    <w:rsid w:val="00925590"/>
    <w:rsid w:val="009255AC"/>
    <w:rsid w:val="00925A6D"/>
    <w:rsid w:val="00925CC8"/>
    <w:rsid w:val="00926115"/>
    <w:rsid w:val="00926258"/>
    <w:rsid w:val="0092653E"/>
    <w:rsid w:val="009275AB"/>
    <w:rsid w:val="00927934"/>
    <w:rsid w:val="00927AF7"/>
    <w:rsid w:val="00927D51"/>
    <w:rsid w:val="00927F64"/>
    <w:rsid w:val="00931649"/>
    <w:rsid w:val="009319F3"/>
    <w:rsid w:val="00931BBA"/>
    <w:rsid w:val="00932272"/>
    <w:rsid w:val="00932862"/>
    <w:rsid w:val="00933132"/>
    <w:rsid w:val="00934AB2"/>
    <w:rsid w:val="00934BBD"/>
    <w:rsid w:val="0093540D"/>
    <w:rsid w:val="0093553B"/>
    <w:rsid w:val="009356F1"/>
    <w:rsid w:val="00935ABC"/>
    <w:rsid w:val="00935D60"/>
    <w:rsid w:val="00936931"/>
    <w:rsid w:val="00937DFB"/>
    <w:rsid w:val="009401B9"/>
    <w:rsid w:val="0094036B"/>
    <w:rsid w:val="0094096D"/>
    <w:rsid w:val="0094111B"/>
    <w:rsid w:val="00941694"/>
    <w:rsid w:val="00941CFB"/>
    <w:rsid w:val="009422F1"/>
    <w:rsid w:val="00943535"/>
    <w:rsid w:val="009437B3"/>
    <w:rsid w:val="00943AEC"/>
    <w:rsid w:val="009446C0"/>
    <w:rsid w:val="009447BB"/>
    <w:rsid w:val="00944938"/>
    <w:rsid w:val="00944966"/>
    <w:rsid w:val="00944C48"/>
    <w:rsid w:val="00944FED"/>
    <w:rsid w:val="009457D7"/>
    <w:rsid w:val="00946335"/>
    <w:rsid w:val="00946596"/>
    <w:rsid w:val="009468AE"/>
    <w:rsid w:val="00946B1D"/>
    <w:rsid w:val="00946CC4"/>
    <w:rsid w:val="00947B24"/>
    <w:rsid w:val="00947DA7"/>
    <w:rsid w:val="00947EF0"/>
    <w:rsid w:val="00950B13"/>
    <w:rsid w:val="0095134E"/>
    <w:rsid w:val="009513C4"/>
    <w:rsid w:val="0095162C"/>
    <w:rsid w:val="00953068"/>
    <w:rsid w:val="009531C6"/>
    <w:rsid w:val="00953636"/>
    <w:rsid w:val="00953CFD"/>
    <w:rsid w:val="00954722"/>
    <w:rsid w:val="00954989"/>
    <w:rsid w:val="0095545B"/>
    <w:rsid w:val="00955B12"/>
    <w:rsid w:val="00955E55"/>
    <w:rsid w:val="00955F1B"/>
    <w:rsid w:val="009565BF"/>
    <w:rsid w:val="00956807"/>
    <w:rsid w:val="0095687B"/>
    <w:rsid w:val="00956B1A"/>
    <w:rsid w:val="00957AFC"/>
    <w:rsid w:val="00960ABA"/>
    <w:rsid w:val="00960B23"/>
    <w:rsid w:val="00960CF3"/>
    <w:rsid w:val="00961240"/>
    <w:rsid w:val="00961CC6"/>
    <w:rsid w:val="00961F08"/>
    <w:rsid w:val="00962200"/>
    <w:rsid w:val="009626EB"/>
    <w:rsid w:val="00962EC7"/>
    <w:rsid w:val="00963581"/>
    <w:rsid w:val="00963C2E"/>
    <w:rsid w:val="00963D02"/>
    <w:rsid w:val="00963F09"/>
    <w:rsid w:val="0096415E"/>
    <w:rsid w:val="00964692"/>
    <w:rsid w:val="00964BB0"/>
    <w:rsid w:val="00965DF1"/>
    <w:rsid w:val="00965E72"/>
    <w:rsid w:val="00966609"/>
    <w:rsid w:val="00966A94"/>
    <w:rsid w:val="00966F54"/>
    <w:rsid w:val="0096772D"/>
    <w:rsid w:val="00967946"/>
    <w:rsid w:val="009679E5"/>
    <w:rsid w:val="00967B97"/>
    <w:rsid w:val="00967C46"/>
    <w:rsid w:val="00967E3C"/>
    <w:rsid w:val="009700E5"/>
    <w:rsid w:val="009717C1"/>
    <w:rsid w:val="00971B03"/>
    <w:rsid w:val="0097211B"/>
    <w:rsid w:val="009724EC"/>
    <w:rsid w:val="00972B3B"/>
    <w:rsid w:val="009733D4"/>
    <w:rsid w:val="00973425"/>
    <w:rsid w:val="009735D0"/>
    <w:rsid w:val="00973916"/>
    <w:rsid w:val="0097396C"/>
    <w:rsid w:val="00973A37"/>
    <w:rsid w:val="0097422C"/>
    <w:rsid w:val="00974F19"/>
    <w:rsid w:val="00975D7A"/>
    <w:rsid w:val="00975E61"/>
    <w:rsid w:val="00976C69"/>
    <w:rsid w:val="00976E31"/>
    <w:rsid w:val="00977233"/>
    <w:rsid w:val="00977254"/>
    <w:rsid w:val="00977B57"/>
    <w:rsid w:val="00977BEF"/>
    <w:rsid w:val="00977C63"/>
    <w:rsid w:val="00980087"/>
    <w:rsid w:val="0098096C"/>
    <w:rsid w:val="009809C3"/>
    <w:rsid w:val="00980A19"/>
    <w:rsid w:val="00980C0B"/>
    <w:rsid w:val="00980E20"/>
    <w:rsid w:val="00980FF8"/>
    <w:rsid w:val="00981708"/>
    <w:rsid w:val="00981FBF"/>
    <w:rsid w:val="00982718"/>
    <w:rsid w:val="00982995"/>
    <w:rsid w:val="00982AD1"/>
    <w:rsid w:val="00982CC3"/>
    <w:rsid w:val="00982D3A"/>
    <w:rsid w:val="00982F56"/>
    <w:rsid w:val="00982FB2"/>
    <w:rsid w:val="009831FD"/>
    <w:rsid w:val="009832EE"/>
    <w:rsid w:val="009833CF"/>
    <w:rsid w:val="00984229"/>
    <w:rsid w:val="0098422D"/>
    <w:rsid w:val="00984507"/>
    <w:rsid w:val="0098524F"/>
    <w:rsid w:val="0098525B"/>
    <w:rsid w:val="00985A80"/>
    <w:rsid w:val="00985EA3"/>
    <w:rsid w:val="00985EC4"/>
    <w:rsid w:val="00985ECD"/>
    <w:rsid w:val="00985FDA"/>
    <w:rsid w:val="009860B1"/>
    <w:rsid w:val="00986270"/>
    <w:rsid w:val="00986A14"/>
    <w:rsid w:val="00986CB3"/>
    <w:rsid w:val="00987207"/>
    <w:rsid w:val="009879E0"/>
    <w:rsid w:val="00987ABE"/>
    <w:rsid w:val="00987F5E"/>
    <w:rsid w:val="00988931"/>
    <w:rsid w:val="009906C7"/>
    <w:rsid w:val="00990F45"/>
    <w:rsid w:val="00991BDE"/>
    <w:rsid w:val="00991FC3"/>
    <w:rsid w:val="00992631"/>
    <w:rsid w:val="00992FF4"/>
    <w:rsid w:val="00993717"/>
    <w:rsid w:val="00993C80"/>
    <w:rsid w:val="00993CCA"/>
    <w:rsid w:val="00994AE3"/>
    <w:rsid w:val="0099539B"/>
    <w:rsid w:val="00995A44"/>
    <w:rsid w:val="00995F8C"/>
    <w:rsid w:val="009963CD"/>
    <w:rsid w:val="009966F1"/>
    <w:rsid w:val="0099684E"/>
    <w:rsid w:val="00997E0D"/>
    <w:rsid w:val="009A0298"/>
    <w:rsid w:val="009A1159"/>
    <w:rsid w:val="009A1B50"/>
    <w:rsid w:val="009A1F25"/>
    <w:rsid w:val="009A29FB"/>
    <w:rsid w:val="009A2C6B"/>
    <w:rsid w:val="009A371A"/>
    <w:rsid w:val="009A4607"/>
    <w:rsid w:val="009A4CCA"/>
    <w:rsid w:val="009A54EA"/>
    <w:rsid w:val="009A5C97"/>
    <w:rsid w:val="009A5DAC"/>
    <w:rsid w:val="009A601D"/>
    <w:rsid w:val="009A62DA"/>
    <w:rsid w:val="009A6B8C"/>
    <w:rsid w:val="009A744F"/>
    <w:rsid w:val="009A7BDC"/>
    <w:rsid w:val="009B04DF"/>
    <w:rsid w:val="009B09EA"/>
    <w:rsid w:val="009B0E86"/>
    <w:rsid w:val="009B0FA8"/>
    <w:rsid w:val="009B1950"/>
    <w:rsid w:val="009B266D"/>
    <w:rsid w:val="009B2A19"/>
    <w:rsid w:val="009B4061"/>
    <w:rsid w:val="009B4397"/>
    <w:rsid w:val="009B569E"/>
    <w:rsid w:val="009B5BDF"/>
    <w:rsid w:val="009B5CBF"/>
    <w:rsid w:val="009B5EEE"/>
    <w:rsid w:val="009B6046"/>
    <w:rsid w:val="009B6154"/>
    <w:rsid w:val="009B634F"/>
    <w:rsid w:val="009B6779"/>
    <w:rsid w:val="009B6A73"/>
    <w:rsid w:val="009B6B6D"/>
    <w:rsid w:val="009B7880"/>
    <w:rsid w:val="009B79D4"/>
    <w:rsid w:val="009B7BCA"/>
    <w:rsid w:val="009B7F5E"/>
    <w:rsid w:val="009C0620"/>
    <w:rsid w:val="009C1104"/>
    <w:rsid w:val="009C1515"/>
    <w:rsid w:val="009C177E"/>
    <w:rsid w:val="009C184A"/>
    <w:rsid w:val="009C26EA"/>
    <w:rsid w:val="009C2CA5"/>
    <w:rsid w:val="009C2F70"/>
    <w:rsid w:val="009C32E0"/>
    <w:rsid w:val="009C3405"/>
    <w:rsid w:val="009C3B10"/>
    <w:rsid w:val="009C3BEC"/>
    <w:rsid w:val="009C3DF0"/>
    <w:rsid w:val="009C4B79"/>
    <w:rsid w:val="009C5735"/>
    <w:rsid w:val="009C5BC6"/>
    <w:rsid w:val="009C6B7D"/>
    <w:rsid w:val="009C7092"/>
    <w:rsid w:val="009C75CB"/>
    <w:rsid w:val="009D006D"/>
    <w:rsid w:val="009D0F63"/>
    <w:rsid w:val="009D1784"/>
    <w:rsid w:val="009D251D"/>
    <w:rsid w:val="009D2647"/>
    <w:rsid w:val="009D2948"/>
    <w:rsid w:val="009D2A47"/>
    <w:rsid w:val="009D35B5"/>
    <w:rsid w:val="009D35EA"/>
    <w:rsid w:val="009D3E45"/>
    <w:rsid w:val="009D4DFE"/>
    <w:rsid w:val="009D5876"/>
    <w:rsid w:val="009D5D3F"/>
    <w:rsid w:val="009D5D8A"/>
    <w:rsid w:val="009D693F"/>
    <w:rsid w:val="009D70C1"/>
    <w:rsid w:val="009D7BE1"/>
    <w:rsid w:val="009E026F"/>
    <w:rsid w:val="009E0276"/>
    <w:rsid w:val="009E0560"/>
    <w:rsid w:val="009E07D7"/>
    <w:rsid w:val="009E0C88"/>
    <w:rsid w:val="009E113A"/>
    <w:rsid w:val="009E11B7"/>
    <w:rsid w:val="009E1367"/>
    <w:rsid w:val="009E13DA"/>
    <w:rsid w:val="009E19B8"/>
    <w:rsid w:val="009E2065"/>
    <w:rsid w:val="009E22AC"/>
    <w:rsid w:val="009E2BBB"/>
    <w:rsid w:val="009E2E08"/>
    <w:rsid w:val="009E3133"/>
    <w:rsid w:val="009E3417"/>
    <w:rsid w:val="009E3922"/>
    <w:rsid w:val="009E3D8E"/>
    <w:rsid w:val="009E4211"/>
    <w:rsid w:val="009E4C98"/>
    <w:rsid w:val="009E4FF6"/>
    <w:rsid w:val="009E5D6D"/>
    <w:rsid w:val="009F0D26"/>
    <w:rsid w:val="009F11CB"/>
    <w:rsid w:val="009F14AD"/>
    <w:rsid w:val="009F19DC"/>
    <w:rsid w:val="009F2220"/>
    <w:rsid w:val="009F33C2"/>
    <w:rsid w:val="009F351F"/>
    <w:rsid w:val="009F3CCB"/>
    <w:rsid w:val="009F3D20"/>
    <w:rsid w:val="009F3F89"/>
    <w:rsid w:val="009F46C1"/>
    <w:rsid w:val="009F480E"/>
    <w:rsid w:val="009F4B41"/>
    <w:rsid w:val="009F4C23"/>
    <w:rsid w:val="009F51FC"/>
    <w:rsid w:val="009F537C"/>
    <w:rsid w:val="009F56E1"/>
    <w:rsid w:val="009F5FA6"/>
    <w:rsid w:val="009F600B"/>
    <w:rsid w:val="009F6991"/>
    <w:rsid w:val="009F7426"/>
    <w:rsid w:val="009F760C"/>
    <w:rsid w:val="009F7B34"/>
    <w:rsid w:val="009F7D30"/>
    <w:rsid w:val="00A0065E"/>
    <w:rsid w:val="00A01393"/>
    <w:rsid w:val="00A018DC"/>
    <w:rsid w:val="00A01A75"/>
    <w:rsid w:val="00A01E84"/>
    <w:rsid w:val="00A022A2"/>
    <w:rsid w:val="00A02A07"/>
    <w:rsid w:val="00A02D15"/>
    <w:rsid w:val="00A02D65"/>
    <w:rsid w:val="00A03920"/>
    <w:rsid w:val="00A03C87"/>
    <w:rsid w:val="00A04152"/>
    <w:rsid w:val="00A048A0"/>
    <w:rsid w:val="00A05001"/>
    <w:rsid w:val="00A05283"/>
    <w:rsid w:val="00A05514"/>
    <w:rsid w:val="00A05DAB"/>
    <w:rsid w:val="00A0755F"/>
    <w:rsid w:val="00A1033D"/>
    <w:rsid w:val="00A10EB9"/>
    <w:rsid w:val="00A1102E"/>
    <w:rsid w:val="00A11238"/>
    <w:rsid w:val="00A11403"/>
    <w:rsid w:val="00A117DD"/>
    <w:rsid w:val="00A11ABD"/>
    <w:rsid w:val="00A11B9F"/>
    <w:rsid w:val="00A12442"/>
    <w:rsid w:val="00A1265A"/>
    <w:rsid w:val="00A12E80"/>
    <w:rsid w:val="00A132F3"/>
    <w:rsid w:val="00A136B2"/>
    <w:rsid w:val="00A142F8"/>
    <w:rsid w:val="00A14894"/>
    <w:rsid w:val="00A14AB9"/>
    <w:rsid w:val="00A14DFD"/>
    <w:rsid w:val="00A155A4"/>
    <w:rsid w:val="00A1593C"/>
    <w:rsid w:val="00A16BAD"/>
    <w:rsid w:val="00A16EEB"/>
    <w:rsid w:val="00A17B42"/>
    <w:rsid w:val="00A20128"/>
    <w:rsid w:val="00A203BF"/>
    <w:rsid w:val="00A20FFA"/>
    <w:rsid w:val="00A216C9"/>
    <w:rsid w:val="00A21861"/>
    <w:rsid w:val="00A224B8"/>
    <w:rsid w:val="00A2294E"/>
    <w:rsid w:val="00A22B04"/>
    <w:rsid w:val="00A23003"/>
    <w:rsid w:val="00A23B1B"/>
    <w:rsid w:val="00A24AD8"/>
    <w:rsid w:val="00A24E73"/>
    <w:rsid w:val="00A256E9"/>
    <w:rsid w:val="00A25F55"/>
    <w:rsid w:val="00A2669F"/>
    <w:rsid w:val="00A26B0D"/>
    <w:rsid w:val="00A27C4D"/>
    <w:rsid w:val="00A30232"/>
    <w:rsid w:val="00A30B65"/>
    <w:rsid w:val="00A31FD3"/>
    <w:rsid w:val="00A3248E"/>
    <w:rsid w:val="00A32568"/>
    <w:rsid w:val="00A32CB5"/>
    <w:rsid w:val="00A34824"/>
    <w:rsid w:val="00A34D12"/>
    <w:rsid w:val="00A34D64"/>
    <w:rsid w:val="00A35088"/>
    <w:rsid w:val="00A35B5D"/>
    <w:rsid w:val="00A36039"/>
    <w:rsid w:val="00A36B50"/>
    <w:rsid w:val="00A36FA4"/>
    <w:rsid w:val="00A3735A"/>
    <w:rsid w:val="00A3740B"/>
    <w:rsid w:val="00A3744B"/>
    <w:rsid w:val="00A3762E"/>
    <w:rsid w:val="00A3781D"/>
    <w:rsid w:val="00A3784D"/>
    <w:rsid w:val="00A379EF"/>
    <w:rsid w:val="00A37E68"/>
    <w:rsid w:val="00A40041"/>
    <w:rsid w:val="00A40390"/>
    <w:rsid w:val="00A41152"/>
    <w:rsid w:val="00A419F2"/>
    <w:rsid w:val="00A424DB"/>
    <w:rsid w:val="00A42F1B"/>
    <w:rsid w:val="00A4309E"/>
    <w:rsid w:val="00A4310E"/>
    <w:rsid w:val="00A434EB"/>
    <w:rsid w:val="00A43C54"/>
    <w:rsid w:val="00A43D36"/>
    <w:rsid w:val="00A442FF"/>
    <w:rsid w:val="00A44477"/>
    <w:rsid w:val="00A44DCB"/>
    <w:rsid w:val="00A44E96"/>
    <w:rsid w:val="00A44F81"/>
    <w:rsid w:val="00A459B7"/>
    <w:rsid w:val="00A45D0F"/>
    <w:rsid w:val="00A460D8"/>
    <w:rsid w:val="00A46269"/>
    <w:rsid w:val="00A4762F"/>
    <w:rsid w:val="00A5018A"/>
    <w:rsid w:val="00A508B2"/>
    <w:rsid w:val="00A50D1F"/>
    <w:rsid w:val="00A515D7"/>
    <w:rsid w:val="00A51742"/>
    <w:rsid w:val="00A51A0D"/>
    <w:rsid w:val="00A523E3"/>
    <w:rsid w:val="00A52E64"/>
    <w:rsid w:val="00A5357C"/>
    <w:rsid w:val="00A536BC"/>
    <w:rsid w:val="00A546BC"/>
    <w:rsid w:val="00A557B0"/>
    <w:rsid w:val="00A55989"/>
    <w:rsid w:val="00A55F41"/>
    <w:rsid w:val="00A5694A"/>
    <w:rsid w:val="00A56FF6"/>
    <w:rsid w:val="00A57192"/>
    <w:rsid w:val="00A57565"/>
    <w:rsid w:val="00A57EDD"/>
    <w:rsid w:val="00A610C1"/>
    <w:rsid w:val="00A611EF"/>
    <w:rsid w:val="00A62157"/>
    <w:rsid w:val="00A621E1"/>
    <w:rsid w:val="00A6233E"/>
    <w:rsid w:val="00A62FB2"/>
    <w:rsid w:val="00A63541"/>
    <w:rsid w:val="00A636DF"/>
    <w:rsid w:val="00A63892"/>
    <w:rsid w:val="00A63DA4"/>
    <w:rsid w:val="00A64AB4"/>
    <w:rsid w:val="00A65204"/>
    <w:rsid w:val="00A66689"/>
    <w:rsid w:val="00A66753"/>
    <w:rsid w:val="00A66832"/>
    <w:rsid w:val="00A67DC4"/>
    <w:rsid w:val="00A67E5F"/>
    <w:rsid w:val="00A67E9B"/>
    <w:rsid w:val="00A707CF"/>
    <w:rsid w:val="00A70B44"/>
    <w:rsid w:val="00A70D1F"/>
    <w:rsid w:val="00A714D0"/>
    <w:rsid w:val="00A71E18"/>
    <w:rsid w:val="00A71EAB"/>
    <w:rsid w:val="00A7252A"/>
    <w:rsid w:val="00A72BA1"/>
    <w:rsid w:val="00A72F84"/>
    <w:rsid w:val="00A73458"/>
    <w:rsid w:val="00A735D5"/>
    <w:rsid w:val="00A73808"/>
    <w:rsid w:val="00A73D34"/>
    <w:rsid w:val="00A73D98"/>
    <w:rsid w:val="00A74770"/>
    <w:rsid w:val="00A7539F"/>
    <w:rsid w:val="00A7556B"/>
    <w:rsid w:val="00A75687"/>
    <w:rsid w:val="00A75CD5"/>
    <w:rsid w:val="00A76F99"/>
    <w:rsid w:val="00A7724D"/>
    <w:rsid w:val="00A816AC"/>
    <w:rsid w:val="00A81B6B"/>
    <w:rsid w:val="00A81D3F"/>
    <w:rsid w:val="00A81EEC"/>
    <w:rsid w:val="00A81F59"/>
    <w:rsid w:val="00A8312D"/>
    <w:rsid w:val="00A83130"/>
    <w:rsid w:val="00A8319D"/>
    <w:rsid w:val="00A8364F"/>
    <w:rsid w:val="00A83919"/>
    <w:rsid w:val="00A83DF3"/>
    <w:rsid w:val="00A84E88"/>
    <w:rsid w:val="00A84E95"/>
    <w:rsid w:val="00A85915"/>
    <w:rsid w:val="00A85E3A"/>
    <w:rsid w:val="00A87287"/>
    <w:rsid w:val="00A87469"/>
    <w:rsid w:val="00A874C6"/>
    <w:rsid w:val="00A87676"/>
    <w:rsid w:val="00A90A0B"/>
    <w:rsid w:val="00A90A53"/>
    <w:rsid w:val="00A90BE8"/>
    <w:rsid w:val="00A91108"/>
    <w:rsid w:val="00A91660"/>
    <w:rsid w:val="00A91E75"/>
    <w:rsid w:val="00A92124"/>
    <w:rsid w:val="00A92F70"/>
    <w:rsid w:val="00A9450F"/>
    <w:rsid w:val="00A948BC"/>
    <w:rsid w:val="00A949F3"/>
    <w:rsid w:val="00A952AB"/>
    <w:rsid w:val="00A9539C"/>
    <w:rsid w:val="00A95570"/>
    <w:rsid w:val="00A95764"/>
    <w:rsid w:val="00A96555"/>
    <w:rsid w:val="00A96729"/>
    <w:rsid w:val="00A96C14"/>
    <w:rsid w:val="00A96DA5"/>
    <w:rsid w:val="00A9783D"/>
    <w:rsid w:val="00A97D77"/>
    <w:rsid w:val="00AA0227"/>
    <w:rsid w:val="00AA06FB"/>
    <w:rsid w:val="00AA0853"/>
    <w:rsid w:val="00AA0A3E"/>
    <w:rsid w:val="00AA0B84"/>
    <w:rsid w:val="00AA0BA9"/>
    <w:rsid w:val="00AA2789"/>
    <w:rsid w:val="00AA2E6B"/>
    <w:rsid w:val="00AA3BA6"/>
    <w:rsid w:val="00AA3CB0"/>
    <w:rsid w:val="00AA3D1C"/>
    <w:rsid w:val="00AA407A"/>
    <w:rsid w:val="00AA4263"/>
    <w:rsid w:val="00AA44B0"/>
    <w:rsid w:val="00AA45E6"/>
    <w:rsid w:val="00AA4B78"/>
    <w:rsid w:val="00AA4C95"/>
    <w:rsid w:val="00AA503C"/>
    <w:rsid w:val="00AA5571"/>
    <w:rsid w:val="00AA5A37"/>
    <w:rsid w:val="00AA662E"/>
    <w:rsid w:val="00AA6A84"/>
    <w:rsid w:val="00AA6C49"/>
    <w:rsid w:val="00AA6F18"/>
    <w:rsid w:val="00AA735E"/>
    <w:rsid w:val="00AA73BB"/>
    <w:rsid w:val="00AA7520"/>
    <w:rsid w:val="00AA7E7B"/>
    <w:rsid w:val="00AB08F9"/>
    <w:rsid w:val="00AB19B7"/>
    <w:rsid w:val="00AB1E3A"/>
    <w:rsid w:val="00AB242F"/>
    <w:rsid w:val="00AB2654"/>
    <w:rsid w:val="00AB3F6C"/>
    <w:rsid w:val="00AB489C"/>
    <w:rsid w:val="00AB50C1"/>
    <w:rsid w:val="00AB532D"/>
    <w:rsid w:val="00AB620B"/>
    <w:rsid w:val="00AB68A8"/>
    <w:rsid w:val="00AB6936"/>
    <w:rsid w:val="00AB764E"/>
    <w:rsid w:val="00AB7B32"/>
    <w:rsid w:val="00AC01B1"/>
    <w:rsid w:val="00AC09E5"/>
    <w:rsid w:val="00AC0C3B"/>
    <w:rsid w:val="00AC1232"/>
    <w:rsid w:val="00AC14F7"/>
    <w:rsid w:val="00AC19F3"/>
    <w:rsid w:val="00AC26AD"/>
    <w:rsid w:val="00AC2CCC"/>
    <w:rsid w:val="00AC2D63"/>
    <w:rsid w:val="00AC374B"/>
    <w:rsid w:val="00AC445E"/>
    <w:rsid w:val="00AC46D3"/>
    <w:rsid w:val="00AC4A68"/>
    <w:rsid w:val="00AC5893"/>
    <w:rsid w:val="00AC592F"/>
    <w:rsid w:val="00AC6D29"/>
    <w:rsid w:val="00AC7084"/>
    <w:rsid w:val="00AC762E"/>
    <w:rsid w:val="00AD0205"/>
    <w:rsid w:val="00AD0375"/>
    <w:rsid w:val="00AD03D8"/>
    <w:rsid w:val="00AD03E4"/>
    <w:rsid w:val="00AD0711"/>
    <w:rsid w:val="00AD0857"/>
    <w:rsid w:val="00AD0AC8"/>
    <w:rsid w:val="00AD1134"/>
    <w:rsid w:val="00AD11A3"/>
    <w:rsid w:val="00AD1364"/>
    <w:rsid w:val="00AD16D6"/>
    <w:rsid w:val="00AD1C8A"/>
    <w:rsid w:val="00AD2180"/>
    <w:rsid w:val="00AD2192"/>
    <w:rsid w:val="00AD2277"/>
    <w:rsid w:val="00AD2D91"/>
    <w:rsid w:val="00AD418C"/>
    <w:rsid w:val="00AD4311"/>
    <w:rsid w:val="00AD4CB0"/>
    <w:rsid w:val="00AD4F77"/>
    <w:rsid w:val="00AD5A1C"/>
    <w:rsid w:val="00AD5D1E"/>
    <w:rsid w:val="00AD61F5"/>
    <w:rsid w:val="00AD625A"/>
    <w:rsid w:val="00AD6CBF"/>
    <w:rsid w:val="00AD6DD5"/>
    <w:rsid w:val="00AD704E"/>
    <w:rsid w:val="00AD7427"/>
    <w:rsid w:val="00AD771E"/>
    <w:rsid w:val="00AD78E6"/>
    <w:rsid w:val="00AE036A"/>
    <w:rsid w:val="00AE05F0"/>
    <w:rsid w:val="00AE0BA9"/>
    <w:rsid w:val="00AE0D92"/>
    <w:rsid w:val="00AE131A"/>
    <w:rsid w:val="00AE17E8"/>
    <w:rsid w:val="00AE1A32"/>
    <w:rsid w:val="00AE1E3C"/>
    <w:rsid w:val="00AE3B07"/>
    <w:rsid w:val="00AE3D40"/>
    <w:rsid w:val="00AE4647"/>
    <w:rsid w:val="00AE47A7"/>
    <w:rsid w:val="00AE47DB"/>
    <w:rsid w:val="00AE4B6A"/>
    <w:rsid w:val="00AE4C31"/>
    <w:rsid w:val="00AE4D72"/>
    <w:rsid w:val="00AE5510"/>
    <w:rsid w:val="00AE5512"/>
    <w:rsid w:val="00AE5FE0"/>
    <w:rsid w:val="00AE6045"/>
    <w:rsid w:val="00AE60B7"/>
    <w:rsid w:val="00AE6166"/>
    <w:rsid w:val="00AE7141"/>
    <w:rsid w:val="00AE75E9"/>
    <w:rsid w:val="00AE7DC7"/>
    <w:rsid w:val="00AF0BD6"/>
    <w:rsid w:val="00AF0BE4"/>
    <w:rsid w:val="00AF128A"/>
    <w:rsid w:val="00AF1854"/>
    <w:rsid w:val="00AF1AAF"/>
    <w:rsid w:val="00AF1DA7"/>
    <w:rsid w:val="00AF1EBF"/>
    <w:rsid w:val="00AF2AB7"/>
    <w:rsid w:val="00AF2B1C"/>
    <w:rsid w:val="00AF2BB2"/>
    <w:rsid w:val="00AF3301"/>
    <w:rsid w:val="00AF35D9"/>
    <w:rsid w:val="00AF3658"/>
    <w:rsid w:val="00AF3682"/>
    <w:rsid w:val="00AF4101"/>
    <w:rsid w:val="00AF423F"/>
    <w:rsid w:val="00AF45B6"/>
    <w:rsid w:val="00AF4854"/>
    <w:rsid w:val="00AF4D3F"/>
    <w:rsid w:val="00AF4E8D"/>
    <w:rsid w:val="00AF5347"/>
    <w:rsid w:val="00AF5818"/>
    <w:rsid w:val="00AF5890"/>
    <w:rsid w:val="00AF58A6"/>
    <w:rsid w:val="00AF5F17"/>
    <w:rsid w:val="00AF614A"/>
    <w:rsid w:val="00AF618B"/>
    <w:rsid w:val="00AF7719"/>
    <w:rsid w:val="00AF7F02"/>
    <w:rsid w:val="00B00380"/>
    <w:rsid w:val="00B007E7"/>
    <w:rsid w:val="00B00E57"/>
    <w:rsid w:val="00B01ED4"/>
    <w:rsid w:val="00B0208F"/>
    <w:rsid w:val="00B02136"/>
    <w:rsid w:val="00B02328"/>
    <w:rsid w:val="00B02565"/>
    <w:rsid w:val="00B027FA"/>
    <w:rsid w:val="00B02C12"/>
    <w:rsid w:val="00B0300B"/>
    <w:rsid w:val="00B04081"/>
    <w:rsid w:val="00B0449A"/>
    <w:rsid w:val="00B0484D"/>
    <w:rsid w:val="00B04A88"/>
    <w:rsid w:val="00B05457"/>
    <w:rsid w:val="00B0576B"/>
    <w:rsid w:val="00B0624E"/>
    <w:rsid w:val="00B065FF"/>
    <w:rsid w:val="00B069FA"/>
    <w:rsid w:val="00B06E8D"/>
    <w:rsid w:val="00B06ED8"/>
    <w:rsid w:val="00B07478"/>
    <w:rsid w:val="00B074DD"/>
    <w:rsid w:val="00B075E7"/>
    <w:rsid w:val="00B07969"/>
    <w:rsid w:val="00B10167"/>
    <w:rsid w:val="00B106DB"/>
    <w:rsid w:val="00B10979"/>
    <w:rsid w:val="00B10E94"/>
    <w:rsid w:val="00B10F0A"/>
    <w:rsid w:val="00B10FE4"/>
    <w:rsid w:val="00B117B9"/>
    <w:rsid w:val="00B11DB3"/>
    <w:rsid w:val="00B11FF0"/>
    <w:rsid w:val="00B12890"/>
    <w:rsid w:val="00B128A0"/>
    <w:rsid w:val="00B13241"/>
    <w:rsid w:val="00B13396"/>
    <w:rsid w:val="00B133C9"/>
    <w:rsid w:val="00B1399F"/>
    <w:rsid w:val="00B13E4B"/>
    <w:rsid w:val="00B14D9C"/>
    <w:rsid w:val="00B14FD4"/>
    <w:rsid w:val="00B16475"/>
    <w:rsid w:val="00B16B27"/>
    <w:rsid w:val="00B16EC1"/>
    <w:rsid w:val="00B1705B"/>
    <w:rsid w:val="00B1755E"/>
    <w:rsid w:val="00B201E2"/>
    <w:rsid w:val="00B20240"/>
    <w:rsid w:val="00B22667"/>
    <w:rsid w:val="00B229FB"/>
    <w:rsid w:val="00B22FA9"/>
    <w:rsid w:val="00B23281"/>
    <w:rsid w:val="00B24457"/>
    <w:rsid w:val="00B246D2"/>
    <w:rsid w:val="00B24ABC"/>
    <w:rsid w:val="00B24EA0"/>
    <w:rsid w:val="00B252B8"/>
    <w:rsid w:val="00B25896"/>
    <w:rsid w:val="00B25D7C"/>
    <w:rsid w:val="00B26378"/>
    <w:rsid w:val="00B267EF"/>
    <w:rsid w:val="00B26F56"/>
    <w:rsid w:val="00B2726E"/>
    <w:rsid w:val="00B272AA"/>
    <w:rsid w:val="00B2734D"/>
    <w:rsid w:val="00B273EA"/>
    <w:rsid w:val="00B2748C"/>
    <w:rsid w:val="00B27571"/>
    <w:rsid w:val="00B30C62"/>
    <w:rsid w:val="00B3172E"/>
    <w:rsid w:val="00B31AAC"/>
    <w:rsid w:val="00B3205F"/>
    <w:rsid w:val="00B326EC"/>
    <w:rsid w:val="00B32982"/>
    <w:rsid w:val="00B334A0"/>
    <w:rsid w:val="00B33AA6"/>
    <w:rsid w:val="00B33F56"/>
    <w:rsid w:val="00B34120"/>
    <w:rsid w:val="00B3425F"/>
    <w:rsid w:val="00B34AD4"/>
    <w:rsid w:val="00B35D8C"/>
    <w:rsid w:val="00B36077"/>
    <w:rsid w:val="00B36BC6"/>
    <w:rsid w:val="00B36F14"/>
    <w:rsid w:val="00B3738B"/>
    <w:rsid w:val="00B37677"/>
    <w:rsid w:val="00B37EB1"/>
    <w:rsid w:val="00B406C9"/>
    <w:rsid w:val="00B4160B"/>
    <w:rsid w:val="00B4164B"/>
    <w:rsid w:val="00B41C39"/>
    <w:rsid w:val="00B41CC2"/>
    <w:rsid w:val="00B41E33"/>
    <w:rsid w:val="00B41FE5"/>
    <w:rsid w:val="00B435D7"/>
    <w:rsid w:val="00B43935"/>
    <w:rsid w:val="00B440C3"/>
    <w:rsid w:val="00B44766"/>
    <w:rsid w:val="00B4570A"/>
    <w:rsid w:val="00B45E03"/>
    <w:rsid w:val="00B462EA"/>
    <w:rsid w:val="00B46435"/>
    <w:rsid w:val="00B466C0"/>
    <w:rsid w:val="00B46CDB"/>
    <w:rsid w:val="00B47563"/>
    <w:rsid w:val="00B50C27"/>
    <w:rsid w:val="00B50F5B"/>
    <w:rsid w:val="00B510B5"/>
    <w:rsid w:val="00B51778"/>
    <w:rsid w:val="00B522ED"/>
    <w:rsid w:val="00B52D6E"/>
    <w:rsid w:val="00B52FCC"/>
    <w:rsid w:val="00B53371"/>
    <w:rsid w:val="00B53ABF"/>
    <w:rsid w:val="00B53B5A"/>
    <w:rsid w:val="00B54060"/>
    <w:rsid w:val="00B5409A"/>
    <w:rsid w:val="00B540FB"/>
    <w:rsid w:val="00B543F6"/>
    <w:rsid w:val="00B54A7C"/>
    <w:rsid w:val="00B5548B"/>
    <w:rsid w:val="00B55574"/>
    <w:rsid w:val="00B55D6B"/>
    <w:rsid w:val="00B5657C"/>
    <w:rsid w:val="00B56703"/>
    <w:rsid w:val="00B56B9C"/>
    <w:rsid w:val="00B573E4"/>
    <w:rsid w:val="00B57CFA"/>
    <w:rsid w:val="00B6028D"/>
    <w:rsid w:val="00B60CDB"/>
    <w:rsid w:val="00B60FA0"/>
    <w:rsid w:val="00B614A6"/>
    <w:rsid w:val="00B62443"/>
    <w:rsid w:val="00B6345F"/>
    <w:rsid w:val="00B63705"/>
    <w:rsid w:val="00B63A97"/>
    <w:rsid w:val="00B63AFB"/>
    <w:rsid w:val="00B64377"/>
    <w:rsid w:val="00B6525D"/>
    <w:rsid w:val="00B65ABA"/>
    <w:rsid w:val="00B663E3"/>
    <w:rsid w:val="00B6676A"/>
    <w:rsid w:val="00B66BA6"/>
    <w:rsid w:val="00B67643"/>
    <w:rsid w:val="00B67699"/>
    <w:rsid w:val="00B6790F"/>
    <w:rsid w:val="00B67ADF"/>
    <w:rsid w:val="00B67D91"/>
    <w:rsid w:val="00B707DB"/>
    <w:rsid w:val="00B70C25"/>
    <w:rsid w:val="00B71037"/>
    <w:rsid w:val="00B7121F"/>
    <w:rsid w:val="00B71B3B"/>
    <w:rsid w:val="00B72458"/>
    <w:rsid w:val="00B72A60"/>
    <w:rsid w:val="00B7435D"/>
    <w:rsid w:val="00B75CA9"/>
    <w:rsid w:val="00B76C25"/>
    <w:rsid w:val="00B778B8"/>
    <w:rsid w:val="00B80AE0"/>
    <w:rsid w:val="00B80BD1"/>
    <w:rsid w:val="00B81240"/>
    <w:rsid w:val="00B82508"/>
    <w:rsid w:val="00B82799"/>
    <w:rsid w:val="00B82AA7"/>
    <w:rsid w:val="00B82CF8"/>
    <w:rsid w:val="00B831E4"/>
    <w:rsid w:val="00B83AB4"/>
    <w:rsid w:val="00B84392"/>
    <w:rsid w:val="00B85059"/>
    <w:rsid w:val="00B859AF"/>
    <w:rsid w:val="00B85CC5"/>
    <w:rsid w:val="00B861ED"/>
    <w:rsid w:val="00B871A3"/>
    <w:rsid w:val="00B875C0"/>
    <w:rsid w:val="00B87B95"/>
    <w:rsid w:val="00B87D61"/>
    <w:rsid w:val="00B90CAC"/>
    <w:rsid w:val="00B90FC1"/>
    <w:rsid w:val="00B91315"/>
    <w:rsid w:val="00B91937"/>
    <w:rsid w:val="00B91980"/>
    <w:rsid w:val="00B92A31"/>
    <w:rsid w:val="00B92BE0"/>
    <w:rsid w:val="00B93619"/>
    <w:rsid w:val="00B93948"/>
    <w:rsid w:val="00B93FAD"/>
    <w:rsid w:val="00B9460F"/>
    <w:rsid w:val="00B9474D"/>
    <w:rsid w:val="00B94E87"/>
    <w:rsid w:val="00B9536A"/>
    <w:rsid w:val="00B9557A"/>
    <w:rsid w:val="00B9595D"/>
    <w:rsid w:val="00B9603D"/>
    <w:rsid w:val="00B96202"/>
    <w:rsid w:val="00B97270"/>
    <w:rsid w:val="00BA1B97"/>
    <w:rsid w:val="00BA26BE"/>
    <w:rsid w:val="00BA294D"/>
    <w:rsid w:val="00BA295E"/>
    <w:rsid w:val="00BA296F"/>
    <w:rsid w:val="00BA301A"/>
    <w:rsid w:val="00BA37EE"/>
    <w:rsid w:val="00BA398C"/>
    <w:rsid w:val="00BA3CBD"/>
    <w:rsid w:val="00BA40FB"/>
    <w:rsid w:val="00BA44D7"/>
    <w:rsid w:val="00BA45DF"/>
    <w:rsid w:val="00BA4B4D"/>
    <w:rsid w:val="00BA4BC7"/>
    <w:rsid w:val="00BA55B7"/>
    <w:rsid w:val="00BA576F"/>
    <w:rsid w:val="00BA58C6"/>
    <w:rsid w:val="00BA5E47"/>
    <w:rsid w:val="00BA5F58"/>
    <w:rsid w:val="00BA6028"/>
    <w:rsid w:val="00BA69B1"/>
    <w:rsid w:val="00BA6A17"/>
    <w:rsid w:val="00BA6D82"/>
    <w:rsid w:val="00BA6DFA"/>
    <w:rsid w:val="00BA700D"/>
    <w:rsid w:val="00BA7454"/>
    <w:rsid w:val="00BA7B88"/>
    <w:rsid w:val="00BA7D57"/>
    <w:rsid w:val="00BB03D8"/>
    <w:rsid w:val="00BB156E"/>
    <w:rsid w:val="00BB18EE"/>
    <w:rsid w:val="00BB1F9A"/>
    <w:rsid w:val="00BB3267"/>
    <w:rsid w:val="00BB331F"/>
    <w:rsid w:val="00BB3330"/>
    <w:rsid w:val="00BB3847"/>
    <w:rsid w:val="00BB3D45"/>
    <w:rsid w:val="00BB44C6"/>
    <w:rsid w:val="00BB47D7"/>
    <w:rsid w:val="00BB4A62"/>
    <w:rsid w:val="00BB565C"/>
    <w:rsid w:val="00BB617F"/>
    <w:rsid w:val="00BB6460"/>
    <w:rsid w:val="00BB6F12"/>
    <w:rsid w:val="00BB72D6"/>
    <w:rsid w:val="00BB7660"/>
    <w:rsid w:val="00BB7711"/>
    <w:rsid w:val="00BB7DF1"/>
    <w:rsid w:val="00BB7F94"/>
    <w:rsid w:val="00BC0167"/>
    <w:rsid w:val="00BC01C1"/>
    <w:rsid w:val="00BC0278"/>
    <w:rsid w:val="00BC049A"/>
    <w:rsid w:val="00BC07FB"/>
    <w:rsid w:val="00BC0CF0"/>
    <w:rsid w:val="00BC0DB9"/>
    <w:rsid w:val="00BC1D58"/>
    <w:rsid w:val="00BC1D79"/>
    <w:rsid w:val="00BC1FE2"/>
    <w:rsid w:val="00BC208B"/>
    <w:rsid w:val="00BC2767"/>
    <w:rsid w:val="00BC2EB9"/>
    <w:rsid w:val="00BC423F"/>
    <w:rsid w:val="00BC51D3"/>
    <w:rsid w:val="00BC53E1"/>
    <w:rsid w:val="00BC5A34"/>
    <w:rsid w:val="00BC63FB"/>
    <w:rsid w:val="00BC69CD"/>
    <w:rsid w:val="00BC6A5F"/>
    <w:rsid w:val="00BC7C92"/>
    <w:rsid w:val="00BC7F2F"/>
    <w:rsid w:val="00BD0698"/>
    <w:rsid w:val="00BD0DAF"/>
    <w:rsid w:val="00BD12BA"/>
    <w:rsid w:val="00BD16A0"/>
    <w:rsid w:val="00BD17F5"/>
    <w:rsid w:val="00BD22A8"/>
    <w:rsid w:val="00BD2548"/>
    <w:rsid w:val="00BD3616"/>
    <w:rsid w:val="00BD3CCC"/>
    <w:rsid w:val="00BD463D"/>
    <w:rsid w:val="00BD47A3"/>
    <w:rsid w:val="00BD4A5B"/>
    <w:rsid w:val="00BD519D"/>
    <w:rsid w:val="00BD543A"/>
    <w:rsid w:val="00BD5BBA"/>
    <w:rsid w:val="00BD5EF3"/>
    <w:rsid w:val="00BD66A3"/>
    <w:rsid w:val="00BD6E05"/>
    <w:rsid w:val="00BD6E15"/>
    <w:rsid w:val="00BD6F22"/>
    <w:rsid w:val="00BD713B"/>
    <w:rsid w:val="00BD716F"/>
    <w:rsid w:val="00BD7299"/>
    <w:rsid w:val="00BD72EB"/>
    <w:rsid w:val="00BD771C"/>
    <w:rsid w:val="00BD7925"/>
    <w:rsid w:val="00BE05AE"/>
    <w:rsid w:val="00BE1047"/>
    <w:rsid w:val="00BE1785"/>
    <w:rsid w:val="00BE1978"/>
    <w:rsid w:val="00BE1BBC"/>
    <w:rsid w:val="00BE1E19"/>
    <w:rsid w:val="00BE2022"/>
    <w:rsid w:val="00BE249D"/>
    <w:rsid w:val="00BE2B4C"/>
    <w:rsid w:val="00BE2F6B"/>
    <w:rsid w:val="00BE4134"/>
    <w:rsid w:val="00BE4761"/>
    <w:rsid w:val="00BE54D0"/>
    <w:rsid w:val="00BE5B2C"/>
    <w:rsid w:val="00BE7F93"/>
    <w:rsid w:val="00BE9607"/>
    <w:rsid w:val="00BF051F"/>
    <w:rsid w:val="00BF13BA"/>
    <w:rsid w:val="00BF1931"/>
    <w:rsid w:val="00BF1A2F"/>
    <w:rsid w:val="00BF1D50"/>
    <w:rsid w:val="00BF2105"/>
    <w:rsid w:val="00BF2679"/>
    <w:rsid w:val="00BF2DAF"/>
    <w:rsid w:val="00BF3B3F"/>
    <w:rsid w:val="00BF3C21"/>
    <w:rsid w:val="00BF3FDF"/>
    <w:rsid w:val="00BF4AE1"/>
    <w:rsid w:val="00BF4BD2"/>
    <w:rsid w:val="00BF4D17"/>
    <w:rsid w:val="00BF5331"/>
    <w:rsid w:val="00BF6066"/>
    <w:rsid w:val="00BF6B6C"/>
    <w:rsid w:val="00BF70B9"/>
    <w:rsid w:val="00BF7251"/>
    <w:rsid w:val="00BF7872"/>
    <w:rsid w:val="00BF7DA1"/>
    <w:rsid w:val="00BF7F28"/>
    <w:rsid w:val="00C00115"/>
    <w:rsid w:val="00C0069B"/>
    <w:rsid w:val="00C007FF"/>
    <w:rsid w:val="00C008DE"/>
    <w:rsid w:val="00C00906"/>
    <w:rsid w:val="00C00EEA"/>
    <w:rsid w:val="00C01100"/>
    <w:rsid w:val="00C0122F"/>
    <w:rsid w:val="00C0173E"/>
    <w:rsid w:val="00C01909"/>
    <w:rsid w:val="00C0213C"/>
    <w:rsid w:val="00C024C1"/>
    <w:rsid w:val="00C03108"/>
    <w:rsid w:val="00C0353A"/>
    <w:rsid w:val="00C041FA"/>
    <w:rsid w:val="00C046CF"/>
    <w:rsid w:val="00C04FA0"/>
    <w:rsid w:val="00C05787"/>
    <w:rsid w:val="00C06789"/>
    <w:rsid w:val="00C06E64"/>
    <w:rsid w:val="00C073B6"/>
    <w:rsid w:val="00C07D94"/>
    <w:rsid w:val="00C105CD"/>
    <w:rsid w:val="00C1189D"/>
    <w:rsid w:val="00C11C04"/>
    <w:rsid w:val="00C1219F"/>
    <w:rsid w:val="00C12D61"/>
    <w:rsid w:val="00C12DF6"/>
    <w:rsid w:val="00C13059"/>
    <w:rsid w:val="00C14587"/>
    <w:rsid w:val="00C14610"/>
    <w:rsid w:val="00C1461B"/>
    <w:rsid w:val="00C1498B"/>
    <w:rsid w:val="00C15211"/>
    <w:rsid w:val="00C153A9"/>
    <w:rsid w:val="00C156D4"/>
    <w:rsid w:val="00C15723"/>
    <w:rsid w:val="00C166B1"/>
    <w:rsid w:val="00C167A3"/>
    <w:rsid w:val="00C168FE"/>
    <w:rsid w:val="00C16925"/>
    <w:rsid w:val="00C16D05"/>
    <w:rsid w:val="00C174B4"/>
    <w:rsid w:val="00C17DDE"/>
    <w:rsid w:val="00C17E18"/>
    <w:rsid w:val="00C17F45"/>
    <w:rsid w:val="00C2017D"/>
    <w:rsid w:val="00C2085F"/>
    <w:rsid w:val="00C21344"/>
    <w:rsid w:val="00C2181C"/>
    <w:rsid w:val="00C223C7"/>
    <w:rsid w:val="00C2290C"/>
    <w:rsid w:val="00C22F84"/>
    <w:rsid w:val="00C2348F"/>
    <w:rsid w:val="00C2473E"/>
    <w:rsid w:val="00C2542C"/>
    <w:rsid w:val="00C2657D"/>
    <w:rsid w:val="00C26808"/>
    <w:rsid w:val="00C26A64"/>
    <w:rsid w:val="00C2717B"/>
    <w:rsid w:val="00C2721F"/>
    <w:rsid w:val="00C274C0"/>
    <w:rsid w:val="00C27AC5"/>
    <w:rsid w:val="00C27BC0"/>
    <w:rsid w:val="00C27C8C"/>
    <w:rsid w:val="00C30013"/>
    <w:rsid w:val="00C30B25"/>
    <w:rsid w:val="00C3129E"/>
    <w:rsid w:val="00C32881"/>
    <w:rsid w:val="00C32DEC"/>
    <w:rsid w:val="00C32E0A"/>
    <w:rsid w:val="00C33EC7"/>
    <w:rsid w:val="00C3447A"/>
    <w:rsid w:val="00C349DB"/>
    <w:rsid w:val="00C355B0"/>
    <w:rsid w:val="00C3573F"/>
    <w:rsid w:val="00C36FE7"/>
    <w:rsid w:val="00C374F3"/>
    <w:rsid w:val="00C377E9"/>
    <w:rsid w:val="00C3789A"/>
    <w:rsid w:val="00C40E2E"/>
    <w:rsid w:val="00C4121F"/>
    <w:rsid w:val="00C416E1"/>
    <w:rsid w:val="00C42861"/>
    <w:rsid w:val="00C42B68"/>
    <w:rsid w:val="00C42BE7"/>
    <w:rsid w:val="00C42CF7"/>
    <w:rsid w:val="00C439C5"/>
    <w:rsid w:val="00C4439F"/>
    <w:rsid w:val="00C44995"/>
    <w:rsid w:val="00C450B9"/>
    <w:rsid w:val="00C4537C"/>
    <w:rsid w:val="00C45385"/>
    <w:rsid w:val="00C461AB"/>
    <w:rsid w:val="00C463C6"/>
    <w:rsid w:val="00C47385"/>
    <w:rsid w:val="00C479E0"/>
    <w:rsid w:val="00C47BF8"/>
    <w:rsid w:val="00C47E26"/>
    <w:rsid w:val="00C5095B"/>
    <w:rsid w:val="00C50B25"/>
    <w:rsid w:val="00C50E1D"/>
    <w:rsid w:val="00C514A8"/>
    <w:rsid w:val="00C5164E"/>
    <w:rsid w:val="00C51B1C"/>
    <w:rsid w:val="00C5245B"/>
    <w:rsid w:val="00C5257C"/>
    <w:rsid w:val="00C53DCE"/>
    <w:rsid w:val="00C54026"/>
    <w:rsid w:val="00C541A5"/>
    <w:rsid w:val="00C542F8"/>
    <w:rsid w:val="00C5519E"/>
    <w:rsid w:val="00C55A40"/>
    <w:rsid w:val="00C55ED9"/>
    <w:rsid w:val="00C5692E"/>
    <w:rsid w:val="00C56A0E"/>
    <w:rsid w:val="00C56FAF"/>
    <w:rsid w:val="00C570C8"/>
    <w:rsid w:val="00C57208"/>
    <w:rsid w:val="00C57518"/>
    <w:rsid w:val="00C57C07"/>
    <w:rsid w:val="00C6044A"/>
    <w:rsid w:val="00C606C5"/>
    <w:rsid w:val="00C618EB"/>
    <w:rsid w:val="00C61EFE"/>
    <w:rsid w:val="00C62069"/>
    <w:rsid w:val="00C62073"/>
    <w:rsid w:val="00C64972"/>
    <w:rsid w:val="00C65553"/>
    <w:rsid w:val="00C655F2"/>
    <w:rsid w:val="00C657FE"/>
    <w:rsid w:val="00C6588B"/>
    <w:rsid w:val="00C65B4C"/>
    <w:rsid w:val="00C65B61"/>
    <w:rsid w:val="00C66178"/>
    <w:rsid w:val="00C66745"/>
    <w:rsid w:val="00C66893"/>
    <w:rsid w:val="00C67333"/>
    <w:rsid w:val="00C67A3F"/>
    <w:rsid w:val="00C70519"/>
    <w:rsid w:val="00C7056E"/>
    <w:rsid w:val="00C7076B"/>
    <w:rsid w:val="00C70B30"/>
    <w:rsid w:val="00C70E53"/>
    <w:rsid w:val="00C71123"/>
    <w:rsid w:val="00C712F7"/>
    <w:rsid w:val="00C71934"/>
    <w:rsid w:val="00C71ADF"/>
    <w:rsid w:val="00C71C84"/>
    <w:rsid w:val="00C71CDB"/>
    <w:rsid w:val="00C7207C"/>
    <w:rsid w:val="00C7248B"/>
    <w:rsid w:val="00C72551"/>
    <w:rsid w:val="00C72884"/>
    <w:rsid w:val="00C72979"/>
    <w:rsid w:val="00C72BAA"/>
    <w:rsid w:val="00C72F2E"/>
    <w:rsid w:val="00C72FCB"/>
    <w:rsid w:val="00C735A5"/>
    <w:rsid w:val="00C7389C"/>
    <w:rsid w:val="00C73B4F"/>
    <w:rsid w:val="00C73D94"/>
    <w:rsid w:val="00C75214"/>
    <w:rsid w:val="00C75433"/>
    <w:rsid w:val="00C7551A"/>
    <w:rsid w:val="00C75604"/>
    <w:rsid w:val="00C757E3"/>
    <w:rsid w:val="00C75ABF"/>
    <w:rsid w:val="00C75BBC"/>
    <w:rsid w:val="00C76F94"/>
    <w:rsid w:val="00C779DB"/>
    <w:rsid w:val="00C77AE1"/>
    <w:rsid w:val="00C77DD9"/>
    <w:rsid w:val="00C8066E"/>
    <w:rsid w:val="00C81529"/>
    <w:rsid w:val="00C81BA6"/>
    <w:rsid w:val="00C81CEA"/>
    <w:rsid w:val="00C8316A"/>
    <w:rsid w:val="00C834DB"/>
    <w:rsid w:val="00C83718"/>
    <w:rsid w:val="00C8377C"/>
    <w:rsid w:val="00C8384F"/>
    <w:rsid w:val="00C83F0D"/>
    <w:rsid w:val="00C84906"/>
    <w:rsid w:val="00C8552C"/>
    <w:rsid w:val="00C85715"/>
    <w:rsid w:val="00C85E9E"/>
    <w:rsid w:val="00C870CE"/>
    <w:rsid w:val="00C877CD"/>
    <w:rsid w:val="00C87A4E"/>
    <w:rsid w:val="00C87B6B"/>
    <w:rsid w:val="00C902E9"/>
    <w:rsid w:val="00C908B7"/>
    <w:rsid w:val="00C91680"/>
    <w:rsid w:val="00C919E9"/>
    <w:rsid w:val="00C91A1A"/>
    <w:rsid w:val="00C91B49"/>
    <w:rsid w:val="00C91D81"/>
    <w:rsid w:val="00C926F8"/>
    <w:rsid w:val="00C92A3B"/>
    <w:rsid w:val="00C92A42"/>
    <w:rsid w:val="00C92A91"/>
    <w:rsid w:val="00C932D4"/>
    <w:rsid w:val="00C9348C"/>
    <w:rsid w:val="00C9355D"/>
    <w:rsid w:val="00C93614"/>
    <w:rsid w:val="00C946C0"/>
    <w:rsid w:val="00C947C4"/>
    <w:rsid w:val="00C94CD0"/>
    <w:rsid w:val="00C95649"/>
    <w:rsid w:val="00C95758"/>
    <w:rsid w:val="00C959F6"/>
    <w:rsid w:val="00C95E2A"/>
    <w:rsid w:val="00C95F67"/>
    <w:rsid w:val="00C969CA"/>
    <w:rsid w:val="00C96C4B"/>
    <w:rsid w:val="00C9748C"/>
    <w:rsid w:val="00C9772C"/>
    <w:rsid w:val="00C97CB0"/>
    <w:rsid w:val="00CA09AC"/>
    <w:rsid w:val="00CA18F2"/>
    <w:rsid w:val="00CA1AD4"/>
    <w:rsid w:val="00CA1F57"/>
    <w:rsid w:val="00CA2483"/>
    <w:rsid w:val="00CA2DA1"/>
    <w:rsid w:val="00CA31CC"/>
    <w:rsid w:val="00CA3D3D"/>
    <w:rsid w:val="00CA3F7A"/>
    <w:rsid w:val="00CA4871"/>
    <w:rsid w:val="00CA52B8"/>
    <w:rsid w:val="00CA571F"/>
    <w:rsid w:val="00CA6722"/>
    <w:rsid w:val="00CA6D4E"/>
    <w:rsid w:val="00CA7653"/>
    <w:rsid w:val="00CA7A85"/>
    <w:rsid w:val="00CA7B4B"/>
    <w:rsid w:val="00CB0732"/>
    <w:rsid w:val="00CB0767"/>
    <w:rsid w:val="00CB0808"/>
    <w:rsid w:val="00CB0976"/>
    <w:rsid w:val="00CB1046"/>
    <w:rsid w:val="00CB1595"/>
    <w:rsid w:val="00CB19DB"/>
    <w:rsid w:val="00CB1B1D"/>
    <w:rsid w:val="00CB2E22"/>
    <w:rsid w:val="00CB36A8"/>
    <w:rsid w:val="00CB452A"/>
    <w:rsid w:val="00CB47ED"/>
    <w:rsid w:val="00CB732C"/>
    <w:rsid w:val="00CB7B04"/>
    <w:rsid w:val="00CB7B59"/>
    <w:rsid w:val="00CB7BB6"/>
    <w:rsid w:val="00CC0B35"/>
    <w:rsid w:val="00CC0ED7"/>
    <w:rsid w:val="00CC139A"/>
    <w:rsid w:val="00CC1420"/>
    <w:rsid w:val="00CC1B0A"/>
    <w:rsid w:val="00CC1C7A"/>
    <w:rsid w:val="00CC1E06"/>
    <w:rsid w:val="00CC1E7A"/>
    <w:rsid w:val="00CC2575"/>
    <w:rsid w:val="00CC2AEE"/>
    <w:rsid w:val="00CC2B1B"/>
    <w:rsid w:val="00CC3376"/>
    <w:rsid w:val="00CC3507"/>
    <w:rsid w:val="00CC3537"/>
    <w:rsid w:val="00CC40C6"/>
    <w:rsid w:val="00CC496D"/>
    <w:rsid w:val="00CC4E31"/>
    <w:rsid w:val="00CC4F64"/>
    <w:rsid w:val="00CC571D"/>
    <w:rsid w:val="00CC629A"/>
    <w:rsid w:val="00CC7252"/>
    <w:rsid w:val="00CC7406"/>
    <w:rsid w:val="00CC79AD"/>
    <w:rsid w:val="00CC7F16"/>
    <w:rsid w:val="00CD058C"/>
    <w:rsid w:val="00CD1D6F"/>
    <w:rsid w:val="00CD1FB4"/>
    <w:rsid w:val="00CD299B"/>
    <w:rsid w:val="00CD308B"/>
    <w:rsid w:val="00CD30D7"/>
    <w:rsid w:val="00CD30E5"/>
    <w:rsid w:val="00CD340D"/>
    <w:rsid w:val="00CD36EE"/>
    <w:rsid w:val="00CD3975"/>
    <w:rsid w:val="00CD3A3E"/>
    <w:rsid w:val="00CD3B98"/>
    <w:rsid w:val="00CD3E14"/>
    <w:rsid w:val="00CD3F5C"/>
    <w:rsid w:val="00CD4216"/>
    <w:rsid w:val="00CD445D"/>
    <w:rsid w:val="00CD4958"/>
    <w:rsid w:val="00CD4C45"/>
    <w:rsid w:val="00CD518C"/>
    <w:rsid w:val="00CD5991"/>
    <w:rsid w:val="00CD5E67"/>
    <w:rsid w:val="00CD6794"/>
    <w:rsid w:val="00CD733F"/>
    <w:rsid w:val="00CD7F20"/>
    <w:rsid w:val="00CE031E"/>
    <w:rsid w:val="00CE0942"/>
    <w:rsid w:val="00CE0A19"/>
    <w:rsid w:val="00CE0B8F"/>
    <w:rsid w:val="00CE107A"/>
    <w:rsid w:val="00CE1117"/>
    <w:rsid w:val="00CE1569"/>
    <w:rsid w:val="00CE1BE5"/>
    <w:rsid w:val="00CE203A"/>
    <w:rsid w:val="00CE2368"/>
    <w:rsid w:val="00CE2391"/>
    <w:rsid w:val="00CE2409"/>
    <w:rsid w:val="00CE36AD"/>
    <w:rsid w:val="00CE3937"/>
    <w:rsid w:val="00CE4EB6"/>
    <w:rsid w:val="00CE5A85"/>
    <w:rsid w:val="00CE6C2F"/>
    <w:rsid w:val="00CE763B"/>
    <w:rsid w:val="00CE7CA5"/>
    <w:rsid w:val="00CF055C"/>
    <w:rsid w:val="00CF0636"/>
    <w:rsid w:val="00CF1034"/>
    <w:rsid w:val="00CF1181"/>
    <w:rsid w:val="00CF1D2D"/>
    <w:rsid w:val="00CF1D81"/>
    <w:rsid w:val="00CF1EE4"/>
    <w:rsid w:val="00CF2765"/>
    <w:rsid w:val="00CF2996"/>
    <w:rsid w:val="00CF2BDC"/>
    <w:rsid w:val="00CF2DC9"/>
    <w:rsid w:val="00CF3378"/>
    <w:rsid w:val="00CF4777"/>
    <w:rsid w:val="00CF50D7"/>
    <w:rsid w:val="00CF5287"/>
    <w:rsid w:val="00CF5652"/>
    <w:rsid w:val="00CF573D"/>
    <w:rsid w:val="00CF5A45"/>
    <w:rsid w:val="00CF5F9E"/>
    <w:rsid w:val="00CF6235"/>
    <w:rsid w:val="00CF6794"/>
    <w:rsid w:val="00CF6A04"/>
    <w:rsid w:val="00CF7BD7"/>
    <w:rsid w:val="00CF7CB6"/>
    <w:rsid w:val="00CF7F1C"/>
    <w:rsid w:val="00CF7F27"/>
    <w:rsid w:val="00CF7F40"/>
    <w:rsid w:val="00D0008C"/>
    <w:rsid w:val="00D00215"/>
    <w:rsid w:val="00D00F2B"/>
    <w:rsid w:val="00D00F84"/>
    <w:rsid w:val="00D01262"/>
    <w:rsid w:val="00D01DB0"/>
    <w:rsid w:val="00D01F98"/>
    <w:rsid w:val="00D0243B"/>
    <w:rsid w:val="00D030BC"/>
    <w:rsid w:val="00D03D13"/>
    <w:rsid w:val="00D05AB4"/>
    <w:rsid w:val="00D06231"/>
    <w:rsid w:val="00D06418"/>
    <w:rsid w:val="00D0681B"/>
    <w:rsid w:val="00D070DE"/>
    <w:rsid w:val="00D07A67"/>
    <w:rsid w:val="00D07C1A"/>
    <w:rsid w:val="00D07DB3"/>
    <w:rsid w:val="00D07E51"/>
    <w:rsid w:val="00D100AC"/>
    <w:rsid w:val="00D10B22"/>
    <w:rsid w:val="00D110BF"/>
    <w:rsid w:val="00D111C6"/>
    <w:rsid w:val="00D12C91"/>
    <w:rsid w:val="00D130F8"/>
    <w:rsid w:val="00D1354C"/>
    <w:rsid w:val="00D139F7"/>
    <w:rsid w:val="00D14EC7"/>
    <w:rsid w:val="00D15EF9"/>
    <w:rsid w:val="00D161CF"/>
    <w:rsid w:val="00D16736"/>
    <w:rsid w:val="00D169BC"/>
    <w:rsid w:val="00D16EEC"/>
    <w:rsid w:val="00D17164"/>
    <w:rsid w:val="00D1723E"/>
    <w:rsid w:val="00D1764F"/>
    <w:rsid w:val="00D17F4E"/>
    <w:rsid w:val="00D200FE"/>
    <w:rsid w:val="00D20660"/>
    <w:rsid w:val="00D20B8A"/>
    <w:rsid w:val="00D21312"/>
    <w:rsid w:val="00D21949"/>
    <w:rsid w:val="00D2213A"/>
    <w:rsid w:val="00D22C5A"/>
    <w:rsid w:val="00D22F6C"/>
    <w:rsid w:val="00D23AF5"/>
    <w:rsid w:val="00D23BB9"/>
    <w:rsid w:val="00D23BC9"/>
    <w:rsid w:val="00D23E43"/>
    <w:rsid w:val="00D23E80"/>
    <w:rsid w:val="00D24972"/>
    <w:rsid w:val="00D24D21"/>
    <w:rsid w:val="00D251FA"/>
    <w:rsid w:val="00D25CCD"/>
    <w:rsid w:val="00D268AC"/>
    <w:rsid w:val="00D26CF3"/>
    <w:rsid w:val="00D272CA"/>
    <w:rsid w:val="00D275D3"/>
    <w:rsid w:val="00D27FA0"/>
    <w:rsid w:val="00D30F36"/>
    <w:rsid w:val="00D311AB"/>
    <w:rsid w:val="00D3139E"/>
    <w:rsid w:val="00D3162E"/>
    <w:rsid w:val="00D325A8"/>
    <w:rsid w:val="00D326D9"/>
    <w:rsid w:val="00D32DC4"/>
    <w:rsid w:val="00D3411D"/>
    <w:rsid w:val="00D341DF"/>
    <w:rsid w:val="00D3464E"/>
    <w:rsid w:val="00D348BB"/>
    <w:rsid w:val="00D34AE2"/>
    <w:rsid w:val="00D34C69"/>
    <w:rsid w:val="00D354CE"/>
    <w:rsid w:val="00D35FED"/>
    <w:rsid w:val="00D36161"/>
    <w:rsid w:val="00D3715D"/>
    <w:rsid w:val="00D37737"/>
    <w:rsid w:val="00D37BD5"/>
    <w:rsid w:val="00D408B9"/>
    <w:rsid w:val="00D40C2B"/>
    <w:rsid w:val="00D41283"/>
    <w:rsid w:val="00D41A26"/>
    <w:rsid w:val="00D41DFE"/>
    <w:rsid w:val="00D421FB"/>
    <w:rsid w:val="00D4273B"/>
    <w:rsid w:val="00D437C5"/>
    <w:rsid w:val="00D43A79"/>
    <w:rsid w:val="00D43ABF"/>
    <w:rsid w:val="00D43D31"/>
    <w:rsid w:val="00D442AD"/>
    <w:rsid w:val="00D44795"/>
    <w:rsid w:val="00D44A83"/>
    <w:rsid w:val="00D44F83"/>
    <w:rsid w:val="00D45D52"/>
    <w:rsid w:val="00D45DE0"/>
    <w:rsid w:val="00D46CD8"/>
    <w:rsid w:val="00D4748B"/>
    <w:rsid w:val="00D50DBB"/>
    <w:rsid w:val="00D511C4"/>
    <w:rsid w:val="00D51B79"/>
    <w:rsid w:val="00D51C1C"/>
    <w:rsid w:val="00D526F0"/>
    <w:rsid w:val="00D52917"/>
    <w:rsid w:val="00D52918"/>
    <w:rsid w:val="00D532A8"/>
    <w:rsid w:val="00D53691"/>
    <w:rsid w:val="00D53A12"/>
    <w:rsid w:val="00D53A38"/>
    <w:rsid w:val="00D53F7E"/>
    <w:rsid w:val="00D552BB"/>
    <w:rsid w:val="00D553F2"/>
    <w:rsid w:val="00D5562E"/>
    <w:rsid w:val="00D55654"/>
    <w:rsid w:val="00D556FB"/>
    <w:rsid w:val="00D55826"/>
    <w:rsid w:val="00D55F25"/>
    <w:rsid w:val="00D5618A"/>
    <w:rsid w:val="00D57318"/>
    <w:rsid w:val="00D5784B"/>
    <w:rsid w:val="00D61574"/>
    <w:rsid w:val="00D61B87"/>
    <w:rsid w:val="00D62A12"/>
    <w:rsid w:val="00D633ED"/>
    <w:rsid w:val="00D636AA"/>
    <w:rsid w:val="00D63EFB"/>
    <w:rsid w:val="00D6453C"/>
    <w:rsid w:val="00D64D38"/>
    <w:rsid w:val="00D6537D"/>
    <w:rsid w:val="00D65886"/>
    <w:rsid w:val="00D658AF"/>
    <w:rsid w:val="00D660A7"/>
    <w:rsid w:val="00D66421"/>
    <w:rsid w:val="00D664E5"/>
    <w:rsid w:val="00D67DE6"/>
    <w:rsid w:val="00D67EE2"/>
    <w:rsid w:val="00D67F95"/>
    <w:rsid w:val="00D70369"/>
    <w:rsid w:val="00D709F7"/>
    <w:rsid w:val="00D71640"/>
    <w:rsid w:val="00D71D18"/>
    <w:rsid w:val="00D7243A"/>
    <w:rsid w:val="00D726D2"/>
    <w:rsid w:val="00D728C1"/>
    <w:rsid w:val="00D72BD0"/>
    <w:rsid w:val="00D72D88"/>
    <w:rsid w:val="00D7314A"/>
    <w:rsid w:val="00D73388"/>
    <w:rsid w:val="00D7372E"/>
    <w:rsid w:val="00D7409B"/>
    <w:rsid w:val="00D7452A"/>
    <w:rsid w:val="00D748DF"/>
    <w:rsid w:val="00D74BB2"/>
    <w:rsid w:val="00D76063"/>
    <w:rsid w:val="00D768A3"/>
    <w:rsid w:val="00D8000D"/>
    <w:rsid w:val="00D803E7"/>
    <w:rsid w:val="00D8073C"/>
    <w:rsid w:val="00D809AB"/>
    <w:rsid w:val="00D809EE"/>
    <w:rsid w:val="00D80F51"/>
    <w:rsid w:val="00D811F8"/>
    <w:rsid w:val="00D82080"/>
    <w:rsid w:val="00D822E6"/>
    <w:rsid w:val="00D832E8"/>
    <w:rsid w:val="00D83DE9"/>
    <w:rsid w:val="00D8450D"/>
    <w:rsid w:val="00D847DA"/>
    <w:rsid w:val="00D85348"/>
    <w:rsid w:val="00D8536C"/>
    <w:rsid w:val="00D858BF"/>
    <w:rsid w:val="00D85F81"/>
    <w:rsid w:val="00D87638"/>
    <w:rsid w:val="00D87A90"/>
    <w:rsid w:val="00D87D58"/>
    <w:rsid w:val="00D90F60"/>
    <w:rsid w:val="00D91507"/>
    <w:rsid w:val="00D919E3"/>
    <w:rsid w:val="00D9207B"/>
    <w:rsid w:val="00D920A1"/>
    <w:rsid w:val="00D9231A"/>
    <w:rsid w:val="00D923F1"/>
    <w:rsid w:val="00D92402"/>
    <w:rsid w:val="00D92A6D"/>
    <w:rsid w:val="00D92E62"/>
    <w:rsid w:val="00D932F5"/>
    <w:rsid w:val="00D9344B"/>
    <w:rsid w:val="00D935AB"/>
    <w:rsid w:val="00D93A82"/>
    <w:rsid w:val="00D93E4E"/>
    <w:rsid w:val="00D94F96"/>
    <w:rsid w:val="00D953D4"/>
    <w:rsid w:val="00D95AF9"/>
    <w:rsid w:val="00D9615C"/>
    <w:rsid w:val="00D967E7"/>
    <w:rsid w:val="00D97915"/>
    <w:rsid w:val="00D97A25"/>
    <w:rsid w:val="00DA09C9"/>
    <w:rsid w:val="00DA0F47"/>
    <w:rsid w:val="00DA11CE"/>
    <w:rsid w:val="00DA1822"/>
    <w:rsid w:val="00DA1A34"/>
    <w:rsid w:val="00DA318E"/>
    <w:rsid w:val="00DA48D7"/>
    <w:rsid w:val="00DA5A00"/>
    <w:rsid w:val="00DA6B8E"/>
    <w:rsid w:val="00DA6F2B"/>
    <w:rsid w:val="00DB002A"/>
    <w:rsid w:val="00DB00F9"/>
    <w:rsid w:val="00DB028B"/>
    <w:rsid w:val="00DB046E"/>
    <w:rsid w:val="00DB145C"/>
    <w:rsid w:val="00DB1BCC"/>
    <w:rsid w:val="00DB1F8C"/>
    <w:rsid w:val="00DB2E22"/>
    <w:rsid w:val="00DB2EDD"/>
    <w:rsid w:val="00DB433F"/>
    <w:rsid w:val="00DB44E0"/>
    <w:rsid w:val="00DB4760"/>
    <w:rsid w:val="00DB5E1F"/>
    <w:rsid w:val="00DB61B6"/>
    <w:rsid w:val="00DB6359"/>
    <w:rsid w:val="00DC0623"/>
    <w:rsid w:val="00DC08C9"/>
    <w:rsid w:val="00DC14AB"/>
    <w:rsid w:val="00DC173A"/>
    <w:rsid w:val="00DC19D8"/>
    <w:rsid w:val="00DC25AD"/>
    <w:rsid w:val="00DC2613"/>
    <w:rsid w:val="00DC26D3"/>
    <w:rsid w:val="00DC2CCF"/>
    <w:rsid w:val="00DC2EA9"/>
    <w:rsid w:val="00DC310A"/>
    <w:rsid w:val="00DC400F"/>
    <w:rsid w:val="00DC4213"/>
    <w:rsid w:val="00DC4378"/>
    <w:rsid w:val="00DC4512"/>
    <w:rsid w:val="00DC59E2"/>
    <w:rsid w:val="00DC67B0"/>
    <w:rsid w:val="00DC69B8"/>
    <w:rsid w:val="00DC6BA8"/>
    <w:rsid w:val="00DC7A70"/>
    <w:rsid w:val="00DC7F94"/>
    <w:rsid w:val="00DD069A"/>
    <w:rsid w:val="00DD0930"/>
    <w:rsid w:val="00DD0AD8"/>
    <w:rsid w:val="00DD10D6"/>
    <w:rsid w:val="00DD1A10"/>
    <w:rsid w:val="00DD1FFA"/>
    <w:rsid w:val="00DD2BF7"/>
    <w:rsid w:val="00DD2FFB"/>
    <w:rsid w:val="00DD34B5"/>
    <w:rsid w:val="00DD3562"/>
    <w:rsid w:val="00DD3691"/>
    <w:rsid w:val="00DD3C82"/>
    <w:rsid w:val="00DD3DD7"/>
    <w:rsid w:val="00DD4B38"/>
    <w:rsid w:val="00DD4B55"/>
    <w:rsid w:val="00DD4C7C"/>
    <w:rsid w:val="00DD5A0C"/>
    <w:rsid w:val="00DD5D69"/>
    <w:rsid w:val="00DD5F75"/>
    <w:rsid w:val="00DD64D0"/>
    <w:rsid w:val="00DD652E"/>
    <w:rsid w:val="00DD6ABA"/>
    <w:rsid w:val="00DD72DB"/>
    <w:rsid w:val="00DD76A9"/>
    <w:rsid w:val="00DD78FC"/>
    <w:rsid w:val="00DD7BD3"/>
    <w:rsid w:val="00DE1102"/>
    <w:rsid w:val="00DE1C46"/>
    <w:rsid w:val="00DE1E90"/>
    <w:rsid w:val="00DE22ED"/>
    <w:rsid w:val="00DE24E6"/>
    <w:rsid w:val="00DE273C"/>
    <w:rsid w:val="00DE2BBE"/>
    <w:rsid w:val="00DE31FC"/>
    <w:rsid w:val="00DE3BA2"/>
    <w:rsid w:val="00DE3BEC"/>
    <w:rsid w:val="00DE44DD"/>
    <w:rsid w:val="00DE454B"/>
    <w:rsid w:val="00DE4FC1"/>
    <w:rsid w:val="00DE5A7C"/>
    <w:rsid w:val="00DE6596"/>
    <w:rsid w:val="00DE674F"/>
    <w:rsid w:val="00DF07AD"/>
    <w:rsid w:val="00DF17A3"/>
    <w:rsid w:val="00DF206F"/>
    <w:rsid w:val="00DF217B"/>
    <w:rsid w:val="00DF2CD4"/>
    <w:rsid w:val="00DF323B"/>
    <w:rsid w:val="00DF3364"/>
    <w:rsid w:val="00DF346F"/>
    <w:rsid w:val="00DF3ACC"/>
    <w:rsid w:val="00DF4332"/>
    <w:rsid w:val="00DF4380"/>
    <w:rsid w:val="00DF4548"/>
    <w:rsid w:val="00DF4610"/>
    <w:rsid w:val="00DF518F"/>
    <w:rsid w:val="00DF5604"/>
    <w:rsid w:val="00DF64F8"/>
    <w:rsid w:val="00DF6AC5"/>
    <w:rsid w:val="00DF6B4C"/>
    <w:rsid w:val="00DF748D"/>
    <w:rsid w:val="00DF79D6"/>
    <w:rsid w:val="00DF7FB6"/>
    <w:rsid w:val="00DF7FD4"/>
    <w:rsid w:val="00E007A5"/>
    <w:rsid w:val="00E00E87"/>
    <w:rsid w:val="00E01014"/>
    <w:rsid w:val="00E01AD4"/>
    <w:rsid w:val="00E02087"/>
    <w:rsid w:val="00E02392"/>
    <w:rsid w:val="00E025BD"/>
    <w:rsid w:val="00E0287B"/>
    <w:rsid w:val="00E02F90"/>
    <w:rsid w:val="00E03157"/>
    <w:rsid w:val="00E03FA8"/>
    <w:rsid w:val="00E043E5"/>
    <w:rsid w:val="00E04673"/>
    <w:rsid w:val="00E047B4"/>
    <w:rsid w:val="00E04EBE"/>
    <w:rsid w:val="00E055BB"/>
    <w:rsid w:val="00E0730D"/>
    <w:rsid w:val="00E07685"/>
    <w:rsid w:val="00E076B4"/>
    <w:rsid w:val="00E103A5"/>
    <w:rsid w:val="00E1095C"/>
    <w:rsid w:val="00E11594"/>
    <w:rsid w:val="00E11641"/>
    <w:rsid w:val="00E11988"/>
    <w:rsid w:val="00E1271B"/>
    <w:rsid w:val="00E12E17"/>
    <w:rsid w:val="00E12E53"/>
    <w:rsid w:val="00E1327D"/>
    <w:rsid w:val="00E13398"/>
    <w:rsid w:val="00E13738"/>
    <w:rsid w:val="00E137C7"/>
    <w:rsid w:val="00E14842"/>
    <w:rsid w:val="00E14E0A"/>
    <w:rsid w:val="00E1555A"/>
    <w:rsid w:val="00E156E0"/>
    <w:rsid w:val="00E15DA9"/>
    <w:rsid w:val="00E160FE"/>
    <w:rsid w:val="00E1622F"/>
    <w:rsid w:val="00E163D5"/>
    <w:rsid w:val="00E168D0"/>
    <w:rsid w:val="00E174B8"/>
    <w:rsid w:val="00E17774"/>
    <w:rsid w:val="00E17B3A"/>
    <w:rsid w:val="00E201D3"/>
    <w:rsid w:val="00E208CB"/>
    <w:rsid w:val="00E2095D"/>
    <w:rsid w:val="00E21559"/>
    <w:rsid w:val="00E216B6"/>
    <w:rsid w:val="00E21D6B"/>
    <w:rsid w:val="00E21E81"/>
    <w:rsid w:val="00E23A6F"/>
    <w:rsid w:val="00E243D0"/>
    <w:rsid w:val="00E244F9"/>
    <w:rsid w:val="00E24B04"/>
    <w:rsid w:val="00E24D0B"/>
    <w:rsid w:val="00E25794"/>
    <w:rsid w:val="00E258A6"/>
    <w:rsid w:val="00E26A84"/>
    <w:rsid w:val="00E26C7E"/>
    <w:rsid w:val="00E27440"/>
    <w:rsid w:val="00E2748B"/>
    <w:rsid w:val="00E2761F"/>
    <w:rsid w:val="00E3032B"/>
    <w:rsid w:val="00E30414"/>
    <w:rsid w:val="00E30EB8"/>
    <w:rsid w:val="00E31177"/>
    <w:rsid w:val="00E315E2"/>
    <w:rsid w:val="00E317E6"/>
    <w:rsid w:val="00E31C91"/>
    <w:rsid w:val="00E32960"/>
    <w:rsid w:val="00E32C47"/>
    <w:rsid w:val="00E34315"/>
    <w:rsid w:val="00E34713"/>
    <w:rsid w:val="00E34873"/>
    <w:rsid w:val="00E35116"/>
    <w:rsid w:val="00E35C9B"/>
    <w:rsid w:val="00E3665A"/>
    <w:rsid w:val="00E366B2"/>
    <w:rsid w:val="00E36CC8"/>
    <w:rsid w:val="00E37B5C"/>
    <w:rsid w:val="00E37E71"/>
    <w:rsid w:val="00E40116"/>
    <w:rsid w:val="00E40314"/>
    <w:rsid w:val="00E4052B"/>
    <w:rsid w:val="00E40750"/>
    <w:rsid w:val="00E40769"/>
    <w:rsid w:val="00E4209E"/>
    <w:rsid w:val="00E4216F"/>
    <w:rsid w:val="00E42B5E"/>
    <w:rsid w:val="00E42E8B"/>
    <w:rsid w:val="00E43122"/>
    <w:rsid w:val="00E4369F"/>
    <w:rsid w:val="00E43980"/>
    <w:rsid w:val="00E43AE4"/>
    <w:rsid w:val="00E443C1"/>
    <w:rsid w:val="00E4460B"/>
    <w:rsid w:val="00E448B6"/>
    <w:rsid w:val="00E4597C"/>
    <w:rsid w:val="00E45E4D"/>
    <w:rsid w:val="00E47E76"/>
    <w:rsid w:val="00E5038C"/>
    <w:rsid w:val="00E5042C"/>
    <w:rsid w:val="00E51A0F"/>
    <w:rsid w:val="00E520AB"/>
    <w:rsid w:val="00E528C3"/>
    <w:rsid w:val="00E52ABF"/>
    <w:rsid w:val="00E52E33"/>
    <w:rsid w:val="00E540FA"/>
    <w:rsid w:val="00E549B7"/>
    <w:rsid w:val="00E55378"/>
    <w:rsid w:val="00E57496"/>
    <w:rsid w:val="00E576E8"/>
    <w:rsid w:val="00E57B28"/>
    <w:rsid w:val="00E57E8A"/>
    <w:rsid w:val="00E60F12"/>
    <w:rsid w:val="00E613CA"/>
    <w:rsid w:val="00E61B0D"/>
    <w:rsid w:val="00E621F4"/>
    <w:rsid w:val="00E62491"/>
    <w:rsid w:val="00E62729"/>
    <w:rsid w:val="00E627A6"/>
    <w:rsid w:val="00E62BB2"/>
    <w:rsid w:val="00E63031"/>
    <w:rsid w:val="00E631B5"/>
    <w:rsid w:val="00E63DC7"/>
    <w:rsid w:val="00E64730"/>
    <w:rsid w:val="00E64778"/>
    <w:rsid w:val="00E6521D"/>
    <w:rsid w:val="00E652FB"/>
    <w:rsid w:val="00E6620A"/>
    <w:rsid w:val="00E66C20"/>
    <w:rsid w:val="00E6777A"/>
    <w:rsid w:val="00E70291"/>
    <w:rsid w:val="00E708ED"/>
    <w:rsid w:val="00E711B1"/>
    <w:rsid w:val="00E7137D"/>
    <w:rsid w:val="00E713DF"/>
    <w:rsid w:val="00E71C46"/>
    <w:rsid w:val="00E71FDA"/>
    <w:rsid w:val="00E7277E"/>
    <w:rsid w:val="00E72935"/>
    <w:rsid w:val="00E72D6D"/>
    <w:rsid w:val="00E72DD3"/>
    <w:rsid w:val="00E735C2"/>
    <w:rsid w:val="00E74A26"/>
    <w:rsid w:val="00E74C23"/>
    <w:rsid w:val="00E755B0"/>
    <w:rsid w:val="00E75ABC"/>
    <w:rsid w:val="00E75ED2"/>
    <w:rsid w:val="00E76235"/>
    <w:rsid w:val="00E76341"/>
    <w:rsid w:val="00E7727B"/>
    <w:rsid w:val="00E7790A"/>
    <w:rsid w:val="00E77CFF"/>
    <w:rsid w:val="00E804F4"/>
    <w:rsid w:val="00E806BF"/>
    <w:rsid w:val="00E807B2"/>
    <w:rsid w:val="00E808C1"/>
    <w:rsid w:val="00E80E79"/>
    <w:rsid w:val="00E80EF1"/>
    <w:rsid w:val="00E81047"/>
    <w:rsid w:val="00E8188F"/>
    <w:rsid w:val="00E81A0F"/>
    <w:rsid w:val="00E81D18"/>
    <w:rsid w:val="00E821CA"/>
    <w:rsid w:val="00E823ED"/>
    <w:rsid w:val="00E8280C"/>
    <w:rsid w:val="00E82FF1"/>
    <w:rsid w:val="00E833CA"/>
    <w:rsid w:val="00E8354D"/>
    <w:rsid w:val="00E83E4C"/>
    <w:rsid w:val="00E84005"/>
    <w:rsid w:val="00E8479D"/>
    <w:rsid w:val="00E84D41"/>
    <w:rsid w:val="00E85144"/>
    <w:rsid w:val="00E85804"/>
    <w:rsid w:val="00E858EA"/>
    <w:rsid w:val="00E859C5"/>
    <w:rsid w:val="00E86F11"/>
    <w:rsid w:val="00E8719B"/>
    <w:rsid w:val="00E871A9"/>
    <w:rsid w:val="00E877EA"/>
    <w:rsid w:val="00E9084F"/>
    <w:rsid w:val="00E9120B"/>
    <w:rsid w:val="00E91899"/>
    <w:rsid w:val="00E91933"/>
    <w:rsid w:val="00E92522"/>
    <w:rsid w:val="00E92A81"/>
    <w:rsid w:val="00E9317F"/>
    <w:rsid w:val="00E933FB"/>
    <w:rsid w:val="00E933FC"/>
    <w:rsid w:val="00E93819"/>
    <w:rsid w:val="00E93AB8"/>
    <w:rsid w:val="00E94360"/>
    <w:rsid w:val="00E9468C"/>
    <w:rsid w:val="00E94E01"/>
    <w:rsid w:val="00E950B4"/>
    <w:rsid w:val="00E969B1"/>
    <w:rsid w:val="00E96C83"/>
    <w:rsid w:val="00E9722A"/>
    <w:rsid w:val="00E97E01"/>
    <w:rsid w:val="00EA006F"/>
    <w:rsid w:val="00EA0584"/>
    <w:rsid w:val="00EA0A9D"/>
    <w:rsid w:val="00EA0F4E"/>
    <w:rsid w:val="00EA1A11"/>
    <w:rsid w:val="00EA25F7"/>
    <w:rsid w:val="00EA27EB"/>
    <w:rsid w:val="00EA2AB0"/>
    <w:rsid w:val="00EA2DAE"/>
    <w:rsid w:val="00EA44B5"/>
    <w:rsid w:val="00EA4948"/>
    <w:rsid w:val="00EA5435"/>
    <w:rsid w:val="00EA5500"/>
    <w:rsid w:val="00EA57D2"/>
    <w:rsid w:val="00EA5AAC"/>
    <w:rsid w:val="00EA5F02"/>
    <w:rsid w:val="00EA6373"/>
    <w:rsid w:val="00EA6840"/>
    <w:rsid w:val="00EA6A89"/>
    <w:rsid w:val="00EA6AD4"/>
    <w:rsid w:val="00EA72FC"/>
    <w:rsid w:val="00EA732A"/>
    <w:rsid w:val="00EA73EB"/>
    <w:rsid w:val="00EA765B"/>
    <w:rsid w:val="00EA76E6"/>
    <w:rsid w:val="00EB00BB"/>
    <w:rsid w:val="00EB0466"/>
    <w:rsid w:val="00EB0C72"/>
    <w:rsid w:val="00EB18E9"/>
    <w:rsid w:val="00EB1A50"/>
    <w:rsid w:val="00EB2338"/>
    <w:rsid w:val="00EB263B"/>
    <w:rsid w:val="00EB2998"/>
    <w:rsid w:val="00EB40D9"/>
    <w:rsid w:val="00EB509D"/>
    <w:rsid w:val="00EB51D4"/>
    <w:rsid w:val="00EB58AA"/>
    <w:rsid w:val="00EB6552"/>
    <w:rsid w:val="00EB71E5"/>
    <w:rsid w:val="00EB761E"/>
    <w:rsid w:val="00EB7740"/>
    <w:rsid w:val="00EB7990"/>
    <w:rsid w:val="00EB7F4C"/>
    <w:rsid w:val="00EC0261"/>
    <w:rsid w:val="00EC0853"/>
    <w:rsid w:val="00EC0B98"/>
    <w:rsid w:val="00EC0E57"/>
    <w:rsid w:val="00EC0E65"/>
    <w:rsid w:val="00EC1353"/>
    <w:rsid w:val="00EC1728"/>
    <w:rsid w:val="00EC18E6"/>
    <w:rsid w:val="00EC1984"/>
    <w:rsid w:val="00EC19A2"/>
    <w:rsid w:val="00EC1C18"/>
    <w:rsid w:val="00EC2046"/>
    <w:rsid w:val="00EC234C"/>
    <w:rsid w:val="00EC280F"/>
    <w:rsid w:val="00EC2812"/>
    <w:rsid w:val="00EC297A"/>
    <w:rsid w:val="00EC2C23"/>
    <w:rsid w:val="00EC2CCE"/>
    <w:rsid w:val="00EC2EF1"/>
    <w:rsid w:val="00EC2FFF"/>
    <w:rsid w:val="00EC393F"/>
    <w:rsid w:val="00EC43B5"/>
    <w:rsid w:val="00EC49D8"/>
    <w:rsid w:val="00EC49FD"/>
    <w:rsid w:val="00EC5499"/>
    <w:rsid w:val="00EC6A26"/>
    <w:rsid w:val="00EC6CBA"/>
    <w:rsid w:val="00EC7715"/>
    <w:rsid w:val="00EC7768"/>
    <w:rsid w:val="00EC7813"/>
    <w:rsid w:val="00EC7EFC"/>
    <w:rsid w:val="00ED142F"/>
    <w:rsid w:val="00ED1908"/>
    <w:rsid w:val="00ED205E"/>
    <w:rsid w:val="00ED20BB"/>
    <w:rsid w:val="00ED27F6"/>
    <w:rsid w:val="00ED2B78"/>
    <w:rsid w:val="00ED3529"/>
    <w:rsid w:val="00ED3EFE"/>
    <w:rsid w:val="00ED4200"/>
    <w:rsid w:val="00ED4288"/>
    <w:rsid w:val="00ED442E"/>
    <w:rsid w:val="00ED4509"/>
    <w:rsid w:val="00ED498C"/>
    <w:rsid w:val="00ED4D17"/>
    <w:rsid w:val="00ED5B04"/>
    <w:rsid w:val="00ED5CDD"/>
    <w:rsid w:val="00ED6557"/>
    <w:rsid w:val="00ED73BE"/>
    <w:rsid w:val="00EE02C6"/>
    <w:rsid w:val="00EE044C"/>
    <w:rsid w:val="00EE1527"/>
    <w:rsid w:val="00EE1BBA"/>
    <w:rsid w:val="00EE1CA3"/>
    <w:rsid w:val="00EE1F79"/>
    <w:rsid w:val="00EE2262"/>
    <w:rsid w:val="00EE259B"/>
    <w:rsid w:val="00EE2922"/>
    <w:rsid w:val="00EE2F49"/>
    <w:rsid w:val="00EE30E9"/>
    <w:rsid w:val="00EE3A1C"/>
    <w:rsid w:val="00EE4384"/>
    <w:rsid w:val="00EE4466"/>
    <w:rsid w:val="00EE5025"/>
    <w:rsid w:val="00EE50AA"/>
    <w:rsid w:val="00EE5782"/>
    <w:rsid w:val="00EE592E"/>
    <w:rsid w:val="00EE5B24"/>
    <w:rsid w:val="00EE635C"/>
    <w:rsid w:val="00EE63FC"/>
    <w:rsid w:val="00EE66BE"/>
    <w:rsid w:val="00EE6CD3"/>
    <w:rsid w:val="00EE700E"/>
    <w:rsid w:val="00EE7333"/>
    <w:rsid w:val="00EE750F"/>
    <w:rsid w:val="00EE767E"/>
    <w:rsid w:val="00EE7D9C"/>
    <w:rsid w:val="00EF082B"/>
    <w:rsid w:val="00EF0EE3"/>
    <w:rsid w:val="00EF1627"/>
    <w:rsid w:val="00EF1E12"/>
    <w:rsid w:val="00EF20D7"/>
    <w:rsid w:val="00EF2EB0"/>
    <w:rsid w:val="00EF300A"/>
    <w:rsid w:val="00EF323D"/>
    <w:rsid w:val="00EF3407"/>
    <w:rsid w:val="00EF3419"/>
    <w:rsid w:val="00EF4BA6"/>
    <w:rsid w:val="00EF4E1A"/>
    <w:rsid w:val="00EF537B"/>
    <w:rsid w:val="00EF5761"/>
    <w:rsid w:val="00EF5D2F"/>
    <w:rsid w:val="00EF5F36"/>
    <w:rsid w:val="00EF64AD"/>
    <w:rsid w:val="00EF6FB3"/>
    <w:rsid w:val="00EF75CB"/>
    <w:rsid w:val="00EF7670"/>
    <w:rsid w:val="00F0119C"/>
    <w:rsid w:val="00F018F8"/>
    <w:rsid w:val="00F01940"/>
    <w:rsid w:val="00F020BB"/>
    <w:rsid w:val="00F02A4F"/>
    <w:rsid w:val="00F02BDB"/>
    <w:rsid w:val="00F03120"/>
    <w:rsid w:val="00F0323C"/>
    <w:rsid w:val="00F036A3"/>
    <w:rsid w:val="00F03EEB"/>
    <w:rsid w:val="00F043C5"/>
    <w:rsid w:val="00F0441B"/>
    <w:rsid w:val="00F04963"/>
    <w:rsid w:val="00F04BAB"/>
    <w:rsid w:val="00F04C2E"/>
    <w:rsid w:val="00F050BF"/>
    <w:rsid w:val="00F0603D"/>
    <w:rsid w:val="00F06308"/>
    <w:rsid w:val="00F06C75"/>
    <w:rsid w:val="00F07290"/>
    <w:rsid w:val="00F07485"/>
    <w:rsid w:val="00F07623"/>
    <w:rsid w:val="00F10BE0"/>
    <w:rsid w:val="00F11366"/>
    <w:rsid w:val="00F11599"/>
    <w:rsid w:val="00F11AEC"/>
    <w:rsid w:val="00F11C96"/>
    <w:rsid w:val="00F11CD0"/>
    <w:rsid w:val="00F12841"/>
    <w:rsid w:val="00F12ABB"/>
    <w:rsid w:val="00F14D63"/>
    <w:rsid w:val="00F14D98"/>
    <w:rsid w:val="00F14F90"/>
    <w:rsid w:val="00F15327"/>
    <w:rsid w:val="00F153B1"/>
    <w:rsid w:val="00F153BB"/>
    <w:rsid w:val="00F1616E"/>
    <w:rsid w:val="00F1644C"/>
    <w:rsid w:val="00F16593"/>
    <w:rsid w:val="00F1665D"/>
    <w:rsid w:val="00F16C91"/>
    <w:rsid w:val="00F17052"/>
    <w:rsid w:val="00F17BCA"/>
    <w:rsid w:val="00F203B4"/>
    <w:rsid w:val="00F204BB"/>
    <w:rsid w:val="00F20867"/>
    <w:rsid w:val="00F20F8D"/>
    <w:rsid w:val="00F22070"/>
    <w:rsid w:val="00F2250B"/>
    <w:rsid w:val="00F22ADF"/>
    <w:rsid w:val="00F22CC3"/>
    <w:rsid w:val="00F22E17"/>
    <w:rsid w:val="00F23005"/>
    <w:rsid w:val="00F233A5"/>
    <w:rsid w:val="00F235E4"/>
    <w:rsid w:val="00F23808"/>
    <w:rsid w:val="00F23AC2"/>
    <w:rsid w:val="00F24052"/>
    <w:rsid w:val="00F260FF"/>
    <w:rsid w:val="00F27C3E"/>
    <w:rsid w:val="00F3079D"/>
    <w:rsid w:val="00F30AC3"/>
    <w:rsid w:val="00F30B17"/>
    <w:rsid w:val="00F30E65"/>
    <w:rsid w:val="00F3136B"/>
    <w:rsid w:val="00F3141E"/>
    <w:rsid w:val="00F314F1"/>
    <w:rsid w:val="00F31B43"/>
    <w:rsid w:val="00F31D92"/>
    <w:rsid w:val="00F31DE1"/>
    <w:rsid w:val="00F323C4"/>
    <w:rsid w:val="00F32418"/>
    <w:rsid w:val="00F327EA"/>
    <w:rsid w:val="00F32BE4"/>
    <w:rsid w:val="00F32D3F"/>
    <w:rsid w:val="00F32E36"/>
    <w:rsid w:val="00F33284"/>
    <w:rsid w:val="00F33641"/>
    <w:rsid w:val="00F3376F"/>
    <w:rsid w:val="00F34EC3"/>
    <w:rsid w:val="00F3582E"/>
    <w:rsid w:val="00F36A7F"/>
    <w:rsid w:val="00F36B27"/>
    <w:rsid w:val="00F37232"/>
    <w:rsid w:val="00F37C2F"/>
    <w:rsid w:val="00F37CEC"/>
    <w:rsid w:val="00F37D79"/>
    <w:rsid w:val="00F4078C"/>
    <w:rsid w:val="00F415B9"/>
    <w:rsid w:val="00F41AA3"/>
    <w:rsid w:val="00F42842"/>
    <w:rsid w:val="00F430B9"/>
    <w:rsid w:val="00F436B9"/>
    <w:rsid w:val="00F443AE"/>
    <w:rsid w:val="00F44938"/>
    <w:rsid w:val="00F44D11"/>
    <w:rsid w:val="00F44EC9"/>
    <w:rsid w:val="00F45D99"/>
    <w:rsid w:val="00F46937"/>
    <w:rsid w:val="00F46AAC"/>
    <w:rsid w:val="00F46E40"/>
    <w:rsid w:val="00F4734E"/>
    <w:rsid w:val="00F4741C"/>
    <w:rsid w:val="00F4760A"/>
    <w:rsid w:val="00F47EA1"/>
    <w:rsid w:val="00F47F7D"/>
    <w:rsid w:val="00F51929"/>
    <w:rsid w:val="00F51A78"/>
    <w:rsid w:val="00F51F12"/>
    <w:rsid w:val="00F520C3"/>
    <w:rsid w:val="00F52B82"/>
    <w:rsid w:val="00F52B8E"/>
    <w:rsid w:val="00F534C0"/>
    <w:rsid w:val="00F53CFD"/>
    <w:rsid w:val="00F53D6D"/>
    <w:rsid w:val="00F53E16"/>
    <w:rsid w:val="00F54162"/>
    <w:rsid w:val="00F54A96"/>
    <w:rsid w:val="00F54AF5"/>
    <w:rsid w:val="00F54D33"/>
    <w:rsid w:val="00F54F08"/>
    <w:rsid w:val="00F55126"/>
    <w:rsid w:val="00F557E3"/>
    <w:rsid w:val="00F5698C"/>
    <w:rsid w:val="00F56E18"/>
    <w:rsid w:val="00F57182"/>
    <w:rsid w:val="00F572AE"/>
    <w:rsid w:val="00F575CF"/>
    <w:rsid w:val="00F57857"/>
    <w:rsid w:val="00F5790A"/>
    <w:rsid w:val="00F60A17"/>
    <w:rsid w:val="00F60B53"/>
    <w:rsid w:val="00F61B8B"/>
    <w:rsid w:val="00F61CA1"/>
    <w:rsid w:val="00F61E78"/>
    <w:rsid w:val="00F6286E"/>
    <w:rsid w:val="00F6287C"/>
    <w:rsid w:val="00F62E94"/>
    <w:rsid w:val="00F6309C"/>
    <w:rsid w:val="00F631B8"/>
    <w:rsid w:val="00F632E8"/>
    <w:rsid w:val="00F635C5"/>
    <w:rsid w:val="00F6378F"/>
    <w:rsid w:val="00F63AD1"/>
    <w:rsid w:val="00F64340"/>
    <w:rsid w:val="00F64AAA"/>
    <w:rsid w:val="00F65218"/>
    <w:rsid w:val="00F65956"/>
    <w:rsid w:val="00F65F9A"/>
    <w:rsid w:val="00F6661B"/>
    <w:rsid w:val="00F66D95"/>
    <w:rsid w:val="00F675E3"/>
    <w:rsid w:val="00F702A2"/>
    <w:rsid w:val="00F70650"/>
    <w:rsid w:val="00F70B16"/>
    <w:rsid w:val="00F70CBC"/>
    <w:rsid w:val="00F711F1"/>
    <w:rsid w:val="00F7190F"/>
    <w:rsid w:val="00F71F48"/>
    <w:rsid w:val="00F720A2"/>
    <w:rsid w:val="00F72105"/>
    <w:rsid w:val="00F733AC"/>
    <w:rsid w:val="00F734D1"/>
    <w:rsid w:val="00F736E3"/>
    <w:rsid w:val="00F73857"/>
    <w:rsid w:val="00F73A89"/>
    <w:rsid w:val="00F7464B"/>
    <w:rsid w:val="00F74B49"/>
    <w:rsid w:val="00F74E39"/>
    <w:rsid w:val="00F75450"/>
    <w:rsid w:val="00F75C55"/>
    <w:rsid w:val="00F75F7E"/>
    <w:rsid w:val="00F761BC"/>
    <w:rsid w:val="00F763A3"/>
    <w:rsid w:val="00F767E8"/>
    <w:rsid w:val="00F767FE"/>
    <w:rsid w:val="00F76929"/>
    <w:rsid w:val="00F76EF8"/>
    <w:rsid w:val="00F77D38"/>
    <w:rsid w:val="00F77DEC"/>
    <w:rsid w:val="00F80664"/>
    <w:rsid w:val="00F810F0"/>
    <w:rsid w:val="00F81861"/>
    <w:rsid w:val="00F81F03"/>
    <w:rsid w:val="00F82546"/>
    <w:rsid w:val="00F82748"/>
    <w:rsid w:val="00F82E16"/>
    <w:rsid w:val="00F830BD"/>
    <w:rsid w:val="00F83841"/>
    <w:rsid w:val="00F83C05"/>
    <w:rsid w:val="00F85052"/>
    <w:rsid w:val="00F852D7"/>
    <w:rsid w:val="00F85747"/>
    <w:rsid w:val="00F8585B"/>
    <w:rsid w:val="00F85CFD"/>
    <w:rsid w:val="00F860BF"/>
    <w:rsid w:val="00F861AC"/>
    <w:rsid w:val="00F861F0"/>
    <w:rsid w:val="00F862B1"/>
    <w:rsid w:val="00F862F1"/>
    <w:rsid w:val="00F865AC"/>
    <w:rsid w:val="00F86684"/>
    <w:rsid w:val="00F867CF"/>
    <w:rsid w:val="00F86A3F"/>
    <w:rsid w:val="00F874CD"/>
    <w:rsid w:val="00F87B69"/>
    <w:rsid w:val="00F90309"/>
    <w:rsid w:val="00F903B0"/>
    <w:rsid w:val="00F9085C"/>
    <w:rsid w:val="00F9101F"/>
    <w:rsid w:val="00F9110F"/>
    <w:rsid w:val="00F91233"/>
    <w:rsid w:val="00F91297"/>
    <w:rsid w:val="00F9133B"/>
    <w:rsid w:val="00F91A96"/>
    <w:rsid w:val="00F91AAF"/>
    <w:rsid w:val="00F91E99"/>
    <w:rsid w:val="00F92A4A"/>
    <w:rsid w:val="00F93736"/>
    <w:rsid w:val="00F93D52"/>
    <w:rsid w:val="00F93E9D"/>
    <w:rsid w:val="00F94775"/>
    <w:rsid w:val="00F950A1"/>
    <w:rsid w:val="00F95653"/>
    <w:rsid w:val="00F95BCD"/>
    <w:rsid w:val="00F96782"/>
    <w:rsid w:val="00F96F48"/>
    <w:rsid w:val="00F96FC4"/>
    <w:rsid w:val="00F97730"/>
    <w:rsid w:val="00FA007F"/>
    <w:rsid w:val="00FA03B6"/>
    <w:rsid w:val="00FA0F20"/>
    <w:rsid w:val="00FA2F94"/>
    <w:rsid w:val="00FA319F"/>
    <w:rsid w:val="00FA334F"/>
    <w:rsid w:val="00FA3AE6"/>
    <w:rsid w:val="00FA44D3"/>
    <w:rsid w:val="00FA4892"/>
    <w:rsid w:val="00FA4DE6"/>
    <w:rsid w:val="00FA5607"/>
    <w:rsid w:val="00FA56E9"/>
    <w:rsid w:val="00FA6193"/>
    <w:rsid w:val="00FA650D"/>
    <w:rsid w:val="00FB03A0"/>
    <w:rsid w:val="00FB0CD9"/>
    <w:rsid w:val="00FB153A"/>
    <w:rsid w:val="00FB236B"/>
    <w:rsid w:val="00FB282A"/>
    <w:rsid w:val="00FB2868"/>
    <w:rsid w:val="00FB2979"/>
    <w:rsid w:val="00FB2A52"/>
    <w:rsid w:val="00FB2D35"/>
    <w:rsid w:val="00FB32A4"/>
    <w:rsid w:val="00FB33A7"/>
    <w:rsid w:val="00FB51E1"/>
    <w:rsid w:val="00FB56B7"/>
    <w:rsid w:val="00FB5727"/>
    <w:rsid w:val="00FB594D"/>
    <w:rsid w:val="00FB6813"/>
    <w:rsid w:val="00FB6B4C"/>
    <w:rsid w:val="00FB78D7"/>
    <w:rsid w:val="00FB7D11"/>
    <w:rsid w:val="00FB7F8E"/>
    <w:rsid w:val="00FC019A"/>
    <w:rsid w:val="00FC026C"/>
    <w:rsid w:val="00FC0384"/>
    <w:rsid w:val="00FC0FD7"/>
    <w:rsid w:val="00FC1884"/>
    <w:rsid w:val="00FC1895"/>
    <w:rsid w:val="00FC1ACC"/>
    <w:rsid w:val="00FC1CC1"/>
    <w:rsid w:val="00FC1E88"/>
    <w:rsid w:val="00FC2373"/>
    <w:rsid w:val="00FC2491"/>
    <w:rsid w:val="00FC2704"/>
    <w:rsid w:val="00FC3722"/>
    <w:rsid w:val="00FC42EB"/>
    <w:rsid w:val="00FC477C"/>
    <w:rsid w:val="00FC49BB"/>
    <w:rsid w:val="00FC4A2D"/>
    <w:rsid w:val="00FC58B1"/>
    <w:rsid w:val="00FC637F"/>
    <w:rsid w:val="00FC6742"/>
    <w:rsid w:val="00FC68AE"/>
    <w:rsid w:val="00FC68C2"/>
    <w:rsid w:val="00FC6F2F"/>
    <w:rsid w:val="00FD01A8"/>
    <w:rsid w:val="00FD0208"/>
    <w:rsid w:val="00FD0CA4"/>
    <w:rsid w:val="00FD12BF"/>
    <w:rsid w:val="00FD21C3"/>
    <w:rsid w:val="00FD375B"/>
    <w:rsid w:val="00FD3ADA"/>
    <w:rsid w:val="00FD3D0E"/>
    <w:rsid w:val="00FD462A"/>
    <w:rsid w:val="00FD51CD"/>
    <w:rsid w:val="00FD616B"/>
    <w:rsid w:val="00FD642F"/>
    <w:rsid w:val="00FD65E9"/>
    <w:rsid w:val="00FD6CCC"/>
    <w:rsid w:val="00FD7282"/>
    <w:rsid w:val="00FD7427"/>
    <w:rsid w:val="00FD76FB"/>
    <w:rsid w:val="00FD7E58"/>
    <w:rsid w:val="00FE0025"/>
    <w:rsid w:val="00FE0C28"/>
    <w:rsid w:val="00FE1494"/>
    <w:rsid w:val="00FE1A4D"/>
    <w:rsid w:val="00FE1B5B"/>
    <w:rsid w:val="00FE2187"/>
    <w:rsid w:val="00FE2610"/>
    <w:rsid w:val="00FE2BB3"/>
    <w:rsid w:val="00FE2C40"/>
    <w:rsid w:val="00FE367F"/>
    <w:rsid w:val="00FE3931"/>
    <w:rsid w:val="00FE3F3C"/>
    <w:rsid w:val="00FE55E3"/>
    <w:rsid w:val="00FE564D"/>
    <w:rsid w:val="00FE5F1D"/>
    <w:rsid w:val="00FE5FDD"/>
    <w:rsid w:val="00FE686B"/>
    <w:rsid w:val="00FE687A"/>
    <w:rsid w:val="00FE68EA"/>
    <w:rsid w:val="00FE722C"/>
    <w:rsid w:val="00FF0473"/>
    <w:rsid w:val="00FF0FC4"/>
    <w:rsid w:val="00FF10FE"/>
    <w:rsid w:val="00FF1E2F"/>
    <w:rsid w:val="00FF2313"/>
    <w:rsid w:val="00FF23AA"/>
    <w:rsid w:val="00FF2754"/>
    <w:rsid w:val="00FF2843"/>
    <w:rsid w:val="00FF29DC"/>
    <w:rsid w:val="00FF2AE7"/>
    <w:rsid w:val="00FF2BE2"/>
    <w:rsid w:val="00FF31D5"/>
    <w:rsid w:val="00FF36F8"/>
    <w:rsid w:val="00FF3C3E"/>
    <w:rsid w:val="00FF4328"/>
    <w:rsid w:val="00FF5276"/>
    <w:rsid w:val="00FF5810"/>
    <w:rsid w:val="00FF5BB5"/>
    <w:rsid w:val="00FF5D44"/>
    <w:rsid w:val="00FF6754"/>
    <w:rsid w:val="00FF701A"/>
    <w:rsid w:val="00FF77ED"/>
    <w:rsid w:val="013B1C8A"/>
    <w:rsid w:val="019A5C1C"/>
    <w:rsid w:val="01FB17EB"/>
    <w:rsid w:val="02124937"/>
    <w:rsid w:val="021BD49C"/>
    <w:rsid w:val="022C99FA"/>
    <w:rsid w:val="02733629"/>
    <w:rsid w:val="029F638C"/>
    <w:rsid w:val="02A2B780"/>
    <w:rsid w:val="02D6D92B"/>
    <w:rsid w:val="02D92481"/>
    <w:rsid w:val="0347A646"/>
    <w:rsid w:val="03623A40"/>
    <w:rsid w:val="037C8300"/>
    <w:rsid w:val="038F14E4"/>
    <w:rsid w:val="03C6ADEE"/>
    <w:rsid w:val="03F5D72C"/>
    <w:rsid w:val="03F942CE"/>
    <w:rsid w:val="0400732C"/>
    <w:rsid w:val="0401512C"/>
    <w:rsid w:val="049E7091"/>
    <w:rsid w:val="04BC3ADC"/>
    <w:rsid w:val="05017D7E"/>
    <w:rsid w:val="05066964"/>
    <w:rsid w:val="0542B41E"/>
    <w:rsid w:val="0544AEA3"/>
    <w:rsid w:val="0548AA56"/>
    <w:rsid w:val="0551C4B2"/>
    <w:rsid w:val="056442FA"/>
    <w:rsid w:val="0566CA97"/>
    <w:rsid w:val="05E15F49"/>
    <w:rsid w:val="05F09A5E"/>
    <w:rsid w:val="05FBCBD9"/>
    <w:rsid w:val="062F16B4"/>
    <w:rsid w:val="064988AD"/>
    <w:rsid w:val="064FE891"/>
    <w:rsid w:val="06822C10"/>
    <w:rsid w:val="068C1BAB"/>
    <w:rsid w:val="069339C9"/>
    <w:rsid w:val="069D4C36"/>
    <w:rsid w:val="06C19866"/>
    <w:rsid w:val="06E237AB"/>
    <w:rsid w:val="075C36CE"/>
    <w:rsid w:val="0771FF8E"/>
    <w:rsid w:val="07C774CC"/>
    <w:rsid w:val="07D4E2A7"/>
    <w:rsid w:val="07D7ABE9"/>
    <w:rsid w:val="07DC6A19"/>
    <w:rsid w:val="08063B25"/>
    <w:rsid w:val="0828520D"/>
    <w:rsid w:val="085318E7"/>
    <w:rsid w:val="0897878E"/>
    <w:rsid w:val="089D2AA5"/>
    <w:rsid w:val="08C663C8"/>
    <w:rsid w:val="0949521B"/>
    <w:rsid w:val="096EB097"/>
    <w:rsid w:val="099C0179"/>
    <w:rsid w:val="09DC924B"/>
    <w:rsid w:val="09DEF28C"/>
    <w:rsid w:val="0A07545E"/>
    <w:rsid w:val="0A0BE0D8"/>
    <w:rsid w:val="0A3357EF"/>
    <w:rsid w:val="0A44CD4B"/>
    <w:rsid w:val="0A7FB939"/>
    <w:rsid w:val="0AB711B9"/>
    <w:rsid w:val="0AF08783"/>
    <w:rsid w:val="0B0376C3"/>
    <w:rsid w:val="0B7F37F0"/>
    <w:rsid w:val="0B7FA85A"/>
    <w:rsid w:val="0B819DB2"/>
    <w:rsid w:val="0BB84565"/>
    <w:rsid w:val="0BC23675"/>
    <w:rsid w:val="0BEEF6F8"/>
    <w:rsid w:val="0C180125"/>
    <w:rsid w:val="0C1F6044"/>
    <w:rsid w:val="0C3CFD56"/>
    <w:rsid w:val="0C7A817B"/>
    <w:rsid w:val="0C82DF30"/>
    <w:rsid w:val="0C8A67A0"/>
    <w:rsid w:val="0CC06E01"/>
    <w:rsid w:val="0CC09D13"/>
    <w:rsid w:val="0D167DC0"/>
    <w:rsid w:val="0D30D0FA"/>
    <w:rsid w:val="0D5917DA"/>
    <w:rsid w:val="0D6D7B66"/>
    <w:rsid w:val="0D9BA9B6"/>
    <w:rsid w:val="0DE306EE"/>
    <w:rsid w:val="0E2D5FED"/>
    <w:rsid w:val="0E3B70A6"/>
    <w:rsid w:val="0E63DE80"/>
    <w:rsid w:val="0E7DD4B3"/>
    <w:rsid w:val="0EB8326F"/>
    <w:rsid w:val="0ECCF1A5"/>
    <w:rsid w:val="0EF2111B"/>
    <w:rsid w:val="0F2FFB28"/>
    <w:rsid w:val="0F3BE5F0"/>
    <w:rsid w:val="0F442FCA"/>
    <w:rsid w:val="0F66868D"/>
    <w:rsid w:val="0F921A44"/>
    <w:rsid w:val="0FB98EB3"/>
    <w:rsid w:val="1015DA3C"/>
    <w:rsid w:val="104CE550"/>
    <w:rsid w:val="1105F1AA"/>
    <w:rsid w:val="113378CC"/>
    <w:rsid w:val="115650DF"/>
    <w:rsid w:val="11A02432"/>
    <w:rsid w:val="11A93D36"/>
    <w:rsid w:val="11B07EB4"/>
    <w:rsid w:val="11B2DE27"/>
    <w:rsid w:val="11DC2A81"/>
    <w:rsid w:val="120A5A5F"/>
    <w:rsid w:val="123F62B3"/>
    <w:rsid w:val="128FC34D"/>
    <w:rsid w:val="129923AF"/>
    <w:rsid w:val="129EB201"/>
    <w:rsid w:val="12D220D0"/>
    <w:rsid w:val="12E0E669"/>
    <w:rsid w:val="1320D484"/>
    <w:rsid w:val="1349CFBF"/>
    <w:rsid w:val="13AB0600"/>
    <w:rsid w:val="13DE4BEC"/>
    <w:rsid w:val="14578F0F"/>
    <w:rsid w:val="146DE38A"/>
    <w:rsid w:val="147807EA"/>
    <w:rsid w:val="1479338B"/>
    <w:rsid w:val="149D4E7C"/>
    <w:rsid w:val="14AE3E6E"/>
    <w:rsid w:val="14D28767"/>
    <w:rsid w:val="14DD31D0"/>
    <w:rsid w:val="14E97867"/>
    <w:rsid w:val="14F3D50F"/>
    <w:rsid w:val="150D294A"/>
    <w:rsid w:val="15256029"/>
    <w:rsid w:val="152F23E6"/>
    <w:rsid w:val="154BCD6D"/>
    <w:rsid w:val="15A5FB42"/>
    <w:rsid w:val="15A6BFD2"/>
    <w:rsid w:val="15AEA0A7"/>
    <w:rsid w:val="15BCE82D"/>
    <w:rsid w:val="15D86347"/>
    <w:rsid w:val="15FF2A27"/>
    <w:rsid w:val="164ABEBD"/>
    <w:rsid w:val="1683C8C0"/>
    <w:rsid w:val="16A299D0"/>
    <w:rsid w:val="16A5D4C2"/>
    <w:rsid w:val="16FF2F92"/>
    <w:rsid w:val="1733DD5C"/>
    <w:rsid w:val="1734EF80"/>
    <w:rsid w:val="1796A146"/>
    <w:rsid w:val="17B85EDC"/>
    <w:rsid w:val="17E3177B"/>
    <w:rsid w:val="17F3F954"/>
    <w:rsid w:val="17F593C5"/>
    <w:rsid w:val="180AECD5"/>
    <w:rsid w:val="180C8BFE"/>
    <w:rsid w:val="18110C8A"/>
    <w:rsid w:val="1861C1CF"/>
    <w:rsid w:val="18E05CAF"/>
    <w:rsid w:val="18F6A04C"/>
    <w:rsid w:val="191745CD"/>
    <w:rsid w:val="191AC649"/>
    <w:rsid w:val="19508DB6"/>
    <w:rsid w:val="199C95CD"/>
    <w:rsid w:val="19C51291"/>
    <w:rsid w:val="19D67C61"/>
    <w:rsid w:val="19D9E454"/>
    <w:rsid w:val="19E03BEE"/>
    <w:rsid w:val="1A0E900B"/>
    <w:rsid w:val="1A522931"/>
    <w:rsid w:val="1A52B6BB"/>
    <w:rsid w:val="1A84CDBD"/>
    <w:rsid w:val="1A91CBDE"/>
    <w:rsid w:val="1ACD0064"/>
    <w:rsid w:val="1ADDC0A3"/>
    <w:rsid w:val="1AF61461"/>
    <w:rsid w:val="1AFFF5DD"/>
    <w:rsid w:val="1B9EFBD6"/>
    <w:rsid w:val="1BAC96A1"/>
    <w:rsid w:val="1BB1A61A"/>
    <w:rsid w:val="1BB59F1D"/>
    <w:rsid w:val="1BBF752E"/>
    <w:rsid w:val="1BFE5866"/>
    <w:rsid w:val="1C314C71"/>
    <w:rsid w:val="1C3B2746"/>
    <w:rsid w:val="1C44B379"/>
    <w:rsid w:val="1C74D502"/>
    <w:rsid w:val="1CA027F6"/>
    <w:rsid w:val="1CA71431"/>
    <w:rsid w:val="1CC4A99E"/>
    <w:rsid w:val="1CE1A316"/>
    <w:rsid w:val="1CF30A44"/>
    <w:rsid w:val="1CF42CEE"/>
    <w:rsid w:val="1D0D5DF8"/>
    <w:rsid w:val="1D1EFFED"/>
    <w:rsid w:val="1D345968"/>
    <w:rsid w:val="1D62F596"/>
    <w:rsid w:val="1D741110"/>
    <w:rsid w:val="1DA558C3"/>
    <w:rsid w:val="1DB313AB"/>
    <w:rsid w:val="1DC433A2"/>
    <w:rsid w:val="1DC6E9F6"/>
    <w:rsid w:val="1DDB5BEF"/>
    <w:rsid w:val="1E08EDF8"/>
    <w:rsid w:val="1E0D333A"/>
    <w:rsid w:val="1E6D18D2"/>
    <w:rsid w:val="1E6D535A"/>
    <w:rsid w:val="1E701314"/>
    <w:rsid w:val="1E8FFD4F"/>
    <w:rsid w:val="1E9EA8FC"/>
    <w:rsid w:val="1EBF651D"/>
    <w:rsid w:val="1F50FCB4"/>
    <w:rsid w:val="1F52F3D5"/>
    <w:rsid w:val="1F63014F"/>
    <w:rsid w:val="1F752FF5"/>
    <w:rsid w:val="1F9192B6"/>
    <w:rsid w:val="1FC07200"/>
    <w:rsid w:val="1FD06FFB"/>
    <w:rsid w:val="1FF3F90E"/>
    <w:rsid w:val="1FFD5A84"/>
    <w:rsid w:val="20016307"/>
    <w:rsid w:val="202F44FB"/>
    <w:rsid w:val="20524214"/>
    <w:rsid w:val="20817DC8"/>
    <w:rsid w:val="20818CA6"/>
    <w:rsid w:val="2083A1F4"/>
    <w:rsid w:val="21084C7D"/>
    <w:rsid w:val="2126F566"/>
    <w:rsid w:val="212C8D46"/>
    <w:rsid w:val="213558C1"/>
    <w:rsid w:val="213B935E"/>
    <w:rsid w:val="214BC468"/>
    <w:rsid w:val="214DF1A5"/>
    <w:rsid w:val="21706E41"/>
    <w:rsid w:val="21A50790"/>
    <w:rsid w:val="21B90331"/>
    <w:rsid w:val="21D49812"/>
    <w:rsid w:val="220B5C6E"/>
    <w:rsid w:val="22424C83"/>
    <w:rsid w:val="225F1572"/>
    <w:rsid w:val="2274CCBA"/>
    <w:rsid w:val="228C8996"/>
    <w:rsid w:val="2299FA8E"/>
    <w:rsid w:val="22F9DEEF"/>
    <w:rsid w:val="23109AB5"/>
    <w:rsid w:val="23259B4C"/>
    <w:rsid w:val="237569F0"/>
    <w:rsid w:val="2381EEE8"/>
    <w:rsid w:val="238DF621"/>
    <w:rsid w:val="23B2302B"/>
    <w:rsid w:val="23B9AA23"/>
    <w:rsid w:val="23C378F3"/>
    <w:rsid w:val="23CFC6BA"/>
    <w:rsid w:val="242DCF7F"/>
    <w:rsid w:val="24347B22"/>
    <w:rsid w:val="246C85A4"/>
    <w:rsid w:val="246DB8F7"/>
    <w:rsid w:val="248C0186"/>
    <w:rsid w:val="24A9123C"/>
    <w:rsid w:val="24AF97C6"/>
    <w:rsid w:val="24B2F35D"/>
    <w:rsid w:val="24C360DA"/>
    <w:rsid w:val="24FD34B2"/>
    <w:rsid w:val="252790E4"/>
    <w:rsid w:val="254E4A77"/>
    <w:rsid w:val="257A7FB4"/>
    <w:rsid w:val="257C8720"/>
    <w:rsid w:val="2587643A"/>
    <w:rsid w:val="25912EC2"/>
    <w:rsid w:val="25C86C4D"/>
    <w:rsid w:val="25F5CC87"/>
    <w:rsid w:val="2620B5BC"/>
    <w:rsid w:val="2621CED4"/>
    <w:rsid w:val="2645B91D"/>
    <w:rsid w:val="2667E91E"/>
    <w:rsid w:val="26865BE6"/>
    <w:rsid w:val="26B451C6"/>
    <w:rsid w:val="26DD48A1"/>
    <w:rsid w:val="27011AC8"/>
    <w:rsid w:val="271B17DA"/>
    <w:rsid w:val="2729F834"/>
    <w:rsid w:val="2746C418"/>
    <w:rsid w:val="27495D12"/>
    <w:rsid w:val="27643630"/>
    <w:rsid w:val="2772E2FF"/>
    <w:rsid w:val="279F8A9B"/>
    <w:rsid w:val="27B2A8F7"/>
    <w:rsid w:val="27EC5C69"/>
    <w:rsid w:val="27F690AD"/>
    <w:rsid w:val="2832D743"/>
    <w:rsid w:val="28701F50"/>
    <w:rsid w:val="289A7E38"/>
    <w:rsid w:val="29390E28"/>
    <w:rsid w:val="297BB473"/>
    <w:rsid w:val="298BFA16"/>
    <w:rsid w:val="29F01136"/>
    <w:rsid w:val="2A05A251"/>
    <w:rsid w:val="2A05B3A0"/>
    <w:rsid w:val="2A1A2AE9"/>
    <w:rsid w:val="2A760403"/>
    <w:rsid w:val="2A921DE3"/>
    <w:rsid w:val="2AADE204"/>
    <w:rsid w:val="2ACB4957"/>
    <w:rsid w:val="2B41E755"/>
    <w:rsid w:val="2B47C41E"/>
    <w:rsid w:val="2B634AB9"/>
    <w:rsid w:val="2B6A9159"/>
    <w:rsid w:val="2B6D8FDF"/>
    <w:rsid w:val="2BE70119"/>
    <w:rsid w:val="2C150522"/>
    <w:rsid w:val="2C23B6C3"/>
    <w:rsid w:val="2C6E3167"/>
    <w:rsid w:val="2CE2E368"/>
    <w:rsid w:val="2CF64930"/>
    <w:rsid w:val="2D04D601"/>
    <w:rsid w:val="2D22B00E"/>
    <w:rsid w:val="2D3DFC85"/>
    <w:rsid w:val="2D537F34"/>
    <w:rsid w:val="2D896061"/>
    <w:rsid w:val="2DA60BFF"/>
    <w:rsid w:val="2DBC937A"/>
    <w:rsid w:val="2DEB5216"/>
    <w:rsid w:val="2DFABC66"/>
    <w:rsid w:val="2DFB31B3"/>
    <w:rsid w:val="2E2A88D2"/>
    <w:rsid w:val="2E6D4EB7"/>
    <w:rsid w:val="2EACEBF5"/>
    <w:rsid w:val="2F001A4A"/>
    <w:rsid w:val="2F14693B"/>
    <w:rsid w:val="2F659F53"/>
    <w:rsid w:val="2F8C6A09"/>
    <w:rsid w:val="2F8FFED4"/>
    <w:rsid w:val="2FADE1F1"/>
    <w:rsid w:val="2FB88E91"/>
    <w:rsid w:val="2FD51B85"/>
    <w:rsid w:val="2FF0A51B"/>
    <w:rsid w:val="2FF7EF75"/>
    <w:rsid w:val="3046C435"/>
    <w:rsid w:val="30B17DCF"/>
    <w:rsid w:val="30C5E21F"/>
    <w:rsid w:val="3118911C"/>
    <w:rsid w:val="31193987"/>
    <w:rsid w:val="3144EF29"/>
    <w:rsid w:val="3149B168"/>
    <w:rsid w:val="319F92ED"/>
    <w:rsid w:val="31B6548B"/>
    <w:rsid w:val="31CD8882"/>
    <w:rsid w:val="31D9F1B4"/>
    <w:rsid w:val="31EAECC5"/>
    <w:rsid w:val="322D6191"/>
    <w:rsid w:val="32505A9A"/>
    <w:rsid w:val="3260A47F"/>
    <w:rsid w:val="3266B38D"/>
    <w:rsid w:val="32743DE7"/>
    <w:rsid w:val="327652BF"/>
    <w:rsid w:val="328D346B"/>
    <w:rsid w:val="32B1110D"/>
    <w:rsid w:val="32B6DD33"/>
    <w:rsid w:val="32EC8A82"/>
    <w:rsid w:val="331052B4"/>
    <w:rsid w:val="332D7ACA"/>
    <w:rsid w:val="334C8308"/>
    <w:rsid w:val="334FBC44"/>
    <w:rsid w:val="337A9342"/>
    <w:rsid w:val="3386D64C"/>
    <w:rsid w:val="33962757"/>
    <w:rsid w:val="3399D897"/>
    <w:rsid w:val="33E59299"/>
    <w:rsid w:val="3410382C"/>
    <w:rsid w:val="3416F124"/>
    <w:rsid w:val="34192794"/>
    <w:rsid w:val="344EB314"/>
    <w:rsid w:val="345A0B99"/>
    <w:rsid w:val="34763D79"/>
    <w:rsid w:val="34786466"/>
    <w:rsid w:val="347B8E31"/>
    <w:rsid w:val="348A1212"/>
    <w:rsid w:val="34A11676"/>
    <w:rsid w:val="34B2B36C"/>
    <w:rsid w:val="34D30FFD"/>
    <w:rsid w:val="34E70B74"/>
    <w:rsid w:val="34E909E5"/>
    <w:rsid w:val="3501A05E"/>
    <w:rsid w:val="3522F7F1"/>
    <w:rsid w:val="35297A5D"/>
    <w:rsid w:val="353A2031"/>
    <w:rsid w:val="3551D993"/>
    <w:rsid w:val="3586BFDD"/>
    <w:rsid w:val="35885834"/>
    <w:rsid w:val="358C4811"/>
    <w:rsid w:val="36148073"/>
    <w:rsid w:val="36177474"/>
    <w:rsid w:val="36454F69"/>
    <w:rsid w:val="36700A52"/>
    <w:rsid w:val="367198D3"/>
    <w:rsid w:val="3673E356"/>
    <w:rsid w:val="36778DBD"/>
    <w:rsid w:val="36FCE883"/>
    <w:rsid w:val="374319EE"/>
    <w:rsid w:val="374E2D3F"/>
    <w:rsid w:val="37529C91"/>
    <w:rsid w:val="37A84D1D"/>
    <w:rsid w:val="37AA606A"/>
    <w:rsid w:val="37FB1A1B"/>
    <w:rsid w:val="3825C55D"/>
    <w:rsid w:val="3830F8FC"/>
    <w:rsid w:val="384A484E"/>
    <w:rsid w:val="387B8C87"/>
    <w:rsid w:val="38965B90"/>
    <w:rsid w:val="38CAADF2"/>
    <w:rsid w:val="38E58A5D"/>
    <w:rsid w:val="39073E04"/>
    <w:rsid w:val="3924D83A"/>
    <w:rsid w:val="39B01F32"/>
    <w:rsid w:val="39DE24AE"/>
    <w:rsid w:val="39FE076A"/>
    <w:rsid w:val="3A06D5D3"/>
    <w:rsid w:val="3A07624D"/>
    <w:rsid w:val="3A18100B"/>
    <w:rsid w:val="3A2A2E1B"/>
    <w:rsid w:val="3A3A94BA"/>
    <w:rsid w:val="3A4BAADF"/>
    <w:rsid w:val="3A6FA5C3"/>
    <w:rsid w:val="3A7BCDC5"/>
    <w:rsid w:val="3A7D67C4"/>
    <w:rsid w:val="3A83B9C3"/>
    <w:rsid w:val="3BAB56D9"/>
    <w:rsid w:val="3C1A3D60"/>
    <w:rsid w:val="3C279F75"/>
    <w:rsid w:val="3C970259"/>
    <w:rsid w:val="3CFDD79C"/>
    <w:rsid w:val="3D17F9A1"/>
    <w:rsid w:val="3D59FDEF"/>
    <w:rsid w:val="3D81708A"/>
    <w:rsid w:val="3DA63EA0"/>
    <w:rsid w:val="3DBB7F6D"/>
    <w:rsid w:val="3DF0E18E"/>
    <w:rsid w:val="3E2F4B07"/>
    <w:rsid w:val="3E4CE35F"/>
    <w:rsid w:val="3E62F137"/>
    <w:rsid w:val="3E759973"/>
    <w:rsid w:val="3E7EB154"/>
    <w:rsid w:val="3EA13733"/>
    <w:rsid w:val="3EB718F4"/>
    <w:rsid w:val="3EC2034E"/>
    <w:rsid w:val="3F7CCD6A"/>
    <w:rsid w:val="3F9DBE22"/>
    <w:rsid w:val="3FD618C6"/>
    <w:rsid w:val="3FF1AD80"/>
    <w:rsid w:val="4079C518"/>
    <w:rsid w:val="4081AA4C"/>
    <w:rsid w:val="408DD5AF"/>
    <w:rsid w:val="40F4E426"/>
    <w:rsid w:val="40F546F9"/>
    <w:rsid w:val="40FF1FA1"/>
    <w:rsid w:val="40FF6591"/>
    <w:rsid w:val="4117A3B1"/>
    <w:rsid w:val="412559CE"/>
    <w:rsid w:val="415E7430"/>
    <w:rsid w:val="4197281A"/>
    <w:rsid w:val="41A5E2E1"/>
    <w:rsid w:val="41F0392F"/>
    <w:rsid w:val="421E4A60"/>
    <w:rsid w:val="42367A70"/>
    <w:rsid w:val="426D9E30"/>
    <w:rsid w:val="4287B48A"/>
    <w:rsid w:val="42A7AA63"/>
    <w:rsid w:val="42AD64DF"/>
    <w:rsid w:val="42ECA152"/>
    <w:rsid w:val="4316042E"/>
    <w:rsid w:val="434784EB"/>
    <w:rsid w:val="4347D988"/>
    <w:rsid w:val="43C30B06"/>
    <w:rsid w:val="43E4A13B"/>
    <w:rsid w:val="43E774BE"/>
    <w:rsid w:val="43E9233A"/>
    <w:rsid w:val="44470EBF"/>
    <w:rsid w:val="444BEFC5"/>
    <w:rsid w:val="44515B9C"/>
    <w:rsid w:val="44712105"/>
    <w:rsid w:val="448802E8"/>
    <w:rsid w:val="44CF9B09"/>
    <w:rsid w:val="44D73B13"/>
    <w:rsid w:val="44F443BA"/>
    <w:rsid w:val="450604E2"/>
    <w:rsid w:val="45365AE5"/>
    <w:rsid w:val="45C5E9FC"/>
    <w:rsid w:val="45E30754"/>
    <w:rsid w:val="45FF2314"/>
    <w:rsid w:val="460CEBD9"/>
    <w:rsid w:val="46137755"/>
    <w:rsid w:val="462255A1"/>
    <w:rsid w:val="463A042C"/>
    <w:rsid w:val="466B2413"/>
    <w:rsid w:val="466BC78E"/>
    <w:rsid w:val="46D74868"/>
    <w:rsid w:val="46DBD13E"/>
    <w:rsid w:val="4733FE44"/>
    <w:rsid w:val="475B38DC"/>
    <w:rsid w:val="476EC6C4"/>
    <w:rsid w:val="477393A2"/>
    <w:rsid w:val="4784A4B9"/>
    <w:rsid w:val="478ADC3F"/>
    <w:rsid w:val="47AEA7FA"/>
    <w:rsid w:val="47CCFBD1"/>
    <w:rsid w:val="4811460F"/>
    <w:rsid w:val="486544FF"/>
    <w:rsid w:val="4883D7BD"/>
    <w:rsid w:val="48BAC2FF"/>
    <w:rsid w:val="492D6075"/>
    <w:rsid w:val="4930347B"/>
    <w:rsid w:val="49448C9B"/>
    <w:rsid w:val="496C1280"/>
    <w:rsid w:val="497604DB"/>
    <w:rsid w:val="497C6F6A"/>
    <w:rsid w:val="49983BE2"/>
    <w:rsid w:val="49C582D4"/>
    <w:rsid w:val="4A0D4948"/>
    <w:rsid w:val="4A9F4858"/>
    <w:rsid w:val="4A9FB454"/>
    <w:rsid w:val="4B2CD838"/>
    <w:rsid w:val="4B3DF23C"/>
    <w:rsid w:val="4B59B768"/>
    <w:rsid w:val="4C21E09C"/>
    <w:rsid w:val="4C38E05A"/>
    <w:rsid w:val="4CA1E430"/>
    <w:rsid w:val="4CAA7DE9"/>
    <w:rsid w:val="4CABA6FD"/>
    <w:rsid w:val="4CC6DC3C"/>
    <w:rsid w:val="4CCDCA7A"/>
    <w:rsid w:val="4D083DDE"/>
    <w:rsid w:val="4D5ABCC1"/>
    <w:rsid w:val="4D6C4763"/>
    <w:rsid w:val="4DC49746"/>
    <w:rsid w:val="4DC49E99"/>
    <w:rsid w:val="4E256D82"/>
    <w:rsid w:val="4E26D499"/>
    <w:rsid w:val="4E5D83E9"/>
    <w:rsid w:val="4E63F7E5"/>
    <w:rsid w:val="4E87C1F1"/>
    <w:rsid w:val="4E8CEFC1"/>
    <w:rsid w:val="4E917421"/>
    <w:rsid w:val="4EA01D51"/>
    <w:rsid w:val="4EA400DD"/>
    <w:rsid w:val="4EA5F3F4"/>
    <w:rsid w:val="4EB0BF1E"/>
    <w:rsid w:val="4EC6C51F"/>
    <w:rsid w:val="4EEA6E21"/>
    <w:rsid w:val="4EEC984D"/>
    <w:rsid w:val="4F5D7C8F"/>
    <w:rsid w:val="4F7DF452"/>
    <w:rsid w:val="4FB53B41"/>
    <w:rsid w:val="5015E58C"/>
    <w:rsid w:val="5044FCD9"/>
    <w:rsid w:val="505400B4"/>
    <w:rsid w:val="50817842"/>
    <w:rsid w:val="50DF1001"/>
    <w:rsid w:val="50EBC29E"/>
    <w:rsid w:val="50F94AA5"/>
    <w:rsid w:val="515DA66F"/>
    <w:rsid w:val="516316EA"/>
    <w:rsid w:val="519B8BD4"/>
    <w:rsid w:val="51A0A3BE"/>
    <w:rsid w:val="51C7373A"/>
    <w:rsid w:val="51D025FD"/>
    <w:rsid w:val="520A822F"/>
    <w:rsid w:val="5223D468"/>
    <w:rsid w:val="522B297B"/>
    <w:rsid w:val="5240A31E"/>
    <w:rsid w:val="52449E52"/>
    <w:rsid w:val="52B7DD2E"/>
    <w:rsid w:val="52C27A1E"/>
    <w:rsid w:val="532E93AE"/>
    <w:rsid w:val="5349E5EF"/>
    <w:rsid w:val="5388DBCB"/>
    <w:rsid w:val="53C2E35B"/>
    <w:rsid w:val="54442084"/>
    <w:rsid w:val="544AE04D"/>
    <w:rsid w:val="54706BAC"/>
    <w:rsid w:val="5489388C"/>
    <w:rsid w:val="54AD76BA"/>
    <w:rsid w:val="54EC008F"/>
    <w:rsid w:val="552611D0"/>
    <w:rsid w:val="55281FE7"/>
    <w:rsid w:val="55709387"/>
    <w:rsid w:val="558A44DF"/>
    <w:rsid w:val="55E2181A"/>
    <w:rsid w:val="564B68D1"/>
    <w:rsid w:val="571CD37D"/>
    <w:rsid w:val="57261540"/>
    <w:rsid w:val="575A27CD"/>
    <w:rsid w:val="576C5554"/>
    <w:rsid w:val="57CB1577"/>
    <w:rsid w:val="57F16FB4"/>
    <w:rsid w:val="586DB0E1"/>
    <w:rsid w:val="589A8EB0"/>
    <w:rsid w:val="58F727FE"/>
    <w:rsid w:val="593CCC65"/>
    <w:rsid w:val="595F0A04"/>
    <w:rsid w:val="59722B9D"/>
    <w:rsid w:val="59B16226"/>
    <w:rsid w:val="59B782CE"/>
    <w:rsid w:val="59C9A3C4"/>
    <w:rsid w:val="5A1E15DA"/>
    <w:rsid w:val="5A246DB4"/>
    <w:rsid w:val="5A319BC5"/>
    <w:rsid w:val="5A5BB680"/>
    <w:rsid w:val="5A73F924"/>
    <w:rsid w:val="5A7A2220"/>
    <w:rsid w:val="5A9CF858"/>
    <w:rsid w:val="5AB48503"/>
    <w:rsid w:val="5AC33EB1"/>
    <w:rsid w:val="5AFC0955"/>
    <w:rsid w:val="5B643EE6"/>
    <w:rsid w:val="5B81C86C"/>
    <w:rsid w:val="5BE3B87E"/>
    <w:rsid w:val="5BE65027"/>
    <w:rsid w:val="5BEDA242"/>
    <w:rsid w:val="5BEFF97B"/>
    <w:rsid w:val="5C0A4EAC"/>
    <w:rsid w:val="5C156640"/>
    <w:rsid w:val="5C1AAAC2"/>
    <w:rsid w:val="5C24202C"/>
    <w:rsid w:val="5C2EC8C0"/>
    <w:rsid w:val="5C3381FA"/>
    <w:rsid w:val="5C7293C2"/>
    <w:rsid w:val="5C8313BD"/>
    <w:rsid w:val="5CB6A52F"/>
    <w:rsid w:val="5CC57AF0"/>
    <w:rsid w:val="5CC6662C"/>
    <w:rsid w:val="5CC7BBFE"/>
    <w:rsid w:val="5CD7D016"/>
    <w:rsid w:val="5DB90F76"/>
    <w:rsid w:val="5DFBB900"/>
    <w:rsid w:val="5E06BAC4"/>
    <w:rsid w:val="5E3D19CA"/>
    <w:rsid w:val="5E4E9D8E"/>
    <w:rsid w:val="5E80BBBF"/>
    <w:rsid w:val="5F195798"/>
    <w:rsid w:val="5F1A1DC9"/>
    <w:rsid w:val="5F5B7B52"/>
    <w:rsid w:val="5FB5C790"/>
    <w:rsid w:val="5FB91EC7"/>
    <w:rsid w:val="5FD80DA5"/>
    <w:rsid w:val="60058D43"/>
    <w:rsid w:val="602F3483"/>
    <w:rsid w:val="6044090D"/>
    <w:rsid w:val="608467FC"/>
    <w:rsid w:val="60AC613C"/>
    <w:rsid w:val="61076FD9"/>
    <w:rsid w:val="61DE0FC5"/>
    <w:rsid w:val="61E607F7"/>
    <w:rsid w:val="61ECCB30"/>
    <w:rsid w:val="620002BA"/>
    <w:rsid w:val="62017446"/>
    <w:rsid w:val="6206A2EF"/>
    <w:rsid w:val="62324699"/>
    <w:rsid w:val="6236A531"/>
    <w:rsid w:val="6248AB24"/>
    <w:rsid w:val="6250C2AF"/>
    <w:rsid w:val="6286CE9D"/>
    <w:rsid w:val="62992751"/>
    <w:rsid w:val="62B6C287"/>
    <w:rsid w:val="62C6CC51"/>
    <w:rsid w:val="62E62BBE"/>
    <w:rsid w:val="633FA4B5"/>
    <w:rsid w:val="63449B61"/>
    <w:rsid w:val="635F6DFB"/>
    <w:rsid w:val="637CB658"/>
    <w:rsid w:val="63D1B4A5"/>
    <w:rsid w:val="6413A842"/>
    <w:rsid w:val="64B6E64A"/>
    <w:rsid w:val="654A8FD1"/>
    <w:rsid w:val="65788F2F"/>
    <w:rsid w:val="6579277A"/>
    <w:rsid w:val="65B76D92"/>
    <w:rsid w:val="65E5373B"/>
    <w:rsid w:val="65ED5329"/>
    <w:rsid w:val="6633489B"/>
    <w:rsid w:val="663C5E1C"/>
    <w:rsid w:val="6667C070"/>
    <w:rsid w:val="668B362C"/>
    <w:rsid w:val="668DA73A"/>
    <w:rsid w:val="66BF2EC8"/>
    <w:rsid w:val="66FBA0A5"/>
    <w:rsid w:val="66FE9466"/>
    <w:rsid w:val="6728C706"/>
    <w:rsid w:val="674B49BA"/>
    <w:rsid w:val="675D2E0E"/>
    <w:rsid w:val="67764F11"/>
    <w:rsid w:val="677C2AAB"/>
    <w:rsid w:val="67A90377"/>
    <w:rsid w:val="67AC92BC"/>
    <w:rsid w:val="685972CF"/>
    <w:rsid w:val="685CBC16"/>
    <w:rsid w:val="6861D890"/>
    <w:rsid w:val="686B37AC"/>
    <w:rsid w:val="6875E047"/>
    <w:rsid w:val="6886226F"/>
    <w:rsid w:val="68B0C10E"/>
    <w:rsid w:val="68DC38E0"/>
    <w:rsid w:val="6900D6DA"/>
    <w:rsid w:val="690CB70A"/>
    <w:rsid w:val="69385198"/>
    <w:rsid w:val="696B8D29"/>
    <w:rsid w:val="69C3739F"/>
    <w:rsid w:val="69F42153"/>
    <w:rsid w:val="6A1765B9"/>
    <w:rsid w:val="6A22B930"/>
    <w:rsid w:val="6AC39D9E"/>
    <w:rsid w:val="6AED1372"/>
    <w:rsid w:val="6AF17A69"/>
    <w:rsid w:val="6B0B72A0"/>
    <w:rsid w:val="6B350A8C"/>
    <w:rsid w:val="6B391984"/>
    <w:rsid w:val="6B797EAB"/>
    <w:rsid w:val="6BA1E8E0"/>
    <w:rsid w:val="6BA8683E"/>
    <w:rsid w:val="6BE303BF"/>
    <w:rsid w:val="6BF4676C"/>
    <w:rsid w:val="6C2A03EF"/>
    <w:rsid w:val="6C49C034"/>
    <w:rsid w:val="6C67D2FE"/>
    <w:rsid w:val="6C96579A"/>
    <w:rsid w:val="6C9D9A28"/>
    <w:rsid w:val="6CAF33FD"/>
    <w:rsid w:val="6CCFDBB1"/>
    <w:rsid w:val="6D1C6D44"/>
    <w:rsid w:val="6D231849"/>
    <w:rsid w:val="6D7C7908"/>
    <w:rsid w:val="6D9F3EE0"/>
    <w:rsid w:val="6DE2D0CC"/>
    <w:rsid w:val="6E2E50C0"/>
    <w:rsid w:val="6E398E04"/>
    <w:rsid w:val="6E483C43"/>
    <w:rsid w:val="6E4DC8CB"/>
    <w:rsid w:val="6E582FE9"/>
    <w:rsid w:val="6EA0026F"/>
    <w:rsid w:val="6EA9EF23"/>
    <w:rsid w:val="6EB25B53"/>
    <w:rsid w:val="6EC9358E"/>
    <w:rsid w:val="6EDA1703"/>
    <w:rsid w:val="6EFDE497"/>
    <w:rsid w:val="6F205F48"/>
    <w:rsid w:val="6F280D13"/>
    <w:rsid w:val="6F60734C"/>
    <w:rsid w:val="6F7D23D4"/>
    <w:rsid w:val="6F852189"/>
    <w:rsid w:val="7005ECAB"/>
    <w:rsid w:val="702ED0C5"/>
    <w:rsid w:val="7052E551"/>
    <w:rsid w:val="708E7623"/>
    <w:rsid w:val="70B708AD"/>
    <w:rsid w:val="70C84BF9"/>
    <w:rsid w:val="710FC626"/>
    <w:rsid w:val="7117C8EF"/>
    <w:rsid w:val="715BAF53"/>
    <w:rsid w:val="715E6BEB"/>
    <w:rsid w:val="716F1433"/>
    <w:rsid w:val="717A0832"/>
    <w:rsid w:val="717B578E"/>
    <w:rsid w:val="71BA4459"/>
    <w:rsid w:val="71BAD314"/>
    <w:rsid w:val="71EA7A1B"/>
    <w:rsid w:val="724DF0BD"/>
    <w:rsid w:val="728B2D27"/>
    <w:rsid w:val="7299C75E"/>
    <w:rsid w:val="72E75CBD"/>
    <w:rsid w:val="73121718"/>
    <w:rsid w:val="733695BE"/>
    <w:rsid w:val="73873456"/>
    <w:rsid w:val="7390A211"/>
    <w:rsid w:val="73ABAC09"/>
    <w:rsid w:val="73BEFA46"/>
    <w:rsid w:val="73D966BD"/>
    <w:rsid w:val="73E49F67"/>
    <w:rsid w:val="73E8D65B"/>
    <w:rsid w:val="7436F16D"/>
    <w:rsid w:val="743F9B33"/>
    <w:rsid w:val="7450F89B"/>
    <w:rsid w:val="7454DECC"/>
    <w:rsid w:val="74BCDA83"/>
    <w:rsid w:val="74DD142C"/>
    <w:rsid w:val="74EE521B"/>
    <w:rsid w:val="752C51F4"/>
    <w:rsid w:val="75388FEC"/>
    <w:rsid w:val="7540AD67"/>
    <w:rsid w:val="7547F59B"/>
    <w:rsid w:val="754EA8CD"/>
    <w:rsid w:val="75502575"/>
    <w:rsid w:val="759D04F7"/>
    <w:rsid w:val="75DCB3D1"/>
    <w:rsid w:val="75EB3A12"/>
    <w:rsid w:val="75FA119D"/>
    <w:rsid w:val="76126B8F"/>
    <w:rsid w:val="761275A9"/>
    <w:rsid w:val="7667C38D"/>
    <w:rsid w:val="76AC1BB1"/>
    <w:rsid w:val="76DF34D0"/>
    <w:rsid w:val="76F217A0"/>
    <w:rsid w:val="7704E241"/>
    <w:rsid w:val="7723E580"/>
    <w:rsid w:val="772B6F65"/>
    <w:rsid w:val="77417772"/>
    <w:rsid w:val="77A7C7AA"/>
    <w:rsid w:val="781A1149"/>
    <w:rsid w:val="781AA540"/>
    <w:rsid w:val="78220840"/>
    <w:rsid w:val="783FD23A"/>
    <w:rsid w:val="78809BE2"/>
    <w:rsid w:val="78E1464E"/>
    <w:rsid w:val="78FAD0D0"/>
    <w:rsid w:val="78FFC0B8"/>
    <w:rsid w:val="790D2C46"/>
    <w:rsid w:val="79116BF9"/>
    <w:rsid w:val="793568EB"/>
    <w:rsid w:val="7991450A"/>
    <w:rsid w:val="79BEF40F"/>
    <w:rsid w:val="7A050FFE"/>
    <w:rsid w:val="7A23A55E"/>
    <w:rsid w:val="7A365C81"/>
    <w:rsid w:val="7A680E61"/>
    <w:rsid w:val="7A6B7701"/>
    <w:rsid w:val="7A71F2CD"/>
    <w:rsid w:val="7A97C6E0"/>
    <w:rsid w:val="7AAD7E10"/>
    <w:rsid w:val="7ADAD0C8"/>
    <w:rsid w:val="7B059D09"/>
    <w:rsid w:val="7B95DE53"/>
    <w:rsid w:val="7BE2A526"/>
    <w:rsid w:val="7BF6A578"/>
    <w:rsid w:val="7C0666A0"/>
    <w:rsid w:val="7C6C1625"/>
    <w:rsid w:val="7C7FDF26"/>
    <w:rsid w:val="7C8A83A0"/>
    <w:rsid w:val="7CAC6A5E"/>
    <w:rsid w:val="7CC2C084"/>
    <w:rsid w:val="7CFA3BF5"/>
    <w:rsid w:val="7CFCB997"/>
    <w:rsid w:val="7D001882"/>
    <w:rsid w:val="7D496183"/>
    <w:rsid w:val="7D67926B"/>
    <w:rsid w:val="7D87D75A"/>
    <w:rsid w:val="7D9FBBF2"/>
    <w:rsid w:val="7DBD106B"/>
    <w:rsid w:val="7DCD551C"/>
    <w:rsid w:val="7DFB04DE"/>
    <w:rsid w:val="7DFCB03B"/>
    <w:rsid w:val="7E1AFB85"/>
    <w:rsid w:val="7E20662A"/>
    <w:rsid w:val="7E5C2A6C"/>
    <w:rsid w:val="7E643317"/>
    <w:rsid w:val="7E8CD793"/>
    <w:rsid w:val="7EA2A48C"/>
    <w:rsid w:val="7EB24C9E"/>
    <w:rsid w:val="7EDE7C1C"/>
    <w:rsid w:val="7F183DEA"/>
    <w:rsid w:val="7FA09A66"/>
    <w:rsid w:val="7FAB4CFB"/>
    <w:rsid w:val="7FBF964B"/>
    <w:rsid w:val="7FD38544"/>
    <w:rsid w:val="7FD3FF3E"/>
    <w:rsid w:val="7FD51AF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5C0EF4F"/>
  <w15:docId w15:val="{1CC792D2-D566-48F1-B5C5-8CBA2A54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9"/>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9"/>
    <w:qFormat/>
    <w:rsid w:val="00032BA9"/>
    <w:pPr>
      <w:keepNext/>
      <w:keepLines/>
      <w:spacing w:before="240" w:after="90" w:line="320" w:lineRule="atLeast"/>
      <w:outlineLvl w:val="1"/>
    </w:pPr>
    <w:rPr>
      <w:rFonts w:ascii="Arial" w:hAnsi="Arial"/>
      <w:b/>
      <w:color w:val="004EA8"/>
      <w:sz w:val="32"/>
      <w:szCs w:val="28"/>
      <w:lang w:eastAsia="en-US"/>
    </w:rPr>
  </w:style>
  <w:style w:type="paragraph" w:styleId="Heading3">
    <w:name w:val="heading 3"/>
    <w:next w:val="DHHSbody"/>
    <w:link w:val="Heading3Char"/>
    <w:uiPriority w:val="9"/>
    <w:qFormat/>
    <w:rsid w:val="00032BA9"/>
    <w:pPr>
      <w:keepNext/>
      <w:keepLines/>
      <w:spacing w:before="280" w:after="120" w:line="280" w:lineRule="atLeast"/>
      <w:outlineLvl w:val="2"/>
    </w:pPr>
    <w:rPr>
      <w:rFonts w:ascii="Arial" w:eastAsia="MS Gothic" w:hAnsi="Arial"/>
      <w:bCs/>
      <w:sz w:val="30"/>
      <w:szCs w:val="26"/>
      <w:lang w:eastAsia="en-US"/>
    </w:rPr>
  </w:style>
  <w:style w:type="paragraph" w:styleId="Heading4">
    <w:name w:val="heading 4"/>
    <w:next w:val="DHHSbody"/>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3241"/>
    <w:rPr>
      <w:rFonts w:ascii="Arial" w:hAnsi="Arial"/>
      <w:bCs/>
      <w:color w:val="004EA8"/>
      <w:sz w:val="44"/>
      <w:szCs w:val="44"/>
      <w:lang w:eastAsia="en-US"/>
    </w:rPr>
  </w:style>
  <w:style w:type="character" w:customStyle="1" w:styleId="Heading2Char">
    <w:name w:val="Heading 2 Char"/>
    <w:link w:val="Heading2"/>
    <w:uiPriority w:val="9"/>
    <w:rsid w:val="00032BA9"/>
    <w:rPr>
      <w:rFonts w:ascii="Arial" w:hAnsi="Arial"/>
      <w:b/>
      <w:color w:val="004EA8"/>
      <w:sz w:val="32"/>
      <w:szCs w:val="28"/>
      <w:lang w:eastAsia="en-US"/>
    </w:rPr>
  </w:style>
  <w:style w:type="character" w:customStyle="1" w:styleId="Heading3Char">
    <w:name w:val="Heading 3 Char"/>
    <w:link w:val="Heading3"/>
    <w:uiPriority w:val="9"/>
    <w:rsid w:val="00032BA9"/>
    <w:rPr>
      <w:rFonts w:ascii="Arial" w:eastAsia="MS Gothic" w:hAnsi="Arial"/>
      <w:bCs/>
      <w:sz w:val="30"/>
      <w:szCs w:val="26"/>
      <w:lang w:eastAsia="en-US"/>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0D0B9B"/>
    <w:pPr>
      <w:keepNext/>
      <w:keepLines/>
      <w:tabs>
        <w:tab w:val="right" w:leader="dot" w:pos="9299"/>
      </w:tabs>
      <w:spacing w:before="160" w:after="60" w:line="270" w:lineRule="atLeast"/>
      <w:ind w:right="680"/>
    </w:pPr>
    <w:rPr>
      <w:rFonts w:ascii="Arial" w:hAnsi="Arial"/>
      <w:b/>
      <w:noProof/>
      <w:sz w:val="21"/>
    </w:rPr>
  </w:style>
  <w:style w:type="paragraph" w:styleId="TOC2">
    <w:name w:val="toc 2"/>
    <w:basedOn w:val="Normal"/>
    <w:next w:val="Normal"/>
    <w:uiPriority w:val="39"/>
    <w:rsid w:val="000D0B9B"/>
    <w:pPr>
      <w:keepNext/>
      <w:keepLines/>
      <w:tabs>
        <w:tab w:val="right" w:leader="dot" w:pos="9299"/>
      </w:tabs>
      <w:spacing w:after="60" w:line="270" w:lineRule="atLeast"/>
      <w:ind w:right="680"/>
    </w:pPr>
    <w:rPr>
      <w:rFonts w:ascii="Arial" w:hAnsi="Arial"/>
      <w:noProof/>
      <w:sz w:val="21"/>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8"/>
      </w:numPr>
    </w:pPr>
  </w:style>
  <w:style w:type="paragraph" w:customStyle="1" w:styleId="DHHSnumberloweralphaindent">
    <w:name w:val="DHHS number lower alpha indent"/>
    <w:basedOn w:val="DHHSbody"/>
    <w:uiPriority w:val="3"/>
    <w:rsid w:val="00CF7CB6"/>
    <w:pPr>
      <w:numPr>
        <w:ilvl w:val="3"/>
        <w:numId w:val="8"/>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8"/>
      </w:numPr>
      <w:tabs>
        <w:tab w:val="clear" w:pos="681"/>
        <w:tab w:val="num" w:pos="397"/>
      </w:tabs>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8"/>
      </w:numPr>
    </w:pPr>
  </w:style>
  <w:style w:type="paragraph" w:customStyle="1" w:styleId="DHHSnumberlowerromanindent">
    <w:name w:val="DHHS number lower roman indent"/>
    <w:basedOn w:val="DHHSbody"/>
    <w:uiPriority w:val="3"/>
    <w:rsid w:val="00CF7CB6"/>
    <w:pPr>
      <w:numPr>
        <w:ilvl w:val="5"/>
        <w:numId w:val="8"/>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F80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64"/>
    <w:rPr>
      <w:rFonts w:ascii="Segoe UI" w:hAnsi="Segoe UI" w:cs="Segoe UI"/>
      <w:sz w:val="18"/>
      <w:szCs w:val="18"/>
      <w:lang w:eastAsia="en-US"/>
    </w:rPr>
  </w:style>
  <w:style w:type="character" w:customStyle="1" w:styleId="normaltextrun">
    <w:name w:val="normaltextrun"/>
    <w:basedOn w:val="DefaultParagraphFont"/>
    <w:rsid w:val="00381B2F"/>
  </w:style>
  <w:style w:type="character" w:customStyle="1" w:styleId="FootnoteTextChar">
    <w:name w:val="Footnote Text Char"/>
    <w:basedOn w:val="DefaultParagraphFont"/>
    <w:link w:val="FootnoteText"/>
    <w:uiPriority w:val="99"/>
    <w:rsid w:val="00381B2F"/>
    <w:rPr>
      <w:rFonts w:ascii="Arial" w:eastAsia="MS Gothic" w:hAnsi="Arial" w:cs="Arial"/>
      <w:sz w:val="16"/>
      <w:szCs w:val="16"/>
      <w:lang w:eastAsia="en-US"/>
    </w:rPr>
  </w:style>
  <w:style w:type="paragraph" w:customStyle="1" w:styleId="paragraph">
    <w:name w:val="paragraph"/>
    <w:basedOn w:val="Normal"/>
    <w:rsid w:val="00381B2F"/>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381B2F"/>
  </w:style>
  <w:style w:type="paragraph" w:styleId="ListParagraph">
    <w:name w:val="List Paragraph"/>
    <w:basedOn w:val="Normal"/>
    <w:uiPriority w:val="34"/>
    <w:qFormat/>
    <w:rsid w:val="00381B2F"/>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81B2F"/>
    <w:rPr>
      <w:rFonts w:ascii="Arial" w:hAnsi="Arial" w:cs="Arial"/>
      <w:sz w:val="18"/>
      <w:szCs w:val="18"/>
      <w:lang w:eastAsia="en-US"/>
    </w:rPr>
  </w:style>
  <w:style w:type="character" w:customStyle="1" w:styleId="FooterChar">
    <w:name w:val="Footer Char"/>
    <w:basedOn w:val="DefaultParagraphFont"/>
    <w:link w:val="Footer"/>
    <w:uiPriority w:val="99"/>
    <w:rsid w:val="00381B2F"/>
    <w:rPr>
      <w:rFonts w:ascii="Arial" w:hAnsi="Arial" w:cs="Arial"/>
      <w:sz w:val="18"/>
      <w:szCs w:val="18"/>
      <w:lang w:eastAsia="en-US"/>
    </w:rPr>
  </w:style>
  <w:style w:type="character" w:styleId="CommentReference">
    <w:name w:val="annotation reference"/>
    <w:basedOn w:val="DefaultParagraphFont"/>
    <w:uiPriority w:val="99"/>
    <w:semiHidden/>
    <w:unhideWhenUsed/>
    <w:rsid w:val="00381B2F"/>
    <w:rPr>
      <w:sz w:val="16"/>
      <w:szCs w:val="16"/>
    </w:rPr>
  </w:style>
  <w:style w:type="paragraph" w:styleId="CommentText">
    <w:name w:val="annotation text"/>
    <w:basedOn w:val="Normal"/>
    <w:link w:val="CommentTextChar"/>
    <w:uiPriority w:val="99"/>
    <w:unhideWhenUsed/>
    <w:rsid w:val="00381B2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81B2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81B2F"/>
    <w:rPr>
      <w:b/>
      <w:bCs/>
    </w:rPr>
  </w:style>
  <w:style w:type="character" w:customStyle="1" w:styleId="CommentSubjectChar">
    <w:name w:val="Comment Subject Char"/>
    <w:basedOn w:val="CommentTextChar"/>
    <w:link w:val="CommentSubject"/>
    <w:uiPriority w:val="99"/>
    <w:semiHidden/>
    <w:rsid w:val="00381B2F"/>
    <w:rPr>
      <w:rFonts w:asciiTheme="minorHAnsi" w:eastAsiaTheme="minorHAnsi" w:hAnsiTheme="minorHAnsi" w:cstheme="minorBidi"/>
      <w:b/>
      <w:bCs/>
      <w:lang w:eastAsia="en-US"/>
    </w:rPr>
  </w:style>
  <w:style w:type="character" w:styleId="Mention">
    <w:name w:val="Mention"/>
    <w:basedOn w:val="DefaultParagraphFont"/>
    <w:uiPriority w:val="99"/>
    <w:unhideWhenUsed/>
    <w:rsid w:val="00381B2F"/>
    <w:rPr>
      <w:color w:val="2B579A"/>
      <w:shd w:val="clear" w:color="auto" w:fill="E6E6E6"/>
    </w:rPr>
  </w:style>
  <w:style w:type="character" w:styleId="UnresolvedMention">
    <w:name w:val="Unresolved Mention"/>
    <w:basedOn w:val="DefaultParagraphFont"/>
    <w:uiPriority w:val="99"/>
    <w:unhideWhenUsed/>
    <w:rsid w:val="00381B2F"/>
    <w:rPr>
      <w:color w:val="605E5C"/>
      <w:shd w:val="clear" w:color="auto" w:fill="E1DFDD"/>
    </w:rPr>
  </w:style>
  <w:style w:type="paragraph" w:styleId="Revision">
    <w:name w:val="Revision"/>
    <w:hidden/>
    <w:uiPriority w:val="99"/>
    <w:semiHidden/>
    <w:rsid w:val="00381B2F"/>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381B2F"/>
    <w:pPr>
      <w:spacing w:before="100" w:beforeAutospacing="1" w:after="100" w:afterAutospacing="1"/>
    </w:pPr>
    <w:rPr>
      <w:rFonts w:ascii="Times New Roman" w:hAnsi="Times New Roman"/>
      <w:sz w:val="24"/>
      <w:szCs w:val="24"/>
      <w:lang w:eastAsia="en-AU"/>
    </w:rPr>
  </w:style>
  <w:style w:type="character" w:customStyle="1" w:styleId="spellingerror">
    <w:name w:val="spellingerror"/>
    <w:basedOn w:val="DefaultParagraphFont"/>
    <w:rsid w:val="00DD0930"/>
  </w:style>
  <w:style w:type="character" w:customStyle="1" w:styleId="contextualspellingandgrammarerror">
    <w:name w:val="contextualspellingandgrammarerror"/>
    <w:basedOn w:val="DefaultParagraphFont"/>
    <w:rsid w:val="00DD0930"/>
  </w:style>
  <w:style w:type="paragraph" w:customStyle="1" w:styleId="Body">
    <w:name w:val="Body"/>
    <w:basedOn w:val="Normal"/>
    <w:rsid w:val="00643556"/>
    <w:pPr>
      <w:spacing w:after="160" w:line="280" w:lineRule="atLeast"/>
    </w:pPr>
    <w:rPr>
      <w:rFonts w:ascii="Arial" w:eastAsia="Times" w:hAnsi="Arial"/>
      <w:sz w:val="21"/>
      <w:szCs w:val="21"/>
    </w:rPr>
  </w:style>
  <w:style w:type="paragraph" w:customStyle="1" w:styleId="Bullet1">
    <w:name w:val="Bullet 1"/>
    <w:basedOn w:val="DHHSbullet1"/>
    <w:rsid w:val="00643556"/>
    <w:pPr>
      <w:spacing w:line="280" w:lineRule="atLeast"/>
      <w:ind w:left="288" w:hanging="288"/>
    </w:pPr>
    <w:rPr>
      <w:sz w:val="21"/>
      <w:szCs w:val="21"/>
    </w:rPr>
  </w:style>
  <w:style w:type="paragraph" w:customStyle="1" w:styleId="Bodyafterbullets">
    <w:name w:val="Body after bullets"/>
    <w:basedOn w:val="Body"/>
    <w:rsid w:val="00643556"/>
    <w:pPr>
      <w:spacing w:before="160"/>
    </w:pPr>
  </w:style>
  <w:style w:type="paragraph" w:customStyle="1" w:styleId="Tabletext">
    <w:name w:val="Table text"/>
    <w:basedOn w:val="DHHStabletext"/>
    <w:rsid w:val="000D0B9B"/>
    <w:rPr>
      <w:sz w:val="21"/>
      <w:szCs w:val="21"/>
      <w:lang w:val="en-US"/>
    </w:rPr>
  </w:style>
  <w:style w:type="paragraph" w:customStyle="1" w:styleId="Tablecolhead">
    <w:name w:val="Table col head"/>
    <w:basedOn w:val="DHHStablecolhead"/>
    <w:rsid w:val="000D0B9B"/>
    <w:rPr>
      <w:sz w:val="21"/>
      <w:szCs w:val="21"/>
    </w:rPr>
  </w:style>
  <w:style w:type="paragraph" w:customStyle="1" w:styleId="Tablecaption">
    <w:name w:val="Table caption"/>
    <w:basedOn w:val="DHHStablecaption"/>
    <w:rsid w:val="000D0B9B"/>
    <w:rPr>
      <w:sz w:val="21"/>
      <w:szCs w:val="21"/>
    </w:rPr>
  </w:style>
  <w:style w:type="paragraph" w:customStyle="1" w:styleId="Figurecaption">
    <w:name w:val="Figure caption"/>
    <w:basedOn w:val="Tablecaption"/>
    <w:rsid w:val="007B2175"/>
    <w:rPr>
      <w:lang w:val="en-US"/>
    </w:rPr>
  </w:style>
  <w:style w:type="paragraph" w:customStyle="1" w:styleId="Bodyaftertable">
    <w:name w:val="Body after table"/>
    <w:basedOn w:val="Bodyafterbullets"/>
    <w:rsid w:val="00643556"/>
    <w:pPr>
      <w:spacing w:before="200"/>
    </w:pPr>
  </w:style>
  <w:style w:type="paragraph" w:customStyle="1" w:styleId="Tablefigurenote">
    <w:name w:val="Table/figure note"/>
    <w:basedOn w:val="DHHStablefigurenote"/>
    <w:rsid w:val="00643556"/>
    <w:rPr>
      <w:rFonts w:eastAsia="Arial"/>
      <w:i w:val="0"/>
      <w:iCs/>
      <w:lang w:val="en-US"/>
    </w:rPr>
  </w:style>
  <w:style w:type="paragraph" w:customStyle="1" w:styleId="Bodynospace">
    <w:name w:val="Body no space"/>
    <w:basedOn w:val="Body"/>
    <w:rsid w:val="00D40C2B"/>
    <w:pPr>
      <w:spacing w:after="0"/>
    </w:pPr>
  </w:style>
  <w:style w:type="paragraph" w:customStyle="1" w:styleId="Boxtitle">
    <w:name w:val="Box title"/>
    <w:basedOn w:val="Body"/>
    <w:rsid w:val="00BF3C21"/>
    <w:pPr>
      <w:spacing w:before="120"/>
    </w:pPr>
    <w:rPr>
      <w:b/>
      <w:bCs/>
    </w:rPr>
  </w:style>
  <w:style w:type="paragraph" w:customStyle="1" w:styleId="Documenttitle">
    <w:name w:val="Document title"/>
    <w:uiPriority w:val="8"/>
    <w:rsid w:val="00B41C39"/>
    <w:pPr>
      <w:spacing w:after="240" w:line="560" w:lineRule="atLeast"/>
    </w:pPr>
    <w:rPr>
      <w:rFonts w:ascii="Arial" w:hAnsi="Arial"/>
      <w:b/>
      <w:color w:val="201547"/>
      <w:sz w:val="48"/>
      <w:szCs w:val="50"/>
      <w:lang w:eastAsia="en-US"/>
    </w:rPr>
  </w:style>
  <w:style w:type="paragraph" w:customStyle="1" w:styleId="Documentsubtitle">
    <w:name w:val="Document subtitle"/>
    <w:uiPriority w:val="8"/>
    <w:rsid w:val="00B41C39"/>
    <w:pPr>
      <w:spacing w:after="120"/>
    </w:pPr>
    <w:rPr>
      <w:rFonts w:ascii="Arial" w:hAnsi="Arial"/>
      <w:color w:val="53565A"/>
      <w:sz w:val="28"/>
      <w:szCs w:val="24"/>
      <w:lang w:eastAsia="en-US"/>
    </w:rPr>
  </w:style>
  <w:style w:type="paragraph" w:customStyle="1" w:styleId="Bannermarking">
    <w:name w:val="Banner marking"/>
    <w:basedOn w:val="Normal"/>
    <w:uiPriority w:val="11"/>
    <w:rsid w:val="00B41C39"/>
    <w:pPr>
      <w:spacing w:line="280" w:lineRule="atLeast"/>
    </w:pPr>
    <w:rPr>
      <w:rFonts w:ascii="Arial" w:eastAsia="Times" w:hAnsi="Arial"/>
      <w:b/>
      <w:b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02881">
      <w:bodyDiv w:val="1"/>
      <w:marLeft w:val="0"/>
      <w:marRight w:val="0"/>
      <w:marTop w:val="0"/>
      <w:marBottom w:val="0"/>
      <w:divBdr>
        <w:top w:val="none" w:sz="0" w:space="0" w:color="auto"/>
        <w:left w:val="none" w:sz="0" w:space="0" w:color="auto"/>
        <w:bottom w:val="none" w:sz="0" w:space="0" w:color="auto"/>
        <w:right w:val="none" w:sz="0" w:space="0" w:color="auto"/>
      </w:divBdr>
    </w:div>
    <w:div w:id="932278119">
      <w:bodyDiv w:val="1"/>
      <w:marLeft w:val="0"/>
      <w:marRight w:val="0"/>
      <w:marTop w:val="0"/>
      <w:marBottom w:val="0"/>
      <w:divBdr>
        <w:top w:val="none" w:sz="0" w:space="0" w:color="auto"/>
        <w:left w:val="none" w:sz="0" w:space="0" w:color="auto"/>
        <w:bottom w:val="none" w:sz="0" w:space="0" w:color="auto"/>
        <w:right w:val="none" w:sz="0" w:space="0" w:color="auto"/>
      </w:divBdr>
    </w:div>
    <w:div w:id="1223247435">
      <w:bodyDiv w:val="1"/>
      <w:marLeft w:val="0"/>
      <w:marRight w:val="0"/>
      <w:marTop w:val="0"/>
      <w:marBottom w:val="0"/>
      <w:divBdr>
        <w:top w:val="none" w:sz="0" w:space="0" w:color="auto"/>
        <w:left w:val="none" w:sz="0" w:space="0" w:color="auto"/>
        <w:bottom w:val="none" w:sz="0" w:space="0" w:color="auto"/>
        <w:right w:val="none" w:sz="0" w:space="0" w:color="auto"/>
      </w:divBdr>
    </w:div>
    <w:div w:id="1481384193">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dhhsvicgovau.sharepoint.com/sites/OfficeoftheChiefPsychiatrist-DHHS-GRP/Shared%20Documents/OCP%20Annual%20Report%20planning/OCP%20Annual%20Report%202020-21/the%20Department&#8217;s%20website" TargetMode="External"/><Relationship Id="rId20" Type="http://schemas.openxmlformats.org/officeDocument/2006/relationships/hyperlink" Target="mailto:ocp@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2.health.vic.gov.au/about/key-staff/chief-psychiatrist" TargetMode="External"/><Relationship Id="rId23" Type="http://schemas.openxmlformats.org/officeDocument/2006/relationships/footer" Target="footer3.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2.health.vic.gov.au/about/publications/researchandreports/chief-psychiatrist-quality-and-safety-bullet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p@dhhs.vic.gov.au" TargetMode="External"/><Relationship Id="rId22" Type="http://schemas.openxmlformats.org/officeDocument/2006/relationships/header" Target="header2.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FBD24AB-9B49-40A6-AB9E-E9B8B7BAA370}">
    <t:Anchor>
      <t:Comment id="879000353"/>
    </t:Anchor>
    <t:History>
      <t:Event id="{CCD2DAE6-BD14-4352-AE53-D1DAF3B87485}" time="2021-09-09T09:17:32.58Z">
        <t:Attribution userId="S::dom.baetens@health.vic.gov.au::1ae88f1b-ff41-49c4-bbe0-b9fcb19c29c6" userProvider="AD" userName="Dom Baetens (Health)"/>
        <t:Anchor>
          <t:Comment id="879000353"/>
        </t:Anchor>
        <t:Create/>
      </t:Event>
      <t:Event id="{5B37B73B-5D66-4270-8D9A-D4D65A7F0526}" time="2021-09-09T09:17:32.58Z">
        <t:Attribution userId="S::dom.baetens@health.vic.gov.au::1ae88f1b-ff41-49c4-bbe0-b9fcb19c29c6" userProvider="AD" userName="Dom Baetens (Health)"/>
        <t:Anchor>
          <t:Comment id="879000353"/>
        </t:Anchor>
        <t:Assign userId="S::george.vasilev@health.vic.gov.au::1fd56ff2-e84f-4951-9a67-8831ffd1fae9" userProvider="AD" userName="George Vasilev (Health)"/>
      </t:Event>
      <t:Event id="{54BECB28-0306-41A7-999C-495FCA7B8485}" time="2021-09-09T09:17:32.58Z">
        <t:Attribution userId="S::dom.baetens@health.vic.gov.au::1ae88f1b-ff41-49c4-bbe0-b9fcb19c29c6" userProvider="AD" userName="Dom Baetens (Health)"/>
        <t:Anchor>
          <t:Comment id="879000353"/>
        </t:Anchor>
        <t:SetTitle title="@George Vasilev (Health) - did you want us to provide examples George?"/>
      </t:Event>
    </t:History>
  </t:Task>
  <t:Task id="{877ACF5D-DCF3-47CA-86B1-2AB5FB3FA331}">
    <t:Anchor>
      <t:Comment id="175961191"/>
    </t:Anchor>
    <t:History>
      <t:Event id="{CF76EF5A-389A-4222-9E88-73784738BFA1}" time="2021-09-09T09:36:54.149Z">
        <t:Attribution userId="S::dom.baetens@health.vic.gov.au::1ae88f1b-ff41-49c4-bbe0-b9fcb19c29c6" userProvider="AD" userName="Dom Baetens (Health)"/>
        <t:Anchor>
          <t:Comment id="175961191"/>
        </t:Anchor>
        <t:Create/>
      </t:Event>
      <t:Event id="{FA6D0FE7-A63C-41A7-B98D-4CA7C6A15A9D}" time="2021-09-09T09:36:54.149Z">
        <t:Attribution userId="S::dom.baetens@health.vic.gov.au::1ae88f1b-ff41-49c4-bbe0-b9fcb19c29c6" userProvider="AD" userName="Dom Baetens (Health)"/>
        <t:Anchor>
          <t:Comment id="175961191"/>
        </t:Anchor>
        <t:Assign userId="S::Neil.Coventry@health.vic.gov.au::d8e1249d-d624-41f4-8fbe-d1c32b993ca5" userProvider="AD" userName="Neil Coventry (Health)"/>
      </t:Event>
      <t:Event id="{03ED069C-E3A6-4FF1-BB8A-26158A4B8EB0}" time="2021-09-09T09:36:54.149Z">
        <t:Attribution userId="S::dom.baetens@health.vic.gov.au::1ae88f1b-ff41-49c4-bbe0-b9fcb19c29c6" userProvider="AD" userName="Dom Baetens (Health)"/>
        <t:Anchor>
          <t:Comment id="175961191"/>
        </t:Anchor>
        <t:SetTitle title="@Katherine Utry (Health) @Neil Coventry (Health) @David K Huppert (Health) @Sathya Rao (Health) - dare we comment on increased presentations and contact related to subsections of the community e.g. youth, eating disorders? We would need to cross …"/>
      </t:Event>
    </t:History>
  </t:Task>
  <t:Task id="{DA7B9AF3-C4C7-4771-B50C-323C2494CC4E}">
    <t:Anchor>
      <t:Comment id="139863397"/>
    </t:Anchor>
    <t:History>
      <t:Event id="{EEF28B1D-DC35-4ACC-A93E-7C367F37E7F1}" time="2021-09-09T11:10:09.783Z">
        <t:Attribution userId="S::dom.baetens@health.vic.gov.au::1ae88f1b-ff41-49c4-bbe0-b9fcb19c29c6" userProvider="AD" userName="Dom Baetens (Health)"/>
        <t:Anchor>
          <t:Comment id="139863397"/>
        </t:Anchor>
        <t:Create/>
      </t:Event>
      <t:Event id="{F2ADD898-8973-4E46-A73C-66668871610A}" time="2021-09-09T11:10:09.783Z">
        <t:Attribution userId="S::dom.baetens@health.vic.gov.au::1ae88f1b-ff41-49c4-bbe0-b9fcb19c29c6" userProvider="AD" userName="Dom Baetens (Health)"/>
        <t:Anchor>
          <t:Comment id="139863397"/>
        </t:Anchor>
        <t:Assign userId="S::David.k.Huppert@health.vic.gov.au::60f882b0-90e0-4459-851f-3b16fb018b60" userProvider="AD" userName="David K Huppert (Health)"/>
      </t:Event>
      <t:Event id="{A7891B83-4F59-4106-A53A-A7BDF418CAF3}" time="2021-09-09T11:10:09.783Z">
        <t:Attribution userId="S::dom.baetens@health.vic.gov.au::1ae88f1b-ff41-49c4-bbe0-b9fcb19c29c6" userProvider="AD" userName="Dom Baetens (Health)"/>
        <t:Anchor>
          <t:Comment id="139863397"/>
        </t:Anchor>
        <t:SetTitle title="@David K Huppert (Health) when did we get Forensicare to change its reporting around seclusion in terms of ongoing seclusion? Would that impact on this dat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1ce4eaa-4cb8-4908-9479-89279dfc8e74">
      <UserInfo>
        <DisplayName>Daniel O'Connor (MHT)</DisplayName>
        <AccountId>22</AccountId>
        <AccountType/>
      </UserInfo>
      <UserInfo>
        <DisplayName>David K Huppert (Health)</DisplayName>
        <AccountId>16</AccountId>
        <AccountType/>
      </UserInfo>
      <UserInfo>
        <DisplayName>Dom Baetens (Health)</DisplayName>
        <AccountId>68</AccountId>
        <AccountType/>
      </UserInfo>
      <UserInfo>
        <DisplayName>Sathya Rao (Health)</DisplayName>
        <AccountId>126</AccountId>
        <AccountType/>
      </UserInfo>
      <UserInfo>
        <DisplayName>Sayesha Hasija (Health)</DisplayName>
        <AccountId>123</AccountId>
        <AccountType/>
      </UserInfo>
      <UserInfo>
        <DisplayName>Maria M Rivas Priday (Health)</DisplayName>
        <AccountId>20</AccountId>
        <AccountType/>
      </UserInfo>
      <UserInfo>
        <DisplayName>Moses Abbatangelo (Health)</DisplayName>
        <AccountId>71</AccountId>
        <AccountType/>
      </UserInfo>
      <UserInfo>
        <DisplayName>Katherine Utry (Health)</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1" ma:contentTypeDescription="Create a new document." ma:contentTypeScope="" ma:versionID="fc3b0f3f90b9ecd4261123cf3c7a76e8">
  <xsd:schema xmlns:xsd="http://www.w3.org/2001/XMLSchema" xmlns:xs="http://www.w3.org/2001/XMLSchema" xmlns:p="http://schemas.microsoft.com/office/2006/metadata/properties" xmlns:ns2="3fdefc27-9daa-4412-9bc3-ba173f0af375" xmlns:ns3="81ce4eaa-4cb8-4908-9479-89279dfc8e74" targetNamespace="http://schemas.microsoft.com/office/2006/metadata/properties" ma:root="true" ma:fieldsID="0fe58f7db881ad5c8e1d256965a5f94a" ns2:_="" ns3:_="">
    <xsd:import namespace="3fdefc27-9daa-4412-9bc3-ba173f0af375"/>
    <xsd:import namespace="81ce4eaa-4cb8-4908-9479-89279dfc8e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B5B52-5AA8-47A7-A5D8-49E282B6E3D3}">
  <ds:schemaRefs>
    <ds:schemaRef ds:uri="http://schemas.openxmlformats.org/officeDocument/2006/bibliography"/>
  </ds:schemaRefs>
</ds:datastoreItem>
</file>

<file path=customXml/itemProps2.xml><?xml version="1.0" encoding="utf-8"?>
<ds:datastoreItem xmlns:ds="http://schemas.openxmlformats.org/officeDocument/2006/customXml" ds:itemID="{51D92642-FCF0-4B26-9B07-968FA704AF7B}">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fdefc27-9daa-4412-9bc3-ba173f0af375"/>
    <ds:schemaRef ds:uri="http://purl.org/dc/elements/1.1/"/>
    <ds:schemaRef ds:uri="81ce4eaa-4cb8-4908-9479-89279dfc8e74"/>
    <ds:schemaRef ds:uri="http://www.w3.org/XML/1998/namespace"/>
    <ds:schemaRef ds:uri="http://purl.org/dc/dcmitype/"/>
  </ds:schemaRefs>
</ds:datastoreItem>
</file>

<file path=customXml/itemProps3.xml><?xml version="1.0" encoding="utf-8"?>
<ds:datastoreItem xmlns:ds="http://schemas.openxmlformats.org/officeDocument/2006/customXml" ds:itemID="{DE5607F4-ACA8-43BB-83E8-40D84E6A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979ED-22C3-47D1-A084-A6111F03D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34</Pages>
  <Words>12716</Words>
  <Characters>69946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Chief Psychiatrist’s annual report 2020–21</vt:lpstr>
    </vt:vector>
  </TitlesOfParts>
  <Company>Department of Health</Company>
  <LinksUpToDate>false</LinksUpToDate>
  <CharactersWithSpaces>82498</CharactersWithSpaces>
  <SharedDoc>false</SharedDoc>
  <HyperlinkBase/>
  <HLinks>
    <vt:vector size="168" baseType="variant">
      <vt:variant>
        <vt:i4>2883607</vt:i4>
      </vt:variant>
      <vt:variant>
        <vt:i4>153</vt:i4>
      </vt:variant>
      <vt:variant>
        <vt:i4>0</vt:i4>
      </vt:variant>
      <vt:variant>
        <vt:i4>5</vt:i4>
      </vt:variant>
      <vt:variant>
        <vt:lpwstr>mailto:ocp@dhhs.vic.gov.au</vt:lpwstr>
      </vt:variant>
      <vt:variant>
        <vt:lpwstr/>
      </vt:variant>
      <vt:variant>
        <vt:i4>7798828</vt:i4>
      </vt:variant>
      <vt:variant>
        <vt:i4>150</vt:i4>
      </vt:variant>
      <vt:variant>
        <vt:i4>0</vt:i4>
      </vt:variant>
      <vt:variant>
        <vt:i4>5</vt:i4>
      </vt:variant>
      <vt:variant>
        <vt:lpwstr>https://www2.health.vic.gov.au/about/publications/researchandreports/chief-psychiatrist-quality-and-safety-bulletin</vt:lpwstr>
      </vt:variant>
      <vt:variant>
        <vt:lpwstr/>
      </vt:variant>
      <vt:variant>
        <vt:i4>8003658</vt:i4>
      </vt:variant>
      <vt:variant>
        <vt:i4>147</vt:i4>
      </vt:variant>
      <vt:variant>
        <vt:i4>0</vt:i4>
      </vt:variant>
      <vt:variant>
        <vt:i4>5</vt:i4>
      </vt:variant>
      <vt:variant>
        <vt:lpwstr>https://dhhsvicgovau.sharepoint.com/sites/OfficeoftheChiefPsychiatrist-DHHS-GRP/Shared Documents/OCP Annual Report planning/OCP Annual Report 2020-21/the Department’s website</vt:lpwstr>
      </vt:variant>
      <vt:variant>
        <vt:lpwstr/>
      </vt:variant>
      <vt:variant>
        <vt:i4>1638451</vt:i4>
      </vt:variant>
      <vt:variant>
        <vt:i4>140</vt:i4>
      </vt:variant>
      <vt:variant>
        <vt:i4>0</vt:i4>
      </vt:variant>
      <vt:variant>
        <vt:i4>5</vt:i4>
      </vt:variant>
      <vt:variant>
        <vt:lpwstr/>
      </vt:variant>
      <vt:variant>
        <vt:lpwstr>_Toc83229609</vt:lpwstr>
      </vt:variant>
      <vt:variant>
        <vt:i4>1572915</vt:i4>
      </vt:variant>
      <vt:variant>
        <vt:i4>134</vt:i4>
      </vt:variant>
      <vt:variant>
        <vt:i4>0</vt:i4>
      </vt:variant>
      <vt:variant>
        <vt:i4>5</vt:i4>
      </vt:variant>
      <vt:variant>
        <vt:lpwstr/>
      </vt:variant>
      <vt:variant>
        <vt:lpwstr>_Toc83229608</vt:lpwstr>
      </vt:variant>
      <vt:variant>
        <vt:i4>1507379</vt:i4>
      </vt:variant>
      <vt:variant>
        <vt:i4>128</vt:i4>
      </vt:variant>
      <vt:variant>
        <vt:i4>0</vt:i4>
      </vt:variant>
      <vt:variant>
        <vt:i4>5</vt:i4>
      </vt:variant>
      <vt:variant>
        <vt:lpwstr/>
      </vt:variant>
      <vt:variant>
        <vt:lpwstr>_Toc83229607</vt:lpwstr>
      </vt:variant>
      <vt:variant>
        <vt:i4>1441843</vt:i4>
      </vt:variant>
      <vt:variant>
        <vt:i4>122</vt:i4>
      </vt:variant>
      <vt:variant>
        <vt:i4>0</vt:i4>
      </vt:variant>
      <vt:variant>
        <vt:i4>5</vt:i4>
      </vt:variant>
      <vt:variant>
        <vt:lpwstr/>
      </vt:variant>
      <vt:variant>
        <vt:lpwstr>_Toc83229606</vt:lpwstr>
      </vt:variant>
      <vt:variant>
        <vt:i4>1376307</vt:i4>
      </vt:variant>
      <vt:variant>
        <vt:i4>116</vt:i4>
      </vt:variant>
      <vt:variant>
        <vt:i4>0</vt:i4>
      </vt:variant>
      <vt:variant>
        <vt:i4>5</vt:i4>
      </vt:variant>
      <vt:variant>
        <vt:lpwstr/>
      </vt:variant>
      <vt:variant>
        <vt:lpwstr>_Toc83229605</vt:lpwstr>
      </vt:variant>
      <vt:variant>
        <vt:i4>1310771</vt:i4>
      </vt:variant>
      <vt:variant>
        <vt:i4>110</vt:i4>
      </vt:variant>
      <vt:variant>
        <vt:i4>0</vt:i4>
      </vt:variant>
      <vt:variant>
        <vt:i4>5</vt:i4>
      </vt:variant>
      <vt:variant>
        <vt:lpwstr/>
      </vt:variant>
      <vt:variant>
        <vt:lpwstr>_Toc83229604</vt:lpwstr>
      </vt:variant>
      <vt:variant>
        <vt:i4>1245235</vt:i4>
      </vt:variant>
      <vt:variant>
        <vt:i4>104</vt:i4>
      </vt:variant>
      <vt:variant>
        <vt:i4>0</vt:i4>
      </vt:variant>
      <vt:variant>
        <vt:i4>5</vt:i4>
      </vt:variant>
      <vt:variant>
        <vt:lpwstr/>
      </vt:variant>
      <vt:variant>
        <vt:lpwstr>_Toc83229603</vt:lpwstr>
      </vt:variant>
      <vt:variant>
        <vt:i4>1179699</vt:i4>
      </vt:variant>
      <vt:variant>
        <vt:i4>98</vt:i4>
      </vt:variant>
      <vt:variant>
        <vt:i4>0</vt:i4>
      </vt:variant>
      <vt:variant>
        <vt:i4>5</vt:i4>
      </vt:variant>
      <vt:variant>
        <vt:lpwstr/>
      </vt:variant>
      <vt:variant>
        <vt:lpwstr>_Toc83229602</vt:lpwstr>
      </vt:variant>
      <vt:variant>
        <vt:i4>1114163</vt:i4>
      </vt:variant>
      <vt:variant>
        <vt:i4>92</vt:i4>
      </vt:variant>
      <vt:variant>
        <vt:i4>0</vt:i4>
      </vt:variant>
      <vt:variant>
        <vt:i4>5</vt:i4>
      </vt:variant>
      <vt:variant>
        <vt:lpwstr/>
      </vt:variant>
      <vt:variant>
        <vt:lpwstr>_Toc83229601</vt:lpwstr>
      </vt:variant>
      <vt:variant>
        <vt:i4>1048627</vt:i4>
      </vt:variant>
      <vt:variant>
        <vt:i4>86</vt:i4>
      </vt:variant>
      <vt:variant>
        <vt:i4>0</vt:i4>
      </vt:variant>
      <vt:variant>
        <vt:i4>5</vt:i4>
      </vt:variant>
      <vt:variant>
        <vt:lpwstr/>
      </vt:variant>
      <vt:variant>
        <vt:lpwstr>_Toc83229600</vt:lpwstr>
      </vt:variant>
      <vt:variant>
        <vt:i4>1703994</vt:i4>
      </vt:variant>
      <vt:variant>
        <vt:i4>80</vt:i4>
      </vt:variant>
      <vt:variant>
        <vt:i4>0</vt:i4>
      </vt:variant>
      <vt:variant>
        <vt:i4>5</vt:i4>
      </vt:variant>
      <vt:variant>
        <vt:lpwstr/>
      </vt:variant>
      <vt:variant>
        <vt:lpwstr>_Toc83229599</vt:lpwstr>
      </vt:variant>
      <vt:variant>
        <vt:i4>1769530</vt:i4>
      </vt:variant>
      <vt:variant>
        <vt:i4>74</vt:i4>
      </vt:variant>
      <vt:variant>
        <vt:i4>0</vt:i4>
      </vt:variant>
      <vt:variant>
        <vt:i4>5</vt:i4>
      </vt:variant>
      <vt:variant>
        <vt:lpwstr/>
      </vt:variant>
      <vt:variant>
        <vt:lpwstr>_Toc83229598</vt:lpwstr>
      </vt:variant>
      <vt:variant>
        <vt:i4>1310778</vt:i4>
      </vt:variant>
      <vt:variant>
        <vt:i4>68</vt:i4>
      </vt:variant>
      <vt:variant>
        <vt:i4>0</vt:i4>
      </vt:variant>
      <vt:variant>
        <vt:i4>5</vt:i4>
      </vt:variant>
      <vt:variant>
        <vt:lpwstr/>
      </vt:variant>
      <vt:variant>
        <vt:lpwstr>_Toc83229597</vt:lpwstr>
      </vt:variant>
      <vt:variant>
        <vt:i4>1376314</vt:i4>
      </vt:variant>
      <vt:variant>
        <vt:i4>62</vt:i4>
      </vt:variant>
      <vt:variant>
        <vt:i4>0</vt:i4>
      </vt:variant>
      <vt:variant>
        <vt:i4>5</vt:i4>
      </vt:variant>
      <vt:variant>
        <vt:lpwstr/>
      </vt:variant>
      <vt:variant>
        <vt:lpwstr>_Toc83229596</vt:lpwstr>
      </vt:variant>
      <vt:variant>
        <vt:i4>1441850</vt:i4>
      </vt:variant>
      <vt:variant>
        <vt:i4>56</vt:i4>
      </vt:variant>
      <vt:variant>
        <vt:i4>0</vt:i4>
      </vt:variant>
      <vt:variant>
        <vt:i4>5</vt:i4>
      </vt:variant>
      <vt:variant>
        <vt:lpwstr/>
      </vt:variant>
      <vt:variant>
        <vt:lpwstr>_Toc83229595</vt:lpwstr>
      </vt:variant>
      <vt:variant>
        <vt:i4>1507386</vt:i4>
      </vt:variant>
      <vt:variant>
        <vt:i4>50</vt:i4>
      </vt:variant>
      <vt:variant>
        <vt:i4>0</vt:i4>
      </vt:variant>
      <vt:variant>
        <vt:i4>5</vt:i4>
      </vt:variant>
      <vt:variant>
        <vt:lpwstr/>
      </vt:variant>
      <vt:variant>
        <vt:lpwstr>_Toc83229594</vt:lpwstr>
      </vt:variant>
      <vt:variant>
        <vt:i4>1048634</vt:i4>
      </vt:variant>
      <vt:variant>
        <vt:i4>44</vt:i4>
      </vt:variant>
      <vt:variant>
        <vt:i4>0</vt:i4>
      </vt:variant>
      <vt:variant>
        <vt:i4>5</vt:i4>
      </vt:variant>
      <vt:variant>
        <vt:lpwstr/>
      </vt:variant>
      <vt:variant>
        <vt:lpwstr>_Toc83229593</vt:lpwstr>
      </vt:variant>
      <vt:variant>
        <vt:i4>1114170</vt:i4>
      </vt:variant>
      <vt:variant>
        <vt:i4>38</vt:i4>
      </vt:variant>
      <vt:variant>
        <vt:i4>0</vt:i4>
      </vt:variant>
      <vt:variant>
        <vt:i4>5</vt:i4>
      </vt:variant>
      <vt:variant>
        <vt:lpwstr/>
      </vt:variant>
      <vt:variant>
        <vt:lpwstr>_Toc83229592</vt:lpwstr>
      </vt:variant>
      <vt:variant>
        <vt:i4>1179706</vt:i4>
      </vt:variant>
      <vt:variant>
        <vt:i4>32</vt:i4>
      </vt:variant>
      <vt:variant>
        <vt:i4>0</vt:i4>
      </vt:variant>
      <vt:variant>
        <vt:i4>5</vt:i4>
      </vt:variant>
      <vt:variant>
        <vt:lpwstr/>
      </vt:variant>
      <vt:variant>
        <vt:lpwstr>_Toc83229591</vt:lpwstr>
      </vt:variant>
      <vt:variant>
        <vt:i4>1245242</vt:i4>
      </vt:variant>
      <vt:variant>
        <vt:i4>26</vt:i4>
      </vt:variant>
      <vt:variant>
        <vt:i4>0</vt:i4>
      </vt:variant>
      <vt:variant>
        <vt:i4>5</vt:i4>
      </vt:variant>
      <vt:variant>
        <vt:lpwstr/>
      </vt:variant>
      <vt:variant>
        <vt:lpwstr>_Toc83229590</vt:lpwstr>
      </vt:variant>
      <vt:variant>
        <vt:i4>1703995</vt:i4>
      </vt:variant>
      <vt:variant>
        <vt:i4>20</vt:i4>
      </vt:variant>
      <vt:variant>
        <vt:i4>0</vt:i4>
      </vt:variant>
      <vt:variant>
        <vt:i4>5</vt:i4>
      </vt:variant>
      <vt:variant>
        <vt:lpwstr/>
      </vt:variant>
      <vt:variant>
        <vt:lpwstr>_Toc83229589</vt:lpwstr>
      </vt:variant>
      <vt:variant>
        <vt:i4>1769531</vt:i4>
      </vt:variant>
      <vt:variant>
        <vt:i4>14</vt:i4>
      </vt:variant>
      <vt:variant>
        <vt:i4>0</vt:i4>
      </vt:variant>
      <vt:variant>
        <vt:i4>5</vt:i4>
      </vt:variant>
      <vt:variant>
        <vt:lpwstr/>
      </vt:variant>
      <vt:variant>
        <vt:lpwstr>_Toc83229588</vt:lpwstr>
      </vt:variant>
      <vt:variant>
        <vt:i4>1310779</vt:i4>
      </vt:variant>
      <vt:variant>
        <vt:i4>8</vt:i4>
      </vt:variant>
      <vt:variant>
        <vt:i4>0</vt:i4>
      </vt:variant>
      <vt:variant>
        <vt:i4>5</vt:i4>
      </vt:variant>
      <vt:variant>
        <vt:lpwstr/>
      </vt:variant>
      <vt:variant>
        <vt:lpwstr>_Toc83229587</vt:lpwstr>
      </vt:variant>
      <vt:variant>
        <vt:i4>327756</vt:i4>
      </vt:variant>
      <vt:variant>
        <vt:i4>3</vt:i4>
      </vt:variant>
      <vt:variant>
        <vt:i4>0</vt:i4>
      </vt:variant>
      <vt:variant>
        <vt:i4>5</vt:i4>
      </vt:variant>
      <vt:variant>
        <vt:lpwstr>https://www2.health.vic.gov.au/about/key-staff/chief-psychiatrist</vt:lpwstr>
      </vt:variant>
      <vt:variant>
        <vt:lpwstr/>
      </vt:variant>
      <vt:variant>
        <vt:i4>2883607</vt:i4>
      </vt:variant>
      <vt:variant>
        <vt:i4>0</vt:i4>
      </vt:variant>
      <vt:variant>
        <vt:i4>0</vt:i4>
      </vt:variant>
      <vt:variant>
        <vt:i4>5</vt:i4>
      </vt:variant>
      <vt:variant>
        <vt:lpwstr>mailto:ocp@dhhs.vic.gov.au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Psychiatrist’s annual report 2020–21</dc:title>
  <dc:subject>Chief Psychiatrist’s annual report 2020–21</dc:subject>
  <dc:creator>Mental Health Branch</dc:creator>
  <cp:keywords>Chief Psychiatrist, annual report, 2020–21, mental health, victoria</cp:keywords>
  <cp:lastModifiedBy>George Vasilev (Health)</cp:lastModifiedBy>
  <cp:revision>13</cp:revision>
  <cp:lastPrinted>2015-08-26T22:33:00Z</cp:lastPrinted>
  <dcterms:created xsi:type="dcterms:W3CDTF">2021-10-28T09:41:00Z</dcterms:created>
  <dcterms:modified xsi:type="dcterms:W3CDTF">2021-11-15T01:16:00Z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MSIP_Label_f20f9b25-8d0c-4146-9c91-3f0a3637bd09_Enabled">
    <vt:lpwstr>true</vt:lpwstr>
  </property>
  <property fmtid="{D5CDD505-2E9C-101B-9397-08002B2CF9AE}" pid="5" name="MSIP_Label_f20f9b25-8d0c-4146-9c91-3f0a3637bd09_SetDate">
    <vt:lpwstr>2021-09-24T03:31:13Z</vt:lpwstr>
  </property>
  <property fmtid="{D5CDD505-2E9C-101B-9397-08002B2CF9AE}" pid="6" name="MSIP_Label_f20f9b25-8d0c-4146-9c91-3f0a3637bd09_Method">
    <vt:lpwstr>Standard</vt:lpwstr>
  </property>
  <property fmtid="{D5CDD505-2E9C-101B-9397-08002B2CF9AE}" pid="7" name="MSIP_Label_f20f9b25-8d0c-4146-9c91-3f0a3637bd09_Name">
    <vt:lpwstr>f20f9b25-8d0c-4146-9c91-3f0a3637bd09</vt:lpwstr>
  </property>
  <property fmtid="{D5CDD505-2E9C-101B-9397-08002B2CF9AE}" pid="8" name="MSIP_Label_f20f9b25-8d0c-4146-9c91-3f0a3637bd09_SiteId">
    <vt:lpwstr>c0e0601f-0fac-449c-9c88-a104c4eb9f28</vt:lpwstr>
  </property>
  <property fmtid="{D5CDD505-2E9C-101B-9397-08002B2CF9AE}" pid="9" name="MSIP_Label_f20f9b25-8d0c-4146-9c91-3f0a3637bd09_ActionId">
    <vt:lpwstr>78f992ff-8633-4a38-92be-4bed48e9b69f</vt:lpwstr>
  </property>
  <property fmtid="{D5CDD505-2E9C-101B-9397-08002B2CF9AE}" pid="10" name="MSIP_Label_f20f9b25-8d0c-4146-9c91-3f0a3637bd09_ContentBits">
    <vt:lpwstr>2</vt:lpwstr>
  </property>
</Properties>
</file>