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748EC5" w14:textId="77777777" w:rsidR="0074696E" w:rsidRPr="004C6EEE" w:rsidRDefault="0074696E" w:rsidP="00EC40D5">
      <w:pPr>
        <w:pStyle w:val="Sectionbreakfirstpage"/>
      </w:pPr>
    </w:p>
    <w:p w14:paraId="4A95D3C3" w14:textId="77777777" w:rsidR="00A62D44" w:rsidRPr="004C6EEE" w:rsidRDefault="00BC63D9" w:rsidP="00EC40D5">
      <w:pPr>
        <w:pStyle w:val="Sectionbreakfirstpage"/>
        <w:sectPr w:rsidR="00A62D44" w:rsidRPr="004C6EEE" w:rsidSect="00E62622">
          <w:headerReference w:type="default" r:id="rId11"/>
          <w:footerReference w:type="defaul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  <w:r>
        <w:drawing>
          <wp:anchor distT="0" distB="0" distL="114300" distR="114300" simplePos="0" relativeHeight="251658240" behindDoc="1" locked="1" layoutInCell="1" allowOverlap="0" wp14:anchorId="4F1CB0E9" wp14:editId="1ABBB6A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52D84A9F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70E9C285" w14:textId="018B7A3C" w:rsidR="003B5733" w:rsidRPr="003B5733" w:rsidRDefault="00B65DFC" w:rsidP="003B5733">
            <w:pPr>
              <w:pStyle w:val="Documenttitle"/>
            </w:pPr>
            <w:r>
              <w:t>Clinical competency standards</w:t>
            </w:r>
          </w:p>
        </w:tc>
      </w:tr>
      <w:tr w:rsidR="003B5733" w14:paraId="5B64C3EC" w14:textId="77777777" w:rsidTr="00B07FF7">
        <w:tc>
          <w:tcPr>
            <w:tcW w:w="10348" w:type="dxa"/>
          </w:tcPr>
          <w:p w14:paraId="4EB39B97" w14:textId="3B2F2EC0" w:rsidR="003B5733" w:rsidRPr="00A1389F" w:rsidRDefault="00D40099" w:rsidP="005F44C0">
            <w:pPr>
              <w:pStyle w:val="Documentsubtitle"/>
            </w:pPr>
            <w:r>
              <w:t>Non emergency patient transport</w:t>
            </w:r>
          </w:p>
        </w:tc>
      </w:tr>
      <w:tr w:rsidR="003B5733" w14:paraId="4B7F7A0D" w14:textId="77777777" w:rsidTr="00B07FF7">
        <w:tc>
          <w:tcPr>
            <w:tcW w:w="10348" w:type="dxa"/>
          </w:tcPr>
          <w:p w14:paraId="43BD2D4B" w14:textId="77777777" w:rsidR="003B5733" w:rsidRPr="001E5058" w:rsidRDefault="00C41F86" w:rsidP="001E5058">
            <w:pPr>
              <w:pStyle w:val="Bannermarking"/>
            </w:pPr>
            <w:r>
              <w:fldChar w:fldCharType="begin"/>
            </w:r>
            <w:r>
              <w:instrText>FILLIN  "Type the protective marking" \d OFFICIAL \o  \* MERGEFORMAT</w:instrText>
            </w:r>
            <w:r>
              <w:fldChar w:fldCharType="separate"/>
            </w:r>
            <w:r w:rsidR="00D40099">
              <w:t>OFFICIAL</w:t>
            </w:r>
            <w:r>
              <w:fldChar w:fldCharType="end"/>
            </w:r>
          </w:p>
        </w:tc>
      </w:tr>
    </w:tbl>
    <w:p w14:paraId="611BB1FB" w14:textId="09AA614F" w:rsidR="00EE29AD" w:rsidRDefault="0EF77F5F" w:rsidP="55E5EE0B">
      <w:pPr>
        <w:pStyle w:val="Heading1"/>
      </w:pPr>
      <w:r>
        <w:t xml:space="preserve">Reference </w:t>
      </w:r>
    </w:p>
    <w:p w14:paraId="1F067D0A" w14:textId="00FC533B" w:rsidR="00EE29AD" w:rsidRDefault="1992FEC3" w:rsidP="55E5EE0B">
      <w:pPr>
        <w:pStyle w:val="Body"/>
        <w:rPr>
          <w:szCs w:val="21"/>
        </w:rPr>
      </w:pPr>
      <w:r w:rsidRPr="47DDB4A8">
        <w:rPr>
          <w:szCs w:val="21"/>
        </w:rPr>
        <w:t>Non-Emergency Patient Transport Regulations 20</w:t>
      </w:r>
      <w:r w:rsidR="02B6F2B7" w:rsidRPr="47DDB4A8">
        <w:rPr>
          <w:szCs w:val="21"/>
        </w:rPr>
        <w:t>16</w:t>
      </w:r>
      <w:r w:rsidRPr="47DDB4A8">
        <w:rPr>
          <w:szCs w:val="21"/>
        </w:rPr>
        <w:t xml:space="preserve"> Part 3, Regulation 19-21</w:t>
      </w:r>
    </w:p>
    <w:p w14:paraId="7D928FC4" w14:textId="09738B45" w:rsidR="00EE29AD" w:rsidRDefault="00B65DFC" w:rsidP="00E261B3">
      <w:pPr>
        <w:pStyle w:val="Heading1"/>
      </w:pPr>
      <w:bookmarkStart w:id="0" w:name="_Hlk84320637"/>
      <w:r>
        <w:t>Introduction</w:t>
      </w:r>
    </w:p>
    <w:bookmarkEnd w:id="0"/>
    <w:p w14:paraId="03B7D13A" w14:textId="498DF7B3" w:rsidR="000235E8" w:rsidRPr="002365B4" w:rsidRDefault="00B65DFC" w:rsidP="002365B4">
      <w:pPr>
        <w:pStyle w:val="Body"/>
      </w:pPr>
      <w:r>
        <w:t xml:space="preserve">Appropriate clinical competency standards and credentialling are a core requirement to assess, maintain and develop </w:t>
      </w:r>
      <w:r w:rsidR="009E4497">
        <w:t xml:space="preserve">the skills of </w:t>
      </w:r>
      <w:r>
        <w:t xml:space="preserve">Non Emergency Patient Transport (NEPT) </w:t>
      </w:r>
      <w:r w:rsidR="00A04247">
        <w:t>clinical staff</w:t>
      </w:r>
      <w:r>
        <w:t xml:space="preserve">. It is a requirement that NEPT </w:t>
      </w:r>
      <w:r w:rsidR="00A04247">
        <w:t>licence holders</w:t>
      </w:r>
      <w:r>
        <w:t xml:space="preserve"> </w:t>
      </w:r>
      <w:r w:rsidR="00A04247">
        <w:t>provide a</w:t>
      </w:r>
      <w:r>
        <w:t xml:space="preserve"> crew </w:t>
      </w:r>
      <w:r w:rsidRPr="00315EE9">
        <w:t>mix</w:t>
      </w:r>
      <w:r>
        <w:t xml:space="preserve"> that ha</w:t>
      </w:r>
      <w:r w:rsidR="00315EE9">
        <w:t>s</w:t>
      </w:r>
      <w:r>
        <w:t xml:space="preserve"> the competencies and knowledge to ensure that a patient</w:t>
      </w:r>
      <w:r w:rsidR="00FE5EFE">
        <w:t>’</w:t>
      </w:r>
      <w:r>
        <w:t>s clinical needs are met for the duration of the transport.</w:t>
      </w:r>
      <w:r w:rsidR="00F05599">
        <w:t xml:space="preserve"> NEPT providers must also ensure that the competency of staff is maintained during their </w:t>
      </w:r>
      <w:r w:rsidR="00F05599" w:rsidDel="0045440D">
        <w:t xml:space="preserve">service </w:t>
      </w:r>
      <w:r w:rsidR="00F05599" w:rsidDel="00C55A68">
        <w:t xml:space="preserve">as a staff member </w:t>
      </w:r>
      <w:r w:rsidR="00F05599">
        <w:t>with the provider.</w:t>
      </w:r>
    </w:p>
    <w:p w14:paraId="675B2754" w14:textId="25458AB1" w:rsidR="00FE5EFE" w:rsidRDefault="00FE5EFE" w:rsidP="00FE5EFE">
      <w:pPr>
        <w:pStyle w:val="Heading1"/>
      </w:pPr>
      <w:r>
        <w:t>Requirements for</w:t>
      </w:r>
      <w:r w:rsidR="00315EE9">
        <w:t xml:space="preserve"> different skill levels of</w:t>
      </w:r>
      <w:r>
        <w:t xml:space="preserve"> NEPT staff</w:t>
      </w:r>
      <w:bookmarkStart w:id="1" w:name="_Toc410717547"/>
      <w:bookmarkStart w:id="2" w:name="_Toc63347081"/>
    </w:p>
    <w:p w14:paraId="529966F2" w14:textId="77777777" w:rsidR="00BF5AB9" w:rsidRDefault="00BF5AB9" w:rsidP="00BF5AB9">
      <w:pPr>
        <w:pStyle w:val="Heading2"/>
      </w:pPr>
      <w:r>
        <w:t>Supervised clinical practice</w:t>
      </w:r>
    </w:p>
    <w:p w14:paraId="620F2FF3" w14:textId="77777777" w:rsidR="00BF5AB9" w:rsidRDefault="00BF5AB9" w:rsidP="00BF5AB9">
      <w:pPr>
        <w:pStyle w:val="Body"/>
      </w:pPr>
      <w:r>
        <w:t>Supervised clinical practice:</w:t>
      </w:r>
    </w:p>
    <w:p w14:paraId="7BAF558A" w14:textId="09405448" w:rsidR="00BF5AB9" w:rsidRDefault="000723C5" w:rsidP="00BF5AB9">
      <w:pPr>
        <w:pStyle w:val="Body"/>
        <w:numPr>
          <w:ilvl w:val="0"/>
          <w:numId w:val="43"/>
        </w:numPr>
      </w:pPr>
      <w:r>
        <w:t>i</w:t>
      </w:r>
      <w:r w:rsidR="00BF5AB9">
        <w:t>s</w:t>
      </w:r>
      <w:r w:rsidR="00BF5AB9" w:rsidDel="00B80BAA">
        <w:t xml:space="preserve"> </w:t>
      </w:r>
      <w:r w:rsidR="00B80BAA">
        <w:t xml:space="preserve">clinical </w:t>
      </w:r>
      <w:r w:rsidR="00BF5AB9">
        <w:t xml:space="preserve">experience in active patient care </w:t>
      </w:r>
    </w:p>
    <w:p w14:paraId="143618D0" w14:textId="19835F95" w:rsidR="00BF5AB9" w:rsidRDefault="000723C5" w:rsidP="00BF5AB9">
      <w:pPr>
        <w:pStyle w:val="Body"/>
        <w:numPr>
          <w:ilvl w:val="0"/>
          <w:numId w:val="43"/>
        </w:numPr>
      </w:pPr>
      <w:r>
        <w:t xml:space="preserve">cannot </w:t>
      </w:r>
      <w:r w:rsidR="00BF5AB9">
        <w:t>include more than 50</w:t>
      </w:r>
      <w:r w:rsidR="00D55486">
        <w:t xml:space="preserve"> per cent</w:t>
      </w:r>
      <w:r w:rsidR="00BF5AB9">
        <w:t xml:space="preserve"> of clinical placement hours involving patient management</w:t>
      </w:r>
    </w:p>
    <w:p w14:paraId="6CE73B21" w14:textId="5422DD27" w:rsidR="00FE5EFE" w:rsidRPr="00FE5EFE" w:rsidRDefault="000723C5" w:rsidP="00BF5AB9">
      <w:pPr>
        <w:pStyle w:val="Body"/>
        <w:numPr>
          <w:ilvl w:val="0"/>
          <w:numId w:val="43"/>
        </w:numPr>
      </w:pPr>
      <w:r>
        <w:t xml:space="preserve">does </w:t>
      </w:r>
      <w:r w:rsidR="00BF5AB9">
        <w:t>not include</w:t>
      </w:r>
      <w:r w:rsidR="6091B145">
        <w:t xml:space="preserve"> purely</w:t>
      </w:r>
      <w:r w:rsidR="00BF5AB9">
        <w:t xml:space="preserve"> observational shifts</w:t>
      </w:r>
      <w:r w:rsidR="00F05599">
        <w:t xml:space="preserve"> </w:t>
      </w:r>
      <w:r w:rsidR="172317D6">
        <w:t>with no patient management</w:t>
      </w:r>
    </w:p>
    <w:p w14:paraId="1F8F4327" w14:textId="3F252E2D" w:rsidR="00FE5EFE" w:rsidRPr="00315EE9" w:rsidRDefault="00FE5EFE" w:rsidP="00B57329">
      <w:pPr>
        <w:pStyle w:val="Heading2"/>
      </w:pPr>
      <w:r w:rsidRPr="00315EE9">
        <w:t>Clinical Instructor</w:t>
      </w:r>
      <w:r w:rsidR="008A0849" w:rsidRPr="00315EE9">
        <w:t xml:space="preserve"> (CI)</w:t>
      </w:r>
    </w:p>
    <w:p w14:paraId="10693996" w14:textId="21C8BC06" w:rsidR="00FB6416" w:rsidRPr="00315EE9" w:rsidRDefault="00FB6416" w:rsidP="00FB6416">
      <w:pPr>
        <w:pStyle w:val="Body"/>
      </w:pPr>
      <w:r w:rsidRPr="00315EE9">
        <w:t xml:space="preserve">CIs provide education, guidance and training to employees of NEPT services </w:t>
      </w:r>
    </w:p>
    <w:p w14:paraId="043D3994" w14:textId="296CCA38" w:rsidR="00555462" w:rsidRPr="00315EE9" w:rsidRDefault="008A0849" w:rsidP="00AD0129">
      <w:pPr>
        <w:pStyle w:val="Bullet1"/>
      </w:pPr>
      <w:r w:rsidRPr="00315EE9">
        <w:t>CIs must possess a Certificate IV in Training and Assessment (TAE) or an equivalent qualification</w:t>
      </w:r>
    </w:p>
    <w:p w14:paraId="7CB27D4A" w14:textId="16250833" w:rsidR="003F769F" w:rsidRPr="00315EE9" w:rsidRDefault="003F769F" w:rsidP="0075670C">
      <w:pPr>
        <w:pStyle w:val="Bullet1"/>
      </w:pPr>
      <w:r w:rsidRPr="00315EE9">
        <w:t>C</w:t>
      </w:r>
      <w:r w:rsidR="00CA576E" w:rsidRPr="00315EE9">
        <w:t>I</w:t>
      </w:r>
      <w:r w:rsidRPr="00315EE9">
        <w:t>s must also be one of the following:</w:t>
      </w:r>
    </w:p>
    <w:p w14:paraId="2F4B21FD" w14:textId="64A15730" w:rsidR="003F769F" w:rsidRPr="00315EE9" w:rsidRDefault="003F769F" w:rsidP="003F769F">
      <w:pPr>
        <w:pStyle w:val="Body"/>
        <w:numPr>
          <w:ilvl w:val="1"/>
          <w:numId w:val="40"/>
        </w:numPr>
      </w:pPr>
      <w:r w:rsidRPr="00315EE9">
        <w:t>Registered Medical Practitioner</w:t>
      </w:r>
    </w:p>
    <w:p w14:paraId="407E16B5" w14:textId="375186FA" w:rsidR="003F769F" w:rsidRPr="00315EE9" w:rsidRDefault="003F769F" w:rsidP="003F769F">
      <w:pPr>
        <w:pStyle w:val="Body"/>
        <w:numPr>
          <w:ilvl w:val="1"/>
          <w:numId w:val="40"/>
        </w:numPr>
      </w:pPr>
      <w:r w:rsidRPr="00315EE9">
        <w:t>Registered Paramedic employed by an ambulance service with not less than 18 months service</w:t>
      </w:r>
    </w:p>
    <w:p w14:paraId="4DB3EE06" w14:textId="3A50929E" w:rsidR="003F769F" w:rsidRPr="00315EE9" w:rsidRDefault="00CA576E" w:rsidP="003F769F">
      <w:pPr>
        <w:pStyle w:val="Body"/>
        <w:numPr>
          <w:ilvl w:val="1"/>
          <w:numId w:val="40"/>
        </w:numPr>
      </w:pPr>
      <w:r w:rsidRPr="00315EE9">
        <w:t>A person employed by the NEPT provider who has experience in transporting patients of all acuity levels and holds a recognised Degree or Diploma</w:t>
      </w:r>
    </w:p>
    <w:p w14:paraId="401587A6" w14:textId="02FC12E5" w:rsidR="00CA576E" w:rsidRPr="00315EE9" w:rsidRDefault="00CA576E" w:rsidP="003F769F">
      <w:pPr>
        <w:pStyle w:val="Body"/>
        <w:numPr>
          <w:ilvl w:val="1"/>
          <w:numId w:val="40"/>
        </w:numPr>
      </w:pPr>
      <w:r w:rsidRPr="00315EE9">
        <w:t>Was</w:t>
      </w:r>
      <w:r w:rsidR="00037332">
        <w:t xml:space="preserve"> previously</w:t>
      </w:r>
      <w:r w:rsidRPr="00315EE9">
        <w:t xml:space="preserve"> employed as a CI with a NEPT service prior to 20</w:t>
      </w:r>
      <w:r w:rsidRPr="00315EE9">
        <w:rPr>
          <w:vertAlign w:val="superscript"/>
        </w:rPr>
        <w:t>th</w:t>
      </w:r>
      <w:r w:rsidRPr="00315EE9">
        <w:t xml:space="preserve"> April 2016</w:t>
      </w:r>
    </w:p>
    <w:bookmarkEnd w:id="1"/>
    <w:bookmarkEnd w:id="2"/>
    <w:p w14:paraId="45F67343" w14:textId="253DB99F" w:rsidR="00C133EE" w:rsidRDefault="00C14A4B" w:rsidP="00FB6416">
      <w:pPr>
        <w:pStyle w:val="Heading2"/>
      </w:pPr>
      <w:r>
        <w:t>Ambulance Transport Attenda</w:t>
      </w:r>
      <w:r w:rsidR="00FB6416">
        <w:t>nt (ATA)</w:t>
      </w:r>
    </w:p>
    <w:p w14:paraId="4C06DD81" w14:textId="212A8BEC" w:rsidR="00FB6416" w:rsidRDefault="00FB6416" w:rsidP="00FB6416">
      <w:pPr>
        <w:pStyle w:val="Body"/>
      </w:pPr>
      <w:r>
        <w:t>ATAs provide care and monitoring to low-medium acuity patients during transport and provide assistance to suitably qualified staff members during the transport of high acuity patients</w:t>
      </w:r>
      <w:r w:rsidR="00DE22F8">
        <w:t>.</w:t>
      </w:r>
    </w:p>
    <w:p w14:paraId="02CD92E4" w14:textId="6EB95971" w:rsidR="00FB6416" w:rsidRDefault="00037332" w:rsidP="00FB6416">
      <w:pPr>
        <w:pStyle w:val="Body"/>
        <w:numPr>
          <w:ilvl w:val="0"/>
          <w:numId w:val="41"/>
        </w:numPr>
      </w:pPr>
      <w:r>
        <w:lastRenderedPageBreak/>
        <w:t xml:space="preserve">an </w:t>
      </w:r>
      <w:r w:rsidR="00DE22F8">
        <w:t>ATA must</w:t>
      </w:r>
      <w:r w:rsidR="00FB6416">
        <w:t xml:space="preserve"> have completed 400 hours of </w:t>
      </w:r>
      <w:r w:rsidR="00F05599">
        <w:t xml:space="preserve">on road clinical </w:t>
      </w:r>
      <w:r w:rsidR="00FB6416">
        <w:t>supervised practice by a</w:t>
      </w:r>
      <w:r w:rsidR="00BF5AB9">
        <w:t>nother ATA over a period of not more than two years</w:t>
      </w:r>
    </w:p>
    <w:p w14:paraId="6DE38847" w14:textId="5330F97D" w:rsidR="00DE22F8" w:rsidRDefault="00037332" w:rsidP="00DE22F8">
      <w:pPr>
        <w:pStyle w:val="Body"/>
        <w:numPr>
          <w:ilvl w:val="0"/>
          <w:numId w:val="41"/>
        </w:numPr>
      </w:pPr>
      <w:r>
        <w:t xml:space="preserve">an </w:t>
      </w:r>
      <w:r w:rsidR="00FB6416">
        <w:t xml:space="preserve">ATA that has not yet reached </w:t>
      </w:r>
      <w:r w:rsidR="002804C8">
        <w:t xml:space="preserve">the </w:t>
      </w:r>
      <w:r w:rsidR="00FB6416">
        <w:t xml:space="preserve">400 hours of </w:t>
      </w:r>
      <w:r w:rsidR="00FC4BDF">
        <w:t xml:space="preserve">on road clinical </w:t>
      </w:r>
      <w:r w:rsidR="00FB6416">
        <w:t>supervised practice</w:t>
      </w:r>
      <w:r w:rsidR="00FC4BDF">
        <w:t>,</w:t>
      </w:r>
      <w:r w:rsidR="00FB6416">
        <w:t xml:space="preserve"> must be supervised </w:t>
      </w:r>
      <w:r w:rsidR="00BF5AB9">
        <w:t>whilst practicing</w:t>
      </w:r>
    </w:p>
    <w:p w14:paraId="489314C9" w14:textId="7E6676B6" w:rsidR="00DE22F8" w:rsidRDefault="00DE22F8" w:rsidP="00DE22F8">
      <w:pPr>
        <w:pStyle w:val="Heading2"/>
      </w:pPr>
      <w:r>
        <w:t xml:space="preserve">Patient Transport Officer (PTO) </w:t>
      </w:r>
    </w:p>
    <w:p w14:paraId="14DA3C55" w14:textId="784693CE" w:rsidR="00DE22F8" w:rsidRDefault="00DE22F8" w:rsidP="00DE22F8">
      <w:pPr>
        <w:pStyle w:val="Body"/>
      </w:pPr>
      <w:r>
        <w:t>PTOs provide care and monitoring to low acuity patients during transport and provide assistance to suitable qualified staff members during the transport of medium-high acuity patients.</w:t>
      </w:r>
    </w:p>
    <w:p w14:paraId="46A13315" w14:textId="0AD51EE2" w:rsidR="00DE22F8" w:rsidRDefault="00625354" w:rsidP="00DE22F8">
      <w:pPr>
        <w:pStyle w:val="Body"/>
        <w:numPr>
          <w:ilvl w:val="0"/>
          <w:numId w:val="42"/>
        </w:numPr>
      </w:pPr>
      <w:r>
        <w:t xml:space="preserve">a </w:t>
      </w:r>
      <w:r w:rsidR="00DE22F8">
        <w:t>PTO must have completed 100 hours of on road clinical experience, or:</w:t>
      </w:r>
    </w:p>
    <w:p w14:paraId="20056F51" w14:textId="77777777" w:rsidR="004C6FD5" w:rsidRPr="00FB6416" w:rsidRDefault="004C6FD5" w:rsidP="004C6FD5">
      <w:pPr>
        <w:pStyle w:val="Body"/>
        <w:numPr>
          <w:ilvl w:val="0"/>
          <w:numId w:val="42"/>
        </w:numPr>
      </w:pPr>
      <w:r>
        <w:t>is supervised by an ATA or CI</w:t>
      </w:r>
    </w:p>
    <w:p w14:paraId="0B8C46AD" w14:textId="77777777" w:rsidR="004C6FD5" w:rsidRDefault="004C6FD5" w:rsidP="004C6FD5">
      <w:pPr>
        <w:pStyle w:val="Heading1"/>
      </w:pPr>
      <w:r>
        <w:t>Skills maintenance Training</w:t>
      </w:r>
    </w:p>
    <w:p w14:paraId="1F8022EE" w14:textId="77777777" w:rsidR="004C6FD5" w:rsidRDefault="004C6FD5" w:rsidP="004C6FD5">
      <w:pPr>
        <w:pStyle w:val="Body"/>
      </w:pPr>
      <w:r>
        <w:t>All NEPT licence holders are required to provide annual skills maintenance training in the topics outlined in table 1 which is aligned to the acuity of patients that the staff member is likely to provide clinical care for. Records of this training must be kept and must include:</w:t>
      </w:r>
    </w:p>
    <w:p w14:paraId="11C8D443" w14:textId="77777777" w:rsidR="004C6FD5" w:rsidRDefault="004C6FD5" w:rsidP="004C6FD5">
      <w:pPr>
        <w:pStyle w:val="Body"/>
        <w:numPr>
          <w:ilvl w:val="0"/>
          <w:numId w:val="45"/>
        </w:numPr>
      </w:pPr>
      <w:r>
        <w:t>the names of staff involved, and</w:t>
      </w:r>
    </w:p>
    <w:p w14:paraId="6083D2F9" w14:textId="77777777" w:rsidR="004C6FD5" w:rsidRDefault="004C6FD5" w:rsidP="004C6FD5">
      <w:pPr>
        <w:pStyle w:val="Body"/>
        <w:numPr>
          <w:ilvl w:val="0"/>
          <w:numId w:val="45"/>
        </w:numPr>
      </w:pPr>
      <w:r>
        <w:t>the level of accreditation achieved by each member of staff</w:t>
      </w:r>
    </w:p>
    <w:tbl>
      <w:tblPr>
        <w:tblStyle w:val="TableGrid"/>
        <w:tblpPr w:leftFromText="180" w:rightFromText="180" w:vertAnchor="text" w:horzAnchor="margin" w:tblpY="46"/>
        <w:tblW w:w="9781" w:type="dxa"/>
        <w:tblLook w:val="04A0" w:firstRow="1" w:lastRow="0" w:firstColumn="1" w:lastColumn="0" w:noHBand="0" w:noVBand="1"/>
      </w:tblPr>
      <w:tblGrid>
        <w:gridCol w:w="6521"/>
        <w:gridCol w:w="1086"/>
        <w:gridCol w:w="1087"/>
        <w:gridCol w:w="1087"/>
      </w:tblGrid>
      <w:tr w:rsidR="004C6FD5" w14:paraId="176148D4" w14:textId="77777777" w:rsidTr="00EA28B5">
        <w:trPr>
          <w:trHeight w:val="416"/>
        </w:trPr>
        <w:tc>
          <w:tcPr>
            <w:tcW w:w="6521" w:type="dxa"/>
            <w:tcBorders>
              <w:top w:val="nil"/>
              <w:left w:val="nil"/>
            </w:tcBorders>
            <w:shd w:val="clear" w:color="auto" w:fill="auto"/>
          </w:tcPr>
          <w:p w14:paraId="384ABFEF" w14:textId="3B1178ED" w:rsidR="004C6FD5" w:rsidRDefault="00D250BC" w:rsidP="002E1037">
            <w:pPr>
              <w:pStyle w:val="Tablecolhead"/>
            </w:pPr>
            <w:r>
              <w:t>Table 1: Training and transport acuity</w:t>
            </w:r>
          </w:p>
        </w:tc>
        <w:tc>
          <w:tcPr>
            <w:tcW w:w="3260" w:type="dxa"/>
            <w:gridSpan w:val="3"/>
            <w:shd w:val="clear" w:color="auto" w:fill="auto"/>
          </w:tcPr>
          <w:p w14:paraId="26B20B1E" w14:textId="77777777" w:rsidR="004C6FD5" w:rsidRDefault="004C6FD5" w:rsidP="002E1037">
            <w:pPr>
              <w:pStyle w:val="Tablecolhead"/>
              <w:jc w:val="center"/>
            </w:pPr>
            <w:r>
              <w:t>Acuity</w:t>
            </w:r>
          </w:p>
        </w:tc>
      </w:tr>
      <w:tr w:rsidR="004C6FD5" w14:paraId="56E3D88A" w14:textId="77777777" w:rsidTr="00D250BC">
        <w:trPr>
          <w:trHeight w:val="416"/>
        </w:trPr>
        <w:tc>
          <w:tcPr>
            <w:tcW w:w="6521" w:type="dxa"/>
          </w:tcPr>
          <w:p w14:paraId="0A33B912" w14:textId="77777777" w:rsidR="004C6FD5" w:rsidRDefault="004C6FD5" w:rsidP="002E1037">
            <w:pPr>
              <w:pStyle w:val="Tablecolhead"/>
            </w:pPr>
            <w:r>
              <w:t>Training</w:t>
            </w:r>
          </w:p>
        </w:tc>
        <w:tc>
          <w:tcPr>
            <w:tcW w:w="1086" w:type="dxa"/>
          </w:tcPr>
          <w:p w14:paraId="7D4FA906" w14:textId="77777777" w:rsidR="004C6FD5" w:rsidRDefault="004C6FD5" w:rsidP="002E1037">
            <w:pPr>
              <w:pStyle w:val="Tablecolhead"/>
              <w:jc w:val="center"/>
            </w:pPr>
            <w:r>
              <w:t>Low</w:t>
            </w:r>
          </w:p>
        </w:tc>
        <w:tc>
          <w:tcPr>
            <w:tcW w:w="1087" w:type="dxa"/>
          </w:tcPr>
          <w:p w14:paraId="741441F0" w14:textId="77777777" w:rsidR="004C6FD5" w:rsidRDefault="004C6FD5" w:rsidP="002E1037">
            <w:pPr>
              <w:pStyle w:val="Tablecolhead"/>
              <w:jc w:val="center"/>
            </w:pPr>
            <w:r>
              <w:t>Medium</w:t>
            </w:r>
          </w:p>
        </w:tc>
        <w:tc>
          <w:tcPr>
            <w:tcW w:w="1087" w:type="dxa"/>
          </w:tcPr>
          <w:p w14:paraId="483290A5" w14:textId="77777777" w:rsidR="004C6FD5" w:rsidRDefault="004C6FD5" w:rsidP="002E1037">
            <w:pPr>
              <w:pStyle w:val="Tablecolhead"/>
              <w:jc w:val="center"/>
            </w:pPr>
            <w:r>
              <w:t>High</w:t>
            </w:r>
          </w:p>
        </w:tc>
      </w:tr>
      <w:tr w:rsidR="004C6FD5" w14:paraId="45E7EB16" w14:textId="77777777" w:rsidTr="00D250BC">
        <w:trPr>
          <w:trHeight w:val="564"/>
        </w:trPr>
        <w:tc>
          <w:tcPr>
            <w:tcW w:w="6521" w:type="dxa"/>
            <w:vAlign w:val="center"/>
          </w:tcPr>
          <w:p w14:paraId="7DF714B9" w14:textId="77777777" w:rsidR="004C6FD5" w:rsidRDefault="004C6FD5" w:rsidP="002E1037">
            <w:pPr>
              <w:pStyle w:val="Body"/>
            </w:pPr>
            <w:r>
              <w:t>Basic Life Support (BLS)</w:t>
            </w:r>
          </w:p>
        </w:tc>
        <w:tc>
          <w:tcPr>
            <w:tcW w:w="1086" w:type="dxa"/>
            <w:vAlign w:val="center"/>
          </w:tcPr>
          <w:p w14:paraId="0AE3014F" w14:textId="77777777" w:rsidR="004C6FD5" w:rsidRDefault="004C6FD5" w:rsidP="002E1037">
            <w:pPr>
              <w:pStyle w:val="Body"/>
              <w:jc w:val="center"/>
            </w:pPr>
            <w:r w:rsidRPr="00CC3355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087" w:type="dxa"/>
            <w:vAlign w:val="center"/>
          </w:tcPr>
          <w:p w14:paraId="41B5F02B" w14:textId="77777777" w:rsidR="004C6FD5" w:rsidRDefault="004C6FD5" w:rsidP="002E1037">
            <w:pPr>
              <w:pStyle w:val="Body"/>
              <w:jc w:val="center"/>
            </w:pPr>
            <w:r w:rsidRPr="00CC630A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087" w:type="dxa"/>
            <w:vAlign w:val="center"/>
          </w:tcPr>
          <w:p w14:paraId="7BCB6B7F" w14:textId="77777777" w:rsidR="004C6FD5" w:rsidRDefault="004C6FD5" w:rsidP="002E1037">
            <w:pPr>
              <w:pStyle w:val="Body"/>
              <w:jc w:val="center"/>
            </w:pPr>
            <w:r w:rsidRPr="00CC630A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</w:tr>
      <w:tr w:rsidR="004C6FD5" w14:paraId="61ACED3D" w14:textId="77777777" w:rsidTr="00D250BC">
        <w:trPr>
          <w:trHeight w:val="857"/>
        </w:trPr>
        <w:tc>
          <w:tcPr>
            <w:tcW w:w="6521" w:type="dxa"/>
            <w:vAlign w:val="center"/>
          </w:tcPr>
          <w:p w14:paraId="6D327FE2" w14:textId="77777777" w:rsidR="004C6FD5" w:rsidRDefault="004C6FD5" w:rsidP="002E1037">
            <w:pPr>
              <w:pStyle w:val="Body"/>
            </w:pPr>
            <w:r>
              <w:t>Occupational Health and Safety (including manual handling and infection control)</w:t>
            </w:r>
          </w:p>
        </w:tc>
        <w:tc>
          <w:tcPr>
            <w:tcW w:w="1086" w:type="dxa"/>
            <w:vAlign w:val="center"/>
          </w:tcPr>
          <w:p w14:paraId="4560F996" w14:textId="77777777" w:rsidR="004C6FD5" w:rsidRDefault="004C6FD5" w:rsidP="002E1037">
            <w:pPr>
              <w:pStyle w:val="Body"/>
              <w:jc w:val="center"/>
            </w:pPr>
            <w:r w:rsidRPr="002E1037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087" w:type="dxa"/>
            <w:vAlign w:val="center"/>
          </w:tcPr>
          <w:p w14:paraId="3453CC54" w14:textId="77777777" w:rsidR="004C6FD5" w:rsidRPr="006D6906" w:rsidRDefault="004C6FD5" w:rsidP="002E1037">
            <w:pPr>
              <w:pStyle w:val="Body"/>
              <w:jc w:val="center"/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</w:pPr>
            <w:r w:rsidRPr="00CC630A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087" w:type="dxa"/>
            <w:vAlign w:val="center"/>
          </w:tcPr>
          <w:p w14:paraId="0DD28E62" w14:textId="77777777" w:rsidR="004C6FD5" w:rsidRPr="009D1D65" w:rsidRDefault="004C6FD5" w:rsidP="002E1037">
            <w:pPr>
              <w:pStyle w:val="Body"/>
              <w:jc w:val="center"/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</w:pPr>
            <w:r w:rsidRPr="00CC630A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</w:tr>
      <w:tr w:rsidR="004C6FD5" w14:paraId="01E3F14F" w14:textId="77777777" w:rsidTr="00D250BC">
        <w:trPr>
          <w:trHeight w:val="576"/>
        </w:trPr>
        <w:tc>
          <w:tcPr>
            <w:tcW w:w="6521" w:type="dxa"/>
            <w:vAlign w:val="center"/>
          </w:tcPr>
          <w:p w14:paraId="42161A5F" w14:textId="77777777" w:rsidR="004C6FD5" w:rsidRDefault="004C6FD5" w:rsidP="002E1037">
            <w:pPr>
              <w:pStyle w:val="Body"/>
            </w:pPr>
            <w:r>
              <w:t>Current evidence based clinical practice</w:t>
            </w:r>
          </w:p>
        </w:tc>
        <w:tc>
          <w:tcPr>
            <w:tcW w:w="1086" w:type="dxa"/>
            <w:vAlign w:val="center"/>
          </w:tcPr>
          <w:p w14:paraId="64FE86DA" w14:textId="77777777" w:rsidR="004C6FD5" w:rsidRDefault="004C6FD5" w:rsidP="002E1037">
            <w:pPr>
              <w:pStyle w:val="Body"/>
              <w:jc w:val="center"/>
            </w:pPr>
            <w:r w:rsidRPr="002E1037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087" w:type="dxa"/>
            <w:vAlign w:val="center"/>
          </w:tcPr>
          <w:p w14:paraId="138838F5" w14:textId="77777777" w:rsidR="004C6FD5" w:rsidRPr="009D1D65" w:rsidRDefault="004C6FD5" w:rsidP="002E1037">
            <w:pPr>
              <w:pStyle w:val="Body"/>
              <w:jc w:val="center"/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</w:pPr>
            <w:r w:rsidRPr="00CC630A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087" w:type="dxa"/>
            <w:vAlign w:val="center"/>
          </w:tcPr>
          <w:p w14:paraId="6BFDC7B9" w14:textId="77777777" w:rsidR="004C6FD5" w:rsidRPr="009D1D65" w:rsidRDefault="004C6FD5" w:rsidP="002E1037">
            <w:pPr>
              <w:pStyle w:val="Body"/>
              <w:jc w:val="center"/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</w:pPr>
            <w:r w:rsidRPr="00CC630A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</w:tr>
      <w:tr w:rsidR="004C6FD5" w14:paraId="59A37D80" w14:textId="77777777" w:rsidTr="00D250BC">
        <w:trPr>
          <w:trHeight w:val="599"/>
        </w:trPr>
        <w:tc>
          <w:tcPr>
            <w:tcW w:w="6521" w:type="dxa"/>
            <w:vAlign w:val="center"/>
          </w:tcPr>
          <w:p w14:paraId="20AD02CC" w14:textId="77777777" w:rsidR="004C6FD5" w:rsidRDefault="004C6FD5" w:rsidP="002E1037">
            <w:pPr>
              <w:pStyle w:val="Body"/>
            </w:pPr>
            <w:r>
              <w:t>Mental health training</w:t>
            </w:r>
          </w:p>
        </w:tc>
        <w:tc>
          <w:tcPr>
            <w:tcW w:w="1086" w:type="dxa"/>
            <w:vAlign w:val="center"/>
          </w:tcPr>
          <w:p w14:paraId="28510E33" w14:textId="77777777" w:rsidR="004C6FD5" w:rsidRDefault="004C6FD5" w:rsidP="002E1037">
            <w:pPr>
              <w:pStyle w:val="Body"/>
              <w:jc w:val="center"/>
            </w:pPr>
            <w:r w:rsidRPr="002E1037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087" w:type="dxa"/>
            <w:vAlign w:val="center"/>
          </w:tcPr>
          <w:p w14:paraId="489A8CF3" w14:textId="77777777" w:rsidR="004C6FD5" w:rsidRPr="009D1D65" w:rsidRDefault="004C6FD5" w:rsidP="002E1037">
            <w:pPr>
              <w:pStyle w:val="Body"/>
              <w:jc w:val="center"/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</w:pPr>
            <w:r w:rsidRPr="00CC630A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087" w:type="dxa"/>
            <w:vAlign w:val="center"/>
          </w:tcPr>
          <w:p w14:paraId="6C1E189F" w14:textId="77777777" w:rsidR="004C6FD5" w:rsidRPr="009D1D65" w:rsidRDefault="004C6FD5" w:rsidP="002E1037">
            <w:pPr>
              <w:pStyle w:val="Body"/>
              <w:jc w:val="center"/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</w:pPr>
            <w:r w:rsidRPr="00CC630A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</w:tr>
      <w:tr w:rsidR="004C6FD5" w14:paraId="2225FE40" w14:textId="77777777" w:rsidTr="00D250BC">
        <w:trPr>
          <w:trHeight w:val="616"/>
        </w:trPr>
        <w:tc>
          <w:tcPr>
            <w:tcW w:w="6521" w:type="dxa"/>
            <w:vAlign w:val="center"/>
          </w:tcPr>
          <w:p w14:paraId="70128D82" w14:textId="77777777" w:rsidR="004C6FD5" w:rsidRDefault="004C6FD5" w:rsidP="002E1037">
            <w:pPr>
              <w:pStyle w:val="Body"/>
            </w:pPr>
            <w:r>
              <w:t>Defibrillator and electrocardiogram interpretation</w:t>
            </w:r>
          </w:p>
        </w:tc>
        <w:tc>
          <w:tcPr>
            <w:tcW w:w="1086" w:type="dxa"/>
            <w:vAlign w:val="center"/>
          </w:tcPr>
          <w:p w14:paraId="12CBB7A7" w14:textId="77777777" w:rsidR="004C6FD5" w:rsidRDefault="004C6FD5" w:rsidP="002E1037">
            <w:pPr>
              <w:pStyle w:val="Body"/>
              <w:jc w:val="center"/>
            </w:pPr>
          </w:p>
        </w:tc>
        <w:tc>
          <w:tcPr>
            <w:tcW w:w="1087" w:type="dxa"/>
            <w:vAlign w:val="center"/>
          </w:tcPr>
          <w:p w14:paraId="2C514C39" w14:textId="77777777" w:rsidR="004C6FD5" w:rsidRPr="009D1D65" w:rsidRDefault="004C6FD5" w:rsidP="002E1037">
            <w:pPr>
              <w:pStyle w:val="Body"/>
              <w:jc w:val="center"/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</w:pPr>
            <w:r w:rsidRPr="002E1037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  <w:tc>
          <w:tcPr>
            <w:tcW w:w="1087" w:type="dxa"/>
            <w:vAlign w:val="center"/>
          </w:tcPr>
          <w:p w14:paraId="45E5F648" w14:textId="77777777" w:rsidR="004C6FD5" w:rsidRPr="009D1D65" w:rsidRDefault="004C6FD5" w:rsidP="002E1037">
            <w:pPr>
              <w:pStyle w:val="Body"/>
              <w:jc w:val="center"/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</w:pPr>
            <w:r w:rsidRPr="002E1037">
              <w:rPr>
                <w:rFonts w:ascii="Wingdings 2" w:eastAsia="Wingdings 2" w:hAnsi="Wingdings 2" w:cs="Wingdings 2"/>
                <w:sz w:val="16"/>
                <w:szCs w:val="16"/>
                <w:lang w:eastAsia="en-AU"/>
              </w:rPr>
              <w:sym w:font="Wingdings 2" w:char="F098"/>
            </w:r>
          </w:p>
        </w:tc>
      </w:tr>
    </w:tbl>
    <w:p w14:paraId="20DA0D73" w14:textId="3BDED2CB" w:rsidR="00017023" w:rsidRDefault="00017023" w:rsidP="000170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S Gothic" w:hAnsi="Arial" w:cs="Arial"/>
          <w:sz w:val="20"/>
          <w:szCs w:val="20"/>
        </w:rPr>
      </w:pPr>
    </w:p>
    <w:p w14:paraId="6510D839" w14:textId="77777777" w:rsidR="00364529" w:rsidRDefault="00364529" w:rsidP="00364529">
      <w:pPr>
        <w:pStyle w:val="Body"/>
        <w:spacing w:before="120"/>
        <w:rPr>
          <w:rStyle w:val="eop"/>
          <w:rFonts w:cs="Arial"/>
          <w:szCs w:val="21"/>
        </w:rPr>
      </w:pPr>
      <w:r w:rsidRPr="5118B6DD">
        <w:rPr>
          <w:rStyle w:val="normaltextrun"/>
          <w:rFonts w:cs="Arial"/>
        </w:rPr>
        <w:t>For further information </w:t>
      </w:r>
      <w:hyperlink r:id="rId15">
        <w:r w:rsidRPr="5118B6DD">
          <w:rPr>
            <w:rStyle w:val="normaltextrun"/>
            <w:rFonts w:cs="Arial"/>
            <w:color w:val="004C97"/>
            <w:sz w:val="20"/>
            <w:u w:val="single"/>
          </w:rPr>
          <w:t>email NEPT, First Aid and Investigations</w:t>
        </w:r>
      </w:hyperlink>
      <w:r w:rsidRPr="5118B6DD">
        <w:rPr>
          <w:rStyle w:val="eop"/>
          <w:rFonts w:cs="Arial"/>
        </w:rPr>
        <w:t> </w:t>
      </w:r>
    </w:p>
    <w:p w14:paraId="1CCB7959" w14:textId="039A17AC" w:rsidR="00E223D4" w:rsidRDefault="00E223D4" w:rsidP="000170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S Gothic" w:hAnsi="Arial" w:cs="Arial"/>
        </w:rPr>
      </w:pPr>
    </w:p>
    <w:p w14:paraId="498AE691" w14:textId="77777777" w:rsidR="00FE121D" w:rsidRDefault="00FE121D" w:rsidP="000170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S Gothic" w:hAnsi="Arial" w:cs="Arial"/>
        </w:rPr>
      </w:pPr>
    </w:p>
    <w:p w14:paraId="6DC8C8F4" w14:textId="77777777" w:rsidR="00E223D4" w:rsidRDefault="00E223D4" w:rsidP="000170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eastAsia="MS Gothic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76"/>
      </w:tblGrid>
      <w:tr w:rsidR="00E223D4" w14:paraId="3F18C31B" w14:textId="77777777" w:rsidTr="00E223D4">
        <w:tc>
          <w:tcPr>
            <w:tcW w:w="9776" w:type="dxa"/>
          </w:tcPr>
          <w:p w14:paraId="1FFF6F16" w14:textId="77777777" w:rsidR="00E223D4" w:rsidRDefault="00E223D4" w:rsidP="00E223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MS Gothic" w:hAnsi="Arial" w:cs="Arial"/>
                <w:sz w:val="20"/>
                <w:szCs w:val="20"/>
              </w:rPr>
            </w:pPr>
          </w:p>
          <w:p w14:paraId="1A31033B" w14:textId="7470A1E3" w:rsidR="00E223D4" w:rsidRPr="00E223D4" w:rsidRDefault="00E223D4" w:rsidP="00FE121D">
            <w:pPr>
              <w:pStyle w:val="Body"/>
              <w:spacing w:after="0"/>
            </w:pPr>
            <w:r w:rsidRPr="00E223D4">
              <w:rPr>
                <w:rStyle w:val="normaltextrun"/>
                <w:rFonts w:eastAsia="MS Gothic" w:cs="Arial"/>
                <w:sz w:val="20"/>
              </w:rPr>
              <w:t>To receive this document in another format, </w:t>
            </w:r>
            <w:hyperlink r:id="rId16" w:tgtFrame="_blank" w:history="1">
              <w:r w:rsidRPr="00E223D4">
                <w:rPr>
                  <w:rStyle w:val="normaltextrun"/>
                  <w:rFonts w:eastAsia="MS Gothic" w:cs="Arial"/>
                  <w:color w:val="004C97"/>
                  <w:sz w:val="20"/>
                  <w:u w:val="single"/>
                </w:rPr>
                <w:t>email NEPT, First Aid and Investigations</w:t>
              </w:r>
            </w:hyperlink>
            <w:r w:rsidRPr="00E223D4">
              <w:rPr>
                <w:rStyle w:val="normaltextrun"/>
                <w:rFonts w:eastAsia="MS Gothic" w:cs="Arial"/>
                <w:color w:val="004C97"/>
                <w:sz w:val="20"/>
              </w:rPr>
              <w:t> </w:t>
            </w:r>
            <w:r w:rsidRPr="00E223D4">
              <w:rPr>
                <w:rStyle w:val="normaltextrun"/>
                <w:rFonts w:eastAsia="MS Gothic" w:cs="Arial"/>
                <w:sz w:val="20"/>
              </w:rPr>
              <w:t>&lt; NEPTFirstAidRegulation@health.vic.gov.au&gt;.</w:t>
            </w:r>
            <w:r w:rsidRPr="00E223D4">
              <w:rPr>
                <w:rStyle w:val="eop"/>
                <w:rFonts w:cs="Arial"/>
                <w:sz w:val="20"/>
              </w:rPr>
              <w:t> </w:t>
            </w:r>
          </w:p>
          <w:p w14:paraId="6555BB4F" w14:textId="77777777" w:rsidR="00E223D4" w:rsidRPr="00E223D4" w:rsidRDefault="00E223D4" w:rsidP="00FE121D">
            <w:pPr>
              <w:pStyle w:val="Body"/>
              <w:spacing w:after="0"/>
              <w:rPr>
                <w:color w:val="000000"/>
              </w:rPr>
            </w:pPr>
            <w:r w:rsidRPr="00E223D4">
              <w:rPr>
                <w:rStyle w:val="normaltextrun"/>
                <w:rFonts w:eastAsia="MS Gothic" w:cs="Arial"/>
                <w:color w:val="000000"/>
                <w:sz w:val="20"/>
              </w:rPr>
              <w:t>Authorised and published by the Victorian Government, 1 Treasury Place, Melbourne.</w:t>
            </w:r>
            <w:r w:rsidRPr="00E223D4">
              <w:rPr>
                <w:rStyle w:val="eop"/>
                <w:rFonts w:cs="Arial"/>
                <w:color w:val="000000"/>
                <w:sz w:val="20"/>
              </w:rPr>
              <w:t> </w:t>
            </w:r>
          </w:p>
          <w:p w14:paraId="24FFAD7A" w14:textId="77777777" w:rsidR="00E223D4" w:rsidRPr="00E223D4" w:rsidRDefault="00E223D4" w:rsidP="00FE121D">
            <w:pPr>
              <w:pStyle w:val="Body"/>
              <w:spacing w:after="0"/>
              <w:rPr>
                <w:color w:val="000000"/>
              </w:rPr>
            </w:pPr>
            <w:r w:rsidRPr="00E223D4">
              <w:rPr>
                <w:rStyle w:val="normaltextrun"/>
                <w:rFonts w:eastAsia="MS Gothic" w:cs="Arial"/>
                <w:color w:val="000000"/>
                <w:sz w:val="20"/>
              </w:rPr>
              <w:t>© State of Victoria, Australia, Department of Health, </w:t>
            </w:r>
            <w:r w:rsidRPr="00E223D4">
              <w:rPr>
                <w:rStyle w:val="normaltextrun"/>
                <w:rFonts w:eastAsia="MS Gothic" w:cs="Arial"/>
                <w:color w:val="004C97"/>
                <w:sz w:val="20"/>
              </w:rPr>
              <w:t>November 2021</w:t>
            </w:r>
            <w:r w:rsidRPr="00E223D4">
              <w:rPr>
                <w:rStyle w:val="normaltextrun"/>
                <w:rFonts w:eastAsia="MS Gothic" w:cs="Arial"/>
                <w:color w:val="000000"/>
                <w:sz w:val="20"/>
              </w:rPr>
              <w:t>.</w:t>
            </w:r>
            <w:r w:rsidRPr="00E223D4">
              <w:rPr>
                <w:rStyle w:val="eop"/>
                <w:rFonts w:cs="Arial"/>
                <w:color w:val="000000"/>
                <w:sz w:val="20"/>
              </w:rPr>
              <w:t> </w:t>
            </w:r>
          </w:p>
          <w:p w14:paraId="651ADB41" w14:textId="76CA8511" w:rsidR="00E223D4" w:rsidRDefault="00E223D4" w:rsidP="00FE121D">
            <w:pPr>
              <w:pStyle w:val="Body"/>
              <w:spacing w:after="0"/>
              <w:rPr>
                <w:rStyle w:val="eop"/>
                <w:rFonts w:cs="Arial"/>
                <w:color w:val="000000"/>
              </w:rPr>
            </w:pPr>
            <w:r w:rsidRPr="00E223D4">
              <w:rPr>
                <w:rStyle w:val="normaltextrun"/>
                <w:rFonts w:eastAsia="MS Gothic" w:cs="Arial"/>
                <w:color w:val="000000"/>
                <w:sz w:val="20"/>
              </w:rPr>
              <w:t>Available at </w:t>
            </w:r>
            <w:hyperlink r:id="rId17" w:tgtFrame="_blank" w:history="1">
              <w:r w:rsidRPr="00E223D4">
                <w:rPr>
                  <w:rStyle w:val="normaltextrun"/>
                  <w:rFonts w:eastAsia="MS Gothic" w:cs="Arial"/>
                  <w:color w:val="004C97"/>
                  <w:sz w:val="20"/>
                  <w:u w:val="single"/>
                </w:rPr>
                <w:t>First Aid</w:t>
              </w:r>
            </w:hyperlink>
            <w:r w:rsidRPr="00E223D4">
              <w:rPr>
                <w:rStyle w:val="normaltextrun"/>
                <w:rFonts w:eastAsia="MS Gothic" w:cs="Arial"/>
                <w:color w:val="000000"/>
                <w:sz w:val="20"/>
              </w:rPr>
              <w:t> </w:t>
            </w:r>
            <w:r w:rsidRPr="00F33BA1">
              <w:rPr>
                <w:rStyle w:val="normaltextrun"/>
                <w:rFonts w:eastAsia="MS Gothic" w:cs="Arial"/>
                <w:sz w:val="20"/>
              </w:rPr>
              <w:t>&lt;</w:t>
            </w:r>
            <w:r w:rsidRPr="00F33BA1">
              <w:rPr>
                <w:rStyle w:val="normaltextrun"/>
                <w:rFonts w:cs="Arial"/>
                <w:sz w:val="20"/>
              </w:rPr>
              <w:t>https://www2.health.vic.gov.au/hospitals-and-health-services/patient-care</w:t>
            </w:r>
            <w:r w:rsidRPr="00F33BA1">
              <w:rPr>
                <w:rStyle w:val="normaltextrun"/>
                <w:rFonts w:eastAsia="MS Gothic" w:cs="Arial"/>
                <w:sz w:val="20"/>
              </w:rPr>
              <w:t>&gt;</w:t>
            </w:r>
            <w:r w:rsidRPr="00F33BA1">
              <w:rPr>
                <w:rStyle w:val="eop"/>
                <w:rFonts w:cs="Arial"/>
              </w:rPr>
              <w:t> </w:t>
            </w:r>
          </w:p>
          <w:p w14:paraId="0B57B71E" w14:textId="19622464" w:rsidR="00E223D4" w:rsidRDefault="00E223D4" w:rsidP="00E223D4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eastAsia="MS Gothic" w:hAnsi="Arial" w:cs="Arial"/>
                <w:sz w:val="20"/>
                <w:szCs w:val="20"/>
              </w:rPr>
            </w:pPr>
          </w:p>
        </w:tc>
      </w:tr>
    </w:tbl>
    <w:p w14:paraId="51413F0D" w14:textId="77777777" w:rsidR="00162CA9" w:rsidRDefault="00162CA9" w:rsidP="00E223D4">
      <w:pPr>
        <w:pStyle w:val="Body"/>
      </w:pPr>
    </w:p>
    <w:sectPr w:rsidR="00162CA9" w:rsidSect="00E62622">
      <w:footerReference w:type="default" r:id="rId18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FA48B" w14:textId="77777777" w:rsidR="007932C0" w:rsidRDefault="007932C0">
      <w:r>
        <w:separator/>
      </w:r>
    </w:p>
  </w:endnote>
  <w:endnote w:type="continuationSeparator" w:id="0">
    <w:p w14:paraId="0A63E2C3" w14:textId="77777777" w:rsidR="007932C0" w:rsidRDefault="007932C0">
      <w:r>
        <w:continuationSeparator/>
      </w:r>
    </w:p>
  </w:endnote>
  <w:endnote w:type="continuationNotice" w:id="1">
    <w:p w14:paraId="260A38AE" w14:textId="77777777" w:rsidR="005C1D31" w:rsidRDefault="005C1D3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EB4B68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2" behindDoc="1" locked="1" layoutInCell="1" allowOverlap="1" wp14:anchorId="3070EACE" wp14:editId="76ECA47E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6F76CC" wp14:editId="222D6839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CAE06D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6F76CC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75CAE06D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902172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58241" behindDoc="0" locked="0" layoutInCell="0" allowOverlap="1" wp14:anchorId="43040CC7" wp14:editId="0D6AFF5E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382C691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3040CC7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5824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3382C691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53D21" w14:textId="38FA9C57" w:rsidR="00373890" w:rsidRPr="00F65AA9" w:rsidRDefault="00B65DFC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0" allowOverlap="1" wp14:anchorId="014C75F9" wp14:editId="04F7ED85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acf2488d84a2842ee72efe31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589F80" w14:textId="1D2ED3AA" w:rsidR="00B65DFC" w:rsidRPr="00B65DFC" w:rsidRDefault="00B65DFC" w:rsidP="00B65DFC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65DFC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4C75F9" id="_x0000_t202" coordsize="21600,21600" o:spt="202" path="m,l,21600r21600,l21600,xe">
              <v:stroke joinstyle="miter"/>
              <v:path gradientshapeok="t" o:connecttype="rect"/>
            </v:shapetype>
            <v:shape id="MSIPCMacf2488d84a2842ee72efe31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mRQrwIAAEwFAAAOAAAAZHJzL2Uyb0RvYy54bWysVMlu2zAQvRfoPxA89NRGizfFjRy4DtwE&#10;cBIDTpEzTVGWAInDkHQst+i/d0hJTpr2VPQiDecNZ33Di8umrsiz0KYEmdLoLKRESA5ZKXcp/faw&#10;/JRQYiyTGatAipQehaGXs/fvLg5qKmIooMqEJuhEmulBpbSwVk2DwPBC1MycgRISwRx0zSwe9S7I&#10;NDug97oK4jAcBwfQmdLAhTGovWpBOvP+81xwe5/nRlhSpRRzs/6r/XfrvsHsgk13mqmi5F0a7B+y&#10;qFkpMejJ1RWzjOx1+YeruuQaDOT2jEMdQJ6XXPgasJoofFPNpmBK+FqwOUad2mT+n1t+97zWpMxS&#10;OqBEshpHdLu5WS9uGc/jYZJkyZDFyTAWYhKLXAwiSjJhOHbwx4enPdjP18wUC8hEe5qeh8PJKBmM&#10;o48dLMpdYTswGSJBOuCxzGzR6Ufno5N+XTEuaiH7O63JEsAK3cqdgxuZiaZz0P7WuqyZPv5mtUEG&#10;IDU7u7i7+wCq04SnwCuR9zFR+dMx46DMFBu0Udgi23yBBhne6w0q3cCbXNfuj6MkiCPHjideicYS&#10;jsrJaBwOIoQ4YoMomiQj5yZ4ua20sV8F1MQJKdWYtacTe14Z25r2Ji6YhGVZVZ67lSSHlI4Ho9Bf&#10;OCHovJIYw9XQ5uok22wbP+24r2ML2RHL09CuhlF8WWIOK2bsmmncBUwb99ve4yevAGNBJ1FSgP7+&#10;N72zR4oiSskBdyul5mnPtKCkupFI3vNoOHTL6A8o6Nfaba+V+3oBuLZIOczKi87WVr2Ya6gfcf3n&#10;LhpCTHKMmdJtLy4snhDA54OL+dzLuHaK2ZXcKO5cu266zj40j0yrrv0WB3cH/fax6ZsptLbtHOZ7&#10;C3npR+T623azazuurB9y97y4N+H12Vu9PIKzXwAAAP//AwBQSwMEFAAGAAgAAAAhAEgNXprfAAAA&#10;CwEAAA8AAABkcnMvZG93bnJldi54bWxMj81OwzAQhO9IvIO1SNyoUyiBhjgVAnFBQhWl6tmJNz9N&#10;vI5it03ens0Jbrszq9lv0s1oO3HGwTeOFCwXEQikwpmGKgX7n4+7ZxA+aDK6c4QKJvSwya6vUp0Y&#10;d6FvPO9CJTiEfKIV1CH0iZS+qNFqv3A9EnulG6wOvA6VNIO+cLjt5H0UxdLqhvhDrXt8q7Fodyer&#10;YLVd56U8tvb4NX1OU9OWh/e8VOr2Znx9ARFwDH/HMOMzOmTMlLsTGS86BVwksBpHqxjE7C/XEU/5&#10;rD0+PIHMUvm/Q/YLAAD//wMAUEsBAi0AFAAGAAgAAAAhALaDOJL+AAAA4QEAABMAAAAAAAAAAAAA&#10;AAAAAAAAAFtDb250ZW50X1R5cGVzXS54bWxQSwECLQAUAAYACAAAACEAOP0h/9YAAACUAQAACwAA&#10;AAAAAAAAAAAAAAAvAQAAX3JlbHMvLnJlbHNQSwECLQAUAAYACAAAACEA1FpkUK8CAABMBQAADgAA&#10;AAAAAAAAAAAAAAAuAgAAZHJzL2Uyb0RvYy54bWxQSwECLQAUAAYACAAAACEASA1emt8AAAALAQAA&#10;DwAAAAAAAAAAAAAAAAAJBQAAZHJzL2Rvd25yZXYueG1sUEsFBgAAAAAEAAQA8wAAABUGAAAAAA==&#10;" o:allowincell="f" filled="f" stroked="f" strokeweight=".5pt">
              <v:textbox inset=",0,,0">
                <w:txbxContent>
                  <w:p w14:paraId="5E589F80" w14:textId="1D2ED3AA" w:rsidR="00B65DFC" w:rsidRPr="00B65DFC" w:rsidRDefault="00B65DFC" w:rsidP="00B65DFC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65DFC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5CD38127" wp14:editId="390EA45D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C81B8CC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D38127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chLsQIAAEwFAAAOAAAAZHJzL2Uyb0RvYy54bWysVE1v2zAMvQ/YfxB02Gmr7TofTlanyFJk&#10;LZC2AdKhZ0WWYwO2qEpK42zYfx8l22nX7TTsYlMk9Ug+krq4bOqKPAttSpApjc5CSoTkkJVyl9Jv&#10;D8tPCSXGMpmxCqRI6VEYejl7/+7ioKbiHAqoMqEJgkgzPaiUFtaqaRAYXoiamTNQQqIxB10zi0e9&#10;CzLNDoheV8F5GI6CA+hMaeDCGNRetUY68/h5Lri9z3MjLKlSirlZ/9X+u3XfYHbBpjvNVFHyLg32&#10;D1nUrJQY9AR1xSwje13+AVWXXIOB3J5xqAPI85ILXwNWE4VvqtkUTAlfC5Jj1Ikm8/9g+d3zWpMy&#10;S+mYEslqbNHt5ma9uM0H43gQjzKWJMkEiRbZcDRIBHKYCcORwR8fnvZgP18zUywgE+1pOgkH42ES&#10;j6KPnVmUu8J2xmSAA9IZHsvMFp1+OBme9OuKcVEL2d9pXZYAVuhW7gBuZCaaDqD9rXVZM338zWuD&#10;E4Cj2fnF3d0HUJ0mPAVeibyPicqfbjIOykyRoI1CimzzBRqc8F5vUOka3uS6dn9sJUE78nM8zZVo&#10;LOGoHA9HYRyhiaMtjqJxMnQwwcttpY39KqAmTkipxqz9OLHnlbGta+/igklYllXlZ7eS5JDSUTwM&#10;/YWTBcEriTFcDW2uTrLNtvHdjvs6tpAdsTwN7WoYxZcl5rBixq6Zxl3AtHG/7T1+8gowFnQSJQXo&#10;73/TO38cUbRScsDdSql52jMtKKluJA7vJBoMENb6Awr6tXbba+W+XgCubYQviOJedL626sVcQ/2I&#10;6z930dDEJMeYKd324sLiCQ34fHAxn3sZ104xu5IbxR20Y9Mx+9A8Mq06+i027g767WPTN11ofds+&#10;zPcW8tK3yPHbstnRjivrm9w9L+5NeH32Xi+P4OwXAAAA//8DAFBLAwQUAAYACAAAACEASA1emt8A&#10;AAALAQAADwAAAGRycy9kb3ducmV2LnhtbEyPzU7DMBCE70i8g7VI3KhTKIGGOBUCcUFCFaXq2Yk3&#10;P028jmK3Td6ezQluuzOr2W/SzWg7ccbBN44ULBcRCKTCmYYqBfufj7tnED5oMrpzhAom9LDJrq9S&#10;nRh3oW8870IlOIR8ohXUIfSJlL6o0Wq/cD0Se6UbrA68DpU0g75wuO3kfRTF0uqG+EOte3yrsWh3&#10;J6tgtV3npTy29vg1fU5T05aH97xU6vZmfH0BEXAMf8cw4zM6ZMyUuxMZLzoFXCSwGkerGMTsL9cR&#10;T/msPT48gcxS+b9D9gsAAP//AwBQSwECLQAUAAYACAAAACEAtoM4kv4AAADhAQAAEwAAAAAAAAAA&#10;AAAAAAAAAAAAW0NvbnRlbnRfVHlwZXNdLnhtbFBLAQItABQABgAIAAAAIQA4/SH/1gAAAJQBAAAL&#10;AAAAAAAAAAAAAAAAAC8BAABfcmVscy8ucmVsc1BLAQItABQABgAIAAAAIQD5pchLsQIAAEwFAAAO&#10;AAAAAAAAAAAAAAAAAC4CAABkcnMvZTJvRG9jLnhtbFBLAQItABQABgAIAAAAIQBIDV6a3wAAAAsB&#10;AAAPAAAAAAAAAAAAAAAAAAsFAABkcnMvZG93bnJldi54bWxQSwUGAAAAAAQABADzAAAAFwYAAAAA&#10;" o:allowincell="f" filled="f" stroked="f" strokeweight=".5pt">
              <v:textbox inset=",0,,0">
                <w:txbxContent>
                  <w:p w14:paraId="4C81B8CC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FD323" w14:textId="77777777" w:rsidR="007932C0" w:rsidRDefault="007932C0" w:rsidP="002862F1">
      <w:pPr>
        <w:spacing w:before="120"/>
      </w:pPr>
      <w:r>
        <w:separator/>
      </w:r>
    </w:p>
  </w:footnote>
  <w:footnote w:type="continuationSeparator" w:id="0">
    <w:p w14:paraId="4457644B" w14:textId="77777777" w:rsidR="007932C0" w:rsidRDefault="007932C0">
      <w:r>
        <w:continuationSeparator/>
      </w:r>
    </w:p>
  </w:footnote>
  <w:footnote w:type="continuationNotice" w:id="1">
    <w:p w14:paraId="14F40B6F" w14:textId="77777777" w:rsidR="005C1D31" w:rsidRDefault="005C1D3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C6918" w14:textId="77777777"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8B94A58"/>
    <w:multiLevelType w:val="hybridMultilevel"/>
    <w:tmpl w:val="9A6E15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0B8D43DB"/>
    <w:multiLevelType w:val="multilevel"/>
    <w:tmpl w:val="1D06E7FE"/>
    <w:numStyleLink w:val="ZZNumbersdigit"/>
  </w:abstractNum>
  <w:abstractNum w:abstractNumId="1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2F0097"/>
    <w:multiLevelType w:val="hybridMultilevel"/>
    <w:tmpl w:val="A91063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31530E"/>
    <w:multiLevelType w:val="hybridMultilevel"/>
    <w:tmpl w:val="04D4BA1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2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D2D04"/>
    <w:multiLevelType w:val="hybridMultilevel"/>
    <w:tmpl w:val="4B02FAE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6" w15:restartNumberingAfterBreak="0">
    <w:nsid w:val="62A521C5"/>
    <w:multiLevelType w:val="hybridMultilevel"/>
    <w:tmpl w:val="5B2E5E1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8" w15:restartNumberingAfterBreak="0">
    <w:nsid w:val="657D2AFC"/>
    <w:multiLevelType w:val="hybridMultilevel"/>
    <w:tmpl w:val="5B821BF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0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</w:num>
  <w:num w:numId="8">
    <w:abstractNumId w:val="19"/>
  </w:num>
  <w:num w:numId="9">
    <w:abstractNumId w:val="24"/>
  </w:num>
  <w:num w:numId="1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31"/>
  </w:num>
  <w:num w:numId="25">
    <w:abstractNumId w:val="29"/>
  </w:num>
  <w:num w:numId="26">
    <w:abstractNumId w:val="22"/>
  </w:num>
  <w:num w:numId="27">
    <w:abstractNumId w:val="11"/>
  </w:num>
  <w:num w:numId="28">
    <w:abstractNumId w:val="32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</w:num>
  <w:num w:numId="41">
    <w:abstractNumId w:val="26"/>
  </w:num>
  <w:num w:numId="42">
    <w:abstractNumId w:val="18"/>
  </w:num>
  <w:num w:numId="43">
    <w:abstractNumId w:val="23"/>
  </w:num>
  <w:num w:numId="44">
    <w:abstractNumId w:val="17"/>
  </w:num>
  <w:num w:numId="45">
    <w:abstractNumId w:val="28"/>
  </w:num>
  <w:num w:numId="46">
    <w:abstractNumId w:val="2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099"/>
    <w:rsid w:val="00000719"/>
    <w:rsid w:val="00003403"/>
    <w:rsid w:val="00005347"/>
    <w:rsid w:val="000072B6"/>
    <w:rsid w:val="0001021B"/>
    <w:rsid w:val="00011D89"/>
    <w:rsid w:val="000154FD"/>
    <w:rsid w:val="00016FBF"/>
    <w:rsid w:val="00017023"/>
    <w:rsid w:val="00022271"/>
    <w:rsid w:val="000235E8"/>
    <w:rsid w:val="00024D89"/>
    <w:rsid w:val="000250B6"/>
    <w:rsid w:val="00033D81"/>
    <w:rsid w:val="00037332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23C5"/>
    <w:rsid w:val="000733FE"/>
    <w:rsid w:val="00074219"/>
    <w:rsid w:val="00074ED5"/>
    <w:rsid w:val="000835C6"/>
    <w:rsid w:val="0008508E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5EEC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04C8"/>
    <w:rsid w:val="0028213D"/>
    <w:rsid w:val="002862F1"/>
    <w:rsid w:val="0028764C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2A1"/>
    <w:rsid w:val="00305CC1"/>
    <w:rsid w:val="00306E5F"/>
    <w:rsid w:val="00307E14"/>
    <w:rsid w:val="00314054"/>
    <w:rsid w:val="00315BD8"/>
    <w:rsid w:val="00315EE9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64A"/>
    <w:rsid w:val="00350D38"/>
    <w:rsid w:val="00351B36"/>
    <w:rsid w:val="00357B4E"/>
    <w:rsid w:val="00364529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271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3F8D"/>
    <w:rsid w:val="003F5CB9"/>
    <w:rsid w:val="003F769F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40D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949DB"/>
    <w:rsid w:val="004A160D"/>
    <w:rsid w:val="004A3E81"/>
    <w:rsid w:val="004A4195"/>
    <w:rsid w:val="004A5C62"/>
    <w:rsid w:val="004A5CE5"/>
    <w:rsid w:val="004A707D"/>
    <w:rsid w:val="004C4EC3"/>
    <w:rsid w:val="004C5541"/>
    <w:rsid w:val="004C6EEE"/>
    <w:rsid w:val="004C6FD5"/>
    <w:rsid w:val="004C702B"/>
    <w:rsid w:val="004C7F34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5462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1D31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06C42"/>
    <w:rsid w:val="00610D7C"/>
    <w:rsid w:val="00613414"/>
    <w:rsid w:val="00620154"/>
    <w:rsid w:val="0062408D"/>
    <w:rsid w:val="006240CC"/>
    <w:rsid w:val="00624940"/>
    <w:rsid w:val="00625354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D6906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3E48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5670C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2E6"/>
    <w:rsid w:val="00786F16"/>
    <w:rsid w:val="00791BD7"/>
    <w:rsid w:val="007932C0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7F798C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4B62"/>
    <w:rsid w:val="0088529C"/>
    <w:rsid w:val="00887903"/>
    <w:rsid w:val="0089270A"/>
    <w:rsid w:val="0089397F"/>
    <w:rsid w:val="00893AF6"/>
    <w:rsid w:val="00894BC4"/>
    <w:rsid w:val="008A0849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09B1"/>
    <w:rsid w:val="008E3DE9"/>
    <w:rsid w:val="008E4376"/>
    <w:rsid w:val="008E7A0A"/>
    <w:rsid w:val="008E7B49"/>
    <w:rsid w:val="008F3E84"/>
    <w:rsid w:val="008F59F6"/>
    <w:rsid w:val="00900719"/>
    <w:rsid w:val="009017AC"/>
    <w:rsid w:val="00902A9A"/>
    <w:rsid w:val="00904A1C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6C7C"/>
    <w:rsid w:val="00937BD9"/>
    <w:rsid w:val="00950D47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16CB"/>
    <w:rsid w:val="009B2AE8"/>
    <w:rsid w:val="009B59E9"/>
    <w:rsid w:val="009B70AA"/>
    <w:rsid w:val="009C5E77"/>
    <w:rsid w:val="009C7A7E"/>
    <w:rsid w:val="009D02E8"/>
    <w:rsid w:val="009D1D65"/>
    <w:rsid w:val="009D51D0"/>
    <w:rsid w:val="009D70A4"/>
    <w:rsid w:val="009D7B14"/>
    <w:rsid w:val="009E08D1"/>
    <w:rsid w:val="009E1B95"/>
    <w:rsid w:val="009E4497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247"/>
    <w:rsid w:val="00A04CCE"/>
    <w:rsid w:val="00A07421"/>
    <w:rsid w:val="00A0776B"/>
    <w:rsid w:val="00A101E0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4D4B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129"/>
    <w:rsid w:val="00AD0CBA"/>
    <w:rsid w:val="00AD177A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5DFC"/>
    <w:rsid w:val="00B66D83"/>
    <w:rsid w:val="00B672C0"/>
    <w:rsid w:val="00B676FD"/>
    <w:rsid w:val="00B70BDA"/>
    <w:rsid w:val="00B75646"/>
    <w:rsid w:val="00B80BAA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63D9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5AB9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14A4B"/>
    <w:rsid w:val="00C25867"/>
    <w:rsid w:val="00C26588"/>
    <w:rsid w:val="00C27DE9"/>
    <w:rsid w:val="00C32989"/>
    <w:rsid w:val="00C33388"/>
    <w:rsid w:val="00C35484"/>
    <w:rsid w:val="00C4173A"/>
    <w:rsid w:val="00C41F86"/>
    <w:rsid w:val="00C46B06"/>
    <w:rsid w:val="00C50DED"/>
    <w:rsid w:val="00C55A68"/>
    <w:rsid w:val="00C602FF"/>
    <w:rsid w:val="00C61174"/>
    <w:rsid w:val="00C6148F"/>
    <w:rsid w:val="00C621B1"/>
    <w:rsid w:val="00C62F7A"/>
    <w:rsid w:val="00C63B9C"/>
    <w:rsid w:val="00C6682F"/>
    <w:rsid w:val="00C67BF4"/>
    <w:rsid w:val="00C67CF9"/>
    <w:rsid w:val="00C7275E"/>
    <w:rsid w:val="00C74C5D"/>
    <w:rsid w:val="00C863C4"/>
    <w:rsid w:val="00C8746D"/>
    <w:rsid w:val="00C920EA"/>
    <w:rsid w:val="00C93C3E"/>
    <w:rsid w:val="00CA12E3"/>
    <w:rsid w:val="00CA1476"/>
    <w:rsid w:val="00CA576E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C3355"/>
    <w:rsid w:val="00CD3476"/>
    <w:rsid w:val="00CD64DF"/>
    <w:rsid w:val="00CE225F"/>
    <w:rsid w:val="00CF2F50"/>
    <w:rsid w:val="00CF6198"/>
    <w:rsid w:val="00D01B99"/>
    <w:rsid w:val="00D02919"/>
    <w:rsid w:val="00D04C61"/>
    <w:rsid w:val="00D05B8D"/>
    <w:rsid w:val="00D065A2"/>
    <w:rsid w:val="00D079AA"/>
    <w:rsid w:val="00D07F00"/>
    <w:rsid w:val="00D1130F"/>
    <w:rsid w:val="00D17B72"/>
    <w:rsid w:val="00D250BC"/>
    <w:rsid w:val="00D3185C"/>
    <w:rsid w:val="00D3205F"/>
    <w:rsid w:val="00D3318E"/>
    <w:rsid w:val="00D33E72"/>
    <w:rsid w:val="00D35BD6"/>
    <w:rsid w:val="00D361B5"/>
    <w:rsid w:val="00D40099"/>
    <w:rsid w:val="00D405AC"/>
    <w:rsid w:val="00D411A2"/>
    <w:rsid w:val="00D4606D"/>
    <w:rsid w:val="00D46C92"/>
    <w:rsid w:val="00D50B9C"/>
    <w:rsid w:val="00D52D73"/>
    <w:rsid w:val="00D52E58"/>
    <w:rsid w:val="00D55486"/>
    <w:rsid w:val="00D56B20"/>
    <w:rsid w:val="00D578B3"/>
    <w:rsid w:val="00D618F4"/>
    <w:rsid w:val="00D64444"/>
    <w:rsid w:val="00D714CC"/>
    <w:rsid w:val="00D75EA7"/>
    <w:rsid w:val="00D81ADF"/>
    <w:rsid w:val="00D81F21"/>
    <w:rsid w:val="00D8616C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2F8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23D4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8B5"/>
    <w:rsid w:val="00EA2F6A"/>
    <w:rsid w:val="00EB00E0"/>
    <w:rsid w:val="00EC04BA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05599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3BA1"/>
    <w:rsid w:val="00F35287"/>
    <w:rsid w:val="00F40A70"/>
    <w:rsid w:val="00F43A37"/>
    <w:rsid w:val="00F451AB"/>
    <w:rsid w:val="00F4641B"/>
    <w:rsid w:val="00F46EB8"/>
    <w:rsid w:val="00F4711D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16"/>
    <w:rsid w:val="00FB6481"/>
    <w:rsid w:val="00FB6D36"/>
    <w:rsid w:val="00FC0965"/>
    <w:rsid w:val="00FC0F81"/>
    <w:rsid w:val="00FC252F"/>
    <w:rsid w:val="00FC395C"/>
    <w:rsid w:val="00FC4BDF"/>
    <w:rsid w:val="00FC5E8E"/>
    <w:rsid w:val="00FD3766"/>
    <w:rsid w:val="00FD47C4"/>
    <w:rsid w:val="00FD722A"/>
    <w:rsid w:val="00FE121D"/>
    <w:rsid w:val="00FE2DCF"/>
    <w:rsid w:val="00FE3FA7"/>
    <w:rsid w:val="00FE5EFE"/>
    <w:rsid w:val="00FF2A4E"/>
    <w:rsid w:val="00FF2FCE"/>
    <w:rsid w:val="00FF4DE4"/>
    <w:rsid w:val="00FF4F7D"/>
    <w:rsid w:val="00FF54DF"/>
    <w:rsid w:val="00FF6D9D"/>
    <w:rsid w:val="00FF7DD5"/>
    <w:rsid w:val="02B6F2B7"/>
    <w:rsid w:val="0EF77F5F"/>
    <w:rsid w:val="12B0D9CB"/>
    <w:rsid w:val="172317D6"/>
    <w:rsid w:val="1992FEC3"/>
    <w:rsid w:val="32035ACA"/>
    <w:rsid w:val="43BD3C7B"/>
    <w:rsid w:val="45AE6F13"/>
    <w:rsid w:val="47DDB4A8"/>
    <w:rsid w:val="55E5EE0B"/>
    <w:rsid w:val="5E53AE31"/>
    <w:rsid w:val="5E54DD21"/>
    <w:rsid w:val="6091B145"/>
    <w:rsid w:val="7CCCC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A14B1E3"/>
  <w15:docId w15:val="{69F21618-D7DE-49B8-A818-96047BB37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EC04BA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EC04BA"/>
    <w:rPr>
      <w:rFonts w:ascii="Arial" w:eastAsia="MS Gothic" w:hAnsi="Arial" w:cs="Arial"/>
      <w:bCs/>
      <w:color w:val="C63663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C04BA"/>
    <w:pPr>
      <w:spacing w:after="240" w:line="560" w:lineRule="atLeast"/>
    </w:pPr>
    <w:rPr>
      <w:rFonts w:ascii="Arial" w:hAnsi="Arial"/>
      <w:b/>
      <w:color w:val="C63663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EC04BA"/>
    <w:pPr>
      <w:spacing w:line="320" w:lineRule="atLeast"/>
    </w:pPr>
    <w:rPr>
      <w:color w:val="C63663"/>
      <w:sz w:val="24"/>
    </w:rPr>
  </w:style>
  <w:style w:type="character" w:customStyle="1" w:styleId="normaltextrun">
    <w:name w:val="normaltextrun"/>
    <w:basedOn w:val="DefaultParagraphFont"/>
    <w:rsid w:val="00017023"/>
  </w:style>
  <w:style w:type="character" w:customStyle="1" w:styleId="eop">
    <w:name w:val="eop"/>
    <w:basedOn w:val="DefaultParagraphFont"/>
    <w:rsid w:val="00017023"/>
  </w:style>
  <w:style w:type="paragraph" w:customStyle="1" w:styleId="paragraph">
    <w:name w:val="paragraph"/>
    <w:basedOn w:val="Normal"/>
    <w:rsid w:val="000170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yperlink" Target="https://www2.health.vic.gov.au/hospitals-and-health-services/patient-car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NEPTFirstAidRegulation@health.vic.gov.a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NEPTFirstAidRegulation@health.vic.gov.a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D4EC38A340344CBCABAB2C9386349A" ma:contentTypeVersion="10" ma:contentTypeDescription="Create a new document." ma:contentTypeScope="" ma:versionID="70d81d3fad279923d710a69c3b2a9338">
  <xsd:schema xmlns:xsd="http://www.w3.org/2001/XMLSchema" xmlns:xs="http://www.w3.org/2001/XMLSchema" xmlns:p="http://schemas.microsoft.com/office/2006/metadata/properties" xmlns:ns2="14671b8e-e891-4910-86ff-35e0958d089d" xmlns:ns3="951ee8a1-a92c-40bc-9e81-d80532d07b49" targetNamespace="http://schemas.microsoft.com/office/2006/metadata/properties" ma:root="true" ma:fieldsID="4df047f73a8b9354116f956202f22553" ns2:_="" ns3:_="">
    <xsd:import namespace="14671b8e-e891-4910-86ff-35e0958d089d"/>
    <xsd:import namespace="951ee8a1-a92c-40bc-9e81-d80532d07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71b8e-e891-4910-86ff-35e0958d08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1ee8a1-a92c-40bc-9e81-d80532d07b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72E2A54-63D4-407B-9B87-CAA747B2E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671b8e-e891-4910-86ff-35e0958d089d"/>
    <ds:schemaRef ds:uri="951ee8a1-a92c-40bc-9e81-d80532d07b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purl.org/dc/elements/1.1/"/>
    <ds:schemaRef ds:uri="http://schemas.microsoft.com/office/2006/metadata/properties"/>
    <ds:schemaRef ds:uri="951ee8a1-a92c-40bc-9e81-d80532d07b4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671b8e-e891-4910-86ff-35e0958d089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Clinical competency standards</vt:lpstr>
    </vt:vector>
  </TitlesOfParts>
  <Manager/>
  <Company>Victoria State Government, Department of Health</Company>
  <LinksUpToDate>false</LinksUpToDate>
  <CharactersWithSpaces>3886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Clinical competency standards</dc:title>
  <dc:subject>Clinical competency standards</dc:subject>
  <dc:creator>NEPT and First Aid</dc:creator>
  <cp:keywords/>
  <dc:description/>
  <cp:revision>3</cp:revision>
  <cp:lastPrinted>2020-03-30T03:28:00Z</cp:lastPrinted>
  <dcterms:created xsi:type="dcterms:W3CDTF">2021-12-22T02:09:00Z</dcterms:created>
  <dcterms:modified xsi:type="dcterms:W3CDTF">2021-12-22T02:13:00Z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0x010100BAD4EC38A340344CBCABAB2C9386349A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2021-12-22T02:13:29Z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