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69B102B5" w:rsidR="003B5733" w:rsidRPr="003B5733" w:rsidRDefault="00C42204" w:rsidP="003B5733">
            <w:pPr>
              <w:pStyle w:val="Documenttitle"/>
            </w:pPr>
            <w:r>
              <w:t>VADC</w:t>
            </w:r>
            <w:r w:rsidR="001547E0">
              <w:t xml:space="preserve"> </w:t>
            </w:r>
            <w:r w:rsidR="003023B6">
              <w:t>Service Event Statement</w:t>
            </w:r>
            <w:r w:rsidR="001547E0">
              <w:t xml:space="preserve"> (SES)</w:t>
            </w:r>
          </w:p>
        </w:tc>
      </w:tr>
      <w:tr w:rsidR="003B5733" w14:paraId="7BC8D8EF" w14:textId="77777777" w:rsidTr="005F44C0">
        <w:tc>
          <w:tcPr>
            <w:tcW w:w="0" w:type="auto"/>
          </w:tcPr>
          <w:p w14:paraId="489AF57F" w14:textId="083FC693" w:rsidR="003B5733" w:rsidRPr="00A1389F" w:rsidRDefault="001547E0" w:rsidP="005F44C0">
            <w:pPr>
              <w:pStyle w:val="Documentsubtitle"/>
            </w:pPr>
            <w:r>
              <w:t>Information Sheet – November 2021</w:t>
            </w:r>
          </w:p>
        </w:tc>
      </w:tr>
      <w:tr w:rsidR="003B5733" w14:paraId="57CBE7D0" w14:textId="77777777" w:rsidTr="005F44C0">
        <w:tc>
          <w:tcPr>
            <w:tcW w:w="0" w:type="auto"/>
          </w:tcPr>
          <w:p w14:paraId="633733D2" w14:textId="77777777" w:rsidR="003B5733" w:rsidRDefault="00235E1E" w:rsidP="005F44C0">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tc>
      </w:tr>
    </w:tbl>
    <w:p w14:paraId="4488FF50" w14:textId="77777777" w:rsidR="00AD784C" w:rsidRPr="00B57329" w:rsidRDefault="00AD784C" w:rsidP="002365B4">
      <w:pPr>
        <w:pStyle w:val="TOCheadingfactsheet"/>
      </w:pPr>
      <w:r w:rsidRPr="00B57329">
        <w:t>Contents</w:t>
      </w:r>
    </w:p>
    <w:p w14:paraId="3208033A" w14:textId="2CFFF6E5" w:rsidR="005C2E2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7445829" w:history="1">
        <w:r w:rsidR="005C2E29" w:rsidRPr="000606CC">
          <w:rPr>
            <w:rStyle w:val="Hyperlink"/>
          </w:rPr>
          <w:t>Service Event Statement</w:t>
        </w:r>
        <w:r w:rsidR="005C2E29">
          <w:rPr>
            <w:webHidden/>
          </w:rPr>
          <w:tab/>
        </w:r>
        <w:r w:rsidR="005C2E29">
          <w:rPr>
            <w:webHidden/>
          </w:rPr>
          <w:fldChar w:fldCharType="begin"/>
        </w:r>
        <w:r w:rsidR="005C2E29">
          <w:rPr>
            <w:webHidden/>
          </w:rPr>
          <w:instrText xml:space="preserve"> PAGEREF _Toc87445829 \h </w:instrText>
        </w:r>
        <w:r w:rsidR="005C2E29">
          <w:rPr>
            <w:webHidden/>
          </w:rPr>
        </w:r>
        <w:r w:rsidR="005C2E29">
          <w:rPr>
            <w:webHidden/>
          </w:rPr>
          <w:fldChar w:fldCharType="separate"/>
        </w:r>
        <w:r w:rsidR="00537812">
          <w:rPr>
            <w:webHidden/>
          </w:rPr>
          <w:t>2</w:t>
        </w:r>
        <w:r w:rsidR="005C2E29">
          <w:rPr>
            <w:webHidden/>
          </w:rPr>
          <w:fldChar w:fldCharType="end"/>
        </w:r>
      </w:hyperlink>
    </w:p>
    <w:p w14:paraId="787090AC" w14:textId="4EE75A98"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0" w:history="1">
        <w:r w:rsidRPr="000606CC">
          <w:rPr>
            <w:rStyle w:val="Hyperlink"/>
          </w:rPr>
          <w:t>1.1</w:t>
        </w:r>
        <w:r>
          <w:rPr>
            <w:rFonts w:asciiTheme="minorHAnsi" w:eastAsiaTheme="minorEastAsia" w:hAnsiTheme="minorHAnsi" w:cstheme="minorBidi"/>
            <w:sz w:val="22"/>
            <w:szCs w:val="22"/>
            <w:lang w:eastAsia="en-AU"/>
          </w:rPr>
          <w:tab/>
        </w:r>
        <w:r w:rsidRPr="000606CC">
          <w:rPr>
            <w:rStyle w:val="Hyperlink"/>
          </w:rPr>
          <w:t>What is the Service Event Statement?</w:t>
        </w:r>
        <w:r>
          <w:rPr>
            <w:webHidden/>
          </w:rPr>
          <w:tab/>
        </w:r>
        <w:r>
          <w:rPr>
            <w:webHidden/>
          </w:rPr>
          <w:fldChar w:fldCharType="begin"/>
        </w:r>
        <w:r>
          <w:rPr>
            <w:webHidden/>
          </w:rPr>
          <w:instrText xml:space="preserve"> PAGEREF _Toc87445830 \h </w:instrText>
        </w:r>
        <w:r>
          <w:rPr>
            <w:webHidden/>
          </w:rPr>
        </w:r>
        <w:r>
          <w:rPr>
            <w:webHidden/>
          </w:rPr>
          <w:fldChar w:fldCharType="separate"/>
        </w:r>
        <w:r w:rsidR="00537812">
          <w:rPr>
            <w:webHidden/>
          </w:rPr>
          <w:t>2</w:t>
        </w:r>
        <w:r>
          <w:rPr>
            <w:webHidden/>
          </w:rPr>
          <w:fldChar w:fldCharType="end"/>
        </w:r>
      </w:hyperlink>
    </w:p>
    <w:p w14:paraId="116B1711" w14:textId="26494BC8"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1" w:history="1">
        <w:r w:rsidRPr="000606CC">
          <w:rPr>
            <w:rStyle w:val="Hyperlink"/>
          </w:rPr>
          <w:t>1.2</w:t>
        </w:r>
        <w:r>
          <w:rPr>
            <w:rFonts w:asciiTheme="minorHAnsi" w:eastAsiaTheme="minorEastAsia" w:hAnsiTheme="minorHAnsi" w:cstheme="minorBidi"/>
            <w:sz w:val="22"/>
            <w:szCs w:val="22"/>
            <w:lang w:eastAsia="en-AU"/>
          </w:rPr>
          <w:tab/>
        </w:r>
        <w:r w:rsidRPr="000606CC">
          <w:rPr>
            <w:rStyle w:val="Hyperlink"/>
          </w:rPr>
          <w:t>What is the purpose of the Service Event Statement?</w:t>
        </w:r>
        <w:r>
          <w:rPr>
            <w:webHidden/>
          </w:rPr>
          <w:tab/>
        </w:r>
        <w:r>
          <w:rPr>
            <w:webHidden/>
          </w:rPr>
          <w:fldChar w:fldCharType="begin"/>
        </w:r>
        <w:r>
          <w:rPr>
            <w:webHidden/>
          </w:rPr>
          <w:instrText xml:space="preserve"> PAGEREF _Toc87445831 \h </w:instrText>
        </w:r>
        <w:r>
          <w:rPr>
            <w:webHidden/>
          </w:rPr>
        </w:r>
        <w:r>
          <w:rPr>
            <w:webHidden/>
          </w:rPr>
          <w:fldChar w:fldCharType="separate"/>
        </w:r>
        <w:r w:rsidR="00537812">
          <w:rPr>
            <w:webHidden/>
          </w:rPr>
          <w:t>2</w:t>
        </w:r>
        <w:r>
          <w:rPr>
            <w:webHidden/>
          </w:rPr>
          <w:fldChar w:fldCharType="end"/>
        </w:r>
      </w:hyperlink>
    </w:p>
    <w:p w14:paraId="54608EF6" w14:textId="71D6F412"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2" w:history="1">
        <w:r w:rsidRPr="000606CC">
          <w:rPr>
            <w:rStyle w:val="Hyperlink"/>
          </w:rPr>
          <w:t>1.3</w:t>
        </w:r>
        <w:r>
          <w:rPr>
            <w:rFonts w:asciiTheme="minorHAnsi" w:eastAsiaTheme="minorEastAsia" w:hAnsiTheme="minorHAnsi" w:cstheme="minorBidi"/>
            <w:sz w:val="22"/>
            <w:szCs w:val="22"/>
            <w:lang w:eastAsia="en-AU"/>
          </w:rPr>
          <w:tab/>
        </w:r>
        <w:r w:rsidRPr="000606CC">
          <w:rPr>
            <w:rStyle w:val="Hyperlink"/>
          </w:rPr>
          <w:t>Some important points about the statement</w:t>
        </w:r>
        <w:r>
          <w:rPr>
            <w:webHidden/>
          </w:rPr>
          <w:tab/>
        </w:r>
        <w:r>
          <w:rPr>
            <w:webHidden/>
          </w:rPr>
          <w:fldChar w:fldCharType="begin"/>
        </w:r>
        <w:r>
          <w:rPr>
            <w:webHidden/>
          </w:rPr>
          <w:instrText xml:space="preserve"> PAGEREF _Toc87445832 \h </w:instrText>
        </w:r>
        <w:r>
          <w:rPr>
            <w:webHidden/>
          </w:rPr>
        </w:r>
        <w:r>
          <w:rPr>
            <w:webHidden/>
          </w:rPr>
          <w:fldChar w:fldCharType="separate"/>
        </w:r>
        <w:r w:rsidR="00537812">
          <w:rPr>
            <w:webHidden/>
          </w:rPr>
          <w:t>2</w:t>
        </w:r>
        <w:r>
          <w:rPr>
            <w:webHidden/>
          </w:rPr>
          <w:fldChar w:fldCharType="end"/>
        </w:r>
      </w:hyperlink>
    </w:p>
    <w:p w14:paraId="17595E84" w14:textId="61D12430"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3" w:history="1">
        <w:r w:rsidRPr="000606CC">
          <w:rPr>
            <w:rStyle w:val="Hyperlink"/>
          </w:rPr>
          <w:t>1.4</w:t>
        </w:r>
        <w:r>
          <w:rPr>
            <w:rFonts w:asciiTheme="minorHAnsi" w:eastAsiaTheme="minorEastAsia" w:hAnsiTheme="minorHAnsi" w:cstheme="minorBidi"/>
            <w:sz w:val="22"/>
            <w:szCs w:val="22"/>
            <w:lang w:eastAsia="en-AU"/>
          </w:rPr>
          <w:tab/>
        </w:r>
        <w:r w:rsidRPr="000606CC">
          <w:rPr>
            <w:rStyle w:val="Hyperlink"/>
          </w:rPr>
          <w:t>When will the Service Event Statement be produced?</w:t>
        </w:r>
        <w:r>
          <w:rPr>
            <w:webHidden/>
          </w:rPr>
          <w:tab/>
        </w:r>
        <w:r>
          <w:rPr>
            <w:webHidden/>
          </w:rPr>
          <w:fldChar w:fldCharType="begin"/>
        </w:r>
        <w:r>
          <w:rPr>
            <w:webHidden/>
          </w:rPr>
          <w:instrText xml:space="preserve"> PAGEREF _Toc87445833 \h </w:instrText>
        </w:r>
        <w:r>
          <w:rPr>
            <w:webHidden/>
          </w:rPr>
        </w:r>
        <w:r>
          <w:rPr>
            <w:webHidden/>
          </w:rPr>
          <w:fldChar w:fldCharType="separate"/>
        </w:r>
        <w:r w:rsidR="00537812">
          <w:rPr>
            <w:webHidden/>
          </w:rPr>
          <w:t>2</w:t>
        </w:r>
        <w:r>
          <w:rPr>
            <w:webHidden/>
          </w:rPr>
          <w:fldChar w:fldCharType="end"/>
        </w:r>
      </w:hyperlink>
    </w:p>
    <w:p w14:paraId="5A8BBE0D" w14:textId="7B775C36"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4" w:history="1">
        <w:r w:rsidRPr="000606CC">
          <w:rPr>
            <w:rStyle w:val="Hyperlink"/>
          </w:rPr>
          <w:t>1.5</w:t>
        </w:r>
        <w:r>
          <w:rPr>
            <w:rFonts w:asciiTheme="minorHAnsi" w:eastAsiaTheme="minorEastAsia" w:hAnsiTheme="minorHAnsi" w:cstheme="minorBidi"/>
            <w:sz w:val="22"/>
            <w:szCs w:val="22"/>
            <w:lang w:eastAsia="en-AU"/>
          </w:rPr>
          <w:tab/>
        </w:r>
        <w:r w:rsidRPr="000606CC">
          <w:rPr>
            <w:rStyle w:val="Hyperlink"/>
          </w:rPr>
          <w:t>How will the Service Event Statement be sent to my organisation?</w:t>
        </w:r>
        <w:r>
          <w:rPr>
            <w:webHidden/>
          </w:rPr>
          <w:tab/>
        </w:r>
        <w:r>
          <w:rPr>
            <w:webHidden/>
          </w:rPr>
          <w:fldChar w:fldCharType="begin"/>
        </w:r>
        <w:r>
          <w:rPr>
            <w:webHidden/>
          </w:rPr>
          <w:instrText xml:space="preserve"> PAGEREF _Toc87445834 \h </w:instrText>
        </w:r>
        <w:r>
          <w:rPr>
            <w:webHidden/>
          </w:rPr>
        </w:r>
        <w:r>
          <w:rPr>
            <w:webHidden/>
          </w:rPr>
          <w:fldChar w:fldCharType="separate"/>
        </w:r>
        <w:r w:rsidR="00537812">
          <w:rPr>
            <w:webHidden/>
          </w:rPr>
          <w:t>2</w:t>
        </w:r>
        <w:r>
          <w:rPr>
            <w:webHidden/>
          </w:rPr>
          <w:fldChar w:fldCharType="end"/>
        </w:r>
      </w:hyperlink>
    </w:p>
    <w:p w14:paraId="3E06D93B" w14:textId="477B3A1B"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5" w:history="1">
        <w:r w:rsidRPr="000606CC">
          <w:rPr>
            <w:rStyle w:val="Hyperlink"/>
          </w:rPr>
          <w:t>1.6</w:t>
        </w:r>
        <w:r>
          <w:rPr>
            <w:rFonts w:asciiTheme="minorHAnsi" w:eastAsiaTheme="minorEastAsia" w:hAnsiTheme="minorHAnsi" w:cstheme="minorBidi"/>
            <w:sz w:val="22"/>
            <w:szCs w:val="22"/>
            <w:lang w:eastAsia="en-AU"/>
          </w:rPr>
          <w:tab/>
        </w:r>
        <w:r w:rsidRPr="000606CC">
          <w:rPr>
            <w:rStyle w:val="Hyperlink"/>
          </w:rPr>
          <w:t>What is included in the Service Event Statement?</w:t>
        </w:r>
        <w:r>
          <w:rPr>
            <w:webHidden/>
          </w:rPr>
          <w:tab/>
        </w:r>
        <w:r>
          <w:rPr>
            <w:webHidden/>
          </w:rPr>
          <w:fldChar w:fldCharType="begin"/>
        </w:r>
        <w:r>
          <w:rPr>
            <w:webHidden/>
          </w:rPr>
          <w:instrText xml:space="preserve"> PAGEREF _Toc87445835 \h </w:instrText>
        </w:r>
        <w:r>
          <w:rPr>
            <w:webHidden/>
          </w:rPr>
        </w:r>
        <w:r>
          <w:rPr>
            <w:webHidden/>
          </w:rPr>
          <w:fldChar w:fldCharType="separate"/>
        </w:r>
        <w:r w:rsidR="00537812">
          <w:rPr>
            <w:webHidden/>
          </w:rPr>
          <w:t>3</w:t>
        </w:r>
        <w:r>
          <w:rPr>
            <w:webHidden/>
          </w:rPr>
          <w:fldChar w:fldCharType="end"/>
        </w:r>
      </w:hyperlink>
    </w:p>
    <w:p w14:paraId="27C8847A" w14:textId="538B7973"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6" w:history="1">
        <w:r w:rsidRPr="000606CC">
          <w:rPr>
            <w:rStyle w:val="Hyperlink"/>
          </w:rPr>
          <w:t>1.7</w:t>
        </w:r>
        <w:r>
          <w:rPr>
            <w:rFonts w:asciiTheme="minorHAnsi" w:eastAsiaTheme="minorEastAsia" w:hAnsiTheme="minorHAnsi" w:cstheme="minorBidi"/>
            <w:sz w:val="22"/>
            <w:szCs w:val="22"/>
            <w:lang w:eastAsia="en-AU"/>
          </w:rPr>
          <w:tab/>
        </w:r>
        <w:r w:rsidRPr="000606CC">
          <w:rPr>
            <w:rStyle w:val="Hyperlink"/>
          </w:rPr>
          <w:t>How do I use the Service Event Statement?</w:t>
        </w:r>
        <w:r>
          <w:rPr>
            <w:webHidden/>
          </w:rPr>
          <w:tab/>
        </w:r>
        <w:r>
          <w:rPr>
            <w:webHidden/>
          </w:rPr>
          <w:fldChar w:fldCharType="begin"/>
        </w:r>
        <w:r>
          <w:rPr>
            <w:webHidden/>
          </w:rPr>
          <w:instrText xml:space="preserve"> PAGEREF _Toc87445836 \h </w:instrText>
        </w:r>
        <w:r>
          <w:rPr>
            <w:webHidden/>
          </w:rPr>
        </w:r>
        <w:r>
          <w:rPr>
            <w:webHidden/>
          </w:rPr>
          <w:fldChar w:fldCharType="separate"/>
        </w:r>
        <w:r w:rsidR="00537812">
          <w:rPr>
            <w:webHidden/>
          </w:rPr>
          <w:t>3</w:t>
        </w:r>
        <w:r>
          <w:rPr>
            <w:webHidden/>
          </w:rPr>
          <w:fldChar w:fldCharType="end"/>
        </w:r>
      </w:hyperlink>
    </w:p>
    <w:p w14:paraId="528F0034" w14:textId="42B11076"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7" w:history="1">
        <w:r w:rsidRPr="000606CC">
          <w:rPr>
            <w:rStyle w:val="Hyperlink"/>
          </w:rPr>
          <w:t>1.8</w:t>
        </w:r>
        <w:r>
          <w:rPr>
            <w:rFonts w:asciiTheme="minorHAnsi" w:eastAsiaTheme="minorEastAsia" w:hAnsiTheme="minorHAnsi" w:cstheme="minorBidi"/>
            <w:sz w:val="22"/>
            <w:szCs w:val="22"/>
            <w:lang w:eastAsia="en-AU"/>
          </w:rPr>
          <w:tab/>
        </w:r>
        <w:r w:rsidRPr="000606CC">
          <w:rPr>
            <w:rStyle w:val="Hyperlink"/>
          </w:rPr>
          <w:t>Common causes of data quality issues</w:t>
        </w:r>
        <w:r>
          <w:rPr>
            <w:webHidden/>
          </w:rPr>
          <w:tab/>
        </w:r>
        <w:r>
          <w:rPr>
            <w:webHidden/>
          </w:rPr>
          <w:fldChar w:fldCharType="begin"/>
        </w:r>
        <w:r>
          <w:rPr>
            <w:webHidden/>
          </w:rPr>
          <w:instrText xml:space="preserve"> PAGEREF _Toc87445837 \h </w:instrText>
        </w:r>
        <w:r>
          <w:rPr>
            <w:webHidden/>
          </w:rPr>
        </w:r>
        <w:r>
          <w:rPr>
            <w:webHidden/>
          </w:rPr>
          <w:fldChar w:fldCharType="separate"/>
        </w:r>
        <w:r w:rsidR="00537812">
          <w:rPr>
            <w:webHidden/>
          </w:rPr>
          <w:t>3</w:t>
        </w:r>
        <w:r>
          <w:rPr>
            <w:webHidden/>
          </w:rPr>
          <w:fldChar w:fldCharType="end"/>
        </w:r>
      </w:hyperlink>
    </w:p>
    <w:p w14:paraId="5307BA75" w14:textId="01F49890" w:rsidR="005C2E29" w:rsidRDefault="005C2E29">
      <w:pPr>
        <w:pStyle w:val="TOC2"/>
        <w:tabs>
          <w:tab w:val="left" w:pos="567"/>
        </w:tabs>
        <w:rPr>
          <w:rFonts w:asciiTheme="minorHAnsi" w:eastAsiaTheme="minorEastAsia" w:hAnsiTheme="minorHAnsi" w:cstheme="minorBidi"/>
          <w:sz w:val="22"/>
          <w:szCs w:val="22"/>
          <w:lang w:eastAsia="en-AU"/>
        </w:rPr>
      </w:pPr>
      <w:hyperlink w:anchor="_Toc87445838" w:history="1">
        <w:r w:rsidRPr="000606CC">
          <w:rPr>
            <w:rStyle w:val="Hyperlink"/>
          </w:rPr>
          <w:t>1.9</w:t>
        </w:r>
        <w:r>
          <w:rPr>
            <w:rFonts w:asciiTheme="minorHAnsi" w:eastAsiaTheme="minorEastAsia" w:hAnsiTheme="minorHAnsi" w:cstheme="minorBidi"/>
            <w:sz w:val="22"/>
            <w:szCs w:val="22"/>
            <w:lang w:eastAsia="en-AU"/>
          </w:rPr>
          <w:tab/>
        </w:r>
        <w:r w:rsidRPr="000606CC">
          <w:rPr>
            <w:rStyle w:val="Hyperlink"/>
          </w:rPr>
          <w:t>What should I do if I identify errors in the data I have reported?</w:t>
        </w:r>
        <w:r>
          <w:rPr>
            <w:webHidden/>
          </w:rPr>
          <w:tab/>
        </w:r>
        <w:r>
          <w:rPr>
            <w:webHidden/>
          </w:rPr>
          <w:fldChar w:fldCharType="begin"/>
        </w:r>
        <w:r>
          <w:rPr>
            <w:webHidden/>
          </w:rPr>
          <w:instrText xml:space="preserve"> PAGEREF _Toc87445838 \h </w:instrText>
        </w:r>
        <w:r>
          <w:rPr>
            <w:webHidden/>
          </w:rPr>
        </w:r>
        <w:r>
          <w:rPr>
            <w:webHidden/>
          </w:rPr>
          <w:fldChar w:fldCharType="separate"/>
        </w:r>
        <w:r w:rsidR="00537812">
          <w:rPr>
            <w:webHidden/>
          </w:rPr>
          <w:t>4</w:t>
        </w:r>
        <w:r>
          <w:rPr>
            <w:webHidden/>
          </w:rPr>
          <w:fldChar w:fldCharType="end"/>
        </w:r>
      </w:hyperlink>
    </w:p>
    <w:p w14:paraId="6A890619" w14:textId="0FDFB76B" w:rsidR="005C2E29" w:rsidRDefault="005C2E29">
      <w:pPr>
        <w:pStyle w:val="TOC1"/>
        <w:rPr>
          <w:rFonts w:asciiTheme="minorHAnsi" w:eastAsiaTheme="minorEastAsia" w:hAnsiTheme="minorHAnsi" w:cstheme="minorBidi"/>
          <w:b w:val="0"/>
          <w:sz w:val="22"/>
          <w:szCs w:val="22"/>
          <w:lang w:eastAsia="en-AU"/>
        </w:rPr>
      </w:pPr>
      <w:hyperlink w:anchor="_Toc87445839" w:history="1">
        <w:r w:rsidRPr="000606CC">
          <w:rPr>
            <w:rStyle w:val="Hyperlink"/>
          </w:rPr>
          <w:t>Further information</w:t>
        </w:r>
        <w:r>
          <w:rPr>
            <w:webHidden/>
          </w:rPr>
          <w:tab/>
        </w:r>
        <w:r>
          <w:rPr>
            <w:webHidden/>
          </w:rPr>
          <w:fldChar w:fldCharType="begin"/>
        </w:r>
        <w:r>
          <w:rPr>
            <w:webHidden/>
          </w:rPr>
          <w:instrText xml:space="preserve"> PAGEREF _Toc87445839 \h </w:instrText>
        </w:r>
        <w:r>
          <w:rPr>
            <w:webHidden/>
          </w:rPr>
        </w:r>
        <w:r>
          <w:rPr>
            <w:webHidden/>
          </w:rPr>
          <w:fldChar w:fldCharType="separate"/>
        </w:r>
        <w:r w:rsidR="00537812">
          <w:rPr>
            <w:webHidden/>
          </w:rPr>
          <w:t>4</w:t>
        </w:r>
        <w:r>
          <w:rPr>
            <w:webHidden/>
          </w:rPr>
          <w:fldChar w:fldCharType="end"/>
        </w:r>
      </w:hyperlink>
    </w:p>
    <w:p w14:paraId="25BBE6FE" w14:textId="620BE4D0" w:rsidR="005C2E29" w:rsidRDefault="005C2E29">
      <w:pPr>
        <w:pStyle w:val="TOC1"/>
        <w:rPr>
          <w:rFonts w:asciiTheme="minorHAnsi" w:eastAsiaTheme="minorEastAsia" w:hAnsiTheme="minorHAnsi" w:cstheme="minorBidi"/>
          <w:b w:val="0"/>
          <w:sz w:val="22"/>
          <w:szCs w:val="22"/>
          <w:lang w:eastAsia="en-AU"/>
        </w:rPr>
      </w:pPr>
      <w:hyperlink w:anchor="_Toc87445840" w:history="1">
        <w:r w:rsidRPr="000606CC">
          <w:rPr>
            <w:rStyle w:val="Hyperlink"/>
          </w:rPr>
          <w:t>Contact details</w:t>
        </w:r>
        <w:r>
          <w:rPr>
            <w:webHidden/>
          </w:rPr>
          <w:tab/>
        </w:r>
        <w:r>
          <w:rPr>
            <w:webHidden/>
          </w:rPr>
          <w:fldChar w:fldCharType="begin"/>
        </w:r>
        <w:r>
          <w:rPr>
            <w:webHidden/>
          </w:rPr>
          <w:instrText xml:space="preserve"> PAGEREF _Toc87445840 \h </w:instrText>
        </w:r>
        <w:r>
          <w:rPr>
            <w:webHidden/>
          </w:rPr>
        </w:r>
        <w:r>
          <w:rPr>
            <w:webHidden/>
          </w:rPr>
          <w:fldChar w:fldCharType="separate"/>
        </w:r>
        <w:r w:rsidR="00537812">
          <w:rPr>
            <w:webHidden/>
          </w:rPr>
          <w:t>4</w:t>
        </w:r>
        <w:r>
          <w:rPr>
            <w:webHidden/>
          </w:rPr>
          <w:fldChar w:fldCharType="end"/>
        </w:r>
      </w:hyperlink>
    </w:p>
    <w:p w14:paraId="352E2ABE" w14:textId="3499660E"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24C01D7C" w:rsidR="006D7093" w:rsidRDefault="006D7093" w:rsidP="006D7093">
      <w:pPr>
        <w:pStyle w:val="Body"/>
      </w:pPr>
      <w:bookmarkStart w:id="1" w:name="_Hlk63355178"/>
      <w:bookmarkEnd w:id="0"/>
    </w:p>
    <w:p w14:paraId="7937F5DC" w14:textId="72DFF4A0" w:rsidR="008D6F6E" w:rsidRDefault="008D6F6E" w:rsidP="006D7093">
      <w:pPr>
        <w:pStyle w:val="Body"/>
      </w:pPr>
    </w:p>
    <w:p w14:paraId="14B89A22" w14:textId="1E4AD1C7" w:rsidR="008D6F6E" w:rsidRDefault="008D6F6E" w:rsidP="006D7093">
      <w:pPr>
        <w:pStyle w:val="Body"/>
      </w:pPr>
    </w:p>
    <w:p w14:paraId="375E90D1" w14:textId="339802C2" w:rsidR="008D6F6E" w:rsidRDefault="008D6F6E" w:rsidP="006D7093">
      <w:pPr>
        <w:pStyle w:val="Body"/>
      </w:pPr>
    </w:p>
    <w:p w14:paraId="69AE9F7F" w14:textId="0D2840E2" w:rsidR="008D6F6E" w:rsidRDefault="008D6F6E" w:rsidP="006D7093">
      <w:pPr>
        <w:pStyle w:val="Body"/>
      </w:pPr>
    </w:p>
    <w:p w14:paraId="5C4DDEFD" w14:textId="6AC607C9" w:rsidR="008D6F6E" w:rsidRDefault="008D6F6E" w:rsidP="006D7093">
      <w:pPr>
        <w:pStyle w:val="Body"/>
      </w:pPr>
    </w:p>
    <w:p w14:paraId="4A258B93" w14:textId="4681C790" w:rsidR="008D6F6E" w:rsidRDefault="008D6F6E" w:rsidP="006D7093">
      <w:pPr>
        <w:pStyle w:val="Body"/>
      </w:pPr>
    </w:p>
    <w:p w14:paraId="7BD1C0B7" w14:textId="562FD5B6" w:rsidR="008D6F6E" w:rsidRDefault="008D6F6E" w:rsidP="006D7093">
      <w:pPr>
        <w:pStyle w:val="Body"/>
      </w:pPr>
    </w:p>
    <w:p w14:paraId="04268AB3" w14:textId="725CE2BE" w:rsidR="008D6F6E" w:rsidRDefault="008D6F6E" w:rsidP="006D7093">
      <w:pPr>
        <w:pStyle w:val="Body"/>
      </w:pPr>
    </w:p>
    <w:p w14:paraId="707387AF" w14:textId="56A37644" w:rsidR="008D6F6E" w:rsidRDefault="008D6F6E" w:rsidP="006D7093">
      <w:pPr>
        <w:pStyle w:val="Body"/>
      </w:pPr>
    </w:p>
    <w:p w14:paraId="57FD0251" w14:textId="40E72411" w:rsidR="008D6F6E" w:rsidRDefault="008D6F6E" w:rsidP="006D7093">
      <w:pPr>
        <w:pStyle w:val="Body"/>
      </w:pPr>
    </w:p>
    <w:p w14:paraId="7E5F7C1C" w14:textId="0308431A" w:rsidR="008D6F6E" w:rsidRDefault="008D6F6E" w:rsidP="006D7093">
      <w:pPr>
        <w:pStyle w:val="Body"/>
      </w:pPr>
    </w:p>
    <w:p w14:paraId="2A2D2159" w14:textId="40DADAAB" w:rsidR="00F024F3" w:rsidRDefault="001547E0" w:rsidP="00E57E24">
      <w:pPr>
        <w:pStyle w:val="Heading1"/>
      </w:pPr>
      <w:bookmarkStart w:id="2" w:name="_Toc87445829"/>
      <w:bookmarkEnd w:id="1"/>
      <w:r>
        <w:lastRenderedPageBreak/>
        <w:t>Service Event Statement</w:t>
      </w:r>
      <w:bookmarkEnd w:id="2"/>
    </w:p>
    <w:p w14:paraId="4117CEA9" w14:textId="0282AF24" w:rsidR="001547E0" w:rsidRDefault="001547E0" w:rsidP="001547E0">
      <w:pPr>
        <w:pStyle w:val="DHHStabletext"/>
        <w:spacing w:before="120" w:after="240" w:line="260" w:lineRule="atLeast"/>
        <w:contextualSpacing/>
        <w:rPr>
          <w:rFonts w:cs="Arial"/>
        </w:rPr>
      </w:pPr>
      <w:bookmarkStart w:id="3" w:name="_Hlk35346389"/>
      <w:r>
        <w:rPr>
          <w:rFonts w:cs="Arial"/>
        </w:rPr>
        <w:t>The department produces a Service Event Statement for service providers</w:t>
      </w:r>
      <w:r w:rsidR="00171321">
        <w:rPr>
          <w:rFonts w:cs="Arial"/>
        </w:rPr>
        <w:t xml:space="preserve"> </w:t>
      </w:r>
      <w:r w:rsidR="00F70654" w:rsidRPr="3B316D02">
        <w:rPr>
          <w:rFonts w:cs="Arial"/>
        </w:rPr>
        <w:t>to</w:t>
      </w:r>
      <w:r w:rsidR="00F70654">
        <w:rPr>
          <w:rFonts w:cs="Arial"/>
        </w:rPr>
        <w:t xml:space="preserve"> help reconcile data accepted on to the VADC with data in </w:t>
      </w:r>
      <w:r w:rsidR="6FFE173A" w:rsidRPr="3B316D02">
        <w:rPr>
          <w:rFonts w:cs="Arial"/>
        </w:rPr>
        <w:t>the</w:t>
      </w:r>
      <w:r w:rsidR="00F70654">
        <w:rPr>
          <w:rFonts w:cs="Arial"/>
        </w:rPr>
        <w:t xml:space="preserve"> </w:t>
      </w:r>
      <w:r w:rsidR="00C177E7">
        <w:rPr>
          <w:rFonts w:cs="Arial"/>
        </w:rPr>
        <w:t>in-house</w:t>
      </w:r>
      <w:r w:rsidR="00F70654">
        <w:rPr>
          <w:rFonts w:cs="Arial"/>
        </w:rPr>
        <w:t xml:space="preserve"> system.</w:t>
      </w:r>
    </w:p>
    <w:p w14:paraId="4960107F" w14:textId="77777777" w:rsidR="001547E0" w:rsidRPr="00B57329" w:rsidRDefault="001547E0" w:rsidP="001547E0">
      <w:pPr>
        <w:pStyle w:val="Heading2"/>
      </w:pPr>
      <w:bookmarkStart w:id="4" w:name="_Toc82006826"/>
      <w:bookmarkStart w:id="5" w:name="_Toc87445830"/>
      <w:bookmarkEnd w:id="3"/>
      <w:r>
        <w:t>1.1</w:t>
      </w:r>
      <w:r>
        <w:tab/>
        <w:t>What is the Service Event Statement?</w:t>
      </w:r>
      <w:bookmarkEnd w:id="4"/>
      <w:bookmarkEnd w:id="5"/>
    </w:p>
    <w:p w14:paraId="0565AF95" w14:textId="43A1D1D3" w:rsidR="001547E0" w:rsidRPr="00F86E86" w:rsidRDefault="001547E0" w:rsidP="001547E0">
      <w:pPr>
        <w:pStyle w:val="DHHStabletext"/>
        <w:spacing w:before="120" w:after="360" w:line="260" w:lineRule="atLeast"/>
        <w:rPr>
          <w:rFonts w:cs="Arial"/>
        </w:rPr>
      </w:pPr>
      <w:bookmarkStart w:id="6" w:name="_Hlk35346396"/>
      <w:r>
        <w:rPr>
          <w:rFonts w:cs="Arial"/>
        </w:rPr>
        <w:t xml:space="preserve">The </w:t>
      </w:r>
      <w:r w:rsidRPr="00793095">
        <w:rPr>
          <w:rFonts w:cs="Arial"/>
        </w:rPr>
        <w:t xml:space="preserve">Service Event Statement is a list of year-to-date service events and contacts which have been </w:t>
      </w:r>
      <w:r w:rsidRPr="008D3AFE">
        <w:rPr>
          <w:rFonts w:cs="Arial"/>
          <w:u w:val="single"/>
        </w:rPr>
        <w:t>accepted</w:t>
      </w:r>
      <w:r w:rsidRPr="00793095">
        <w:rPr>
          <w:rFonts w:cs="Arial"/>
        </w:rPr>
        <w:t xml:space="preserve"> onto the department’s VADC database.</w:t>
      </w:r>
      <w:r>
        <w:rPr>
          <w:rFonts w:cs="Arial"/>
        </w:rPr>
        <w:t xml:space="preserve"> The statement includes key VADC data elements associated with the reported service event, as well as </w:t>
      </w:r>
      <w:r>
        <w:t xml:space="preserve">the applicable funding units i.e. </w:t>
      </w:r>
      <w:r w:rsidRPr="00793095">
        <w:rPr>
          <w:rFonts w:cs="Arial"/>
        </w:rPr>
        <w:t xml:space="preserve">Drug Treatment Activity Unit (DTAU), Episode of Care (EOC) or Course of </w:t>
      </w:r>
      <w:r w:rsidRPr="00243E4A">
        <w:rPr>
          <w:rFonts w:cs="Arial"/>
        </w:rPr>
        <w:t>Treatment (COT)</w:t>
      </w:r>
      <w:r w:rsidR="007C4D47">
        <w:rPr>
          <w:rFonts w:cs="Arial"/>
        </w:rPr>
        <w:t xml:space="preserve">. </w:t>
      </w:r>
      <w:r>
        <w:t xml:space="preserve"> </w:t>
      </w:r>
      <w:r w:rsidR="007C4D47">
        <w:t>T</w:t>
      </w:r>
      <w:r w:rsidRPr="00243E4A">
        <w:t>he</w:t>
      </w:r>
      <w:r>
        <w:t xml:space="preserve"> event is likely to be allocated based on the reported data.</w:t>
      </w:r>
      <w:bookmarkEnd w:id="6"/>
    </w:p>
    <w:p w14:paraId="290D99A2" w14:textId="77777777" w:rsidR="001547E0" w:rsidRPr="00B57329" w:rsidRDefault="001547E0" w:rsidP="001547E0">
      <w:pPr>
        <w:pStyle w:val="Heading2"/>
      </w:pPr>
      <w:bookmarkStart w:id="7" w:name="_Toc82006827"/>
      <w:bookmarkStart w:id="8" w:name="_Toc87445831"/>
      <w:r>
        <w:t>1.2</w:t>
      </w:r>
      <w:r>
        <w:tab/>
        <w:t>What is the purpose of the Service Event Statement?</w:t>
      </w:r>
      <w:bookmarkEnd w:id="7"/>
      <w:bookmarkEnd w:id="8"/>
    </w:p>
    <w:p w14:paraId="09CB9FAA" w14:textId="05E3C6EA" w:rsidR="001547E0" w:rsidRDefault="001547E0" w:rsidP="001547E0">
      <w:pPr>
        <w:pStyle w:val="DHHStabletext"/>
        <w:spacing w:before="120" w:after="360" w:line="260" w:lineRule="atLeast"/>
        <w:rPr>
          <w:rFonts w:cs="Arial"/>
        </w:rPr>
      </w:pPr>
      <w:r w:rsidRPr="00793095">
        <w:rPr>
          <w:rFonts w:cs="Arial"/>
        </w:rPr>
        <w:t xml:space="preserve">This statement </w:t>
      </w:r>
      <w:r>
        <w:rPr>
          <w:rFonts w:cs="Arial"/>
        </w:rPr>
        <w:t>can</w:t>
      </w:r>
      <w:r w:rsidRPr="00793095">
        <w:rPr>
          <w:rFonts w:cs="Arial"/>
        </w:rPr>
        <w:t xml:space="preserve"> help you identify </w:t>
      </w:r>
      <w:r>
        <w:rPr>
          <w:rFonts w:cs="Arial"/>
        </w:rPr>
        <w:t>issues</w:t>
      </w:r>
      <w:r w:rsidRPr="00793095">
        <w:rPr>
          <w:rFonts w:cs="Arial"/>
        </w:rPr>
        <w:t xml:space="preserve"> with </w:t>
      </w:r>
      <w:r>
        <w:rPr>
          <w:rFonts w:cs="Arial"/>
        </w:rPr>
        <w:t>the quality of service activity data</w:t>
      </w:r>
      <w:r w:rsidRPr="00793095">
        <w:rPr>
          <w:rFonts w:cs="Arial"/>
        </w:rPr>
        <w:t xml:space="preserve"> your service reports </w:t>
      </w:r>
      <w:r>
        <w:rPr>
          <w:rFonts w:cs="Arial"/>
        </w:rPr>
        <w:t>to the VADC</w:t>
      </w:r>
      <w:r w:rsidRPr="00793095">
        <w:rPr>
          <w:rFonts w:cs="Arial"/>
        </w:rPr>
        <w:t>.</w:t>
      </w:r>
      <w:r>
        <w:rPr>
          <w:rFonts w:cs="Arial"/>
        </w:rPr>
        <w:t xml:space="preserve"> </w:t>
      </w:r>
      <w:r w:rsidRPr="00793095">
        <w:rPr>
          <w:rFonts w:cs="Arial"/>
        </w:rPr>
        <w:t xml:space="preserve">This statement </w:t>
      </w:r>
      <w:r>
        <w:rPr>
          <w:rFonts w:cs="Arial"/>
        </w:rPr>
        <w:t>allows</w:t>
      </w:r>
      <w:r w:rsidRPr="00793095">
        <w:rPr>
          <w:rFonts w:cs="Arial"/>
        </w:rPr>
        <w:t xml:space="preserve"> </w:t>
      </w:r>
      <w:r>
        <w:rPr>
          <w:rFonts w:cs="Arial"/>
        </w:rPr>
        <w:t>you</w:t>
      </w:r>
      <w:r w:rsidRPr="00793095">
        <w:rPr>
          <w:rFonts w:cs="Arial"/>
        </w:rPr>
        <w:t xml:space="preserve"> to reconcile VADC data back to </w:t>
      </w:r>
      <w:r>
        <w:rPr>
          <w:rFonts w:cs="Arial"/>
        </w:rPr>
        <w:t>your</w:t>
      </w:r>
      <w:r w:rsidRPr="00793095">
        <w:rPr>
          <w:rFonts w:cs="Arial"/>
        </w:rPr>
        <w:t xml:space="preserve"> in-house Client Management System (CMS). </w:t>
      </w:r>
      <w:r>
        <w:rPr>
          <w:rFonts w:cs="Arial"/>
        </w:rPr>
        <w:t>Those service events</w:t>
      </w:r>
      <w:r w:rsidRPr="00793095">
        <w:rPr>
          <w:rFonts w:cs="Arial"/>
        </w:rPr>
        <w:t xml:space="preserve"> in your </w:t>
      </w:r>
      <w:r w:rsidRPr="008D3AFE">
        <w:rPr>
          <w:rFonts w:cs="Arial"/>
          <w:u w:val="single"/>
        </w:rPr>
        <w:t>accepted</w:t>
      </w:r>
      <w:r>
        <w:rPr>
          <w:rFonts w:cs="Arial"/>
        </w:rPr>
        <w:t xml:space="preserve"> </w:t>
      </w:r>
      <w:r w:rsidRPr="00793095">
        <w:rPr>
          <w:rFonts w:cs="Arial"/>
        </w:rPr>
        <w:t>VADC submissions</w:t>
      </w:r>
      <w:r>
        <w:rPr>
          <w:rFonts w:cs="Arial"/>
        </w:rPr>
        <w:t xml:space="preserve"> that have not been allocated funding units in the Service Event Statement are likely to have been reported with the incorrect combination of key VADC data elements</w:t>
      </w:r>
      <w:r w:rsidRPr="00793095">
        <w:rPr>
          <w:rFonts w:cs="Arial"/>
        </w:rPr>
        <w:t xml:space="preserve">. </w:t>
      </w:r>
      <w:r>
        <w:rPr>
          <w:rFonts w:cs="Arial"/>
        </w:rPr>
        <w:t xml:space="preserve">By reviewing the key data elements reported for the service event, you can identify the error, correct the service event </w:t>
      </w:r>
      <w:r w:rsidR="005564B5">
        <w:rPr>
          <w:rFonts w:cs="Arial"/>
        </w:rPr>
        <w:t>record,</w:t>
      </w:r>
      <w:r>
        <w:rPr>
          <w:rFonts w:cs="Arial"/>
        </w:rPr>
        <w:t xml:space="preserve"> and then resubmit.</w:t>
      </w:r>
    </w:p>
    <w:p w14:paraId="63B8FEFE" w14:textId="77777777" w:rsidR="001547E0" w:rsidRPr="00BD0B7A" w:rsidRDefault="001547E0" w:rsidP="001547E0">
      <w:pPr>
        <w:pStyle w:val="Heading2"/>
      </w:pPr>
      <w:bookmarkStart w:id="9" w:name="_Toc82006828"/>
      <w:bookmarkStart w:id="10" w:name="_Toc87445832"/>
      <w:r>
        <w:t>1.3</w:t>
      </w:r>
      <w:r>
        <w:tab/>
        <w:t>Some important points about the statement</w:t>
      </w:r>
      <w:bookmarkEnd w:id="9"/>
      <w:bookmarkEnd w:id="10"/>
    </w:p>
    <w:p w14:paraId="4B1B45FE" w14:textId="77777777" w:rsidR="001547E0" w:rsidRDefault="001547E0" w:rsidP="001547E0">
      <w:pPr>
        <w:pStyle w:val="DHHStabletext"/>
        <w:spacing w:before="120" w:after="120" w:line="260" w:lineRule="atLeast"/>
        <w:rPr>
          <w:rFonts w:cs="Arial"/>
        </w:rPr>
      </w:pPr>
      <w:bookmarkStart w:id="11" w:name="_Hlk35347269"/>
      <w:r w:rsidRPr="006D607E">
        <w:rPr>
          <w:rFonts w:cs="Arial"/>
        </w:rPr>
        <w:t>The Service Event Statement</w:t>
      </w:r>
      <w:r>
        <w:rPr>
          <w:rFonts w:cs="Arial"/>
        </w:rPr>
        <w:t>:</w:t>
      </w:r>
    </w:p>
    <w:p w14:paraId="7058F471" w14:textId="77777777" w:rsidR="001547E0" w:rsidRDefault="001547E0" w:rsidP="001547E0">
      <w:pPr>
        <w:pStyle w:val="DHHStabletext"/>
        <w:numPr>
          <w:ilvl w:val="0"/>
          <w:numId w:val="40"/>
        </w:numPr>
        <w:spacing w:before="120" w:after="240" w:line="260" w:lineRule="atLeast"/>
        <w:contextualSpacing/>
        <w:rPr>
          <w:rFonts w:cs="Arial"/>
        </w:rPr>
      </w:pPr>
      <w:r w:rsidRPr="00BF725B">
        <w:rPr>
          <w:rFonts w:cs="Arial"/>
        </w:rPr>
        <w:t>is not a performance report</w:t>
      </w:r>
    </w:p>
    <w:p w14:paraId="1FA684B8" w14:textId="77777777" w:rsidR="001547E0" w:rsidRDefault="001547E0" w:rsidP="001547E0">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not show you what activity you have been funded to deliver</w:t>
      </w:r>
    </w:p>
    <w:p w14:paraId="3B7AC8FE" w14:textId="5515EE8D" w:rsidR="001547E0" w:rsidRPr="00D80251" w:rsidRDefault="001547E0" w:rsidP="00D80251">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not</w:t>
      </w:r>
      <w:r>
        <w:rPr>
          <w:rFonts w:cs="Arial"/>
        </w:rPr>
        <w:t xml:space="preserve"> include targets</w:t>
      </w:r>
    </w:p>
    <w:bookmarkEnd w:id="11"/>
    <w:p w14:paraId="707D866C" w14:textId="77777777" w:rsidR="001547E0" w:rsidRPr="00A33624" w:rsidRDefault="001547E0" w:rsidP="001547E0">
      <w:pPr>
        <w:pStyle w:val="DHHStabletext"/>
        <w:numPr>
          <w:ilvl w:val="0"/>
          <w:numId w:val="40"/>
        </w:numPr>
        <w:spacing w:before="120" w:after="360" w:line="260" w:lineRule="atLeast"/>
        <w:ind w:left="777" w:hanging="357"/>
        <w:rPr>
          <w:rFonts w:cs="Arial"/>
        </w:rPr>
      </w:pPr>
      <w:r>
        <w:rPr>
          <w:rFonts w:cs="Arial"/>
        </w:rPr>
        <w:t>m</w:t>
      </w:r>
      <w:r w:rsidRPr="008D3AFE">
        <w:rPr>
          <w:rFonts w:cs="Arial"/>
        </w:rPr>
        <w:t>ay differ in result from the Victorian Agency for Health Information (VAHI) performance report. The purpose of the service event statement is to assist you to identify and correct issues with data quality. In the case of a discrepancy, the result in the VAHI report will be used for performance discussions.</w:t>
      </w:r>
    </w:p>
    <w:p w14:paraId="1A9AC862" w14:textId="77777777" w:rsidR="001547E0" w:rsidRPr="00BD0B7A" w:rsidRDefault="001547E0" w:rsidP="001547E0">
      <w:pPr>
        <w:pStyle w:val="Heading2"/>
      </w:pPr>
      <w:bookmarkStart w:id="12" w:name="_Toc82006829"/>
      <w:bookmarkStart w:id="13" w:name="_Toc87445833"/>
      <w:r>
        <w:t>1.4</w:t>
      </w:r>
      <w:r>
        <w:tab/>
        <w:t>When will the Service Event Statement be produced?</w:t>
      </w:r>
      <w:bookmarkEnd w:id="12"/>
      <w:bookmarkEnd w:id="13"/>
    </w:p>
    <w:p w14:paraId="3F0627DA" w14:textId="31FB55FB" w:rsidR="001547E0" w:rsidRPr="00915799" w:rsidRDefault="001547E0" w:rsidP="001547E0">
      <w:pPr>
        <w:pStyle w:val="DHHStabletext"/>
        <w:spacing w:before="120" w:after="120" w:line="260" w:lineRule="atLeast"/>
        <w:rPr>
          <w:rFonts w:cs="Arial"/>
        </w:rPr>
      </w:pPr>
      <w:bookmarkStart w:id="14" w:name="_Hlk35346455"/>
      <w:r w:rsidRPr="00535727">
        <w:rPr>
          <w:rFonts w:cs="Arial"/>
        </w:rPr>
        <w:t xml:space="preserve">The Service Event Statement will be produced </w:t>
      </w:r>
      <w:r w:rsidR="00797E1B">
        <w:rPr>
          <w:rFonts w:cs="Arial"/>
        </w:rPr>
        <w:t>twice a month.  It</w:t>
      </w:r>
      <w:r w:rsidRPr="00535727">
        <w:rPr>
          <w:rFonts w:cs="Arial"/>
        </w:rPr>
        <w:t xml:space="preserve"> </w:t>
      </w:r>
      <w:r w:rsidR="00797E1B">
        <w:rPr>
          <w:rFonts w:cs="Arial"/>
        </w:rPr>
        <w:t xml:space="preserve">will be </w:t>
      </w:r>
      <w:r w:rsidRPr="00535727">
        <w:rPr>
          <w:rFonts w:cs="Arial"/>
        </w:rPr>
        <w:t>available on the</w:t>
      </w:r>
      <w:r w:rsidR="00797E1B">
        <w:rPr>
          <w:rFonts w:cs="Arial"/>
        </w:rPr>
        <w:t xml:space="preserve"> 7</w:t>
      </w:r>
      <w:r w:rsidR="00797E1B" w:rsidRPr="00797E1B">
        <w:rPr>
          <w:rFonts w:cs="Arial"/>
          <w:vertAlign w:val="superscript"/>
        </w:rPr>
        <w:t>th</w:t>
      </w:r>
      <w:r w:rsidR="00797E1B">
        <w:rPr>
          <w:rFonts w:cs="Arial"/>
        </w:rPr>
        <w:t xml:space="preserve"> and</w:t>
      </w:r>
      <w:r w:rsidRPr="00535727">
        <w:rPr>
          <w:rFonts w:cs="Arial"/>
        </w:rPr>
        <w:t xml:space="preserve"> 17</w:t>
      </w:r>
      <w:r w:rsidRPr="00535727">
        <w:rPr>
          <w:rFonts w:cs="Arial"/>
          <w:vertAlign w:val="superscript"/>
        </w:rPr>
        <w:t>th</w:t>
      </w:r>
      <w:r w:rsidRPr="00535727">
        <w:rPr>
          <w:rFonts w:cs="Arial"/>
        </w:rPr>
        <w:t xml:space="preserve"> of each month. Any data processed after this time will be reflected in the </w:t>
      </w:r>
      <w:r w:rsidR="0010284E">
        <w:rPr>
          <w:rFonts w:cs="Arial"/>
        </w:rPr>
        <w:t xml:space="preserve">next </w:t>
      </w:r>
      <w:r w:rsidRPr="00535727">
        <w:rPr>
          <w:rFonts w:cs="Arial"/>
        </w:rPr>
        <w:t>Service Event Statement.</w:t>
      </w:r>
      <w:bookmarkEnd w:id="14"/>
    </w:p>
    <w:p w14:paraId="6A339E46" w14:textId="77777777" w:rsidR="001547E0" w:rsidRPr="00BD0B7A" w:rsidRDefault="001547E0" w:rsidP="001547E0">
      <w:pPr>
        <w:pStyle w:val="Heading2"/>
      </w:pPr>
      <w:bookmarkStart w:id="15" w:name="_Toc82006830"/>
      <w:bookmarkStart w:id="16" w:name="_Toc87445834"/>
      <w:r>
        <w:t>1.5</w:t>
      </w:r>
      <w:r>
        <w:tab/>
        <w:t>How will the Service Event Statement be sent to my organisation?</w:t>
      </w:r>
      <w:bookmarkEnd w:id="15"/>
      <w:bookmarkEnd w:id="16"/>
    </w:p>
    <w:p w14:paraId="594BD997" w14:textId="79C1CCA3" w:rsidR="001547E0" w:rsidRDefault="001547E0" w:rsidP="001547E0">
      <w:pPr>
        <w:pStyle w:val="DHHStabletext"/>
        <w:spacing w:before="120" w:after="360" w:line="260" w:lineRule="atLeast"/>
        <w:rPr>
          <w:rFonts w:cs="Arial"/>
        </w:rPr>
      </w:pPr>
      <w:r w:rsidRPr="008D3AFE">
        <w:rPr>
          <w:rFonts w:cs="Arial"/>
        </w:rPr>
        <w:t xml:space="preserve">The Service Event Statement will be automatically uploaded to the </w:t>
      </w:r>
      <w:r w:rsidR="00A93600">
        <w:rPr>
          <w:rFonts w:cs="Arial"/>
        </w:rPr>
        <w:t xml:space="preserve">pick-up folder in the </w:t>
      </w:r>
      <w:r w:rsidRPr="008D3AFE">
        <w:rPr>
          <w:rFonts w:cs="Arial"/>
        </w:rPr>
        <w:t>Managed File Transfer (MFT) folder of each service provider</w:t>
      </w:r>
      <w:r>
        <w:rPr>
          <w:rFonts w:cs="Arial"/>
        </w:rPr>
        <w:t xml:space="preserve"> </w:t>
      </w:r>
      <w:r w:rsidR="00797E1B">
        <w:rPr>
          <w:rFonts w:cs="Arial"/>
        </w:rPr>
        <w:t>on the 7</w:t>
      </w:r>
      <w:r w:rsidR="00797E1B" w:rsidRPr="00797E1B">
        <w:rPr>
          <w:rFonts w:cs="Arial"/>
          <w:vertAlign w:val="superscript"/>
        </w:rPr>
        <w:t>th</w:t>
      </w:r>
      <w:r w:rsidR="00797E1B">
        <w:rPr>
          <w:rFonts w:cs="Arial"/>
        </w:rPr>
        <w:t xml:space="preserve"> and 17</w:t>
      </w:r>
      <w:r w:rsidR="00797E1B" w:rsidRPr="00797E1B">
        <w:rPr>
          <w:rFonts w:cs="Arial"/>
          <w:vertAlign w:val="superscript"/>
        </w:rPr>
        <w:t>th</w:t>
      </w:r>
      <w:r w:rsidR="00797E1B">
        <w:rPr>
          <w:rFonts w:cs="Arial"/>
        </w:rPr>
        <w:t xml:space="preserve"> of each month</w:t>
      </w:r>
      <w:r>
        <w:rPr>
          <w:rFonts w:cs="Arial"/>
        </w:rPr>
        <w:t>.</w:t>
      </w:r>
      <w:r w:rsidRPr="008D3AFE">
        <w:rPr>
          <w:rFonts w:cs="Arial"/>
        </w:rPr>
        <w:t xml:space="preserve">  You can download the statement in the same way that you download submission validation reports from the pick-up folder. </w:t>
      </w:r>
      <w:r>
        <w:rPr>
          <w:rFonts w:cs="Arial"/>
        </w:rPr>
        <w:t>Once downloaded, the statement will be moved into the back up folder.</w:t>
      </w:r>
      <w:r w:rsidR="00A93600">
        <w:rPr>
          <w:rFonts w:cs="Arial"/>
        </w:rPr>
        <w:t xml:space="preserve"> Note: The back-up folder is cleared every 7 days.</w:t>
      </w:r>
    </w:p>
    <w:p w14:paraId="4DE760DA" w14:textId="77777777" w:rsidR="001547E0" w:rsidRDefault="001547E0" w:rsidP="001547E0">
      <w:pPr>
        <w:pStyle w:val="DHHStabletext"/>
        <w:spacing w:before="120" w:after="360" w:line="260" w:lineRule="atLeast"/>
        <w:rPr>
          <w:rFonts w:cs="Arial"/>
        </w:rPr>
      </w:pPr>
    </w:p>
    <w:p w14:paraId="407B73B8" w14:textId="77777777" w:rsidR="001547E0" w:rsidRDefault="001547E0" w:rsidP="001547E0">
      <w:pPr>
        <w:pStyle w:val="DHHStabletext"/>
        <w:spacing w:before="120" w:after="360" w:line="260" w:lineRule="atLeast"/>
        <w:rPr>
          <w:rFonts w:cs="Arial"/>
        </w:rPr>
      </w:pPr>
    </w:p>
    <w:p w14:paraId="5B134298" w14:textId="77777777" w:rsidR="001547E0" w:rsidRPr="008D3AFE" w:rsidRDefault="001547E0" w:rsidP="001547E0">
      <w:pPr>
        <w:pStyle w:val="DHHStabletext"/>
        <w:spacing w:before="120" w:after="360" w:line="260" w:lineRule="atLeast"/>
        <w:rPr>
          <w:rFonts w:cs="Arial"/>
        </w:rPr>
      </w:pPr>
    </w:p>
    <w:p w14:paraId="0CEE9883" w14:textId="77777777" w:rsidR="001547E0" w:rsidRPr="00BD0B7A" w:rsidRDefault="001547E0" w:rsidP="001547E0">
      <w:pPr>
        <w:pStyle w:val="Heading2"/>
      </w:pPr>
      <w:bookmarkStart w:id="17" w:name="_Toc82006831"/>
      <w:bookmarkStart w:id="18" w:name="_Toc87445835"/>
      <w:r>
        <w:lastRenderedPageBreak/>
        <w:t>1.6</w:t>
      </w:r>
      <w:r>
        <w:tab/>
        <w:t>What is included in the Service Event Statement?</w:t>
      </w:r>
      <w:bookmarkEnd w:id="17"/>
      <w:bookmarkEnd w:id="18"/>
    </w:p>
    <w:p w14:paraId="385DA485" w14:textId="2881D51B" w:rsidR="001547E0" w:rsidRDefault="001547E0" w:rsidP="001547E0">
      <w:pPr>
        <w:pStyle w:val="DHHStabletext"/>
        <w:spacing w:before="120" w:after="120" w:line="260" w:lineRule="atLeast"/>
        <w:rPr>
          <w:rFonts w:cs="Arial"/>
          <w:strike/>
        </w:rPr>
      </w:pPr>
      <w:r w:rsidRPr="00650F67">
        <w:rPr>
          <w:rFonts w:cs="Arial"/>
        </w:rPr>
        <w:t>The statement is an excel worksheet which contains two tabs</w:t>
      </w:r>
      <w:r>
        <w:rPr>
          <w:rFonts w:cs="Arial"/>
        </w:rPr>
        <w:t xml:space="preserve">, </w:t>
      </w:r>
      <w:r w:rsidRPr="006845DF">
        <w:rPr>
          <w:rFonts w:cs="Arial"/>
          <w:b/>
          <w:bCs/>
        </w:rPr>
        <w:t>Service Events</w:t>
      </w:r>
      <w:r>
        <w:rPr>
          <w:rFonts w:cs="Arial"/>
        </w:rPr>
        <w:t xml:space="preserve"> </w:t>
      </w:r>
      <w:r w:rsidR="00C177E7">
        <w:rPr>
          <w:rFonts w:cs="Arial"/>
        </w:rPr>
        <w:t>tab,</w:t>
      </w:r>
      <w:r>
        <w:rPr>
          <w:rFonts w:cs="Arial"/>
        </w:rPr>
        <w:t xml:space="preserve"> and </w:t>
      </w:r>
      <w:r w:rsidRPr="006845DF">
        <w:rPr>
          <w:rFonts w:cs="Arial"/>
          <w:b/>
          <w:bCs/>
        </w:rPr>
        <w:t>Contacts</w:t>
      </w:r>
      <w:r>
        <w:rPr>
          <w:rFonts w:cs="Arial"/>
        </w:rPr>
        <w:t xml:space="preserve"> tab</w:t>
      </w:r>
      <w:r w:rsidRPr="00650F67">
        <w:rPr>
          <w:rFonts w:cs="Arial"/>
        </w:rPr>
        <w:t xml:space="preserve">. </w:t>
      </w:r>
    </w:p>
    <w:p w14:paraId="7B7D4E5E" w14:textId="77777777" w:rsidR="001547E0" w:rsidRPr="00773494" w:rsidRDefault="001547E0" w:rsidP="001547E0">
      <w:pPr>
        <w:pStyle w:val="DHHStabletext"/>
        <w:spacing w:before="120" w:after="120" w:line="260" w:lineRule="atLeast"/>
        <w:rPr>
          <w:rFonts w:cs="Arial"/>
        </w:rPr>
      </w:pPr>
      <w:r w:rsidRPr="00773494">
        <w:rPr>
          <w:rFonts w:cs="Arial"/>
        </w:rPr>
        <w:t>The Service Events tab includes:</w:t>
      </w:r>
    </w:p>
    <w:p w14:paraId="11345401"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all service events which have been submitted and accepted in the current financial year.  Service events with an end date of NULL means they are still open in VADC.</w:t>
      </w:r>
    </w:p>
    <w:p w14:paraId="1F87548D"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open service events submitted and accepted in previous financial years, dating back to the commencement of reporting to the VADC</w:t>
      </w:r>
    </w:p>
    <w:p w14:paraId="25C362D1" w14:textId="77777777" w:rsidR="001547E0" w:rsidRPr="00773494" w:rsidRDefault="001547E0" w:rsidP="001547E0">
      <w:pPr>
        <w:pStyle w:val="DHHStabletext"/>
        <w:spacing w:before="120" w:after="120" w:line="260" w:lineRule="atLeast"/>
        <w:rPr>
          <w:rFonts w:cs="Arial"/>
        </w:rPr>
      </w:pPr>
      <w:r w:rsidRPr="00773494">
        <w:rPr>
          <w:rFonts w:cs="Arial"/>
        </w:rPr>
        <w:t>The Contacts tab includes:</w:t>
      </w:r>
    </w:p>
    <w:p w14:paraId="53B2AB3D"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 xml:space="preserve">all contacts for all service events </w:t>
      </w:r>
      <w:r>
        <w:rPr>
          <w:rFonts w:cs="Arial"/>
        </w:rPr>
        <w:t xml:space="preserve">listed </w:t>
      </w:r>
      <w:r w:rsidRPr="00773494">
        <w:rPr>
          <w:rFonts w:cs="Arial"/>
        </w:rPr>
        <w:t>in the Service Events tab</w:t>
      </w:r>
    </w:p>
    <w:p w14:paraId="08602FA9" w14:textId="77777777" w:rsidR="001547E0" w:rsidRPr="00BD0B7A" w:rsidRDefault="001547E0" w:rsidP="001547E0">
      <w:pPr>
        <w:pStyle w:val="Heading2"/>
      </w:pPr>
      <w:bookmarkStart w:id="19" w:name="_Toc82006832"/>
      <w:bookmarkStart w:id="20" w:name="_Toc87445836"/>
      <w:r>
        <w:t>1.7</w:t>
      </w:r>
      <w:r>
        <w:tab/>
        <w:t>How do I use the Service Event Statement?</w:t>
      </w:r>
      <w:bookmarkEnd w:id="19"/>
      <w:bookmarkEnd w:id="20"/>
    </w:p>
    <w:p w14:paraId="6D111A78" w14:textId="1B402A64" w:rsidR="001547E0" w:rsidRPr="007C1659" w:rsidRDefault="001547E0" w:rsidP="001547E0">
      <w:pPr>
        <w:pStyle w:val="DHHSbody"/>
        <w:spacing w:after="360"/>
        <w:rPr>
          <w:color w:val="004C97"/>
          <w:u w:val="dotted"/>
        </w:rPr>
      </w:pPr>
      <w:r w:rsidRPr="00BF725B">
        <w:rPr>
          <w:rFonts w:cs="Arial"/>
        </w:rPr>
        <w:t xml:space="preserve">Use the Service Event Statement in conjunction with the </w:t>
      </w:r>
      <w:r w:rsidRPr="008D3AFE">
        <w:rPr>
          <w:rFonts w:cs="Arial"/>
          <w:i/>
          <w:iCs/>
        </w:rPr>
        <w:t>DTAU Derivation Rules</w:t>
      </w:r>
      <w:r w:rsidR="00EA1525">
        <w:rPr>
          <w:rFonts w:cs="Arial"/>
          <w:i/>
          <w:iCs/>
        </w:rPr>
        <w:t>-</w:t>
      </w:r>
      <w:r w:rsidR="00EA1525" w:rsidRPr="00EA1525">
        <w:rPr>
          <w:rFonts w:cs="Arial"/>
          <w:i/>
          <w:iCs/>
        </w:rPr>
        <w:t xml:space="preserve"> </w:t>
      </w:r>
      <w:r w:rsidR="00EA1525" w:rsidRPr="00B33E0C">
        <w:rPr>
          <w:rFonts w:cs="Arial"/>
          <w:i/>
          <w:iCs/>
        </w:rPr>
        <w:t>Plain English Guide</w:t>
      </w:r>
      <w:r w:rsidRPr="00BF725B">
        <w:rPr>
          <w:rFonts w:cs="Arial"/>
        </w:rPr>
        <w:t xml:space="preserve"> and </w:t>
      </w:r>
      <w:r w:rsidRPr="008D3AFE">
        <w:rPr>
          <w:rFonts w:cs="Arial"/>
          <w:i/>
          <w:iCs/>
        </w:rPr>
        <w:t>EOC and COT Derivation Rules</w:t>
      </w:r>
      <w:r w:rsidRPr="00BF725B">
        <w:rPr>
          <w:rFonts w:cs="Arial"/>
        </w:rPr>
        <w:t>, available here</w:t>
      </w:r>
      <w:r>
        <w:rPr>
          <w:rFonts w:cs="Arial"/>
        </w:rPr>
        <w:t>:</w:t>
      </w:r>
      <w:r w:rsidRPr="00BF725B">
        <w:rPr>
          <w:rFonts w:cs="Arial"/>
        </w:rPr>
        <w:t xml:space="preserve"> </w:t>
      </w:r>
      <w:hyperlink r:id="rId16" w:history="1">
        <w:r>
          <w:rPr>
            <w:rStyle w:val="Hyperlink"/>
          </w:rPr>
          <w:t>Link to DTAU and EOC/COT Derivation Rules</w:t>
        </w:r>
      </w:hyperlink>
      <w:r>
        <w:t xml:space="preserve"> </w:t>
      </w:r>
    </w:p>
    <w:p w14:paraId="443150A6" w14:textId="77777777" w:rsidR="001547E0" w:rsidRPr="004459E8" w:rsidRDefault="001547E0" w:rsidP="001547E0">
      <w:pPr>
        <w:pStyle w:val="DHHSbody"/>
        <w:spacing w:after="360"/>
      </w:pPr>
      <w:r>
        <w:t xml:space="preserve">Note:  Click on the </w:t>
      </w:r>
      <w:r w:rsidRPr="004459E8">
        <w:rPr>
          <w:b/>
          <w:bCs/>
        </w:rPr>
        <w:t>Link</w:t>
      </w:r>
      <w:r>
        <w:t xml:space="preserve"> and navigate to </w:t>
      </w:r>
      <w:r w:rsidRPr="004459E8">
        <w:rPr>
          <w:b/>
          <w:bCs/>
        </w:rPr>
        <w:t>Downloads</w:t>
      </w:r>
    </w:p>
    <w:p w14:paraId="32EFCF3D" w14:textId="05C4F098" w:rsidR="001547E0" w:rsidRPr="005E61F2" w:rsidRDefault="001547E0" w:rsidP="001547E0">
      <w:pPr>
        <w:pStyle w:val="DHHStabletext"/>
        <w:spacing w:before="120" w:after="360" w:line="260" w:lineRule="atLeast"/>
        <w:rPr>
          <w:rFonts w:cs="Arial"/>
          <w:i/>
          <w:iCs/>
        </w:rPr>
      </w:pPr>
      <w:r w:rsidRPr="00BF725B">
        <w:rPr>
          <w:rFonts w:cs="Arial"/>
        </w:rPr>
        <w:t>If service events or contacts have not been allocated DTAU or EOC</w:t>
      </w:r>
      <w:r w:rsidR="00E73E1A">
        <w:rPr>
          <w:rFonts w:cs="Arial"/>
        </w:rPr>
        <w:t>/</w:t>
      </w:r>
      <w:r w:rsidRPr="00BF725B">
        <w:rPr>
          <w:rFonts w:cs="Arial"/>
        </w:rPr>
        <w:t>COT, you will need to cross check what has been reported in the relevant data elements against these derivation rules.</w:t>
      </w:r>
    </w:p>
    <w:p w14:paraId="34EE3652" w14:textId="77777777" w:rsidR="001547E0" w:rsidRPr="00BD0B7A" w:rsidRDefault="001547E0" w:rsidP="001547E0">
      <w:pPr>
        <w:pStyle w:val="Heading2"/>
      </w:pPr>
      <w:bookmarkStart w:id="21" w:name="_Toc82006833"/>
      <w:bookmarkStart w:id="22" w:name="_Toc87445837"/>
      <w:r>
        <w:t>1.8</w:t>
      </w:r>
      <w:r>
        <w:tab/>
        <w:t>Common causes of data quality issues</w:t>
      </w:r>
      <w:bookmarkEnd w:id="21"/>
      <w:bookmarkEnd w:id="22"/>
    </w:p>
    <w:p w14:paraId="31A6B57E" w14:textId="77777777" w:rsidR="001547E0" w:rsidRDefault="001547E0" w:rsidP="00D266ED">
      <w:pPr>
        <w:pStyle w:val="DHHStabletext"/>
        <w:numPr>
          <w:ilvl w:val="0"/>
          <w:numId w:val="42"/>
        </w:numPr>
        <w:spacing w:before="120" w:after="120" w:line="260" w:lineRule="atLeast"/>
        <w:ind w:left="714" w:hanging="357"/>
        <w:rPr>
          <w:rFonts w:cs="Arial"/>
          <w:b/>
          <w:bCs/>
        </w:rPr>
      </w:pPr>
      <w:r>
        <w:rPr>
          <w:rFonts w:cs="Arial"/>
        </w:rPr>
        <w:t xml:space="preserve">Service </w:t>
      </w:r>
      <w:r w:rsidRPr="00243E4A">
        <w:rPr>
          <w:rFonts w:cs="Arial"/>
        </w:rPr>
        <w:t xml:space="preserve">events </w:t>
      </w:r>
      <w:r>
        <w:rPr>
          <w:rFonts w:cs="Arial"/>
        </w:rPr>
        <w:t xml:space="preserve">that </w:t>
      </w:r>
      <w:r w:rsidRPr="00243E4A">
        <w:rPr>
          <w:rFonts w:cs="Arial"/>
        </w:rPr>
        <w:t>remain open</w:t>
      </w:r>
      <w:r>
        <w:rPr>
          <w:rFonts w:cs="Arial"/>
        </w:rPr>
        <w:t xml:space="preserve"> on the VADC database but are closed in the CMS – </w:t>
      </w:r>
      <w:r w:rsidRPr="00317B87">
        <w:rPr>
          <w:rFonts w:cs="Arial"/>
          <w:b/>
          <w:bCs/>
        </w:rPr>
        <w:t xml:space="preserve">only closed service events will count towards your performance target. </w:t>
      </w:r>
    </w:p>
    <w:p w14:paraId="73CC1A38" w14:textId="794948EE" w:rsidR="00D266ED" w:rsidRPr="00D266ED" w:rsidRDefault="001547E0" w:rsidP="00D266ED">
      <w:pPr>
        <w:pStyle w:val="DHHStabletext"/>
        <w:spacing w:before="120" w:after="120" w:line="260" w:lineRule="atLeast"/>
        <w:ind w:left="714"/>
        <w:rPr>
          <w:rFonts w:cs="Arial"/>
        </w:rPr>
      </w:pPr>
      <w:r>
        <w:rPr>
          <w:rFonts w:cs="Arial"/>
        </w:rPr>
        <w:t xml:space="preserve">Please note, if a service event has been closed retrospectively after it has been submitted and accepted, you </w:t>
      </w:r>
      <w:r w:rsidRPr="0093559A">
        <w:rPr>
          <w:rFonts w:cs="Arial"/>
          <w:b/>
          <w:bCs/>
        </w:rPr>
        <w:t>must resubmit</w:t>
      </w:r>
      <w:r>
        <w:rPr>
          <w:rFonts w:cs="Arial"/>
        </w:rPr>
        <w:t xml:space="preserve"> the closed service event for it to be reflected in the VADC database.</w:t>
      </w:r>
    </w:p>
    <w:p w14:paraId="1F9EC5B2" w14:textId="707284F4" w:rsidR="00D266ED" w:rsidRPr="00D266ED" w:rsidRDefault="001547E0" w:rsidP="00D266ED">
      <w:pPr>
        <w:pStyle w:val="DHHStabletext"/>
        <w:numPr>
          <w:ilvl w:val="0"/>
          <w:numId w:val="42"/>
        </w:numPr>
        <w:spacing w:before="120" w:after="120" w:line="260" w:lineRule="atLeast"/>
        <w:ind w:left="714" w:hanging="357"/>
        <w:rPr>
          <w:rFonts w:cs="Arial"/>
        </w:rPr>
      </w:pPr>
      <w:r>
        <w:rPr>
          <w:rFonts w:cs="Arial"/>
        </w:rPr>
        <w:t>Service events reported with the incorrect Funding Source code and Service Stream code combination. Please note, events reported with the incorrect code combination will not count towards your performance target.</w:t>
      </w:r>
    </w:p>
    <w:p w14:paraId="573DFDCD" w14:textId="334F9650" w:rsidR="00D266ED" w:rsidRPr="00D266ED" w:rsidRDefault="001547E0" w:rsidP="00D266ED">
      <w:pPr>
        <w:pStyle w:val="DHHStabletext"/>
        <w:numPr>
          <w:ilvl w:val="0"/>
          <w:numId w:val="42"/>
        </w:numPr>
        <w:spacing w:before="120" w:after="120" w:line="260" w:lineRule="atLeast"/>
        <w:ind w:left="714" w:hanging="357"/>
        <w:rPr>
          <w:rFonts w:cs="Arial"/>
        </w:rPr>
      </w:pPr>
      <w:r w:rsidRPr="00793095">
        <w:rPr>
          <w:rFonts w:cs="Arial"/>
        </w:rPr>
        <w:t>Report</w:t>
      </w:r>
      <w:r w:rsidR="00EA1525">
        <w:rPr>
          <w:rFonts w:cs="Arial"/>
        </w:rPr>
        <w:t>ing</w:t>
      </w:r>
      <w:r w:rsidRPr="00793095">
        <w:rPr>
          <w:rFonts w:cs="Arial"/>
        </w:rPr>
        <w:t xml:space="preserve"> activity you are not funded </w:t>
      </w:r>
      <w:r>
        <w:rPr>
          <w:rFonts w:cs="Arial"/>
        </w:rPr>
        <w:t>to deliver.</w:t>
      </w:r>
    </w:p>
    <w:p w14:paraId="2C37E05D" w14:textId="2E0E8D7F" w:rsidR="001547E0" w:rsidRPr="00793095" w:rsidRDefault="001547E0" w:rsidP="00D266ED">
      <w:pPr>
        <w:pStyle w:val="DHHStabletext"/>
        <w:numPr>
          <w:ilvl w:val="0"/>
          <w:numId w:val="42"/>
        </w:numPr>
        <w:spacing w:before="120" w:after="120" w:line="260" w:lineRule="atLeast"/>
        <w:ind w:left="714" w:hanging="357"/>
        <w:rPr>
          <w:rFonts w:cs="Arial"/>
        </w:rPr>
      </w:pPr>
      <w:r w:rsidRPr="00793095">
        <w:rPr>
          <w:rFonts w:cs="Arial"/>
        </w:rPr>
        <w:t>Service events not appearing due to unresolved data validation errors</w:t>
      </w:r>
      <w:r>
        <w:rPr>
          <w:rFonts w:cs="Arial"/>
        </w:rPr>
        <w:t xml:space="preserve"> – the service events will not be accepted into the VADC until the data validation errors are </w:t>
      </w:r>
      <w:r w:rsidR="00EA1525">
        <w:rPr>
          <w:rFonts w:cs="Arial"/>
        </w:rPr>
        <w:t>corrected</w:t>
      </w:r>
      <w:r>
        <w:rPr>
          <w:rFonts w:cs="Arial"/>
        </w:rPr>
        <w:t>.</w:t>
      </w:r>
    </w:p>
    <w:p w14:paraId="7161EFBD" w14:textId="77777777" w:rsidR="00D266ED" w:rsidRDefault="001547E0" w:rsidP="00D266ED">
      <w:pPr>
        <w:pStyle w:val="DHHStabletext"/>
        <w:numPr>
          <w:ilvl w:val="0"/>
          <w:numId w:val="42"/>
        </w:numPr>
        <w:spacing w:before="120" w:after="120" w:line="260" w:lineRule="atLeast"/>
        <w:ind w:left="714" w:hanging="357"/>
        <w:rPr>
          <w:rFonts w:cs="Arial"/>
        </w:rPr>
      </w:pPr>
      <w:r w:rsidRPr="0010284E">
        <w:rPr>
          <w:rFonts w:cs="Arial"/>
        </w:rPr>
        <w:t>Data elements not reported correctly. For example, Significant Goal Achieved (SGA), Course Length, End Reason, Contact information, Target Population, Percentage Course Completed.</w:t>
      </w:r>
    </w:p>
    <w:p w14:paraId="03F227F3" w14:textId="1601C56F" w:rsidR="001547E0" w:rsidRPr="0010284E" w:rsidRDefault="001547E0" w:rsidP="0010284E">
      <w:pPr>
        <w:pStyle w:val="DHHStabletext"/>
        <w:numPr>
          <w:ilvl w:val="0"/>
          <w:numId w:val="42"/>
        </w:numPr>
        <w:spacing w:before="120" w:after="120" w:line="260" w:lineRule="atLeast"/>
        <w:ind w:left="714" w:hanging="357"/>
        <w:rPr>
          <w:rFonts w:cs="Arial"/>
        </w:rPr>
      </w:pPr>
      <w:r w:rsidRPr="0010284E">
        <w:rPr>
          <w:rFonts w:cs="Arial"/>
        </w:rPr>
        <w:t xml:space="preserve">Forensic DTAU service events with ACSO ID = 9999999 or NULL for referrals IN and funding source not specified as </w:t>
      </w:r>
      <w:r w:rsidR="0010284E">
        <w:rPr>
          <w:rFonts w:cs="Arial"/>
        </w:rPr>
        <w:t>forensic</w:t>
      </w:r>
      <w:r w:rsidR="00C177E7">
        <w:rPr>
          <w:rFonts w:cs="Arial"/>
        </w:rPr>
        <w:t xml:space="preserve"> </w:t>
      </w:r>
      <w:r w:rsidR="0010284E">
        <w:rPr>
          <w:rFonts w:cs="Arial"/>
        </w:rPr>
        <w:t xml:space="preserve">according to the </w:t>
      </w:r>
      <w:r w:rsidR="00D266ED" w:rsidRPr="008D3AFE">
        <w:rPr>
          <w:rFonts w:cs="Arial"/>
          <w:i/>
          <w:iCs/>
        </w:rPr>
        <w:t>DTAU Derivation Rules</w:t>
      </w:r>
      <w:r w:rsidR="00D266ED">
        <w:rPr>
          <w:rFonts w:cs="Arial"/>
          <w:i/>
          <w:iCs/>
        </w:rPr>
        <w:t>-</w:t>
      </w:r>
      <w:r w:rsidR="00D266ED" w:rsidRPr="00EA1525">
        <w:rPr>
          <w:rFonts w:cs="Arial"/>
          <w:i/>
          <w:iCs/>
        </w:rPr>
        <w:t xml:space="preserve"> </w:t>
      </w:r>
      <w:r w:rsidR="00D266ED" w:rsidRPr="00B33E0C">
        <w:rPr>
          <w:rFonts w:cs="Arial"/>
          <w:i/>
          <w:iCs/>
        </w:rPr>
        <w:t>Plain English Guide</w:t>
      </w:r>
      <w:r w:rsidR="00D266ED" w:rsidRPr="00BF725B">
        <w:rPr>
          <w:rFonts w:cs="Arial"/>
        </w:rPr>
        <w:t xml:space="preserve"> and </w:t>
      </w:r>
      <w:r w:rsidR="00D266ED" w:rsidRPr="008D3AFE">
        <w:rPr>
          <w:rFonts w:cs="Arial"/>
          <w:i/>
          <w:iCs/>
        </w:rPr>
        <w:t>EOC</w:t>
      </w:r>
      <w:r w:rsidR="008206B5">
        <w:rPr>
          <w:rFonts w:cs="Arial"/>
          <w:i/>
          <w:iCs/>
        </w:rPr>
        <w:t>/</w:t>
      </w:r>
      <w:r w:rsidR="00D266ED" w:rsidRPr="008D3AFE">
        <w:rPr>
          <w:rFonts w:cs="Arial"/>
          <w:i/>
          <w:iCs/>
        </w:rPr>
        <w:t>COT Derivation Rules</w:t>
      </w:r>
      <w:r w:rsidRPr="0010284E">
        <w:rPr>
          <w:rFonts w:cs="Arial"/>
        </w:rPr>
        <w:t>, won’t be recognised as forensic in VADC.</w:t>
      </w:r>
      <w:r w:rsidR="0010284E">
        <w:rPr>
          <w:rFonts w:cs="Arial"/>
        </w:rPr>
        <w:t xml:space="preserve"> </w:t>
      </w:r>
    </w:p>
    <w:p w14:paraId="7BF35124" w14:textId="2B10E694" w:rsidR="001547E0" w:rsidRDefault="001547E0" w:rsidP="001547E0">
      <w:pPr>
        <w:pStyle w:val="DHHStabletext"/>
        <w:spacing w:before="120" w:after="120" w:line="260" w:lineRule="atLeast"/>
        <w:rPr>
          <w:rStyle w:val="Hyperlink"/>
          <w:rFonts w:cs="Arial"/>
        </w:rPr>
      </w:pPr>
      <w:r>
        <w:rPr>
          <w:rFonts w:cs="Arial"/>
        </w:rPr>
        <w:t xml:space="preserve">More information on how to improve data quality for VADC data, is available here:  </w:t>
      </w:r>
      <w:hyperlink r:id="rId17" w:history="1">
        <w:r w:rsidRPr="00E37150">
          <w:rPr>
            <w:rStyle w:val="Hyperlink"/>
            <w:rFonts w:cs="Arial"/>
          </w:rPr>
          <w:t>Link to Ensuring data quality</w:t>
        </w:r>
      </w:hyperlink>
    </w:p>
    <w:p w14:paraId="426A9335" w14:textId="0D9E311F" w:rsidR="008206B5" w:rsidRDefault="008206B5" w:rsidP="001547E0">
      <w:pPr>
        <w:pStyle w:val="DHHStabletext"/>
        <w:spacing w:before="120" w:after="120" w:line="260" w:lineRule="atLeast"/>
        <w:rPr>
          <w:rStyle w:val="Hyperlink"/>
          <w:rFonts w:cs="Arial"/>
        </w:rPr>
      </w:pPr>
    </w:p>
    <w:p w14:paraId="08CF3613" w14:textId="77777777" w:rsidR="008206B5" w:rsidRPr="00AF247F" w:rsidRDefault="008206B5" w:rsidP="001547E0">
      <w:pPr>
        <w:pStyle w:val="DHHStabletext"/>
        <w:spacing w:before="120" w:after="120" w:line="260" w:lineRule="atLeast"/>
        <w:rPr>
          <w:rFonts w:cs="Arial"/>
        </w:rPr>
      </w:pPr>
    </w:p>
    <w:p w14:paraId="407CD74D" w14:textId="77777777" w:rsidR="001547E0" w:rsidRPr="00BD0B7A" w:rsidRDefault="001547E0" w:rsidP="001547E0">
      <w:pPr>
        <w:pStyle w:val="Heading2"/>
      </w:pPr>
      <w:bookmarkStart w:id="23" w:name="_Toc82006834"/>
      <w:bookmarkStart w:id="24" w:name="_Toc87445838"/>
      <w:r>
        <w:t>1.9</w:t>
      </w:r>
      <w:r>
        <w:tab/>
        <w:t>What should I do if I identify errors in the data I have reported?</w:t>
      </w:r>
      <w:bookmarkEnd w:id="23"/>
      <w:bookmarkEnd w:id="24"/>
    </w:p>
    <w:p w14:paraId="105C7D51" w14:textId="0221BF88" w:rsidR="001547E0" w:rsidRDefault="001547E0" w:rsidP="001547E0">
      <w:pPr>
        <w:pStyle w:val="DHHStabletext"/>
        <w:spacing w:before="120" w:after="120" w:line="260" w:lineRule="atLeast"/>
        <w:rPr>
          <w:rFonts w:cs="Arial"/>
        </w:rPr>
      </w:pPr>
      <w:r>
        <w:rPr>
          <w:rFonts w:cs="Arial"/>
        </w:rPr>
        <w:t>Data errors should be corrected within the CMS and then re</w:t>
      </w:r>
      <w:r w:rsidR="00EA1525">
        <w:rPr>
          <w:rFonts w:cs="Arial"/>
        </w:rPr>
        <w:t>-</w:t>
      </w:r>
      <w:r>
        <w:rPr>
          <w:rFonts w:cs="Arial"/>
        </w:rPr>
        <w:t>extracted and submitted to the VADC to ensure accurate reporting.</w:t>
      </w:r>
    </w:p>
    <w:p w14:paraId="474045D2" w14:textId="0B7FCB8C" w:rsidR="001547E0" w:rsidRDefault="001547E0" w:rsidP="001547E0">
      <w:pPr>
        <w:pStyle w:val="DHHStabletext"/>
        <w:spacing w:before="120" w:after="120" w:line="260" w:lineRule="atLeast"/>
        <w:rPr>
          <w:rFonts w:cs="Arial"/>
        </w:rPr>
      </w:pPr>
      <w:r>
        <w:rPr>
          <w:rFonts w:cs="Arial"/>
        </w:rPr>
        <w:t xml:space="preserve">Data resubmissions should be sent first to the test system to check that the issue is being rectified and </w:t>
      </w:r>
      <w:r w:rsidRPr="00793095">
        <w:rPr>
          <w:rFonts w:cs="Arial"/>
        </w:rPr>
        <w:t xml:space="preserve">submitted in </w:t>
      </w:r>
      <w:r>
        <w:rPr>
          <w:rFonts w:cs="Arial"/>
        </w:rPr>
        <w:t>sequential</w:t>
      </w:r>
      <w:r w:rsidRPr="00793095">
        <w:rPr>
          <w:rFonts w:cs="Arial"/>
        </w:rPr>
        <w:t xml:space="preserve"> order, submitted one month at a time, errors fixed before submitting the next month.</w:t>
      </w:r>
      <w:r>
        <w:rPr>
          <w:rFonts w:cs="Arial"/>
        </w:rPr>
        <w:t xml:space="preserve">  If you need assistance</w:t>
      </w:r>
      <w:r w:rsidR="00C177E7">
        <w:rPr>
          <w:rFonts w:cs="Arial"/>
        </w:rPr>
        <w:t>,</w:t>
      </w:r>
      <w:r>
        <w:rPr>
          <w:rFonts w:cs="Arial"/>
        </w:rPr>
        <w:t xml:space="preserve"> please email the VADC Inbox:</w:t>
      </w:r>
      <w:r w:rsidR="0093559A">
        <w:rPr>
          <w:rFonts w:cs="Arial"/>
        </w:rPr>
        <w:t xml:space="preserve"> </w:t>
      </w:r>
      <w:hyperlink r:id="rId18" w:history="1">
        <w:r w:rsidR="0093559A" w:rsidRPr="00354C46">
          <w:rPr>
            <w:rStyle w:val="Hyperlink"/>
            <w:rFonts w:cs="Arial"/>
          </w:rPr>
          <w:t>vadc_data@health.vic.gov.au</w:t>
        </w:r>
      </w:hyperlink>
      <w:r w:rsidR="0093559A" w:rsidRPr="0093559A">
        <w:rPr>
          <w:rFonts w:cs="Arial"/>
        </w:rPr>
        <w:t>.</w:t>
      </w:r>
    </w:p>
    <w:p w14:paraId="07C36860" w14:textId="77777777" w:rsidR="001547E0" w:rsidRDefault="001547E0" w:rsidP="001547E0">
      <w:pPr>
        <w:pStyle w:val="Heading1"/>
      </w:pPr>
      <w:bookmarkStart w:id="25" w:name="_Toc82006835"/>
      <w:bookmarkStart w:id="26" w:name="_Toc87445839"/>
      <w:r>
        <w:lastRenderedPageBreak/>
        <w:t>Further information</w:t>
      </w:r>
      <w:bookmarkEnd w:id="25"/>
      <w:bookmarkEnd w:id="26"/>
    </w:p>
    <w:p w14:paraId="6E87F19B" w14:textId="01CFA456" w:rsidR="001547E0" w:rsidRPr="004459E8" w:rsidRDefault="001547E0" w:rsidP="008206B5">
      <w:pPr>
        <w:pStyle w:val="DHHSbody"/>
        <w:spacing w:before="100" w:beforeAutospacing="1" w:after="100" w:afterAutospacing="1" w:line="240" w:lineRule="auto"/>
        <w:contextualSpacing/>
        <w:rPr>
          <w:rStyle w:val="Hyperlink"/>
        </w:rPr>
      </w:pPr>
      <w:r w:rsidRPr="00C86931">
        <w:rPr>
          <w:b/>
        </w:rPr>
        <w:t xml:space="preserve">VADC </w:t>
      </w:r>
      <w:r>
        <w:rPr>
          <w:b/>
        </w:rPr>
        <w:t xml:space="preserve">documentation </w:t>
      </w:r>
      <w:r>
        <w:t xml:space="preserve">- </w:t>
      </w:r>
      <w:r>
        <w:rPr>
          <w:rFonts w:cs="Arial"/>
        </w:rPr>
        <w:t>VADC Data Specification, VADC Compilation and Submission Specifications and Bulletins</w:t>
      </w:r>
    </w:p>
    <w:p w14:paraId="49AFA62E" w14:textId="55EA4E76" w:rsidR="004A6375" w:rsidRPr="00D21C61" w:rsidRDefault="00235E1E" w:rsidP="008206B5">
      <w:pPr>
        <w:pStyle w:val="DHHSbody"/>
        <w:spacing w:before="100" w:beforeAutospacing="1" w:after="100" w:afterAutospacing="1" w:line="240" w:lineRule="auto"/>
        <w:contextualSpacing/>
        <w:rPr>
          <w:color w:val="004C97"/>
          <w:u w:val="dotted"/>
        </w:rPr>
      </w:pPr>
      <w:hyperlink r:id="rId19" w:history="1">
        <w:r w:rsidR="005564B5">
          <w:rPr>
            <w:rStyle w:val="Hyperlink"/>
          </w:rPr>
          <w:t>Link</w:t>
        </w:r>
        <w:r w:rsidR="004A6375">
          <w:rPr>
            <w:rStyle w:val="Hyperlink"/>
          </w:rPr>
          <w:t xml:space="preserve"> to VADC documentation</w:t>
        </w:r>
      </w:hyperlink>
    </w:p>
    <w:p w14:paraId="2758B483" w14:textId="77777777" w:rsidR="008206B5" w:rsidRDefault="008206B5" w:rsidP="008206B5">
      <w:pPr>
        <w:pStyle w:val="DHHSbody"/>
        <w:spacing w:before="100" w:beforeAutospacing="1" w:after="100" w:afterAutospacing="1" w:line="240" w:lineRule="auto"/>
        <w:contextualSpacing/>
        <w:rPr>
          <w:b/>
        </w:rPr>
      </w:pPr>
    </w:p>
    <w:p w14:paraId="4713602B" w14:textId="77777777" w:rsidR="008206B5" w:rsidRDefault="001547E0" w:rsidP="008206B5">
      <w:pPr>
        <w:pStyle w:val="DHHSbody"/>
        <w:spacing w:before="100" w:beforeAutospacing="1" w:after="100" w:afterAutospacing="1" w:line="240" w:lineRule="auto"/>
        <w:contextualSpacing/>
        <w:rPr>
          <w:bCs/>
        </w:rPr>
      </w:pPr>
      <w:r>
        <w:rPr>
          <w:b/>
        </w:rPr>
        <w:t xml:space="preserve">Ensuring data quality </w:t>
      </w:r>
      <w:r>
        <w:rPr>
          <w:bCs/>
        </w:rPr>
        <w:t>– Tips on how to ensure data quality for VADC data</w:t>
      </w:r>
    </w:p>
    <w:p w14:paraId="0A02E36C" w14:textId="40D3EAB6" w:rsidR="008206B5" w:rsidRDefault="00235E1E" w:rsidP="001547E0">
      <w:pPr>
        <w:pStyle w:val="DHHSbody"/>
        <w:spacing w:before="100" w:beforeAutospacing="1" w:after="100" w:afterAutospacing="1" w:line="240" w:lineRule="auto"/>
        <w:contextualSpacing/>
        <w:rPr>
          <w:bCs/>
          <w:strike/>
          <w:color w:val="004C97"/>
          <w:u w:val="dotted"/>
        </w:rPr>
      </w:pPr>
      <w:hyperlink r:id="rId20" w:history="1">
        <w:r w:rsidR="0051469B">
          <w:rPr>
            <w:rStyle w:val="Hyperlink"/>
            <w:rFonts w:cs="Arial"/>
          </w:rPr>
          <w:t>Link to Ensuring data quality</w:t>
        </w:r>
      </w:hyperlink>
    </w:p>
    <w:p w14:paraId="1CE013CC" w14:textId="77777777" w:rsidR="008206B5" w:rsidRPr="008206B5" w:rsidRDefault="008206B5" w:rsidP="001547E0">
      <w:pPr>
        <w:pStyle w:val="DHHSbody"/>
        <w:spacing w:before="100" w:beforeAutospacing="1" w:after="100" w:afterAutospacing="1" w:line="240" w:lineRule="auto"/>
        <w:contextualSpacing/>
        <w:rPr>
          <w:bCs/>
          <w:strike/>
          <w:color w:val="004C97"/>
          <w:u w:val="dotted"/>
        </w:rPr>
      </w:pPr>
    </w:p>
    <w:p w14:paraId="1D1BA223" w14:textId="77777777" w:rsidR="008206B5" w:rsidRDefault="001547E0" w:rsidP="008206B5">
      <w:pPr>
        <w:pStyle w:val="DHHSbody"/>
        <w:spacing w:before="100" w:beforeAutospacing="1" w:after="100" w:afterAutospacing="1" w:line="240" w:lineRule="auto"/>
        <w:contextualSpacing/>
        <w:rPr>
          <w:rStyle w:val="Hyperlink"/>
          <w:bCs/>
          <w:strike/>
        </w:rPr>
      </w:pPr>
      <w:r>
        <w:rPr>
          <w:b/>
        </w:rPr>
        <w:t xml:space="preserve">Funding and reporting </w:t>
      </w:r>
      <w:r>
        <w:rPr>
          <w:bCs/>
        </w:rPr>
        <w:t>– Explanations on the different funding activity types</w:t>
      </w:r>
    </w:p>
    <w:p w14:paraId="1E387567" w14:textId="262A4D42" w:rsidR="0051469B" w:rsidRDefault="00235E1E" w:rsidP="008206B5">
      <w:pPr>
        <w:pStyle w:val="DHHSbody"/>
        <w:spacing w:before="100" w:beforeAutospacing="1" w:after="100" w:afterAutospacing="1" w:line="240" w:lineRule="auto"/>
        <w:contextualSpacing/>
        <w:rPr>
          <w:rStyle w:val="Hyperlink"/>
        </w:rPr>
      </w:pPr>
      <w:hyperlink r:id="rId21" w:history="1">
        <w:r w:rsidR="0051469B">
          <w:rPr>
            <w:rStyle w:val="Hyperlink"/>
          </w:rPr>
          <w:t>Link to Funding of Alcohol and Drug Services</w:t>
        </w:r>
      </w:hyperlink>
    </w:p>
    <w:p w14:paraId="3FE2A80E" w14:textId="77777777" w:rsidR="008206B5" w:rsidRPr="008206B5" w:rsidRDefault="008206B5" w:rsidP="008206B5">
      <w:pPr>
        <w:pStyle w:val="DHHSbody"/>
        <w:spacing w:before="100" w:beforeAutospacing="1" w:after="100" w:afterAutospacing="1" w:line="240" w:lineRule="auto"/>
        <w:contextualSpacing/>
        <w:rPr>
          <w:rStyle w:val="Hyperlink"/>
          <w:bCs/>
          <w:strike/>
        </w:rPr>
      </w:pPr>
    </w:p>
    <w:p w14:paraId="324AAE0B" w14:textId="2F1AA722" w:rsidR="001547E0" w:rsidRPr="00CE675C" w:rsidRDefault="001547E0" w:rsidP="008206B5">
      <w:pPr>
        <w:pStyle w:val="DHHSbody"/>
        <w:spacing w:before="100" w:beforeAutospacing="1" w:after="100" w:afterAutospacing="1" w:line="240" w:lineRule="auto"/>
        <w:contextualSpacing/>
        <w:rPr>
          <w:strike/>
        </w:rPr>
      </w:pPr>
      <w:r w:rsidRPr="007768D2">
        <w:rPr>
          <w:b/>
        </w:rPr>
        <w:t xml:space="preserve">DTAU and EOC/COT </w:t>
      </w:r>
      <w:bookmarkStart w:id="27" w:name="_Hlk81918697"/>
      <w:r w:rsidR="004C7D7E">
        <w:rPr>
          <w:b/>
        </w:rPr>
        <w:t>Derivation rules</w:t>
      </w:r>
      <w:r w:rsidR="005564B5">
        <w:rPr>
          <w:rStyle w:val="Hyperlink"/>
        </w:rPr>
        <w:t xml:space="preserve"> - </w:t>
      </w:r>
      <w:r>
        <w:t xml:space="preserve">Click on the </w:t>
      </w:r>
      <w:r w:rsidRPr="004459E8">
        <w:rPr>
          <w:b/>
          <w:bCs/>
        </w:rPr>
        <w:t>Link</w:t>
      </w:r>
      <w:r>
        <w:t xml:space="preserve"> below and navigate to </w:t>
      </w:r>
      <w:r w:rsidRPr="004459E8">
        <w:rPr>
          <w:b/>
          <w:bCs/>
        </w:rPr>
        <w:t>Downloads</w:t>
      </w:r>
    </w:p>
    <w:p w14:paraId="1B448BFB" w14:textId="77777777" w:rsidR="008206B5" w:rsidRDefault="00235E1E" w:rsidP="008206B5">
      <w:pPr>
        <w:pStyle w:val="DHHSbody"/>
        <w:spacing w:before="100" w:beforeAutospacing="1" w:after="100" w:afterAutospacing="1" w:line="240" w:lineRule="auto"/>
        <w:contextualSpacing/>
        <w:rPr>
          <w:rStyle w:val="Hyperlink"/>
        </w:rPr>
      </w:pPr>
      <w:hyperlink r:id="rId22" w:history="1">
        <w:r w:rsidR="001547E0">
          <w:rPr>
            <w:rStyle w:val="Hyperlink"/>
          </w:rPr>
          <w:t>Link to DTAU and EOC/COT Derivation Rules</w:t>
        </w:r>
      </w:hyperlink>
    </w:p>
    <w:p w14:paraId="7603B814" w14:textId="07D1EB82" w:rsidR="001547E0" w:rsidRDefault="001547E0" w:rsidP="008206B5">
      <w:pPr>
        <w:pStyle w:val="DHHSbody"/>
        <w:spacing w:before="100" w:beforeAutospacing="1" w:after="100" w:afterAutospacing="1" w:line="240" w:lineRule="auto"/>
        <w:contextualSpacing/>
      </w:pPr>
      <w:r>
        <w:t xml:space="preserve"> </w:t>
      </w:r>
    </w:p>
    <w:p w14:paraId="191CF375" w14:textId="0184EFFE" w:rsidR="00B21083" w:rsidRDefault="00B21083" w:rsidP="001547E0">
      <w:pPr>
        <w:pStyle w:val="DHHSbody"/>
        <w:spacing w:before="100" w:beforeAutospacing="1" w:after="100" w:afterAutospacing="1" w:line="240" w:lineRule="auto"/>
        <w:rPr>
          <w:b/>
        </w:rPr>
      </w:pPr>
      <w:r>
        <w:rPr>
          <w:b/>
        </w:rPr>
        <w:t>Service Event Statement specification</w:t>
      </w:r>
    </w:p>
    <w:bookmarkStart w:id="28" w:name="_MON_1697532007"/>
    <w:bookmarkEnd w:id="28"/>
    <w:p w14:paraId="63F78E95" w14:textId="26E3CAF7" w:rsidR="00B21083" w:rsidRPr="00B21083" w:rsidRDefault="00B21083" w:rsidP="00B21083">
      <w:pPr>
        <w:pStyle w:val="DHHSbody"/>
        <w:keepNext/>
        <w:spacing w:before="100" w:beforeAutospacing="1" w:after="100" w:afterAutospacing="1" w:line="240" w:lineRule="auto"/>
      </w:pPr>
      <w:r>
        <w:rPr>
          <w:color w:val="004C97"/>
          <w:u w:val="dotted"/>
        </w:rPr>
        <w:object w:dxaOrig="1516" w:dyaOrig="987" w14:anchorId="3780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23" o:title=""/>
          </v:shape>
          <o:OLEObject Type="Embed" ProgID="Word.Document.12" ShapeID="_x0000_i1025" DrawAspect="Icon" ObjectID="_1698060615" r:id="rId24">
            <o:FieldCodes>\s</o:FieldCodes>
          </o:OLEObject>
        </w:object>
      </w:r>
    </w:p>
    <w:p w14:paraId="07B9E08A" w14:textId="77777777" w:rsidR="001547E0" w:rsidRDefault="001547E0" w:rsidP="001547E0">
      <w:pPr>
        <w:pStyle w:val="Heading1"/>
      </w:pPr>
      <w:bookmarkStart w:id="29" w:name="_Toc82006836"/>
      <w:bookmarkStart w:id="30" w:name="_Toc87445840"/>
      <w:bookmarkEnd w:id="27"/>
      <w:r>
        <w:t>Contact details</w:t>
      </w:r>
      <w:bookmarkEnd w:id="29"/>
      <w:bookmarkEnd w:id="30"/>
    </w:p>
    <w:p w14:paraId="00E7B89F" w14:textId="77777777" w:rsidR="001547E0" w:rsidRPr="00B859F8" w:rsidRDefault="001547E0" w:rsidP="001547E0">
      <w:pPr>
        <w:pStyle w:val="DHHSbody"/>
        <w:spacing w:before="120" w:line="260" w:lineRule="atLeast"/>
        <w:rPr>
          <w:color w:val="000000" w:themeColor="text1"/>
        </w:rPr>
      </w:pPr>
      <w:bookmarkStart w:id="31" w:name="_Hlk35347290"/>
      <w:r w:rsidRPr="00B859F8">
        <w:rPr>
          <w:color w:val="000000" w:themeColor="text1"/>
        </w:rPr>
        <w:t>For assistance with:</w:t>
      </w:r>
    </w:p>
    <w:p w14:paraId="1B8FE5EE" w14:textId="77777777" w:rsidR="00764E68" w:rsidRPr="00764E68" w:rsidRDefault="001547E0" w:rsidP="003B42D5">
      <w:pPr>
        <w:pStyle w:val="DHHSbody"/>
        <w:numPr>
          <w:ilvl w:val="0"/>
          <w:numId w:val="43"/>
        </w:numPr>
        <w:spacing w:before="120" w:after="240" w:line="480" w:lineRule="auto"/>
        <w:contextualSpacing/>
        <w:rPr>
          <w:color w:val="000000" w:themeColor="text1"/>
          <w:u w:val="dotted"/>
        </w:rPr>
      </w:pPr>
      <w:r w:rsidRPr="00764E68">
        <w:rPr>
          <w:color w:val="000000" w:themeColor="text1"/>
        </w:rPr>
        <w:t xml:space="preserve">VADC data submission and the Service Event Statement – contact: </w:t>
      </w:r>
      <w:hyperlink r:id="rId25" w:history="1">
        <w:r w:rsidR="00764E68" w:rsidRPr="00354C46">
          <w:rPr>
            <w:rStyle w:val="Hyperlink"/>
            <w:rFonts w:cs="Arial"/>
          </w:rPr>
          <w:t>vadc_data@health.vic.gov.au</w:t>
        </w:r>
      </w:hyperlink>
    </w:p>
    <w:p w14:paraId="741E197A" w14:textId="77DE05C2" w:rsidR="001547E0" w:rsidRPr="00764E68" w:rsidRDefault="001547E0" w:rsidP="003B42D5">
      <w:pPr>
        <w:pStyle w:val="DHHSbody"/>
        <w:numPr>
          <w:ilvl w:val="0"/>
          <w:numId w:val="43"/>
        </w:numPr>
        <w:spacing w:before="120" w:after="240" w:line="480" w:lineRule="auto"/>
        <w:contextualSpacing/>
        <w:rPr>
          <w:rStyle w:val="Hyperlink"/>
          <w:color w:val="000000" w:themeColor="text1"/>
        </w:rPr>
      </w:pPr>
      <w:r w:rsidRPr="00764E68">
        <w:rPr>
          <w:rStyle w:val="Hyperlink"/>
          <w:color w:val="000000" w:themeColor="text1"/>
        </w:rPr>
        <w:t>Service targets – contact your divisional Agency Performance System Support (APSS)</w:t>
      </w:r>
    </w:p>
    <w:p w14:paraId="4411A7D0" w14:textId="2FBAE70A" w:rsidR="00CF4AD3" w:rsidRDefault="001547E0" w:rsidP="00F32368">
      <w:pPr>
        <w:pStyle w:val="Body"/>
        <w:rPr>
          <w:rStyle w:val="Hyperlink"/>
          <w:color w:val="0070C0"/>
        </w:rPr>
      </w:pPr>
      <w:r>
        <w:rPr>
          <w:rStyle w:val="Hyperlink"/>
          <w:color w:val="000000" w:themeColor="text1"/>
        </w:rPr>
        <w:t>F</w:t>
      </w:r>
      <w:r w:rsidRPr="00B859F8">
        <w:rPr>
          <w:rStyle w:val="Hyperlink"/>
          <w:color w:val="000000" w:themeColor="text1"/>
        </w:rPr>
        <w:t xml:space="preserve">unding unit business rules – contact: </w:t>
      </w:r>
      <w:hyperlink r:id="rId26" w:history="1">
        <w:r w:rsidRPr="00B859F8">
          <w:rPr>
            <w:rStyle w:val="Hyperlink"/>
            <w:color w:val="0070C0"/>
          </w:rPr>
          <w:t>aod.enquiries@dhhs.vic.gov.au</w:t>
        </w:r>
      </w:hyperlink>
      <w:bookmarkStart w:id="32" w:name="_Hlk37240926"/>
      <w:bookmarkEnd w:id="31"/>
    </w:p>
    <w:p w14:paraId="303E2FB8" w14:textId="084DDB46" w:rsidR="008206B5" w:rsidRDefault="008206B5" w:rsidP="00F32368">
      <w:pPr>
        <w:pStyle w:val="Body"/>
        <w:rPr>
          <w:rStyle w:val="Hyperlink"/>
          <w:color w:val="0070C0"/>
        </w:rPr>
      </w:pPr>
    </w:p>
    <w:p w14:paraId="328E0ACF" w14:textId="0E4172A8" w:rsidR="008206B5" w:rsidRDefault="008206B5" w:rsidP="00F32368">
      <w:pPr>
        <w:pStyle w:val="Body"/>
        <w:rPr>
          <w:rStyle w:val="Hyperlink"/>
          <w:color w:val="0070C0"/>
        </w:rPr>
      </w:pPr>
    </w:p>
    <w:p w14:paraId="7FD84722" w14:textId="77777777" w:rsidR="008206B5" w:rsidRDefault="008206B5" w:rsidP="00F32368">
      <w:pPr>
        <w:pStyle w:val="Body"/>
      </w:pPr>
    </w:p>
    <w:tbl>
      <w:tblPr>
        <w:tblStyle w:val="TableGrid"/>
        <w:tblW w:w="0" w:type="auto"/>
        <w:tblLook w:val="04A0" w:firstRow="1" w:lastRow="0" w:firstColumn="1" w:lastColumn="0" w:noHBand="0" w:noVBand="1"/>
      </w:tblPr>
      <w:tblGrid>
        <w:gridCol w:w="10194"/>
      </w:tblGrid>
      <w:tr w:rsidR="00CF4AD3" w14:paraId="10C4435E" w14:textId="77777777" w:rsidTr="00CF4AD3">
        <w:tc>
          <w:tcPr>
            <w:tcW w:w="10194" w:type="dxa"/>
          </w:tcPr>
          <w:p w14:paraId="0E1620FF" w14:textId="77777777" w:rsidR="00CF4AD3" w:rsidRDefault="00CF4AD3" w:rsidP="00CF4AD3">
            <w:pPr>
              <w:pStyle w:val="Imprint"/>
            </w:pPr>
            <w:r>
              <w:t xml:space="preserve">To receive this document in another format email: </w:t>
            </w:r>
            <w:hyperlink r:id="rId27" w:history="1">
              <w:r w:rsidRPr="00524A20">
                <w:rPr>
                  <w:rStyle w:val="Hyperlink"/>
                </w:rPr>
                <w:t>vadc_data@health.vic.gov.au</w:t>
              </w:r>
            </w:hyperlink>
          </w:p>
          <w:p w14:paraId="01FC7D9B" w14:textId="77777777" w:rsidR="00CF4AD3" w:rsidRDefault="00CF4AD3" w:rsidP="00CF4AD3">
            <w:pPr>
              <w:pStyle w:val="Imprint"/>
            </w:pPr>
          </w:p>
          <w:p w14:paraId="4E6B41CE" w14:textId="77777777" w:rsidR="00CF4AD3" w:rsidRPr="003B0381" w:rsidRDefault="00CF4AD3" w:rsidP="00CF4AD3">
            <w:pPr>
              <w:pStyle w:val="Imprint"/>
            </w:pPr>
            <w:r w:rsidRPr="003B0381">
              <w:t>Authorised and published by the Victorian Government, 1 Treasury Place, Melbourne.</w:t>
            </w:r>
          </w:p>
          <w:p w14:paraId="45A2C74A" w14:textId="050C809F" w:rsidR="00CF4AD3" w:rsidRPr="00CF4AD3" w:rsidRDefault="00CF4AD3" w:rsidP="00CF4AD3">
            <w:pPr>
              <w:pStyle w:val="Body"/>
              <w:rPr>
                <w:rFonts w:ascii="VIC" w:eastAsiaTheme="minorEastAsia" w:hAnsi="VIC"/>
                <w:noProof/>
              </w:rPr>
            </w:pPr>
            <w:r w:rsidRPr="003B0381">
              <w:rPr>
                <w:sz w:val="20"/>
              </w:rPr>
              <w:t>© State of Victoria, Australia, Department of Health, November 2021</w:t>
            </w:r>
          </w:p>
        </w:tc>
      </w:tr>
    </w:tbl>
    <w:p w14:paraId="35D4E868" w14:textId="77777777" w:rsidR="00CF4AD3" w:rsidRDefault="00CF4AD3" w:rsidP="00F32368">
      <w:pPr>
        <w:pStyle w:val="Body"/>
      </w:pPr>
    </w:p>
    <w:bookmarkEnd w:id="32"/>
    <w:p w14:paraId="54B8E6F7" w14:textId="4BAF189F"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15479" w14:textId="77777777" w:rsidR="00B9475E" w:rsidRDefault="00B9475E">
      <w:r>
        <w:separator/>
      </w:r>
    </w:p>
  </w:endnote>
  <w:endnote w:type="continuationSeparator" w:id="0">
    <w:p w14:paraId="715BF26F" w14:textId="77777777" w:rsidR="00B9475E" w:rsidRDefault="00B9475E">
      <w:r>
        <w:continuationSeparator/>
      </w:r>
    </w:p>
  </w:endnote>
  <w:endnote w:type="continuationNotice" w:id="1">
    <w:p w14:paraId="7D77374F" w14:textId="77777777" w:rsidR="00810DBE" w:rsidRDefault="00810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D301" w14:textId="77777777" w:rsidR="00235E1E" w:rsidRDefault="0023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E251" w14:textId="367AD353" w:rsidR="00E261B3" w:rsidRPr="00F65AA9" w:rsidRDefault="000C21CA" w:rsidP="00F84FA0">
    <w:pPr>
      <w:pStyle w:val="Footer"/>
    </w:pPr>
    <w:r>
      <w:rPr>
        <w:noProof/>
        <w:lang w:eastAsia="en-AU"/>
      </w:rPr>
      <w:drawing>
        <wp:anchor distT="0" distB="0" distL="114300" distR="114300" simplePos="0" relativeHeight="251664384" behindDoc="1" locked="0" layoutInCell="1" allowOverlap="1" wp14:anchorId="22BDECC9" wp14:editId="6B318D85">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2096" behindDoc="0" locked="0" layoutInCell="0" allowOverlap="1" wp14:anchorId="670F117D" wp14:editId="481ED116">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F1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0288" behindDoc="1" locked="1" layoutInCell="1" allowOverlap="1" wp14:anchorId="61480950" wp14:editId="239A377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6834" w14:textId="06449D70" w:rsidR="00235E1E" w:rsidRDefault="00E261B3">
    <w:pPr>
      <w:pStyle w:val="Footer"/>
    </w:pPr>
    <w:r>
      <w:rPr>
        <w:noProof/>
      </w:rPr>
      <mc:AlternateContent>
        <mc:Choice Requires="wps">
          <w:drawing>
            <wp:anchor distT="0" distB="0" distL="114300" distR="114300" simplePos="1" relativeHeight="251656192" behindDoc="0" locked="0" layoutInCell="0" allowOverlap="1" wp14:anchorId="6E4F0EFF" wp14:editId="69FF380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0E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F3888" w14:textId="77777777" w:rsidR="00B9475E" w:rsidRDefault="00B9475E" w:rsidP="002862F1">
      <w:pPr>
        <w:spacing w:before="120"/>
      </w:pPr>
      <w:r>
        <w:separator/>
      </w:r>
    </w:p>
  </w:footnote>
  <w:footnote w:type="continuationSeparator" w:id="0">
    <w:p w14:paraId="1EADC6B8" w14:textId="77777777" w:rsidR="00B9475E" w:rsidRDefault="00B9475E">
      <w:r>
        <w:continuationSeparator/>
      </w:r>
    </w:p>
  </w:footnote>
  <w:footnote w:type="continuationNotice" w:id="1">
    <w:p w14:paraId="281AF19B" w14:textId="77777777" w:rsidR="00810DBE" w:rsidRDefault="00810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BFB4" w14:textId="77777777" w:rsidR="00235E1E" w:rsidRDefault="0023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E2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901A" w14:textId="77777777" w:rsidR="00235E1E" w:rsidRDefault="00235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F48A" w14:textId="432E509B" w:rsidR="00E261B3" w:rsidRPr="0051568D" w:rsidRDefault="00FC7FB6" w:rsidP="0011701A">
    <w:pPr>
      <w:pStyle w:val="Header"/>
    </w:pPr>
    <w:r>
      <w:rPr>
        <w:noProof/>
      </w:rPr>
      <w:drawing>
        <wp:anchor distT="0" distB="0" distL="114300" distR="114300" simplePos="0" relativeHeight="251658244"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51959">
      <w:t>VADC Service Event Statement Information Sheet - November 2021</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817872"/>
    <w:multiLevelType w:val="hybridMultilevel"/>
    <w:tmpl w:val="086EB9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8DB1EBD"/>
    <w:multiLevelType w:val="hybridMultilevel"/>
    <w:tmpl w:val="DCA09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0B2266"/>
    <w:multiLevelType w:val="hybridMultilevel"/>
    <w:tmpl w:val="7EDE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B9A1ED9"/>
    <w:multiLevelType w:val="hybridMultilevel"/>
    <w:tmpl w:val="3410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27"/>
  </w:num>
  <w:num w:numId="4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028"/>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42EA"/>
    <w:rsid w:val="000C4546"/>
    <w:rsid w:val="000D1242"/>
    <w:rsid w:val="000E0970"/>
    <w:rsid w:val="000E0AE8"/>
    <w:rsid w:val="000E1910"/>
    <w:rsid w:val="000E3CC7"/>
    <w:rsid w:val="000E6BD4"/>
    <w:rsid w:val="000E6D6D"/>
    <w:rsid w:val="000F1F1E"/>
    <w:rsid w:val="000F2259"/>
    <w:rsid w:val="000F2DDA"/>
    <w:rsid w:val="000F5213"/>
    <w:rsid w:val="00101001"/>
    <w:rsid w:val="0010284E"/>
    <w:rsid w:val="001029BA"/>
    <w:rsid w:val="00103276"/>
    <w:rsid w:val="0010392D"/>
    <w:rsid w:val="0010447F"/>
    <w:rsid w:val="00104FE3"/>
    <w:rsid w:val="0010714F"/>
    <w:rsid w:val="001120C5"/>
    <w:rsid w:val="0011701A"/>
    <w:rsid w:val="00120BD3"/>
    <w:rsid w:val="00122FEA"/>
    <w:rsid w:val="001232BD"/>
    <w:rsid w:val="00124ED5"/>
    <w:rsid w:val="001276FA"/>
    <w:rsid w:val="001320B0"/>
    <w:rsid w:val="0014255B"/>
    <w:rsid w:val="001447B3"/>
    <w:rsid w:val="00151959"/>
    <w:rsid w:val="00152073"/>
    <w:rsid w:val="001547E0"/>
    <w:rsid w:val="00154E2D"/>
    <w:rsid w:val="00155853"/>
    <w:rsid w:val="00156598"/>
    <w:rsid w:val="00161939"/>
    <w:rsid w:val="00161AA0"/>
    <w:rsid w:val="00161D2E"/>
    <w:rsid w:val="00161F3E"/>
    <w:rsid w:val="00162093"/>
    <w:rsid w:val="00162CA9"/>
    <w:rsid w:val="00165459"/>
    <w:rsid w:val="00165A57"/>
    <w:rsid w:val="00165D78"/>
    <w:rsid w:val="001712C2"/>
    <w:rsid w:val="00171321"/>
    <w:rsid w:val="00172BAF"/>
    <w:rsid w:val="001771DD"/>
    <w:rsid w:val="00177995"/>
    <w:rsid w:val="00177A8C"/>
    <w:rsid w:val="001806B8"/>
    <w:rsid w:val="00186B33"/>
    <w:rsid w:val="00191459"/>
    <w:rsid w:val="0019152B"/>
    <w:rsid w:val="00192F9D"/>
    <w:rsid w:val="00196EB8"/>
    <w:rsid w:val="00196EFB"/>
    <w:rsid w:val="001979FF"/>
    <w:rsid w:val="00197B17"/>
    <w:rsid w:val="001A1950"/>
    <w:rsid w:val="001A1C54"/>
    <w:rsid w:val="001A23F8"/>
    <w:rsid w:val="001A3ACE"/>
    <w:rsid w:val="001B058F"/>
    <w:rsid w:val="001B42D6"/>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5E1E"/>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726"/>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A0"/>
    <w:rsid w:val="002E6C95"/>
    <w:rsid w:val="002E7C36"/>
    <w:rsid w:val="002F0107"/>
    <w:rsid w:val="002F3D32"/>
    <w:rsid w:val="002F5F31"/>
    <w:rsid w:val="002F5F46"/>
    <w:rsid w:val="00302216"/>
    <w:rsid w:val="003023B6"/>
    <w:rsid w:val="00303E53"/>
    <w:rsid w:val="00305CC1"/>
    <w:rsid w:val="00306E5F"/>
    <w:rsid w:val="00307E14"/>
    <w:rsid w:val="00314054"/>
    <w:rsid w:val="00315BD8"/>
    <w:rsid w:val="00316F27"/>
    <w:rsid w:val="003172EC"/>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2419"/>
    <w:rsid w:val="004146C6"/>
    <w:rsid w:val="004148F9"/>
    <w:rsid w:val="00414D4A"/>
    <w:rsid w:val="0042084E"/>
    <w:rsid w:val="00421EEF"/>
    <w:rsid w:val="00424D65"/>
    <w:rsid w:val="00442C6C"/>
    <w:rsid w:val="00443CBE"/>
    <w:rsid w:val="00443E8A"/>
    <w:rsid w:val="004441BC"/>
    <w:rsid w:val="00444FFB"/>
    <w:rsid w:val="004468B4"/>
    <w:rsid w:val="0045230A"/>
    <w:rsid w:val="00454AD0"/>
    <w:rsid w:val="00457337"/>
    <w:rsid w:val="00462E3D"/>
    <w:rsid w:val="00466E79"/>
    <w:rsid w:val="00470D7D"/>
    <w:rsid w:val="0047372D"/>
    <w:rsid w:val="00473BA3"/>
    <w:rsid w:val="004743DD"/>
    <w:rsid w:val="00474CEA"/>
    <w:rsid w:val="00476ED7"/>
    <w:rsid w:val="00483968"/>
    <w:rsid w:val="00484F86"/>
    <w:rsid w:val="00490746"/>
    <w:rsid w:val="00490852"/>
    <w:rsid w:val="00491C9C"/>
    <w:rsid w:val="00492F30"/>
    <w:rsid w:val="004946F4"/>
    <w:rsid w:val="0049487E"/>
    <w:rsid w:val="004A160D"/>
    <w:rsid w:val="004A3E81"/>
    <w:rsid w:val="004A4195"/>
    <w:rsid w:val="004A5C62"/>
    <w:rsid w:val="004A5CE5"/>
    <w:rsid w:val="004A6375"/>
    <w:rsid w:val="004A707D"/>
    <w:rsid w:val="004C5541"/>
    <w:rsid w:val="004C6EEE"/>
    <w:rsid w:val="004C702B"/>
    <w:rsid w:val="004C7D7E"/>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6F4"/>
    <w:rsid w:val="00503DC6"/>
    <w:rsid w:val="00506F5D"/>
    <w:rsid w:val="00510C37"/>
    <w:rsid w:val="005126D0"/>
    <w:rsid w:val="0051469B"/>
    <w:rsid w:val="0051568D"/>
    <w:rsid w:val="00517151"/>
    <w:rsid w:val="00526AC7"/>
    <w:rsid w:val="00526C15"/>
    <w:rsid w:val="00536499"/>
    <w:rsid w:val="00537812"/>
    <w:rsid w:val="00543903"/>
    <w:rsid w:val="00543F11"/>
    <w:rsid w:val="00546305"/>
    <w:rsid w:val="00547A95"/>
    <w:rsid w:val="0055119B"/>
    <w:rsid w:val="005548B5"/>
    <w:rsid w:val="005564B5"/>
    <w:rsid w:val="00572031"/>
    <w:rsid w:val="00572282"/>
    <w:rsid w:val="00573CE3"/>
    <w:rsid w:val="00576E84"/>
    <w:rsid w:val="00580394"/>
    <w:rsid w:val="005809CD"/>
    <w:rsid w:val="00582B8C"/>
    <w:rsid w:val="0058757E"/>
    <w:rsid w:val="005948E0"/>
    <w:rsid w:val="00596A4B"/>
    <w:rsid w:val="00597507"/>
    <w:rsid w:val="005A0214"/>
    <w:rsid w:val="005A32F4"/>
    <w:rsid w:val="005A479D"/>
    <w:rsid w:val="005B1C6D"/>
    <w:rsid w:val="005B21B6"/>
    <w:rsid w:val="005B3A08"/>
    <w:rsid w:val="005B7A63"/>
    <w:rsid w:val="005C0955"/>
    <w:rsid w:val="005C2E2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7093"/>
    <w:rsid w:val="006E0541"/>
    <w:rsid w:val="006E138B"/>
    <w:rsid w:val="006F0330"/>
    <w:rsid w:val="006F1FDC"/>
    <w:rsid w:val="006F2929"/>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64E6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97E1B"/>
    <w:rsid w:val="007A11E8"/>
    <w:rsid w:val="007B0914"/>
    <w:rsid w:val="007B1374"/>
    <w:rsid w:val="007B32E5"/>
    <w:rsid w:val="007B3DB9"/>
    <w:rsid w:val="007B589F"/>
    <w:rsid w:val="007B6186"/>
    <w:rsid w:val="007B73BC"/>
    <w:rsid w:val="007C1838"/>
    <w:rsid w:val="007C20B9"/>
    <w:rsid w:val="007C4D47"/>
    <w:rsid w:val="007C7301"/>
    <w:rsid w:val="007C7859"/>
    <w:rsid w:val="007C7F28"/>
    <w:rsid w:val="007D1466"/>
    <w:rsid w:val="007D2BDE"/>
    <w:rsid w:val="007D2FB6"/>
    <w:rsid w:val="007D3077"/>
    <w:rsid w:val="007D49EB"/>
    <w:rsid w:val="007D5E1C"/>
    <w:rsid w:val="007E0DE2"/>
    <w:rsid w:val="007E1227"/>
    <w:rsid w:val="007E3B98"/>
    <w:rsid w:val="007E417A"/>
    <w:rsid w:val="007F31B6"/>
    <w:rsid w:val="007F546C"/>
    <w:rsid w:val="007F625F"/>
    <w:rsid w:val="007F665E"/>
    <w:rsid w:val="00800412"/>
    <w:rsid w:val="0080587B"/>
    <w:rsid w:val="00806468"/>
    <w:rsid w:val="00810DBE"/>
    <w:rsid w:val="008119CA"/>
    <w:rsid w:val="008130C4"/>
    <w:rsid w:val="00813C1B"/>
    <w:rsid w:val="008155F0"/>
    <w:rsid w:val="00816735"/>
    <w:rsid w:val="00817658"/>
    <w:rsid w:val="00820141"/>
    <w:rsid w:val="008206B5"/>
    <w:rsid w:val="00820E0C"/>
    <w:rsid w:val="00823275"/>
    <w:rsid w:val="0082366F"/>
    <w:rsid w:val="00825CF6"/>
    <w:rsid w:val="008338A2"/>
    <w:rsid w:val="008353A8"/>
    <w:rsid w:val="00835FAF"/>
    <w:rsid w:val="00841AA9"/>
    <w:rsid w:val="00843938"/>
    <w:rsid w:val="008474FE"/>
    <w:rsid w:val="00853EE4"/>
    <w:rsid w:val="00855535"/>
    <w:rsid w:val="00857C5A"/>
    <w:rsid w:val="0086255E"/>
    <w:rsid w:val="008633F0"/>
    <w:rsid w:val="00865719"/>
    <w:rsid w:val="00867D9D"/>
    <w:rsid w:val="00872E0A"/>
    <w:rsid w:val="00873594"/>
    <w:rsid w:val="00875285"/>
    <w:rsid w:val="00884B62"/>
    <w:rsid w:val="0088529C"/>
    <w:rsid w:val="00887903"/>
    <w:rsid w:val="0089270A"/>
    <w:rsid w:val="00893AF6"/>
    <w:rsid w:val="00894BC4"/>
    <w:rsid w:val="008A0DBD"/>
    <w:rsid w:val="008A28A8"/>
    <w:rsid w:val="008A5B32"/>
    <w:rsid w:val="008A621C"/>
    <w:rsid w:val="008A6F9D"/>
    <w:rsid w:val="008B2EE4"/>
    <w:rsid w:val="008B4D3D"/>
    <w:rsid w:val="008B57C7"/>
    <w:rsid w:val="008C2F92"/>
    <w:rsid w:val="008C3697"/>
    <w:rsid w:val="008C5557"/>
    <w:rsid w:val="008C589D"/>
    <w:rsid w:val="008C6D51"/>
    <w:rsid w:val="008D2846"/>
    <w:rsid w:val="008D4236"/>
    <w:rsid w:val="008D462F"/>
    <w:rsid w:val="008D6DCF"/>
    <w:rsid w:val="008D6F6E"/>
    <w:rsid w:val="008E4376"/>
    <w:rsid w:val="008E6F22"/>
    <w:rsid w:val="008E7A0A"/>
    <w:rsid w:val="008E7B49"/>
    <w:rsid w:val="008F59F6"/>
    <w:rsid w:val="00900719"/>
    <w:rsid w:val="009017AC"/>
    <w:rsid w:val="00902A9A"/>
    <w:rsid w:val="00904A1C"/>
    <w:rsid w:val="00905030"/>
    <w:rsid w:val="00906490"/>
    <w:rsid w:val="00906F8C"/>
    <w:rsid w:val="009111B2"/>
    <w:rsid w:val="009151F5"/>
    <w:rsid w:val="00924AE1"/>
    <w:rsid w:val="009269B1"/>
    <w:rsid w:val="0092724D"/>
    <w:rsid w:val="009272B3"/>
    <w:rsid w:val="009315BE"/>
    <w:rsid w:val="0093338F"/>
    <w:rsid w:val="00934262"/>
    <w:rsid w:val="0093559A"/>
    <w:rsid w:val="009362F3"/>
    <w:rsid w:val="00937BD9"/>
    <w:rsid w:val="00950E2C"/>
    <w:rsid w:val="00951D50"/>
    <w:rsid w:val="00951E15"/>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0DA8"/>
    <w:rsid w:val="009A13D8"/>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44882"/>
    <w:rsid w:val="00A45125"/>
    <w:rsid w:val="00A54715"/>
    <w:rsid w:val="00A6061C"/>
    <w:rsid w:val="00A62D44"/>
    <w:rsid w:val="00A66351"/>
    <w:rsid w:val="00A67263"/>
    <w:rsid w:val="00A7095E"/>
    <w:rsid w:val="00A7161C"/>
    <w:rsid w:val="00A77AA3"/>
    <w:rsid w:val="00A8236D"/>
    <w:rsid w:val="00A854EB"/>
    <w:rsid w:val="00A872E5"/>
    <w:rsid w:val="00A91406"/>
    <w:rsid w:val="00A93600"/>
    <w:rsid w:val="00A96E65"/>
    <w:rsid w:val="00A97C72"/>
    <w:rsid w:val="00AA268E"/>
    <w:rsid w:val="00AA310B"/>
    <w:rsid w:val="00AA483D"/>
    <w:rsid w:val="00AA63D4"/>
    <w:rsid w:val="00AB06E8"/>
    <w:rsid w:val="00AB1CD3"/>
    <w:rsid w:val="00AB352F"/>
    <w:rsid w:val="00AB77BC"/>
    <w:rsid w:val="00AC1701"/>
    <w:rsid w:val="00AC274B"/>
    <w:rsid w:val="00AC4764"/>
    <w:rsid w:val="00AC570F"/>
    <w:rsid w:val="00AC6D36"/>
    <w:rsid w:val="00AD0CBA"/>
    <w:rsid w:val="00AD177A"/>
    <w:rsid w:val="00AD26E2"/>
    <w:rsid w:val="00AD6440"/>
    <w:rsid w:val="00AD784C"/>
    <w:rsid w:val="00AE126A"/>
    <w:rsid w:val="00AE1BAE"/>
    <w:rsid w:val="00AE3005"/>
    <w:rsid w:val="00AE3BD5"/>
    <w:rsid w:val="00AE59A0"/>
    <w:rsid w:val="00AE7117"/>
    <w:rsid w:val="00AF0C57"/>
    <w:rsid w:val="00AF26F3"/>
    <w:rsid w:val="00AF5F04"/>
    <w:rsid w:val="00B00672"/>
    <w:rsid w:val="00B01B4D"/>
    <w:rsid w:val="00B06571"/>
    <w:rsid w:val="00B06821"/>
    <w:rsid w:val="00B068BA"/>
    <w:rsid w:val="00B13851"/>
    <w:rsid w:val="00B13B1C"/>
    <w:rsid w:val="00B14780"/>
    <w:rsid w:val="00B21083"/>
    <w:rsid w:val="00B21F90"/>
    <w:rsid w:val="00B22291"/>
    <w:rsid w:val="00B23F9A"/>
    <w:rsid w:val="00B2417B"/>
    <w:rsid w:val="00B24E6F"/>
    <w:rsid w:val="00B26CB5"/>
    <w:rsid w:val="00B2752E"/>
    <w:rsid w:val="00B307CC"/>
    <w:rsid w:val="00B326B7"/>
    <w:rsid w:val="00B3588E"/>
    <w:rsid w:val="00B41F3D"/>
    <w:rsid w:val="00B431E8"/>
    <w:rsid w:val="00B45141"/>
    <w:rsid w:val="00B469EC"/>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475E"/>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6A5B"/>
    <w:rsid w:val="00BF7F58"/>
    <w:rsid w:val="00C01381"/>
    <w:rsid w:val="00C01AB1"/>
    <w:rsid w:val="00C026A0"/>
    <w:rsid w:val="00C06137"/>
    <w:rsid w:val="00C079B8"/>
    <w:rsid w:val="00C10037"/>
    <w:rsid w:val="00C123EA"/>
    <w:rsid w:val="00C12A49"/>
    <w:rsid w:val="00C133EE"/>
    <w:rsid w:val="00C149D0"/>
    <w:rsid w:val="00C177E7"/>
    <w:rsid w:val="00C23F15"/>
    <w:rsid w:val="00C26588"/>
    <w:rsid w:val="00C27DE9"/>
    <w:rsid w:val="00C32989"/>
    <w:rsid w:val="00C33388"/>
    <w:rsid w:val="00C35484"/>
    <w:rsid w:val="00C4173A"/>
    <w:rsid w:val="00C42204"/>
    <w:rsid w:val="00C50DED"/>
    <w:rsid w:val="00C51A4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F2F50"/>
    <w:rsid w:val="00CF4AD3"/>
    <w:rsid w:val="00CF6198"/>
    <w:rsid w:val="00D02919"/>
    <w:rsid w:val="00D04C61"/>
    <w:rsid w:val="00D05B8D"/>
    <w:rsid w:val="00D065A2"/>
    <w:rsid w:val="00D079AA"/>
    <w:rsid w:val="00D07F00"/>
    <w:rsid w:val="00D1130F"/>
    <w:rsid w:val="00D17B72"/>
    <w:rsid w:val="00D23537"/>
    <w:rsid w:val="00D266ED"/>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0251"/>
    <w:rsid w:val="00D81ADF"/>
    <w:rsid w:val="00D81F21"/>
    <w:rsid w:val="00D84C15"/>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57E24"/>
    <w:rsid w:val="00E62622"/>
    <w:rsid w:val="00E629A1"/>
    <w:rsid w:val="00E6794C"/>
    <w:rsid w:val="00E71591"/>
    <w:rsid w:val="00E71CEB"/>
    <w:rsid w:val="00E73E1A"/>
    <w:rsid w:val="00E7474F"/>
    <w:rsid w:val="00E80DE3"/>
    <w:rsid w:val="00E82C55"/>
    <w:rsid w:val="00E8787E"/>
    <w:rsid w:val="00E92AC3"/>
    <w:rsid w:val="00E96CA7"/>
    <w:rsid w:val="00EA1360"/>
    <w:rsid w:val="00EA1525"/>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D6A"/>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560"/>
    <w:rsid w:val="00F6768F"/>
    <w:rsid w:val="00F70654"/>
    <w:rsid w:val="00F72C2C"/>
    <w:rsid w:val="00F76CAB"/>
    <w:rsid w:val="00F76F5D"/>
    <w:rsid w:val="00F772C6"/>
    <w:rsid w:val="00F815B5"/>
    <w:rsid w:val="00F84FA0"/>
    <w:rsid w:val="00F85195"/>
    <w:rsid w:val="00F868E3"/>
    <w:rsid w:val="00F938BA"/>
    <w:rsid w:val="00F97919"/>
    <w:rsid w:val="00FA2C46"/>
    <w:rsid w:val="00FA2DED"/>
    <w:rsid w:val="00FA3525"/>
    <w:rsid w:val="00FA5A53"/>
    <w:rsid w:val="00FB4769"/>
    <w:rsid w:val="00FB4CDA"/>
    <w:rsid w:val="00FB6481"/>
    <w:rsid w:val="00FB6D36"/>
    <w:rsid w:val="00FC0965"/>
    <w:rsid w:val="00FC0F81"/>
    <w:rsid w:val="00FC252F"/>
    <w:rsid w:val="00FC395C"/>
    <w:rsid w:val="00FC5E8E"/>
    <w:rsid w:val="00FC7FB6"/>
    <w:rsid w:val="00FD129C"/>
    <w:rsid w:val="00FD3766"/>
    <w:rsid w:val="00FD47C4"/>
    <w:rsid w:val="00FD722A"/>
    <w:rsid w:val="00FE2DCF"/>
    <w:rsid w:val="00FE3FA7"/>
    <w:rsid w:val="00FF2A4E"/>
    <w:rsid w:val="00FF2FCE"/>
    <w:rsid w:val="00FF4F7D"/>
    <w:rsid w:val="00FF54DF"/>
    <w:rsid w:val="00FF6D9D"/>
    <w:rsid w:val="00FF7DD5"/>
    <w:rsid w:val="3B316D02"/>
    <w:rsid w:val="6FFE17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
    <w:name w:val="DHHS table text"/>
    <w:uiPriority w:val="3"/>
    <w:qFormat/>
    <w:rsid w:val="001547E0"/>
    <w:pPr>
      <w:spacing w:before="80" w:after="60"/>
    </w:pPr>
    <w:rPr>
      <w:rFonts w:ascii="Arial" w:hAnsi="Arial"/>
      <w:lang w:eastAsia="en-US"/>
    </w:rPr>
  </w:style>
  <w:style w:type="paragraph" w:customStyle="1" w:styleId="DHHSbody">
    <w:name w:val="DHHS body"/>
    <w:link w:val="DHHSbodyChar"/>
    <w:qFormat/>
    <w:rsid w:val="001547E0"/>
    <w:pPr>
      <w:spacing w:after="120" w:line="270" w:lineRule="atLeast"/>
    </w:pPr>
    <w:rPr>
      <w:rFonts w:ascii="Arial" w:eastAsia="Times" w:hAnsi="Arial"/>
      <w:lang w:eastAsia="en-US"/>
    </w:rPr>
  </w:style>
  <w:style w:type="character" w:customStyle="1" w:styleId="DHHSbodyChar">
    <w:name w:val="DHHS body Char"/>
    <w:link w:val="DHHSbody"/>
    <w:locked/>
    <w:rsid w:val="001547E0"/>
    <w:rPr>
      <w:rFonts w:ascii="Arial" w:eastAsia="Times" w:hAnsi="Arial"/>
      <w:lang w:eastAsia="en-US"/>
    </w:rPr>
  </w:style>
  <w:style w:type="paragraph" w:styleId="Caption">
    <w:name w:val="caption"/>
    <w:basedOn w:val="Normal"/>
    <w:next w:val="Normal"/>
    <w:uiPriority w:val="35"/>
    <w:unhideWhenUsed/>
    <w:qFormat/>
    <w:rsid w:val="00B21083"/>
    <w:pPr>
      <w:spacing w:after="200" w:line="240" w:lineRule="auto"/>
    </w:pPr>
    <w:rPr>
      <w:i/>
      <w:iCs/>
      <w:color w:val="1F497D" w:themeColor="text2"/>
      <w:sz w:val="18"/>
      <w:szCs w:val="18"/>
    </w:rPr>
  </w:style>
  <w:style w:type="paragraph" w:styleId="ListParagraph">
    <w:name w:val="List Paragraph"/>
    <w:basedOn w:val="Normal"/>
    <w:uiPriority w:val="72"/>
    <w:semiHidden/>
    <w:qFormat/>
    <w:rsid w:val="00D2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vadc_data@health.vic.gov.au" TargetMode="External"/><Relationship Id="rId26" Type="http://schemas.openxmlformats.org/officeDocument/2006/relationships/hyperlink" Target="mailto:aod.enquiries@dhhs.vic.gov.au" TargetMode="External"/><Relationship Id="rId3" Type="http://schemas.openxmlformats.org/officeDocument/2006/relationships/styles" Target="styles.xml"/><Relationship Id="rId21" Type="http://schemas.openxmlformats.org/officeDocument/2006/relationships/hyperlink" Target="https://www.health.vic.gov.au/funding-and-reporting-aod-services/funding-of-alcohol-and-other-drug-servi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funding-and-reporting-aod-services/ensuring-data-quality" TargetMode="External"/><Relationship Id="rId25" Type="http://schemas.openxmlformats.org/officeDocument/2006/relationships/hyperlink" Target="mailto:vadc_data@health.vic.gov.au" TargetMode="External"/><Relationship Id="rId2" Type="http://schemas.openxmlformats.org/officeDocument/2006/relationships/numbering" Target="numbering.xml"/><Relationship Id="rId16" Type="http://schemas.openxmlformats.org/officeDocument/2006/relationships/hyperlink" Target="https://www.health.vic.gov.au/funding-and-reporting-aod-services/funding-of-alcohol-and-other-drug-services" TargetMode="External"/><Relationship Id="rId20" Type="http://schemas.openxmlformats.org/officeDocument/2006/relationships/hyperlink" Target="https://www.health.vic.gov.au/funding-and-reporting-aod-services/ensuring-data-qua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ealth.vic.gov.au/funding-and-reporting-aod-services/vadc-document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funding-and-reporting-aod-services/funding-of-alcohol-and-other-drug-services" TargetMode="External"/><Relationship Id="rId27" Type="http://schemas.openxmlformats.org/officeDocument/2006/relationships/hyperlink" Target="mailto:vadc_data@health.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7843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2021-11-10T03:42:00Z</dcterms:created>
  <dcterms:modified xsi:type="dcterms:W3CDTF">2021-11-10T03:43:00Z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2021-11-10T03:43:43Z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a05effba-6431-4a10-8d08-26106c676514</vt:lpwstr>
  </property>
  <property fmtid="{D5CDD505-2E9C-101B-9397-08002B2CF9AE}" pid="8" name="MSIP_Label_43e64453-338c-4f93-8a4d-0039a0a41f2a_ContentBits">
    <vt:lpwstr>2</vt:lpwstr>
  </property>
</Properties>
</file>