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EDD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B164000" wp14:editId="1FA232F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ECF4D1C"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B2C8D06" w14:textId="77777777" w:rsidTr="00B07FF7">
        <w:trPr>
          <w:trHeight w:val="622"/>
        </w:trPr>
        <w:tc>
          <w:tcPr>
            <w:tcW w:w="10348" w:type="dxa"/>
            <w:tcMar>
              <w:top w:w="1531" w:type="dxa"/>
              <w:left w:w="0" w:type="dxa"/>
              <w:right w:w="0" w:type="dxa"/>
            </w:tcMar>
          </w:tcPr>
          <w:p w14:paraId="51CE1C9D" w14:textId="12C4335F" w:rsidR="003B5733" w:rsidRPr="003B5733" w:rsidRDefault="00041FE4" w:rsidP="003B5733">
            <w:pPr>
              <w:pStyle w:val="Documenttitle"/>
            </w:pPr>
            <w:r>
              <w:t xml:space="preserve">Bulletin # </w:t>
            </w:r>
            <w:r w:rsidR="00D06A55">
              <w:t xml:space="preserve">57 </w:t>
            </w:r>
            <w:r>
              <w:t xml:space="preserve">– </w:t>
            </w:r>
            <w:r w:rsidR="00B23B89">
              <w:t xml:space="preserve">CYMHS </w:t>
            </w:r>
            <w:r w:rsidR="005A426B">
              <w:t>h</w:t>
            </w:r>
            <w:r w:rsidR="00B23B89">
              <w:t>eadspace surge</w:t>
            </w:r>
            <w:r w:rsidR="005A426B">
              <w:t xml:space="preserve"> teams</w:t>
            </w:r>
          </w:p>
        </w:tc>
      </w:tr>
      <w:tr w:rsidR="003B5733" w14:paraId="377D5C88" w14:textId="77777777" w:rsidTr="00B07FF7">
        <w:tc>
          <w:tcPr>
            <w:tcW w:w="10348" w:type="dxa"/>
          </w:tcPr>
          <w:p w14:paraId="272AFECA" w14:textId="20FB2F7C" w:rsidR="003B5733" w:rsidRPr="00A1389F" w:rsidRDefault="00B23B89" w:rsidP="005F44C0">
            <w:pPr>
              <w:pStyle w:val="Documentsubtitle"/>
            </w:pPr>
            <w:r>
              <w:t>Secondary Consultation</w:t>
            </w:r>
            <w:r w:rsidR="00EE4DBE">
              <w:t xml:space="preserve"> recording</w:t>
            </w:r>
          </w:p>
        </w:tc>
      </w:tr>
      <w:tr w:rsidR="003B5733" w14:paraId="25A32050" w14:textId="77777777" w:rsidTr="00B07FF7">
        <w:tc>
          <w:tcPr>
            <w:tcW w:w="10348" w:type="dxa"/>
          </w:tcPr>
          <w:p w14:paraId="5F539C61" w14:textId="77777777" w:rsidR="003B5733" w:rsidRPr="001E5058" w:rsidRDefault="00136093" w:rsidP="001E5058">
            <w:pPr>
              <w:pStyle w:val="Bannermarking"/>
            </w:pPr>
            <w:r>
              <w:fldChar w:fldCharType="begin"/>
            </w:r>
            <w:r>
              <w:instrText xml:space="preserve"> FILLIN  "Type the protective marking" \d OFFICIAL \o  \* MERGEFORMAT </w:instrText>
            </w:r>
            <w:r>
              <w:fldChar w:fldCharType="separate"/>
            </w:r>
            <w:r w:rsidR="00041FE4">
              <w:t>OFFICIAL</w:t>
            </w:r>
            <w:r>
              <w:fldChar w:fldCharType="end"/>
            </w:r>
          </w:p>
        </w:tc>
      </w:tr>
    </w:tbl>
    <w:p w14:paraId="209B1ED2" w14:textId="0D4D1186" w:rsidR="007173CA" w:rsidRDefault="007173CA" w:rsidP="00D079AA">
      <w:pPr>
        <w:pStyle w:val="Body"/>
      </w:pPr>
    </w:p>
    <w:p w14:paraId="79FA19E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F4F5CBD" w14:textId="10690F6C" w:rsidR="00EE29AD" w:rsidRDefault="00041FE4" w:rsidP="00041FE4">
      <w:pPr>
        <w:pStyle w:val="Heading2"/>
      </w:pPr>
      <w:r>
        <w:t>Purpose and scope</w:t>
      </w:r>
    </w:p>
    <w:p w14:paraId="20BE55AD" w14:textId="3DBF20AF" w:rsidR="00041FE4" w:rsidRDefault="00041FE4" w:rsidP="00041FE4">
      <w:pPr>
        <w:pStyle w:val="Body"/>
      </w:pPr>
      <w:bookmarkStart w:id="0" w:name="_Toc63347079"/>
      <w:r w:rsidRPr="00972924">
        <w:t>To provide guidance for the reporting of CMI/ODS</w:t>
      </w:r>
      <w:r w:rsidR="005A426B">
        <w:t xml:space="preserve"> of secondary consultations provided by CYMHS clinicians employed to work in headspace centres across Victoria. </w:t>
      </w:r>
      <w:r w:rsidRPr="00972924">
        <w:t xml:space="preserve"> </w:t>
      </w:r>
    </w:p>
    <w:p w14:paraId="047D65D9" w14:textId="77777777" w:rsidR="00041FE4" w:rsidRDefault="00041FE4" w:rsidP="00041FE4">
      <w:pPr>
        <w:pStyle w:val="Body"/>
      </w:pPr>
    </w:p>
    <w:bookmarkEnd w:id="0"/>
    <w:p w14:paraId="279ED43E" w14:textId="0199D502" w:rsidR="00A62D44" w:rsidRPr="00B57329" w:rsidRDefault="00041FE4" w:rsidP="001E0C5D">
      <w:pPr>
        <w:pStyle w:val="Heading2"/>
      </w:pPr>
      <w:r>
        <w:t>Overview</w:t>
      </w:r>
    </w:p>
    <w:p w14:paraId="721253ED" w14:textId="77777777" w:rsidR="00B23B89" w:rsidRPr="00B23B89" w:rsidRDefault="00B23B89" w:rsidP="00B23B89">
      <w:pPr>
        <w:pStyle w:val="Body"/>
      </w:pPr>
      <w:r w:rsidRPr="00B23B89">
        <w:t xml:space="preserve">As part of the June 2021 COVID response package, the Victorian Government announced $2.24 million for headspace surge teams to be staffed by tertiary level clinicians to work alongside headspace staff in headspace centres to help address waiting times. </w:t>
      </w:r>
    </w:p>
    <w:p w14:paraId="442AB198" w14:textId="573C2FDF" w:rsidR="00B23B89" w:rsidRPr="00B23B89" w:rsidRDefault="00B23B89" w:rsidP="00B23B89">
      <w:pPr>
        <w:pStyle w:val="Body"/>
      </w:pPr>
      <w:r w:rsidRPr="00B23B89">
        <w:t>This funding has now been distributed to all 13 CYMHS and CYMHS are at various stages of employing these new clinicians – some are still being recruited and some have been employed and have commenced working in headspace centres</w:t>
      </w:r>
      <w:r w:rsidR="005A426B">
        <w:t>, alongside headspace staff</w:t>
      </w:r>
    </w:p>
    <w:p w14:paraId="6342FE23" w14:textId="3B056317" w:rsidR="005A426B" w:rsidRDefault="00B23B89" w:rsidP="00B23B89">
      <w:pPr>
        <w:pStyle w:val="Body"/>
      </w:pPr>
      <w:r w:rsidRPr="00B23B89">
        <w:t xml:space="preserve">Client service contacts and activity are reported in </w:t>
      </w:r>
      <w:r w:rsidR="005A426B">
        <w:t>the h</w:t>
      </w:r>
      <w:r w:rsidRPr="00B23B89">
        <w:t>eadspace data collection systems</w:t>
      </w:r>
      <w:r w:rsidR="005A426B">
        <w:t xml:space="preserve"> and provided to the Department and Health and CYMHS via fortnightly activity reports. However, CYMHS clinicians in the surge teams will also be providing secondary consultation that is unfortunately not able to be captured in the headspace data collection system.</w:t>
      </w:r>
    </w:p>
    <w:p w14:paraId="6850F645" w14:textId="5C9D58AF" w:rsidR="00041FE4" w:rsidRDefault="00041FE4" w:rsidP="00B23B89">
      <w:pPr>
        <w:pStyle w:val="Body"/>
      </w:pPr>
    </w:p>
    <w:p w14:paraId="157D769D" w14:textId="2614ED4E" w:rsidR="00B23B89" w:rsidRPr="00B57329" w:rsidRDefault="00B23B89" w:rsidP="00B23B89">
      <w:pPr>
        <w:pStyle w:val="Heading2"/>
      </w:pPr>
      <w:r>
        <w:t>CMI/ODS Contact data reporting</w:t>
      </w:r>
    </w:p>
    <w:p w14:paraId="165DC177" w14:textId="3091AC02" w:rsidR="00B23B89" w:rsidRDefault="00B23B89" w:rsidP="00B23B89">
      <w:pPr>
        <w:pStyle w:val="Body"/>
      </w:pPr>
      <w:r>
        <w:t>Community Service Contacts, known as “C” type contacts are</w:t>
      </w:r>
      <w:r w:rsidR="00034CB7">
        <w:t xml:space="preserve"> the only type of contact</w:t>
      </w:r>
      <w:r>
        <w:t xml:space="preserve"> in scope for reporting</w:t>
      </w:r>
      <w:r w:rsidR="00034CB7">
        <w:t xml:space="preserve"> into CMI/ODS for this service</w:t>
      </w:r>
      <w:r>
        <w:t xml:space="preserve">. These are community-centred contacts which are reportable as CYMHS will provide a service to Headspace clinicians, which </w:t>
      </w:r>
      <w:r w:rsidR="00034CB7">
        <w:t>in particular will be secondary consultation</w:t>
      </w:r>
      <w:r>
        <w:t xml:space="preserve"> types – </w:t>
      </w:r>
    </w:p>
    <w:p w14:paraId="70567DB6" w14:textId="3087EF06" w:rsidR="00034CB7" w:rsidRDefault="00B23B89" w:rsidP="00034CB7">
      <w:pPr>
        <w:pStyle w:val="Body"/>
        <w:numPr>
          <w:ilvl w:val="0"/>
          <w:numId w:val="41"/>
        </w:numPr>
      </w:pPr>
      <w:r>
        <w:t>Secondary consultation</w:t>
      </w:r>
      <w:r w:rsidR="00034CB7">
        <w:t xml:space="preserve"> (Code 2)</w:t>
      </w:r>
      <w:r>
        <w:t xml:space="preserve">: A </w:t>
      </w:r>
      <w:r w:rsidR="00034CB7">
        <w:t xml:space="preserve">CYMHS </w:t>
      </w:r>
      <w:r>
        <w:t xml:space="preserve">service delivered to a </w:t>
      </w:r>
      <w:r w:rsidR="005F445D">
        <w:t>h</w:t>
      </w:r>
      <w:r w:rsidR="00034CB7">
        <w:t xml:space="preserve">eadspace clinician </w:t>
      </w:r>
      <w:r>
        <w:t>about a specific</w:t>
      </w:r>
      <w:r w:rsidR="00034CB7">
        <w:t xml:space="preserve"> </w:t>
      </w:r>
      <w:r w:rsidR="005F445D">
        <w:t>h</w:t>
      </w:r>
      <w:r w:rsidR="00034CB7">
        <w:t>eadspace</w:t>
      </w:r>
      <w:r>
        <w:t xml:space="preserve"> client</w:t>
      </w:r>
      <w:r w:rsidR="00034CB7">
        <w:t xml:space="preserve"> where</w:t>
      </w:r>
      <w:r>
        <w:t xml:space="preserve"> the client is not present during the consultation. </w:t>
      </w:r>
    </w:p>
    <w:p w14:paraId="37057E24" w14:textId="74941780" w:rsidR="00041FE4" w:rsidRDefault="00041FE4" w:rsidP="00B23B89">
      <w:pPr>
        <w:pStyle w:val="Body"/>
      </w:pPr>
      <w:r>
        <w:br w:type="page"/>
      </w:r>
    </w:p>
    <w:p w14:paraId="717C27A8" w14:textId="01A96F62" w:rsidR="00041FE4" w:rsidRDefault="00034CB7" w:rsidP="00041FE4">
      <w:pPr>
        <w:pStyle w:val="Heading2"/>
      </w:pPr>
      <w:r>
        <w:lastRenderedPageBreak/>
        <w:t>Subcentre setup</w:t>
      </w:r>
    </w:p>
    <w:p w14:paraId="3ACF8D84" w14:textId="0A9B7421" w:rsidR="00034CB7" w:rsidRPr="00034CB7" w:rsidRDefault="00034CB7" w:rsidP="00034CB7">
      <w:pPr>
        <w:pStyle w:val="Body"/>
      </w:pPr>
      <w:r>
        <w:t>Each CAMHS/CYMHS Service is to setup a subcentre for each Headspace clinic</w:t>
      </w:r>
    </w:p>
    <w:p w14:paraId="1AFACC01" w14:textId="400B3A4E" w:rsidR="00041FE4" w:rsidRDefault="00034CB7" w:rsidP="00034CB7">
      <w:pPr>
        <w:pStyle w:val="Body"/>
        <w:numPr>
          <w:ilvl w:val="0"/>
          <w:numId w:val="41"/>
        </w:numPr>
      </w:pPr>
      <w:r>
        <w:t>Outcome measures not required</w:t>
      </w:r>
    </w:p>
    <w:p w14:paraId="09C8968F" w14:textId="77777777" w:rsidR="00034CB7" w:rsidRPr="00041FE4" w:rsidRDefault="00034CB7" w:rsidP="00034CB7">
      <w:pPr>
        <w:pStyle w:val="Body"/>
        <w:ind w:left="720"/>
      </w:pPr>
    </w:p>
    <w:tbl>
      <w:tblPr>
        <w:tblStyle w:val="TableGrid"/>
        <w:tblW w:w="10292" w:type="dxa"/>
        <w:tblLayout w:type="fixed"/>
        <w:tblLook w:val="04A0" w:firstRow="1" w:lastRow="0" w:firstColumn="1" w:lastColumn="0" w:noHBand="0" w:noVBand="1"/>
      </w:tblPr>
      <w:tblGrid>
        <w:gridCol w:w="2689"/>
        <w:gridCol w:w="1417"/>
        <w:gridCol w:w="1706"/>
        <w:gridCol w:w="1362"/>
        <w:gridCol w:w="1559"/>
        <w:gridCol w:w="1559"/>
      </w:tblGrid>
      <w:tr w:rsidR="00041FE4" w:rsidRPr="008627EA" w14:paraId="094F0861" w14:textId="77777777" w:rsidTr="00323842">
        <w:tc>
          <w:tcPr>
            <w:tcW w:w="2689" w:type="dxa"/>
            <w:shd w:val="clear" w:color="auto" w:fill="DBE5F1" w:themeFill="accent1" w:themeFillTint="33"/>
          </w:tcPr>
          <w:p w14:paraId="21DDD85F" w14:textId="77777777" w:rsidR="00041FE4" w:rsidRPr="00D06A55" w:rsidRDefault="00041FE4" w:rsidP="0060086F">
            <w:pPr>
              <w:pStyle w:val="DHHSbody"/>
              <w:rPr>
                <w:rFonts w:cs="Arial"/>
                <w:b/>
                <w:sz w:val="21"/>
                <w:szCs w:val="21"/>
              </w:rPr>
            </w:pPr>
            <w:r w:rsidRPr="00D06A55">
              <w:rPr>
                <w:rFonts w:cs="Arial"/>
                <w:b/>
                <w:sz w:val="21"/>
                <w:szCs w:val="21"/>
              </w:rPr>
              <w:t>Subcentre Name</w:t>
            </w:r>
          </w:p>
        </w:tc>
        <w:tc>
          <w:tcPr>
            <w:tcW w:w="1417" w:type="dxa"/>
            <w:shd w:val="clear" w:color="auto" w:fill="DBE5F1" w:themeFill="accent1" w:themeFillTint="33"/>
          </w:tcPr>
          <w:p w14:paraId="56C27D7E" w14:textId="77777777" w:rsidR="00041FE4" w:rsidRPr="00D06A55" w:rsidRDefault="00041FE4" w:rsidP="0060086F">
            <w:pPr>
              <w:pStyle w:val="DHHSbody"/>
              <w:rPr>
                <w:rFonts w:cs="Arial"/>
                <w:b/>
                <w:sz w:val="21"/>
                <w:szCs w:val="21"/>
              </w:rPr>
            </w:pPr>
            <w:r w:rsidRPr="00D06A55">
              <w:rPr>
                <w:rFonts w:cs="Arial"/>
                <w:b/>
                <w:sz w:val="21"/>
                <w:szCs w:val="21"/>
              </w:rPr>
              <w:t>Subcentre Type</w:t>
            </w:r>
          </w:p>
        </w:tc>
        <w:tc>
          <w:tcPr>
            <w:tcW w:w="1706" w:type="dxa"/>
            <w:shd w:val="clear" w:color="auto" w:fill="DBE5F1" w:themeFill="accent1" w:themeFillTint="33"/>
          </w:tcPr>
          <w:p w14:paraId="7E552176" w14:textId="77777777" w:rsidR="00041FE4" w:rsidRPr="00D06A55" w:rsidRDefault="00041FE4" w:rsidP="0060086F">
            <w:pPr>
              <w:pStyle w:val="DHHSbody"/>
              <w:rPr>
                <w:rFonts w:cs="Arial"/>
                <w:b/>
                <w:sz w:val="21"/>
                <w:szCs w:val="21"/>
              </w:rPr>
            </w:pPr>
            <w:r w:rsidRPr="00D06A55">
              <w:rPr>
                <w:rFonts w:cs="Arial"/>
                <w:b/>
                <w:sz w:val="21"/>
                <w:szCs w:val="21"/>
              </w:rPr>
              <w:t>Campus</w:t>
            </w:r>
          </w:p>
        </w:tc>
        <w:tc>
          <w:tcPr>
            <w:tcW w:w="1362" w:type="dxa"/>
            <w:shd w:val="clear" w:color="auto" w:fill="DBE5F1" w:themeFill="accent1" w:themeFillTint="33"/>
          </w:tcPr>
          <w:p w14:paraId="22F1B224" w14:textId="77777777" w:rsidR="00041FE4" w:rsidRPr="00D06A55" w:rsidRDefault="00041FE4" w:rsidP="0060086F">
            <w:pPr>
              <w:pStyle w:val="DHHSbody"/>
              <w:rPr>
                <w:rFonts w:cs="Arial"/>
                <w:b/>
                <w:sz w:val="21"/>
                <w:szCs w:val="21"/>
              </w:rPr>
            </w:pPr>
            <w:r w:rsidRPr="00D06A55">
              <w:rPr>
                <w:rFonts w:cs="Arial"/>
                <w:b/>
                <w:sz w:val="21"/>
                <w:szCs w:val="21"/>
              </w:rPr>
              <w:t>Program Class</w:t>
            </w:r>
          </w:p>
        </w:tc>
        <w:tc>
          <w:tcPr>
            <w:tcW w:w="1559" w:type="dxa"/>
            <w:shd w:val="clear" w:color="auto" w:fill="DBE5F1" w:themeFill="accent1" w:themeFillTint="33"/>
          </w:tcPr>
          <w:p w14:paraId="2D4BD5BD" w14:textId="77777777" w:rsidR="00041FE4" w:rsidRPr="00D06A55" w:rsidRDefault="00041FE4" w:rsidP="0060086F">
            <w:pPr>
              <w:pStyle w:val="DHHSbody"/>
              <w:rPr>
                <w:rFonts w:cs="Arial"/>
                <w:b/>
                <w:sz w:val="21"/>
                <w:szCs w:val="21"/>
              </w:rPr>
            </w:pPr>
            <w:r w:rsidRPr="00D06A55">
              <w:rPr>
                <w:rFonts w:cs="Arial"/>
                <w:b/>
                <w:sz w:val="21"/>
                <w:szCs w:val="21"/>
              </w:rPr>
              <w:t>Caseload</w:t>
            </w:r>
          </w:p>
        </w:tc>
        <w:tc>
          <w:tcPr>
            <w:tcW w:w="1559" w:type="dxa"/>
            <w:shd w:val="clear" w:color="auto" w:fill="DBE5F1" w:themeFill="accent1" w:themeFillTint="33"/>
          </w:tcPr>
          <w:p w14:paraId="51537226" w14:textId="77777777" w:rsidR="00041FE4" w:rsidRPr="00D06A55" w:rsidRDefault="00041FE4" w:rsidP="0060086F">
            <w:pPr>
              <w:pStyle w:val="DHHSbody"/>
              <w:rPr>
                <w:rFonts w:cs="Arial"/>
                <w:b/>
                <w:sz w:val="21"/>
                <w:szCs w:val="21"/>
              </w:rPr>
            </w:pPr>
            <w:r w:rsidRPr="00D06A55">
              <w:rPr>
                <w:rFonts w:cs="Arial"/>
                <w:b/>
                <w:sz w:val="21"/>
                <w:szCs w:val="21"/>
              </w:rPr>
              <w:t>Open Reason</w:t>
            </w:r>
          </w:p>
        </w:tc>
      </w:tr>
      <w:tr w:rsidR="00041FE4" w:rsidRPr="002E2FFA" w14:paraId="08071DB8" w14:textId="77777777" w:rsidTr="00323842">
        <w:tc>
          <w:tcPr>
            <w:tcW w:w="2689" w:type="dxa"/>
          </w:tcPr>
          <w:p w14:paraId="38012C48" w14:textId="2DFADFB9" w:rsidR="00041FE4" w:rsidRPr="00D06A55" w:rsidRDefault="00034CB7" w:rsidP="0060086F">
            <w:pPr>
              <w:rPr>
                <w:rFonts w:eastAsia="Calibri" w:cs="Arial"/>
                <w:color w:val="000000"/>
                <w:szCs w:val="21"/>
              </w:rPr>
            </w:pPr>
            <w:r w:rsidRPr="00D06A55">
              <w:rPr>
                <w:rFonts w:eastAsia="Calibri" w:cs="Arial"/>
                <w:color w:val="000000"/>
                <w:szCs w:val="21"/>
              </w:rPr>
              <w:t xml:space="preserve">CYMHS Headspace </w:t>
            </w:r>
            <w:r w:rsidR="005F445D" w:rsidRPr="00D06A55">
              <w:rPr>
                <w:rFonts w:eastAsia="Calibri" w:cs="Arial"/>
                <w:color w:val="000000"/>
                <w:szCs w:val="21"/>
              </w:rPr>
              <w:t xml:space="preserve">surge team </w:t>
            </w:r>
            <w:r w:rsidRPr="00D06A55">
              <w:rPr>
                <w:rFonts w:eastAsia="Calibri" w:cs="Arial"/>
                <w:color w:val="000000"/>
                <w:szCs w:val="21"/>
              </w:rPr>
              <w:t>[centre name]</w:t>
            </w:r>
          </w:p>
        </w:tc>
        <w:tc>
          <w:tcPr>
            <w:tcW w:w="1417" w:type="dxa"/>
          </w:tcPr>
          <w:p w14:paraId="200CA518" w14:textId="50F51C76" w:rsidR="00041FE4" w:rsidRPr="00D06A55" w:rsidRDefault="00034CB7" w:rsidP="0060086F">
            <w:pPr>
              <w:rPr>
                <w:rFonts w:eastAsia="Calibri" w:cs="Arial"/>
                <w:color w:val="000000"/>
                <w:szCs w:val="21"/>
              </w:rPr>
            </w:pPr>
            <w:r w:rsidRPr="00D06A55">
              <w:rPr>
                <w:rFonts w:eastAsia="Calibri" w:cs="Arial"/>
                <w:color w:val="000000"/>
                <w:szCs w:val="21"/>
              </w:rPr>
              <w:t>Community</w:t>
            </w:r>
          </w:p>
        </w:tc>
        <w:tc>
          <w:tcPr>
            <w:tcW w:w="1706" w:type="dxa"/>
          </w:tcPr>
          <w:p w14:paraId="20264284" w14:textId="3818AC41" w:rsidR="00041FE4" w:rsidRPr="00D06A55" w:rsidRDefault="00034CB7" w:rsidP="0060086F">
            <w:pPr>
              <w:rPr>
                <w:rFonts w:eastAsia="Calibri" w:cs="Arial"/>
                <w:color w:val="000000"/>
                <w:szCs w:val="21"/>
              </w:rPr>
            </w:pPr>
            <w:r w:rsidRPr="00D06A55">
              <w:rPr>
                <w:szCs w:val="21"/>
              </w:rPr>
              <w:t>(Local Service)</w:t>
            </w:r>
          </w:p>
        </w:tc>
        <w:tc>
          <w:tcPr>
            <w:tcW w:w="1362" w:type="dxa"/>
          </w:tcPr>
          <w:p w14:paraId="76D28FA7" w14:textId="6E133892" w:rsidR="00041FE4" w:rsidRPr="00D06A55" w:rsidRDefault="00034CB7" w:rsidP="0060086F">
            <w:pPr>
              <w:rPr>
                <w:rFonts w:eastAsia="Calibri" w:cs="Arial"/>
                <w:color w:val="000000"/>
                <w:szCs w:val="21"/>
              </w:rPr>
            </w:pPr>
            <w:r w:rsidRPr="00D06A55">
              <w:rPr>
                <w:rFonts w:eastAsia="Calibri" w:cs="Arial"/>
                <w:color w:val="000000"/>
                <w:szCs w:val="21"/>
              </w:rPr>
              <w:t>Community</w:t>
            </w:r>
          </w:p>
        </w:tc>
        <w:tc>
          <w:tcPr>
            <w:tcW w:w="1559" w:type="dxa"/>
          </w:tcPr>
          <w:p w14:paraId="06DDE15F" w14:textId="77777777" w:rsidR="00041FE4" w:rsidRPr="00D06A55" w:rsidRDefault="00041FE4" w:rsidP="0060086F">
            <w:pPr>
              <w:rPr>
                <w:rFonts w:eastAsia="Calibri" w:cs="Arial"/>
                <w:color w:val="000000"/>
                <w:szCs w:val="21"/>
              </w:rPr>
            </w:pPr>
            <w:r w:rsidRPr="00D06A55">
              <w:rPr>
                <w:rFonts w:eastAsia="Calibri" w:cs="Arial"/>
                <w:color w:val="000000"/>
                <w:szCs w:val="21"/>
              </w:rPr>
              <w:t>Not Required</w:t>
            </w:r>
          </w:p>
        </w:tc>
        <w:tc>
          <w:tcPr>
            <w:tcW w:w="1559" w:type="dxa"/>
          </w:tcPr>
          <w:p w14:paraId="091BBBFA" w14:textId="77777777" w:rsidR="00041FE4" w:rsidRPr="00D06A55" w:rsidRDefault="00041FE4" w:rsidP="0060086F">
            <w:pPr>
              <w:rPr>
                <w:rFonts w:eastAsia="Calibri" w:cs="Arial"/>
                <w:color w:val="000000"/>
                <w:szCs w:val="21"/>
              </w:rPr>
            </w:pPr>
            <w:r w:rsidRPr="00D06A55">
              <w:rPr>
                <w:rFonts w:eastAsia="Calibri" w:cs="Arial"/>
                <w:color w:val="000000"/>
                <w:szCs w:val="21"/>
              </w:rPr>
              <w:t>New Service</w:t>
            </w:r>
          </w:p>
        </w:tc>
      </w:tr>
    </w:tbl>
    <w:p w14:paraId="61F78BFC" w14:textId="69DCFA63" w:rsidR="00041FE4" w:rsidRDefault="00041FE4" w:rsidP="00041FE4">
      <w:pPr>
        <w:pStyle w:val="Body"/>
      </w:pPr>
    </w:p>
    <w:p w14:paraId="5D7E9B34" w14:textId="2ACABD32" w:rsidR="00041FE4" w:rsidRDefault="00041FE4" w:rsidP="00041FE4">
      <w:pPr>
        <w:pStyle w:val="Heading3"/>
      </w:pPr>
      <w:r>
        <w:t>Program Setup</w:t>
      </w:r>
    </w:p>
    <w:p w14:paraId="2BB9A3F8" w14:textId="77777777" w:rsidR="00041FE4" w:rsidRDefault="00041FE4" w:rsidP="00041FE4">
      <w:pPr>
        <w:pStyle w:val="Body"/>
      </w:pPr>
    </w:p>
    <w:tbl>
      <w:tblPr>
        <w:tblStyle w:val="TableGrid"/>
        <w:tblW w:w="10348" w:type="dxa"/>
        <w:tblLayout w:type="fixed"/>
        <w:tblLook w:val="04A0" w:firstRow="1" w:lastRow="0" w:firstColumn="1" w:lastColumn="0" w:noHBand="0" w:noVBand="1"/>
      </w:tblPr>
      <w:tblGrid>
        <w:gridCol w:w="1701"/>
        <w:gridCol w:w="2581"/>
        <w:gridCol w:w="1530"/>
        <w:gridCol w:w="1355"/>
        <w:gridCol w:w="1480"/>
        <w:gridCol w:w="1701"/>
      </w:tblGrid>
      <w:tr w:rsidR="00041FE4" w:rsidRPr="00D87E05" w14:paraId="2EE3F9AD" w14:textId="77777777" w:rsidTr="0060086F">
        <w:tc>
          <w:tcPr>
            <w:tcW w:w="1701" w:type="dxa"/>
            <w:tcBorders>
              <w:left w:val="single" w:sz="4" w:space="0" w:color="auto"/>
              <w:bottom w:val="single" w:sz="4" w:space="0" w:color="auto"/>
              <w:right w:val="single" w:sz="4" w:space="0" w:color="auto"/>
            </w:tcBorders>
            <w:shd w:val="clear" w:color="auto" w:fill="DBE5F1" w:themeFill="accent1" w:themeFillTint="33"/>
          </w:tcPr>
          <w:p w14:paraId="01E6E95E" w14:textId="77777777" w:rsidR="00041FE4" w:rsidRPr="00D06A55" w:rsidRDefault="00041FE4" w:rsidP="0060086F">
            <w:pPr>
              <w:pStyle w:val="DHHSbody"/>
              <w:rPr>
                <w:b/>
                <w:sz w:val="21"/>
                <w:szCs w:val="21"/>
              </w:rPr>
            </w:pPr>
            <w:r w:rsidRPr="00D06A55">
              <w:rPr>
                <w:b/>
                <w:sz w:val="21"/>
                <w:szCs w:val="21"/>
              </w:rPr>
              <w:t>Classification</w:t>
            </w:r>
          </w:p>
        </w:tc>
        <w:tc>
          <w:tcPr>
            <w:tcW w:w="2581" w:type="dxa"/>
            <w:tcBorders>
              <w:left w:val="single" w:sz="4" w:space="0" w:color="auto"/>
              <w:bottom w:val="single" w:sz="4" w:space="0" w:color="auto"/>
              <w:right w:val="single" w:sz="4" w:space="0" w:color="auto"/>
            </w:tcBorders>
            <w:shd w:val="clear" w:color="auto" w:fill="DBE5F1" w:themeFill="accent1" w:themeFillTint="33"/>
          </w:tcPr>
          <w:p w14:paraId="12935BF8" w14:textId="77777777" w:rsidR="00041FE4" w:rsidRPr="00D06A55" w:rsidRDefault="00041FE4" w:rsidP="0060086F">
            <w:pPr>
              <w:pStyle w:val="DHHSbody"/>
              <w:rPr>
                <w:b/>
                <w:sz w:val="21"/>
                <w:szCs w:val="21"/>
              </w:rPr>
            </w:pPr>
            <w:r w:rsidRPr="00D06A55">
              <w:rPr>
                <w:b/>
                <w:sz w:val="21"/>
                <w:szCs w:val="21"/>
              </w:rPr>
              <w:t>Program Type</w:t>
            </w:r>
          </w:p>
        </w:tc>
        <w:tc>
          <w:tcPr>
            <w:tcW w:w="1530" w:type="dxa"/>
            <w:tcBorders>
              <w:left w:val="single" w:sz="4" w:space="0" w:color="auto"/>
              <w:bottom w:val="single" w:sz="4" w:space="0" w:color="auto"/>
              <w:right w:val="single" w:sz="4" w:space="0" w:color="auto"/>
            </w:tcBorders>
            <w:shd w:val="clear" w:color="auto" w:fill="DBE5F1" w:themeFill="accent1" w:themeFillTint="33"/>
          </w:tcPr>
          <w:p w14:paraId="3A3C0201" w14:textId="77777777" w:rsidR="00041FE4" w:rsidRPr="00D06A55" w:rsidRDefault="00041FE4" w:rsidP="0060086F">
            <w:pPr>
              <w:pStyle w:val="DHHSbody"/>
              <w:rPr>
                <w:b/>
                <w:sz w:val="21"/>
                <w:szCs w:val="21"/>
              </w:rPr>
            </w:pPr>
            <w:r w:rsidRPr="00D06A55">
              <w:rPr>
                <w:b/>
                <w:sz w:val="21"/>
                <w:szCs w:val="21"/>
              </w:rPr>
              <w:t>Target Population</w:t>
            </w:r>
          </w:p>
        </w:tc>
        <w:tc>
          <w:tcPr>
            <w:tcW w:w="1355" w:type="dxa"/>
            <w:tcBorders>
              <w:left w:val="single" w:sz="4" w:space="0" w:color="auto"/>
              <w:bottom w:val="single" w:sz="4" w:space="0" w:color="auto"/>
              <w:right w:val="single" w:sz="4" w:space="0" w:color="auto"/>
            </w:tcBorders>
            <w:shd w:val="clear" w:color="auto" w:fill="DBE5F1" w:themeFill="accent1" w:themeFillTint="33"/>
          </w:tcPr>
          <w:p w14:paraId="2B25A0BA" w14:textId="77777777" w:rsidR="00041FE4" w:rsidRPr="00D06A55" w:rsidRDefault="00041FE4" w:rsidP="0060086F">
            <w:pPr>
              <w:pStyle w:val="DHHSbody"/>
              <w:rPr>
                <w:b/>
                <w:sz w:val="21"/>
                <w:szCs w:val="21"/>
              </w:rPr>
            </w:pPr>
            <w:r w:rsidRPr="00D06A55">
              <w:rPr>
                <w:b/>
                <w:sz w:val="21"/>
                <w:szCs w:val="21"/>
              </w:rPr>
              <w:t>Fund Source</w:t>
            </w:r>
          </w:p>
        </w:tc>
        <w:tc>
          <w:tcPr>
            <w:tcW w:w="1480" w:type="dxa"/>
            <w:tcBorders>
              <w:left w:val="single" w:sz="4" w:space="0" w:color="auto"/>
              <w:bottom w:val="single" w:sz="4" w:space="0" w:color="auto"/>
              <w:right w:val="single" w:sz="4" w:space="0" w:color="auto"/>
            </w:tcBorders>
            <w:shd w:val="clear" w:color="auto" w:fill="DBE5F1" w:themeFill="accent1" w:themeFillTint="33"/>
          </w:tcPr>
          <w:p w14:paraId="5D93DA88" w14:textId="77777777" w:rsidR="00041FE4" w:rsidRPr="00D06A55" w:rsidRDefault="00041FE4" w:rsidP="0060086F">
            <w:pPr>
              <w:pStyle w:val="DHHSbody"/>
              <w:rPr>
                <w:b/>
                <w:sz w:val="21"/>
                <w:szCs w:val="21"/>
              </w:rPr>
            </w:pPr>
            <w:r w:rsidRPr="00D06A55">
              <w:rPr>
                <w:b/>
                <w:sz w:val="21"/>
                <w:szCs w:val="21"/>
              </w:rPr>
              <w:t>AMHS</w:t>
            </w:r>
          </w:p>
        </w:tc>
        <w:tc>
          <w:tcPr>
            <w:tcW w:w="1701" w:type="dxa"/>
            <w:tcBorders>
              <w:left w:val="single" w:sz="4" w:space="0" w:color="auto"/>
              <w:bottom w:val="single" w:sz="4" w:space="0" w:color="auto"/>
            </w:tcBorders>
            <w:shd w:val="clear" w:color="auto" w:fill="DBE5F1" w:themeFill="accent1" w:themeFillTint="33"/>
          </w:tcPr>
          <w:p w14:paraId="0C3380E1" w14:textId="77777777" w:rsidR="00041FE4" w:rsidRPr="00D06A55" w:rsidRDefault="00041FE4" w:rsidP="0060086F">
            <w:pPr>
              <w:pStyle w:val="DHHSbody"/>
              <w:rPr>
                <w:b/>
                <w:sz w:val="21"/>
                <w:szCs w:val="21"/>
              </w:rPr>
            </w:pPr>
            <w:r w:rsidRPr="00D06A55">
              <w:rPr>
                <w:b/>
                <w:sz w:val="21"/>
                <w:szCs w:val="21"/>
              </w:rPr>
              <w:t>Start Date</w:t>
            </w:r>
          </w:p>
        </w:tc>
      </w:tr>
      <w:tr w:rsidR="00041FE4" w14:paraId="16CB7ED1" w14:textId="77777777" w:rsidTr="0060086F">
        <w:tc>
          <w:tcPr>
            <w:tcW w:w="1701" w:type="dxa"/>
          </w:tcPr>
          <w:p w14:paraId="7AEE35B0" w14:textId="18E4C166" w:rsidR="00041FE4" w:rsidRPr="00D06A55" w:rsidRDefault="00034CB7" w:rsidP="0060086F">
            <w:pPr>
              <w:pStyle w:val="DHHSbody"/>
              <w:rPr>
                <w:sz w:val="21"/>
                <w:szCs w:val="21"/>
              </w:rPr>
            </w:pPr>
            <w:r w:rsidRPr="00D06A55">
              <w:rPr>
                <w:rFonts w:eastAsia="Calibri" w:cs="Arial"/>
                <w:color w:val="000000"/>
                <w:sz w:val="21"/>
                <w:szCs w:val="21"/>
              </w:rPr>
              <w:t>Community</w:t>
            </w:r>
          </w:p>
        </w:tc>
        <w:tc>
          <w:tcPr>
            <w:tcW w:w="2581" w:type="dxa"/>
          </w:tcPr>
          <w:p w14:paraId="1F8EAAF5" w14:textId="4BDEBE3D" w:rsidR="00041FE4" w:rsidRPr="00D06A55" w:rsidRDefault="00747350" w:rsidP="0060086F">
            <w:pPr>
              <w:pStyle w:val="DHHSbody"/>
              <w:rPr>
                <w:rFonts w:eastAsia="Calibri" w:cs="Arial"/>
                <w:color w:val="000000"/>
                <w:sz w:val="21"/>
                <w:szCs w:val="21"/>
              </w:rPr>
            </w:pPr>
            <w:r w:rsidRPr="00D06A55">
              <w:rPr>
                <w:rFonts w:eastAsia="Calibri" w:cs="Arial"/>
                <w:color w:val="000000"/>
                <w:sz w:val="21"/>
                <w:szCs w:val="21"/>
              </w:rPr>
              <w:t>Comm, Public Health Emergency use - C &amp; A</w:t>
            </w:r>
          </w:p>
        </w:tc>
        <w:tc>
          <w:tcPr>
            <w:tcW w:w="1530" w:type="dxa"/>
          </w:tcPr>
          <w:p w14:paraId="3F4142F5" w14:textId="11B0ACCA" w:rsidR="00041FE4" w:rsidRPr="00D06A55" w:rsidRDefault="00747350" w:rsidP="0060086F">
            <w:pPr>
              <w:pStyle w:val="DHHSbody"/>
              <w:rPr>
                <w:sz w:val="21"/>
                <w:szCs w:val="21"/>
              </w:rPr>
            </w:pPr>
            <w:r w:rsidRPr="00D06A55">
              <w:rPr>
                <w:sz w:val="21"/>
                <w:szCs w:val="21"/>
              </w:rPr>
              <w:t>Shared Care Other</w:t>
            </w:r>
          </w:p>
        </w:tc>
        <w:tc>
          <w:tcPr>
            <w:tcW w:w="1355" w:type="dxa"/>
          </w:tcPr>
          <w:p w14:paraId="45B2958F" w14:textId="154C4282" w:rsidR="00041FE4" w:rsidRPr="00D06A55" w:rsidRDefault="00034CB7" w:rsidP="0060086F">
            <w:pPr>
              <w:pStyle w:val="DHHSbody"/>
              <w:rPr>
                <w:sz w:val="21"/>
                <w:szCs w:val="21"/>
              </w:rPr>
            </w:pPr>
            <w:r w:rsidRPr="00D06A55">
              <w:rPr>
                <w:sz w:val="21"/>
                <w:szCs w:val="21"/>
              </w:rPr>
              <w:t>Public health emergency</w:t>
            </w:r>
          </w:p>
        </w:tc>
        <w:tc>
          <w:tcPr>
            <w:tcW w:w="1480" w:type="dxa"/>
          </w:tcPr>
          <w:p w14:paraId="6F205FA5" w14:textId="77777777" w:rsidR="00041FE4" w:rsidRPr="00D06A55" w:rsidRDefault="00041FE4" w:rsidP="0060086F">
            <w:pPr>
              <w:pStyle w:val="DHHSbody"/>
              <w:rPr>
                <w:sz w:val="21"/>
                <w:szCs w:val="21"/>
              </w:rPr>
            </w:pPr>
            <w:r w:rsidRPr="00D06A55">
              <w:rPr>
                <w:sz w:val="21"/>
                <w:szCs w:val="21"/>
              </w:rPr>
              <w:t>(Local Service)</w:t>
            </w:r>
          </w:p>
        </w:tc>
        <w:tc>
          <w:tcPr>
            <w:tcW w:w="1701" w:type="dxa"/>
          </w:tcPr>
          <w:p w14:paraId="48022ED5" w14:textId="77777777" w:rsidR="00041FE4" w:rsidRPr="00D06A55" w:rsidRDefault="00041FE4" w:rsidP="0060086F">
            <w:pPr>
              <w:pStyle w:val="DHHSbody"/>
              <w:rPr>
                <w:sz w:val="21"/>
                <w:szCs w:val="21"/>
              </w:rPr>
            </w:pPr>
            <w:r w:rsidRPr="00D06A55">
              <w:rPr>
                <w:sz w:val="21"/>
                <w:szCs w:val="21"/>
              </w:rPr>
              <w:t>When program commenced at service</w:t>
            </w:r>
          </w:p>
        </w:tc>
      </w:tr>
    </w:tbl>
    <w:p w14:paraId="09EDC68E" w14:textId="77777777" w:rsidR="00041FE4" w:rsidRDefault="00041FE4" w:rsidP="00041FE4">
      <w:pPr>
        <w:pStyle w:val="Body"/>
      </w:pPr>
    </w:p>
    <w:p w14:paraId="74FD1843"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CFBEE6F" w14:textId="77777777" w:rsidTr="00EC40D5">
        <w:tc>
          <w:tcPr>
            <w:tcW w:w="10194" w:type="dxa"/>
          </w:tcPr>
          <w:p w14:paraId="2C98B714" w14:textId="01F88141" w:rsidR="0055119B" w:rsidRPr="0055119B" w:rsidRDefault="0055119B" w:rsidP="0055119B">
            <w:pPr>
              <w:pStyle w:val="Accessibilitypara"/>
            </w:pPr>
            <w:bookmarkStart w:id="1" w:name="_Hlk37240926"/>
            <w:r w:rsidRPr="0055119B">
              <w:t>To receive this document in another format</w:t>
            </w:r>
            <w:r>
              <w:t>,</w:t>
            </w:r>
            <w:r w:rsidRPr="0055119B">
              <w:t xml:space="preserve"> email </w:t>
            </w:r>
            <w:hyperlink r:id="rId19" w:history="1">
              <w:r w:rsidR="00D06A55" w:rsidRPr="00381FBC">
                <w:rPr>
                  <w:rStyle w:val="Hyperlink"/>
                </w:rPr>
                <w:t>MHDReporting@health.vic.gov.au</w:t>
              </w:r>
            </w:hyperlink>
            <w:r w:rsidR="00D06A55">
              <w:rPr>
                <w:color w:val="004C97"/>
              </w:rPr>
              <w:t xml:space="preserve"> </w:t>
            </w:r>
            <w:r w:rsidRPr="0055119B">
              <w:rPr>
                <w:color w:val="004C97"/>
              </w:rPr>
              <w:t xml:space="preserve"> </w:t>
            </w:r>
            <w:r w:rsidRPr="0055119B">
              <w:t>&lt;</w:t>
            </w:r>
            <w:r w:rsidR="00D06A55">
              <w:t>MHDReporting@Health.vic.gov.au</w:t>
            </w:r>
            <w:r w:rsidRPr="0055119B">
              <w:t>&gt;.</w:t>
            </w:r>
          </w:p>
          <w:p w14:paraId="79B4541A" w14:textId="77777777" w:rsidR="0055119B" w:rsidRPr="0055119B" w:rsidRDefault="0055119B" w:rsidP="00E33237">
            <w:pPr>
              <w:pStyle w:val="Imprint"/>
            </w:pPr>
            <w:r w:rsidRPr="0055119B">
              <w:t>Authorised and published by the Victorian Government, 1 Treasury Place, Melbourne.</w:t>
            </w:r>
          </w:p>
          <w:p w14:paraId="2EAEB7DF" w14:textId="3B8A4C4B" w:rsidR="0055119B" w:rsidRPr="00E33237" w:rsidRDefault="0055119B" w:rsidP="00EE4DBE">
            <w:pPr>
              <w:pStyle w:val="Imprint"/>
              <w:rPr>
                <w:color w:val="004C97"/>
              </w:rPr>
            </w:pPr>
            <w:r w:rsidRPr="0055119B">
              <w:t xml:space="preserve">© State of Victoria, Australia, </w:t>
            </w:r>
            <w:r w:rsidR="001E2A36" w:rsidRPr="001E2A36">
              <w:t>Department of Health</w:t>
            </w:r>
            <w:r w:rsidRPr="0055119B">
              <w:t xml:space="preserve">, </w:t>
            </w:r>
            <w:r w:rsidR="00E21C54">
              <w:t>October 2021</w:t>
            </w:r>
            <w:r w:rsidRPr="0055119B">
              <w:t>.</w:t>
            </w:r>
          </w:p>
          <w:p w14:paraId="560DDD9F" w14:textId="05F06DAC" w:rsidR="0055119B" w:rsidRDefault="0024086D" w:rsidP="00E33237">
            <w:pPr>
              <w:pStyle w:val="Imprint"/>
            </w:pPr>
            <w:r>
              <w:rPr>
                <w:rFonts w:cs="Arial"/>
                <w:b/>
                <w:bCs/>
                <w:color w:val="000000"/>
                <w:lang w:eastAsia="en-AU"/>
              </w:rPr>
              <w:t xml:space="preserve">ISBN </w:t>
            </w:r>
            <w:r>
              <w:rPr>
                <w:rFonts w:cs="Arial"/>
                <w:color w:val="000000"/>
                <w:lang w:eastAsia="en-AU"/>
              </w:rPr>
              <w:t xml:space="preserve">978-1-76096-647-8 </w:t>
            </w:r>
            <w:r>
              <w:rPr>
                <w:rFonts w:cs="Arial"/>
                <w:b/>
                <w:bCs/>
                <w:color w:val="000000"/>
                <w:lang w:eastAsia="en-AU"/>
              </w:rPr>
              <w:t>(pdf/online/MS word)</w:t>
            </w:r>
          </w:p>
        </w:tc>
      </w:tr>
      <w:bookmarkEnd w:id="1"/>
    </w:tbl>
    <w:p w14:paraId="17F708B8"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97CC3" w14:textId="77777777" w:rsidR="00041FE4" w:rsidRDefault="00041FE4">
      <w:r>
        <w:separator/>
      </w:r>
    </w:p>
  </w:endnote>
  <w:endnote w:type="continuationSeparator" w:id="0">
    <w:p w14:paraId="51382208" w14:textId="77777777" w:rsidR="00041FE4" w:rsidRDefault="0004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97E1" w14:textId="77777777" w:rsidR="00136093" w:rsidRDefault="00136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EB13" w14:textId="77777777" w:rsidR="00E261B3" w:rsidRPr="00F65AA9" w:rsidRDefault="0072251A" w:rsidP="00F84FA0">
    <w:pPr>
      <w:pStyle w:val="Footer"/>
    </w:pPr>
    <w:r>
      <w:rPr>
        <w:noProof/>
        <w:lang w:eastAsia="en-AU"/>
      </w:rPr>
      <w:drawing>
        <wp:anchor distT="0" distB="0" distL="114300" distR="114300" simplePos="0" relativeHeight="251657728" behindDoc="1" locked="1" layoutInCell="1" allowOverlap="1" wp14:anchorId="2605B581" wp14:editId="4410EA4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57F9A75F" wp14:editId="1F96DD1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474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9A75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14474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006F" w14:textId="77777777" w:rsidR="00E261B3" w:rsidRDefault="00E261B3">
    <w:pPr>
      <w:pStyle w:val="Footer"/>
    </w:pPr>
    <w:r>
      <w:rPr>
        <w:noProof/>
      </w:rPr>
      <mc:AlternateContent>
        <mc:Choice Requires="wps">
          <w:drawing>
            <wp:anchor distT="0" distB="0" distL="114300" distR="114300" simplePos="1" relativeHeight="251656704" behindDoc="0" locked="0" layoutInCell="0" allowOverlap="1" wp14:anchorId="79ABFB83" wp14:editId="55DCDA1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4C5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BFB8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BF4C5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E3FAF" w14:textId="77777777" w:rsidR="00373890" w:rsidRPr="00F65AA9" w:rsidRDefault="00B07FF7" w:rsidP="00F84FA0">
    <w:pPr>
      <w:pStyle w:val="Footer"/>
    </w:pPr>
    <w:r>
      <w:rPr>
        <w:noProof/>
      </w:rPr>
      <mc:AlternateContent>
        <mc:Choice Requires="wps">
          <w:drawing>
            <wp:anchor distT="0" distB="0" distL="114300" distR="114300" simplePos="0" relativeHeight="251658752" behindDoc="0" locked="0" layoutInCell="0" allowOverlap="1" wp14:anchorId="14A73D76" wp14:editId="6EED859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C037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A73D7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3A1C037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5D3F" w14:textId="77777777" w:rsidR="00041FE4" w:rsidRDefault="00041FE4" w:rsidP="002862F1">
      <w:pPr>
        <w:spacing w:before="120"/>
      </w:pPr>
      <w:r>
        <w:separator/>
      </w:r>
    </w:p>
  </w:footnote>
  <w:footnote w:type="continuationSeparator" w:id="0">
    <w:p w14:paraId="594D37CC" w14:textId="77777777" w:rsidR="00041FE4" w:rsidRDefault="0004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01DA" w14:textId="77777777" w:rsidR="00136093" w:rsidRDefault="0013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A8A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5241" w14:textId="77777777" w:rsidR="00136093" w:rsidRDefault="00136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78B5" w14:textId="241BBCC8" w:rsidR="00E261B3" w:rsidRPr="0051568D" w:rsidRDefault="00747350" w:rsidP="0011701A">
    <w:pPr>
      <w:pStyle w:val="Header"/>
    </w:pPr>
    <w:r>
      <w:t>CYMHS</w:t>
    </w:r>
    <w:r w:rsidR="00EE4DBE">
      <w:t xml:space="preserve"> -</w:t>
    </w:r>
    <w:r>
      <w:t>Headspace Surge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DE33BC"/>
    <w:multiLevelType w:val="hybridMultilevel"/>
    <w:tmpl w:val="55727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F3FCD"/>
    <w:multiLevelType w:val="hybridMultilevel"/>
    <w:tmpl w:val="191A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8B243F"/>
    <w:multiLevelType w:val="hybridMultilevel"/>
    <w:tmpl w:val="7B12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A705086"/>
    <w:multiLevelType w:val="hybridMultilevel"/>
    <w:tmpl w:val="8E1C6570"/>
    <w:lvl w:ilvl="0" w:tplc="9BF46F76">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D441C1F"/>
    <w:multiLevelType w:val="hybridMultilevel"/>
    <w:tmpl w:val="F58C9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27"/>
  </w:num>
  <w:num w:numId="26">
    <w:abstractNumId w:val="21"/>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25"/>
  </w:num>
  <w:num w:numId="43">
    <w:abstractNumId w:val="23"/>
  </w:num>
  <w:num w:numId="4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E4"/>
    <w:rsid w:val="00000719"/>
    <w:rsid w:val="00003403"/>
    <w:rsid w:val="00005347"/>
    <w:rsid w:val="000072B6"/>
    <w:rsid w:val="0001021B"/>
    <w:rsid w:val="00011D89"/>
    <w:rsid w:val="000154FD"/>
    <w:rsid w:val="00016FBF"/>
    <w:rsid w:val="00022271"/>
    <w:rsid w:val="000235E8"/>
    <w:rsid w:val="00024D89"/>
    <w:rsid w:val="000250B6"/>
    <w:rsid w:val="00033D81"/>
    <w:rsid w:val="00034CB7"/>
    <w:rsid w:val="00037366"/>
    <w:rsid w:val="00041BF0"/>
    <w:rsid w:val="00041FE4"/>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093"/>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86D"/>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3842"/>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26B"/>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45D"/>
    <w:rsid w:val="00605908"/>
    <w:rsid w:val="00610D7C"/>
    <w:rsid w:val="00613414"/>
    <w:rsid w:val="00616B2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350"/>
    <w:rsid w:val="00750135"/>
    <w:rsid w:val="00750EC2"/>
    <w:rsid w:val="007510F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380A"/>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B89"/>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08DE"/>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6A55"/>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62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1C54"/>
    <w:rsid w:val="00E261B3"/>
    <w:rsid w:val="00E26818"/>
    <w:rsid w:val="00E27FFC"/>
    <w:rsid w:val="00E30B15"/>
    <w:rsid w:val="00E33237"/>
    <w:rsid w:val="00E40181"/>
    <w:rsid w:val="00E41332"/>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4DBE"/>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8D91630"/>
  <w15:docId w15:val="{B8246926-42C6-4273-9FD9-AE8A486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041FE4"/>
    <w:pPr>
      <w:spacing w:after="120" w:line="270" w:lineRule="atLeast"/>
    </w:pPr>
    <w:rPr>
      <w:rFonts w:ascii="Arial" w:eastAsia="Times" w:hAnsi="Arial"/>
      <w:lang w:eastAsia="en-US"/>
    </w:rPr>
  </w:style>
  <w:style w:type="paragraph" w:styleId="ListParagraph">
    <w:name w:val="List Paragraph"/>
    <w:basedOn w:val="Normal"/>
    <w:uiPriority w:val="34"/>
    <w:qFormat/>
    <w:rsid w:val="00B23B89"/>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840467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HDReporting@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2643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Varun Krishnan</dc:creator>
  <cp:keywords/>
  <dc:description/>
  <cp:lastModifiedBy>Sue Neilson (Health)</cp:lastModifiedBy>
  <cp:revision>8</cp:revision>
  <cp:lastPrinted>2020-03-30T03:28:00Z</cp:lastPrinted>
  <dcterms:created xsi:type="dcterms:W3CDTF">2021-10-25T23:05:00Z</dcterms:created>
  <dcterms:modified xsi:type="dcterms:W3CDTF">2021-10-26T03:49:00Z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2021-10-26T03:49:06Z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